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DB6B28" w:rsidP="00DB6B28" w14:paraId="33ACD381" w14:textId="77777777">
      <w:pPr>
        <w:spacing w:before="120" w:after="240"/>
        <w:rPr>
          <w:b/>
          <w:sz w:val="24"/>
        </w:rPr>
      </w:pPr>
    </w:p>
    <w:p w:rsidR="00DB6B28" w:rsidRPr="00441C8B" w:rsidP="00DB6B28" w14:paraId="083ABA6F" w14:textId="292194A8">
      <w:pPr>
        <w:jc w:val="right"/>
        <w:rPr>
          <w:b/>
          <w:sz w:val="24"/>
          <w:szCs w:val="24"/>
        </w:rPr>
      </w:pPr>
      <w:r w:rsidRPr="00441C8B">
        <w:rPr>
          <w:b/>
          <w:sz w:val="24"/>
          <w:szCs w:val="24"/>
        </w:rPr>
        <w:t xml:space="preserve">DA </w:t>
      </w:r>
      <w:r w:rsidRPr="00441C8B">
        <w:rPr>
          <w:b/>
          <w:bCs/>
          <w:sz w:val="24"/>
          <w:szCs w:val="24"/>
        </w:rPr>
        <w:t>22-</w:t>
      </w:r>
      <w:r w:rsidRPr="00441C8B" w:rsidR="00C32D2F">
        <w:rPr>
          <w:b/>
          <w:bCs/>
          <w:sz w:val="24"/>
          <w:szCs w:val="24"/>
        </w:rPr>
        <w:t>1197</w:t>
      </w:r>
    </w:p>
    <w:p w:rsidR="00DB6B28" w:rsidP="00DB6B28" w14:paraId="500EDB23" w14:textId="1A3F4FD4">
      <w:pPr>
        <w:spacing w:before="60"/>
        <w:jc w:val="right"/>
        <w:rPr>
          <w:b/>
          <w:sz w:val="24"/>
        </w:rPr>
      </w:pPr>
      <w:r>
        <w:rPr>
          <w:b/>
          <w:sz w:val="24"/>
        </w:rPr>
        <w:t>Released:  November 1</w:t>
      </w:r>
      <w:r w:rsidR="008C7E0D">
        <w:rPr>
          <w:b/>
          <w:sz w:val="24"/>
        </w:rPr>
        <w:t>5</w:t>
      </w:r>
      <w:r>
        <w:rPr>
          <w:b/>
          <w:sz w:val="24"/>
        </w:rPr>
        <w:t>, 2022</w:t>
      </w:r>
    </w:p>
    <w:p w:rsidR="00DB6B28" w:rsidP="00DB6B28" w14:paraId="64F9AB00" w14:textId="77777777">
      <w:pPr>
        <w:jc w:val="right"/>
        <w:rPr>
          <w:sz w:val="24"/>
        </w:rPr>
      </w:pPr>
    </w:p>
    <w:p w:rsidR="00DB6B28" w:rsidP="00DB6B28" w14:paraId="5921FE4F" w14:textId="0EB02418">
      <w:pPr>
        <w:tabs>
          <w:tab w:val="left" w:pos="2160"/>
        </w:tabs>
        <w:spacing w:after="240"/>
        <w:jc w:val="center"/>
        <w:rPr>
          <w:rFonts w:ascii="Times New Roman Bold" w:hAnsi="Times New Roman Bold"/>
          <w:b/>
          <w:bCs/>
          <w:caps/>
          <w:sz w:val="24"/>
          <w:szCs w:val="24"/>
        </w:rPr>
      </w:pPr>
      <w:r w:rsidRPr="00A66B9B">
        <w:rPr>
          <w:rFonts w:ascii="Times New Roman Bold" w:hAnsi="Times New Roman Bold"/>
          <w:b/>
          <w:bCs/>
          <w:caps/>
          <w:sz w:val="24"/>
          <w:szCs w:val="24"/>
        </w:rPr>
        <w:t xml:space="preserve">BROADBAND DATA TASK FORCE </w:t>
      </w:r>
      <w:r w:rsidR="004E67F4">
        <w:rPr>
          <w:rFonts w:ascii="Times New Roman Bold" w:hAnsi="Times New Roman Bold"/>
          <w:b/>
          <w:bCs/>
          <w:caps/>
          <w:sz w:val="24"/>
          <w:szCs w:val="24"/>
        </w:rPr>
        <w:t>ANNOUNCE</w:t>
      </w:r>
      <w:r w:rsidR="00155E53">
        <w:rPr>
          <w:rFonts w:ascii="Times New Roman Bold" w:hAnsi="Times New Roman Bold"/>
          <w:b/>
          <w:bCs/>
          <w:caps/>
          <w:sz w:val="24"/>
          <w:szCs w:val="24"/>
        </w:rPr>
        <w:t>S</w:t>
      </w:r>
      <w:r w:rsidR="00A66B9B">
        <w:rPr>
          <w:rFonts w:ascii="Times New Roman Bold" w:hAnsi="Times New Roman Bold"/>
          <w:b/>
          <w:bCs/>
          <w:caps/>
          <w:sz w:val="24"/>
          <w:szCs w:val="24"/>
        </w:rPr>
        <w:t xml:space="preserve"> </w:t>
      </w:r>
      <w:r w:rsidR="004E67F4">
        <w:rPr>
          <w:rFonts w:ascii="Times New Roman Bold" w:hAnsi="Times New Roman Bold"/>
          <w:b/>
          <w:bCs/>
          <w:caps/>
          <w:sz w:val="24"/>
          <w:szCs w:val="24"/>
        </w:rPr>
        <w:t xml:space="preserve">PROCESS FOR STAKEHOLDERS TO LICENSE </w:t>
      </w:r>
      <w:r w:rsidR="00A66B9B">
        <w:rPr>
          <w:rFonts w:ascii="Times New Roman Bold" w:hAnsi="Times New Roman Bold"/>
          <w:b/>
          <w:bCs/>
          <w:caps/>
          <w:sz w:val="24"/>
          <w:szCs w:val="24"/>
        </w:rPr>
        <w:t>BROADBAND SERVICEABLE LOCATION FABRIC</w:t>
      </w:r>
      <w:r w:rsidR="00155E53">
        <w:rPr>
          <w:rFonts w:ascii="Times New Roman Bold" w:hAnsi="Times New Roman Bold"/>
          <w:b/>
          <w:bCs/>
          <w:caps/>
          <w:sz w:val="24"/>
          <w:szCs w:val="24"/>
        </w:rPr>
        <w:t xml:space="preserve"> DATA </w:t>
      </w:r>
      <w:r w:rsidR="004E67F4">
        <w:rPr>
          <w:rFonts w:ascii="Times New Roman Bold" w:hAnsi="Times New Roman Bold"/>
          <w:b/>
          <w:bCs/>
          <w:caps/>
          <w:sz w:val="24"/>
          <w:szCs w:val="24"/>
        </w:rPr>
        <w:t>FOR</w:t>
      </w:r>
      <w:r w:rsidR="00155E53">
        <w:rPr>
          <w:rFonts w:ascii="Times New Roman Bold" w:hAnsi="Times New Roman Bold"/>
          <w:b/>
          <w:bCs/>
          <w:caps/>
          <w:sz w:val="24"/>
          <w:szCs w:val="24"/>
        </w:rPr>
        <w:t xml:space="preserve"> USE IN</w:t>
      </w:r>
      <w:r w:rsidR="004E67F4">
        <w:rPr>
          <w:rFonts w:ascii="Times New Roman Bold" w:hAnsi="Times New Roman Bold"/>
          <w:b/>
          <w:bCs/>
          <w:caps/>
          <w:sz w:val="24"/>
          <w:szCs w:val="24"/>
        </w:rPr>
        <w:t xml:space="preserve"> </w:t>
      </w:r>
      <w:r w:rsidR="002F28F9">
        <w:rPr>
          <w:rFonts w:ascii="Times New Roman Bold" w:hAnsi="Times New Roman Bold"/>
          <w:b/>
          <w:bCs/>
          <w:caps/>
          <w:sz w:val="24"/>
          <w:szCs w:val="24"/>
        </w:rPr>
        <w:t>THE BROADBAND DATA COLLECTION</w:t>
      </w:r>
      <w:r w:rsidR="00155E53">
        <w:rPr>
          <w:rFonts w:ascii="Times New Roman Bold" w:hAnsi="Times New Roman Bold"/>
          <w:b/>
          <w:bCs/>
          <w:caps/>
          <w:sz w:val="24"/>
          <w:szCs w:val="24"/>
        </w:rPr>
        <w:t xml:space="preserve"> </w:t>
      </w:r>
    </w:p>
    <w:p w:rsidR="00DB6B28" w:rsidRPr="00F76D44" w:rsidP="00DB6B28" w14:paraId="0825F857" w14:textId="77777777">
      <w:pPr>
        <w:spacing w:after="240"/>
        <w:jc w:val="center"/>
        <w:rPr>
          <w:b/>
          <w:bCs/>
          <w:sz w:val="24"/>
          <w:szCs w:val="24"/>
        </w:rPr>
      </w:pPr>
      <w:r w:rsidRPr="003D8D98">
        <w:rPr>
          <w:b/>
          <w:bCs/>
          <w:sz w:val="24"/>
          <w:szCs w:val="24"/>
        </w:rPr>
        <w:t>WC Docket Nos. 19-195, 11-10</w:t>
      </w:r>
      <w:bookmarkStart w:id="0" w:name="TOChere"/>
    </w:p>
    <w:p w:rsidR="00E9253B" w:rsidP="00DB6B28" w14:paraId="7D88B78C" w14:textId="5972D40D">
      <w:pPr>
        <w:spacing w:after="120"/>
        <w:ind w:firstLine="720"/>
      </w:pPr>
      <w:r>
        <w:t xml:space="preserve">By this Public Notice, the </w:t>
      </w:r>
      <w:r w:rsidR="00073BBE">
        <w:t xml:space="preserve">FCC’s </w:t>
      </w:r>
      <w:r>
        <w:t>Broadband Data Task Force (Task Force</w:t>
      </w:r>
      <w:r w:rsidR="00051596">
        <w:t>), Wireline Competition Bureau (WCB), and Office of Economics and Analytics (OEA</w:t>
      </w:r>
      <w:r>
        <w:t xml:space="preserve">) announce </w:t>
      </w:r>
      <w:r>
        <w:t xml:space="preserve">that </w:t>
      </w:r>
      <w:r w:rsidR="00914702">
        <w:t>parties</w:t>
      </w:r>
      <w:r>
        <w:t xml:space="preserve"> may now begin the process </w:t>
      </w:r>
      <w:r w:rsidR="001A4A67">
        <w:t>of</w:t>
      </w:r>
      <w:r>
        <w:t xml:space="preserve"> obtaining a license to the Broadband Serviceable Location Fabric (Fabric) for purposes of</w:t>
      </w:r>
      <w:r w:rsidR="00434B25">
        <w:t xml:space="preserve"> preparing and</w:t>
      </w:r>
      <w:r>
        <w:t xml:space="preserve"> submitting challenge</w:t>
      </w:r>
      <w:r w:rsidR="00C14FC9">
        <w:t>s</w:t>
      </w:r>
      <w:r>
        <w:t xml:space="preserve"> </w:t>
      </w:r>
      <w:r w:rsidR="00C14FC9">
        <w:t>through the</w:t>
      </w:r>
      <w:r>
        <w:t xml:space="preserve"> FCC’s Broadband Data Collection (BDC).  </w:t>
      </w:r>
    </w:p>
    <w:p w:rsidR="007A418F" w:rsidP="00DB6B28" w14:paraId="2568F581" w14:textId="45C8681C">
      <w:pPr>
        <w:spacing w:after="120"/>
        <w:ind w:firstLine="720"/>
      </w:pPr>
      <w:r>
        <w:t xml:space="preserve">The Fabric is </w:t>
      </w:r>
      <w:r w:rsidR="00880D53">
        <w:t xml:space="preserve">the </w:t>
      </w:r>
      <w:r w:rsidR="00661E71">
        <w:t xml:space="preserve">“common dataset of all locations in the United States where fixed broadband internet </w:t>
      </w:r>
      <w:r w:rsidR="00750F1E">
        <w:t>access service can be installed, as determined by the Commission.”</w:t>
      </w:r>
      <w:r>
        <w:rPr>
          <w:rStyle w:val="FootnoteReference"/>
        </w:rPr>
        <w:footnoteReference w:id="3"/>
      </w:r>
      <w:r w:rsidR="00750F1E">
        <w:t xml:space="preserve">  </w:t>
      </w:r>
      <w:r w:rsidR="00536635">
        <w:t>As required under the Broadband DATA Act, the Fabric “shall . . . serve as the foundation upon which all data relating to the availability of fixed broadband internet access service . . . shall be reported and overlaid.”</w:t>
      </w:r>
      <w:r>
        <w:rPr>
          <w:rStyle w:val="FootnoteReference"/>
        </w:rPr>
        <w:footnoteReference w:id="4"/>
      </w:r>
      <w:r w:rsidR="00536635">
        <w:t xml:space="preserve">  The Broadband DATA Act further requires that the Commission </w:t>
      </w:r>
      <w:r w:rsidR="00120D80">
        <w:t>create</w:t>
      </w:r>
      <w:r w:rsidR="00E73B87">
        <w:t xml:space="preserve"> a process whereby information included in the Fabric may be challenged by consumers, </w:t>
      </w:r>
      <w:r w:rsidR="0E12E506">
        <w:t>s</w:t>
      </w:r>
      <w:r w:rsidR="00E73B87">
        <w:t>tate, local, and Tribal governmental entities, and other entities or individuals.</w:t>
      </w:r>
      <w:r>
        <w:rPr>
          <w:rStyle w:val="FootnoteReference"/>
        </w:rPr>
        <w:footnoteReference w:id="5"/>
      </w:r>
      <w:r w:rsidR="00E73B87">
        <w:t xml:space="preserve">  </w:t>
      </w:r>
    </w:p>
    <w:p w:rsidR="007A418F" w:rsidP="00DB6B28" w14:paraId="0581D570" w14:textId="5F07642D">
      <w:pPr>
        <w:spacing w:after="120"/>
        <w:ind w:firstLine="720"/>
      </w:pPr>
      <w:r>
        <w:t>T</w:t>
      </w:r>
      <w:r w:rsidR="00F921B7">
        <w:t xml:space="preserve">he Task Force made </w:t>
      </w:r>
      <w:r w:rsidR="00F74893">
        <w:t xml:space="preserve">the Fabric data available to internet service providers and </w:t>
      </w:r>
      <w:r w:rsidR="00D03EDA">
        <w:t xml:space="preserve">state, local, and Tribal </w:t>
      </w:r>
      <w:r w:rsidR="00F74893">
        <w:t>governmental entities</w:t>
      </w:r>
      <w:r w:rsidR="00F921B7">
        <w:t xml:space="preserve"> </w:t>
      </w:r>
      <w:r w:rsidR="00E21271">
        <w:t>starting o</w:t>
      </w:r>
      <w:r w:rsidR="00F921B7">
        <w:t>n June 23</w:t>
      </w:r>
      <w:r w:rsidR="004A3393">
        <w:t>, 2022</w:t>
      </w:r>
      <w:r w:rsidR="00E77F99">
        <w:t>,</w:t>
      </w:r>
      <w:r>
        <w:t xml:space="preserve"> </w:t>
      </w:r>
      <w:r w:rsidR="001B7481">
        <w:t>so that they could submit broadband availability data prior to the close of the filing window on September 1</w:t>
      </w:r>
      <w:r w:rsidR="00E21271">
        <w:t>, 2022</w:t>
      </w:r>
      <w:r w:rsidR="00B36824">
        <w:t>.</w:t>
      </w:r>
      <w:r>
        <w:rPr>
          <w:rStyle w:val="FootnoteReference"/>
        </w:rPr>
        <w:footnoteReference w:id="6"/>
      </w:r>
      <w:r w:rsidR="00E21271">
        <w:t xml:space="preserve"> </w:t>
      </w:r>
      <w:r w:rsidR="4924FFEC">
        <w:t xml:space="preserve"> </w:t>
      </w:r>
      <w:r w:rsidR="00B36824">
        <w:t>Additionally, these entities were able to</w:t>
      </w:r>
      <w:r w:rsidR="00562B40">
        <w:t xml:space="preserve"> provide feedback on the initial production version of the Fabric </w:t>
      </w:r>
      <w:r w:rsidR="00080301">
        <w:t>through the bulk Fabric challenge process</w:t>
      </w:r>
      <w:r w:rsidR="5A2EE6A9">
        <w:t xml:space="preserve"> that commenced on September 12, 2022</w:t>
      </w:r>
      <w:r w:rsidR="00562B40">
        <w:t>.</w:t>
      </w:r>
      <w:r>
        <w:rPr>
          <w:rStyle w:val="FootnoteReference"/>
        </w:rPr>
        <w:footnoteReference w:id="7"/>
      </w:r>
      <w:r w:rsidR="00F74893">
        <w:t xml:space="preserve">  </w:t>
      </w:r>
      <w:r w:rsidR="069816F1">
        <w:t xml:space="preserve">Today, other entities and </w:t>
      </w:r>
      <w:r w:rsidR="00073BBE">
        <w:t>organizations</w:t>
      </w:r>
      <w:r w:rsidR="069816F1">
        <w:t xml:space="preserve"> may begin the process of obtaining a license to the Fabric</w:t>
      </w:r>
      <w:r w:rsidR="3A8B3F76">
        <w:t>.</w:t>
      </w:r>
    </w:p>
    <w:p w:rsidR="007A418F" w:rsidP="00DB6B28" w14:paraId="11115D80" w14:textId="6047183D">
      <w:pPr>
        <w:spacing w:after="120"/>
        <w:ind w:firstLine="720"/>
      </w:pPr>
      <w:r w:rsidRPr="01987597">
        <w:rPr>
          <w:rFonts w:cs="Calibri"/>
        </w:rPr>
        <w:t xml:space="preserve">To access the Fabric data, each entity must </w:t>
      </w:r>
      <w:r w:rsidRPr="01987597" w:rsidR="00697A5E">
        <w:rPr>
          <w:rFonts w:cs="Calibri"/>
        </w:rPr>
        <w:t>register</w:t>
      </w:r>
      <w:r w:rsidRPr="01987597">
        <w:rPr>
          <w:rFonts w:cs="Calibri"/>
        </w:rPr>
        <w:t xml:space="preserve"> </w:t>
      </w:r>
      <w:r w:rsidRPr="01987597" w:rsidR="000F179A">
        <w:rPr>
          <w:rFonts w:cs="Calibri"/>
        </w:rPr>
        <w:t>in the Commission Registration System (CORES)</w:t>
      </w:r>
      <w:r w:rsidRPr="01987597">
        <w:rPr>
          <w:rFonts w:cs="Calibri"/>
        </w:rPr>
        <w:t xml:space="preserve">, </w:t>
      </w:r>
      <w:r w:rsidRPr="23D91188">
        <w:rPr>
          <w:rFonts w:cs="Calibri"/>
        </w:rPr>
        <w:t>log</w:t>
      </w:r>
      <w:r w:rsidRPr="01987597">
        <w:rPr>
          <w:rFonts w:cs="Calibri"/>
        </w:rPr>
        <w:t xml:space="preserve"> into the BDC system, and </w:t>
      </w:r>
      <w:r w:rsidRPr="23D91188">
        <w:rPr>
          <w:rFonts w:cs="Calibri"/>
        </w:rPr>
        <w:t>execut</w:t>
      </w:r>
      <w:r w:rsidRPr="23D91188" w:rsidR="7D0551E7">
        <w:rPr>
          <w:rFonts w:cs="Calibri"/>
        </w:rPr>
        <w:t>e</w:t>
      </w:r>
      <w:r w:rsidRPr="01987597">
        <w:rPr>
          <w:rFonts w:cs="Calibri"/>
        </w:rPr>
        <w:t xml:space="preserve"> a limited end-user license agreement for the Fabric.</w:t>
      </w:r>
      <w:r w:rsidRPr="01987597" w:rsidR="000A5061">
        <w:rPr>
          <w:rFonts w:cs="Calibri"/>
        </w:rPr>
        <w:t xml:space="preserve">  Depending on </w:t>
      </w:r>
      <w:r w:rsidRPr="01987597" w:rsidR="00161496">
        <w:rPr>
          <w:rFonts w:cs="Calibri"/>
        </w:rPr>
        <w:t xml:space="preserve">your organization type, you may </w:t>
      </w:r>
      <w:r w:rsidRPr="23D91188" w:rsidR="2C350DCE">
        <w:rPr>
          <w:rFonts w:cs="Calibri"/>
        </w:rPr>
        <w:t>need</w:t>
      </w:r>
      <w:r w:rsidRPr="01987597" w:rsidR="00161496">
        <w:rPr>
          <w:rFonts w:cs="Calibri"/>
        </w:rPr>
        <w:t xml:space="preserve"> to provide a brief description of </w:t>
      </w:r>
      <w:r w:rsidRPr="01987597" w:rsidR="006348AE">
        <w:rPr>
          <w:rFonts w:cs="Calibri"/>
        </w:rPr>
        <w:t xml:space="preserve">how your use of the Fabric data aligns with BDC purposes and how your organization is involved in issues around broadband </w:t>
      </w:r>
      <w:r w:rsidRPr="00A95BB4" w:rsidR="006348AE">
        <w:rPr>
          <w:rFonts w:cs="Calibri"/>
        </w:rPr>
        <w:t>availability.</w:t>
      </w:r>
      <w:r w:rsidRPr="00A95BB4">
        <w:rPr>
          <w:rFonts w:cs="Calibri"/>
        </w:rPr>
        <w:t xml:space="preserve">  </w:t>
      </w:r>
      <w:r w:rsidRPr="00A95BB4" w:rsidR="00D91896">
        <w:t xml:space="preserve">For more </w:t>
      </w:r>
      <w:r w:rsidRPr="00F84C61" w:rsidR="00D91896">
        <w:t xml:space="preserve">information, see </w:t>
      </w:r>
      <w:hyperlink r:id="rId5" w:history="1">
        <w:r w:rsidRPr="00A6766F" w:rsidR="00A81D14">
          <w:rPr>
            <w:rStyle w:val="Hyperlink"/>
          </w:rPr>
          <w:t>https://help.bdc.fcc.gov/hc/en-us/articles/10419121200923-How-Entities-Can-Access-the-Location-Fabric-</w:t>
        </w:r>
      </w:hyperlink>
      <w:r w:rsidRPr="00F84C61" w:rsidR="00F84C61">
        <w:t>.</w:t>
      </w:r>
      <w:r w:rsidR="00A81D14">
        <w:t xml:space="preserve"> </w:t>
      </w:r>
      <w:r w:rsidR="00F84C61">
        <w:t xml:space="preserve"> </w:t>
      </w:r>
    </w:p>
    <w:p w:rsidR="000C6261" w:rsidP="000F179A" w14:paraId="286B5502" w14:textId="61C624E2">
      <w:pPr>
        <w:widowControl/>
        <w:tabs>
          <w:tab w:val="left" w:pos="3084"/>
        </w:tabs>
        <w:spacing w:after="120"/>
        <w:ind w:firstLine="720"/>
      </w:pPr>
      <w:r>
        <w:t xml:space="preserve">In addition to making Fabric data available to </w:t>
      </w:r>
      <w:r w:rsidR="002438DD">
        <w:t>interested</w:t>
      </w:r>
      <w:r>
        <w:t xml:space="preserve"> entities, the Task Force has also recently released </w:t>
      </w:r>
      <w:r w:rsidR="002829EB">
        <w:t xml:space="preserve">documentation </w:t>
      </w:r>
      <w:r w:rsidR="00073BBE">
        <w:t xml:space="preserve">that describes </w:t>
      </w:r>
      <w:r w:rsidR="002829EB">
        <w:t xml:space="preserve">the </w:t>
      </w:r>
      <w:r w:rsidR="00073BBE">
        <w:t xml:space="preserve">methodology used </w:t>
      </w:r>
      <w:r w:rsidR="00D62F8F">
        <w:t xml:space="preserve">to </w:t>
      </w:r>
      <w:r w:rsidR="002829EB">
        <w:t>creat</w:t>
      </w:r>
      <w:r w:rsidR="00073BBE">
        <w:t>e</w:t>
      </w:r>
      <w:r w:rsidR="002829EB">
        <w:t xml:space="preserve"> the initial production version of the Fabric.  Th</w:t>
      </w:r>
      <w:r w:rsidR="00073BBE">
        <w:t>is</w:t>
      </w:r>
      <w:r w:rsidR="002829EB">
        <w:t xml:space="preserve"> Methods Manual </w:t>
      </w:r>
      <w:r w:rsidR="002D2308">
        <w:t xml:space="preserve">describes </w:t>
      </w:r>
      <w:r w:rsidR="00EA3353">
        <w:t xml:space="preserve">the biannual Fabric development process, including an overview of the Fabric data model and terminology, the mechanics of the Fabric production, and the output files provided to users.  </w:t>
      </w:r>
      <w:r w:rsidR="002438DD">
        <w:t>L</w:t>
      </w:r>
      <w:r w:rsidR="00CD7C73">
        <w:t>icensees can obtain the Methods Manual through the CostQuest Help Center</w:t>
      </w:r>
      <w:r w:rsidR="00073BBE">
        <w:t>,</w:t>
      </w:r>
      <w:r w:rsidR="00711B63">
        <w:t xml:space="preserve"> </w:t>
      </w:r>
      <w:r w:rsidR="00073BBE">
        <w:t xml:space="preserve">and </w:t>
      </w:r>
      <w:r w:rsidR="00CD7C73">
        <w:t xml:space="preserve">a public version is available for all interested stakeholders </w:t>
      </w:r>
      <w:r w:rsidR="00C86E2B">
        <w:t>under the Key Reference Documents Tab of the Resources section of the Broadband Data Collection webpage</w:t>
      </w:r>
      <w:r w:rsidR="00711B63">
        <w:t xml:space="preserve"> at </w:t>
      </w:r>
      <w:hyperlink r:id="rId6">
        <w:r w:rsidRPr="7F3C4E62" w:rsidR="00C86E2B">
          <w:rPr>
            <w:rStyle w:val="Hyperlink"/>
          </w:rPr>
          <w:t>https://www.fcc.gov/BroadbandData/resources</w:t>
        </w:r>
      </w:hyperlink>
      <w:r w:rsidR="00C86E2B">
        <w:t xml:space="preserve">.  </w:t>
      </w:r>
    </w:p>
    <w:p w:rsidR="00DB6B28" w:rsidRPr="004F0F02" w:rsidP="000C6261" w14:paraId="52A0712E" w14:textId="587E01CC">
      <w:pPr>
        <w:tabs>
          <w:tab w:val="left" w:pos="3084"/>
        </w:tabs>
        <w:spacing w:after="120"/>
        <w:ind w:firstLine="720"/>
      </w:pPr>
      <w:r>
        <w:t>A variety of technical assistance resources</w:t>
      </w:r>
      <w:r w:rsidR="00297730">
        <w:t xml:space="preserve"> related to the Fabric</w:t>
      </w:r>
      <w:r>
        <w:t>, including tutorials, knowledge base articles, FAQs, and other information</w:t>
      </w:r>
      <w:r w:rsidR="00297730">
        <w:t>,</w:t>
      </w:r>
      <w:r>
        <w:t xml:space="preserve"> </w:t>
      </w:r>
      <w:r w:rsidR="000C6261">
        <w:t xml:space="preserve">are available on the BDC Help Center at help.bdc.fcc.gov.  </w:t>
      </w:r>
      <w:r>
        <w:t xml:space="preserve">Requests for technical support may be submitted using the “Get Help” link available on that page.  </w:t>
      </w:r>
    </w:p>
    <w:p w:rsidR="00DB6B28" w:rsidP="00DB6B28" w14:paraId="03C7BC4D" w14:textId="36FB12C6">
      <w:pPr>
        <w:spacing w:after="120"/>
        <w:ind w:firstLine="720"/>
      </w:pPr>
      <w:r>
        <w:t xml:space="preserve">For information about the </w:t>
      </w:r>
      <w:r w:rsidR="007944F7">
        <w:t>Fabric</w:t>
      </w:r>
      <w:r>
        <w:t xml:space="preserve"> or the Broadband Data Collection, please visit the BDC website at </w:t>
      </w:r>
      <w:hyperlink r:id="rId7" w:history="1">
        <w:r w:rsidRPr="00C23F5A">
          <w:rPr>
            <w:rStyle w:val="Hyperlink"/>
          </w:rPr>
          <w:t>https://www.fcc.gov/BroadbandData</w:t>
        </w:r>
      </w:hyperlink>
      <w:r>
        <w:t xml:space="preserve">.  For media inquiries, please contact Anne Veigle in the Office of Media Relations at </w:t>
      </w:r>
      <w:hyperlink r:id="rId8" w:history="1">
        <w:r w:rsidRPr="00DA7897">
          <w:rPr>
            <w:rStyle w:val="Hyperlink"/>
          </w:rPr>
          <w:t>anne.veigle@fcc.gov</w:t>
        </w:r>
      </w:hyperlink>
      <w:r>
        <w:t>.</w:t>
      </w:r>
    </w:p>
    <w:bookmarkEnd w:id="0"/>
    <w:p w:rsidR="00DB6B28" w:rsidP="00DB6B28" w14:paraId="208F8B66" w14:textId="77777777">
      <w:pPr>
        <w:rPr>
          <w:szCs w:val="22"/>
        </w:rPr>
      </w:pPr>
    </w:p>
    <w:p w:rsidR="00D641D3" w:rsidRPr="00DB6B28" w:rsidP="00DB6B28" w14:paraId="1CD72173" w14:textId="3704EF84">
      <w:pPr>
        <w:jc w:val="center"/>
        <w:rPr>
          <w:b/>
          <w:bCs/>
          <w:szCs w:val="22"/>
        </w:rPr>
      </w:pPr>
      <w:r w:rsidRPr="00C162EF">
        <w:rPr>
          <w:b/>
          <w:bCs/>
          <w:szCs w:val="22"/>
        </w:rPr>
        <w:t>– FCC –</w:t>
      </w:r>
    </w:p>
    <w:sectPr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2C12" w14:paraId="4E0BF413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562C12" w14:paraId="3B9F4CE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2C12" w14:paraId="48B3BE60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2C12" w14:paraId="71F48C90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07DD1" w:rsidP="00DB6B28" w14:paraId="62B8F16E" w14:textId="77777777">
      <w:r>
        <w:separator/>
      </w:r>
    </w:p>
  </w:footnote>
  <w:footnote w:type="continuationSeparator" w:id="1">
    <w:p w:rsidR="00007DD1" w:rsidP="00DB6B28" w14:paraId="308D0ADB" w14:textId="77777777">
      <w:r>
        <w:continuationSeparator/>
      </w:r>
    </w:p>
  </w:footnote>
  <w:footnote w:type="continuationNotice" w:id="2">
    <w:p w:rsidR="00007DD1" w14:paraId="26623A12" w14:textId="77777777"/>
  </w:footnote>
  <w:footnote w:id="3">
    <w:p w:rsidR="00750F1E" w14:paraId="72E68160" w14:textId="6F60539B">
      <w:pPr>
        <w:pStyle w:val="FootnoteText"/>
      </w:pPr>
      <w:r>
        <w:rPr>
          <w:rStyle w:val="FootnoteReference"/>
        </w:rPr>
        <w:footnoteRef/>
      </w:r>
      <w:r>
        <w:t xml:space="preserve"> 47 U.S.C. §</w:t>
      </w:r>
      <w:r w:rsidR="00880D53">
        <w:t xml:space="preserve"> </w:t>
      </w:r>
      <w:r>
        <w:t>642(b)(1)(A)(</w:t>
      </w:r>
      <w:r>
        <w:t>i</w:t>
      </w:r>
      <w:r>
        <w:t xml:space="preserve">).  </w:t>
      </w:r>
    </w:p>
  </w:footnote>
  <w:footnote w:id="4">
    <w:p w:rsidR="00536635" w:rsidP="00536635" w14:paraId="6E16892A" w14:textId="5D744749">
      <w:pPr>
        <w:pStyle w:val="FootnoteText"/>
      </w:pPr>
      <w:r>
        <w:rPr>
          <w:rStyle w:val="FootnoteReference"/>
        </w:rPr>
        <w:footnoteRef/>
      </w:r>
      <w:r>
        <w:t xml:space="preserve"> 47 U.S.C. §</w:t>
      </w:r>
      <w:r w:rsidR="00880D53">
        <w:t xml:space="preserve"> </w:t>
      </w:r>
      <w:r>
        <w:t xml:space="preserve">642(b)(1)(B)(ii).  </w:t>
      </w:r>
    </w:p>
  </w:footnote>
  <w:footnote w:id="5">
    <w:p w:rsidR="00E73B87" w:rsidP="00E73B87" w14:paraId="5D256370" w14:textId="50DF9D9A">
      <w:pPr>
        <w:pStyle w:val="FootnoteText"/>
      </w:pPr>
      <w:r>
        <w:rPr>
          <w:rStyle w:val="FootnoteReference"/>
        </w:rPr>
        <w:footnoteRef/>
      </w:r>
      <w:r>
        <w:t xml:space="preserve"> 47 U.S.C. §</w:t>
      </w:r>
      <w:r w:rsidR="00880D53">
        <w:t xml:space="preserve"> </w:t>
      </w:r>
      <w:r>
        <w:t xml:space="preserve">642(b)(5)(A).  </w:t>
      </w:r>
    </w:p>
  </w:footnote>
  <w:footnote w:id="6">
    <w:p w:rsidR="00B36824" w:rsidRPr="00BF0C73" w:rsidP="00B36824" w14:paraId="52754AC5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See Broadband Data Task Force Announces the Availability of the Production Version of the Broadband Serviceable Location Fabric</w:t>
      </w:r>
      <w:r>
        <w:t xml:space="preserve">, WC Docket Nos. 19-195 &amp; 11-10, Public Notice, DA 22-668 (BDTF, WCB, OEA June 23, 2022).   </w:t>
      </w:r>
    </w:p>
  </w:footnote>
  <w:footnote w:id="7">
    <w:p w:rsidR="00B36824" w:rsidRPr="00BF0C73" w:rsidP="00B36824" w14:paraId="5D85547F" w14:textId="089051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Broadband Data Task Force Announces the </w:t>
      </w:r>
      <w:r w:rsidR="0041298B">
        <w:rPr>
          <w:i/>
          <w:iCs/>
        </w:rPr>
        <w:t>Start</w:t>
      </w:r>
      <w:r>
        <w:rPr>
          <w:i/>
          <w:iCs/>
        </w:rPr>
        <w:t xml:space="preserve"> of the Broadband Serviceable Location Fabric</w:t>
      </w:r>
      <w:r w:rsidR="0041298B">
        <w:rPr>
          <w:i/>
          <w:iCs/>
        </w:rPr>
        <w:t xml:space="preserve"> Bulk Challenge Process</w:t>
      </w:r>
      <w:r>
        <w:t>, WC Docket Nos. 19-195 &amp; 11-10, Public Notice, DA 22-</w:t>
      </w:r>
      <w:r w:rsidR="0041298B">
        <w:t>913</w:t>
      </w:r>
      <w:r>
        <w:t xml:space="preserve"> (BDTF, WCB, OEA </w:t>
      </w:r>
      <w:r w:rsidR="0041298B">
        <w:t>Sept. 2</w:t>
      </w:r>
      <w:r>
        <w:t xml:space="preserve">, 2022).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2C12" w14:paraId="6B8B7000" w14:textId="17FEC7ED">
    <w:pPr>
      <w:tabs>
        <w:tab w:val="center" w:pos="4680"/>
        <w:tab w:val="right" w:pos="9360"/>
      </w:tabs>
      <w:rPr>
        <w:b/>
        <w:bCs/>
        <w:highlight w:val="yellow"/>
      </w:rPr>
    </w:pPr>
    <w:r>
      <w:rPr>
        <w:b/>
      </w:rPr>
      <w:tab/>
    </w:r>
    <w:r w:rsidRPr="61A63E4F">
      <w:rPr>
        <w:b/>
        <w:bCs/>
      </w:rPr>
      <w:t>Federal Communications Commission</w:t>
    </w:r>
    <w:r>
      <w:rPr>
        <w:b/>
      </w:rPr>
      <w:tab/>
    </w:r>
    <w:r w:rsidRPr="00441C8B">
      <w:rPr>
        <w:b/>
        <w:bCs/>
      </w:rPr>
      <w:t>DA 22-1</w:t>
    </w:r>
    <w:r w:rsidRPr="00441C8B" w:rsidR="00102E74">
      <w:rPr>
        <w:b/>
        <w:bCs/>
      </w:rPr>
      <w:t>197</w:t>
    </w:r>
  </w:p>
  <w:p w:rsidR="00562C12" w14:paraId="5F54AF4D" w14:textId="57BE6C31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562C12" w14:paraId="4ED60E30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2C12" w14:paraId="0BC25C7B" w14:textId="715772B7">
    <w:pPr>
      <w:pStyle w:val="Header"/>
    </w:pPr>
    <w:r>
      <w:rPr>
        <w:noProof/>
        <w:snapToGrid/>
      </w:rPr>
      <w:drawing>
        <wp:inline distT="0" distB="0" distL="0" distR="0">
          <wp:extent cx="5943600" cy="14249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28"/>
    <w:rsid w:val="00007DD1"/>
    <w:rsid w:val="00013B61"/>
    <w:rsid w:val="000433A4"/>
    <w:rsid w:val="00051596"/>
    <w:rsid w:val="00073BBE"/>
    <w:rsid w:val="00080301"/>
    <w:rsid w:val="000A2F35"/>
    <w:rsid w:val="000A5061"/>
    <w:rsid w:val="000C6261"/>
    <w:rsid w:val="000D3F5D"/>
    <w:rsid w:val="000F179A"/>
    <w:rsid w:val="00102E74"/>
    <w:rsid w:val="00120D80"/>
    <w:rsid w:val="00155E53"/>
    <w:rsid w:val="00161496"/>
    <w:rsid w:val="001A4A67"/>
    <w:rsid w:val="001B7481"/>
    <w:rsid w:val="0023193B"/>
    <w:rsid w:val="002438DD"/>
    <w:rsid w:val="00266FA1"/>
    <w:rsid w:val="002829EB"/>
    <w:rsid w:val="00297730"/>
    <w:rsid w:val="002D2308"/>
    <w:rsid w:val="002F28F9"/>
    <w:rsid w:val="003D6D7C"/>
    <w:rsid w:val="003D8D98"/>
    <w:rsid w:val="0041298B"/>
    <w:rsid w:val="00414CB0"/>
    <w:rsid w:val="00434B25"/>
    <w:rsid w:val="00441C8B"/>
    <w:rsid w:val="004A3393"/>
    <w:rsid w:val="004B07A0"/>
    <w:rsid w:val="004C4875"/>
    <w:rsid w:val="004E67F4"/>
    <w:rsid w:val="004F0F02"/>
    <w:rsid w:val="00536635"/>
    <w:rsid w:val="005557AE"/>
    <w:rsid w:val="00562B40"/>
    <w:rsid w:val="00562C12"/>
    <w:rsid w:val="005F4E78"/>
    <w:rsid w:val="006348AE"/>
    <w:rsid w:val="006543D9"/>
    <w:rsid w:val="00661E71"/>
    <w:rsid w:val="00697A5E"/>
    <w:rsid w:val="00697F0F"/>
    <w:rsid w:val="00711B63"/>
    <w:rsid w:val="00750F1E"/>
    <w:rsid w:val="007944F7"/>
    <w:rsid w:val="007A418F"/>
    <w:rsid w:val="00821080"/>
    <w:rsid w:val="00880D53"/>
    <w:rsid w:val="008C7E0D"/>
    <w:rsid w:val="008D6F1A"/>
    <w:rsid w:val="00914702"/>
    <w:rsid w:val="009462BA"/>
    <w:rsid w:val="009614DC"/>
    <w:rsid w:val="009E2B36"/>
    <w:rsid w:val="00A44D61"/>
    <w:rsid w:val="00A66B9B"/>
    <w:rsid w:val="00A6766F"/>
    <w:rsid w:val="00A81D14"/>
    <w:rsid w:val="00A95BB4"/>
    <w:rsid w:val="00B36824"/>
    <w:rsid w:val="00BD0F21"/>
    <w:rsid w:val="00BF0C73"/>
    <w:rsid w:val="00C14FC9"/>
    <w:rsid w:val="00C162EF"/>
    <w:rsid w:val="00C23F5A"/>
    <w:rsid w:val="00C32D2F"/>
    <w:rsid w:val="00C86E2B"/>
    <w:rsid w:val="00CC37B4"/>
    <w:rsid w:val="00CD7C73"/>
    <w:rsid w:val="00CE24D2"/>
    <w:rsid w:val="00D03EDA"/>
    <w:rsid w:val="00D62F8F"/>
    <w:rsid w:val="00D641D3"/>
    <w:rsid w:val="00D91896"/>
    <w:rsid w:val="00DA7897"/>
    <w:rsid w:val="00DB29EB"/>
    <w:rsid w:val="00DB6B28"/>
    <w:rsid w:val="00E00835"/>
    <w:rsid w:val="00E21271"/>
    <w:rsid w:val="00E73B87"/>
    <w:rsid w:val="00E77F99"/>
    <w:rsid w:val="00E9253B"/>
    <w:rsid w:val="00EA30EF"/>
    <w:rsid w:val="00EA3353"/>
    <w:rsid w:val="00EB6C71"/>
    <w:rsid w:val="00EF6C08"/>
    <w:rsid w:val="00F74893"/>
    <w:rsid w:val="00F76D44"/>
    <w:rsid w:val="00F83E82"/>
    <w:rsid w:val="00F84C61"/>
    <w:rsid w:val="00F921B7"/>
    <w:rsid w:val="00FC0E23"/>
    <w:rsid w:val="00FD5FB7"/>
    <w:rsid w:val="01987597"/>
    <w:rsid w:val="04068604"/>
    <w:rsid w:val="069816F1"/>
    <w:rsid w:val="0E12E506"/>
    <w:rsid w:val="0E3A53DD"/>
    <w:rsid w:val="1171F49F"/>
    <w:rsid w:val="11820621"/>
    <w:rsid w:val="1A65A9C4"/>
    <w:rsid w:val="23D91188"/>
    <w:rsid w:val="2A4757E3"/>
    <w:rsid w:val="2AA5C390"/>
    <w:rsid w:val="2C350DCE"/>
    <w:rsid w:val="2DDD6452"/>
    <w:rsid w:val="36757A5A"/>
    <w:rsid w:val="39499FF1"/>
    <w:rsid w:val="3981D8ED"/>
    <w:rsid w:val="3A8B3F76"/>
    <w:rsid w:val="418C9B5B"/>
    <w:rsid w:val="45B5607E"/>
    <w:rsid w:val="47F331BF"/>
    <w:rsid w:val="48C6F8E6"/>
    <w:rsid w:val="4924FFEC"/>
    <w:rsid w:val="4C34BA00"/>
    <w:rsid w:val="4DD57A3E"/>
    <w:rsid w:val="547C00F7"/>
    <w:rsid w:val="55434CE7"/>
    <w:rsid w:val="5A2EE6A9"/>
    <w:rsid w:val="607B315C"/>
    <w:rsid w:val="61A63E4F"/>
    <w:rsid w:val="61E8D185"/>
    <w:rsid w:val="64349CDA"/>
    <w:rsid w:val="65207247"/>
    <w:rsid w:val="65EA8989"/>
    <w:rsid w:val="65FE9D73"/>
    <w:rsid w:val="66BC42A8"/>
    <w:rsid w:val="6EBC5583"/>
    <w:rsid w:val="74DD6B2F"/>
    <w:rsid w:val="7D0551E7"/>
    <w:rsid w:val="7F3C4E6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1AA1DC4"/>
  <w15:chartTrackingRefBased/>
  <w15:docId w15:val="{17D36857-33FF-4EDE-ADC4-775B63B4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B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link w:val="FootnoteTextChar"/>
    <w:semiHidden/>
    <w:rsid w:val="00DB6B2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B6B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DB6B28"/>
    <w:rPr>
      <w:rFonts w:ascii="Times New Roman" w:hAnsi="Times New Roman"/>
      <w:dstrike w:val="0"/>
      <w:color w:val="auto"/>
      <w:sz w:val="22"/>
      <w:vertAlign w:val="superscript"/>
    </w:rPr>
  </w:style>
  <w:style w:type="paragraph" w:styleId="Header">
    <w:name w:val="header"/>
    <w:basedOn w:val="Normal"/>
    <w:link w:val="HeaderChar"/>
    <w:autoRedefine/>
    <w:rsid w:val="00DB6B28"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character" w:customStyle="1" w:styleId="HeaderChar">
    <w:name w:val="Header Char"/>
    <w:basedOn w:val="DefaultParagraphFont"/>
    <w:link w:val="Header"/>
    <w:rsid w:val="00DB6B28"/>
    <w:rPr>
      <w:rFonts w:ascii="Arial" w:eastAsia="Times New Roman" w:hAnsi="Arial" w:cs="Arial"/>
      <w:b/>
      <w:snapToGrid w:val="0"/>
      <w:kern w:val="28"/>
      <w:sz w:val="96"/>
      <w:szCs w:val="96"/>
    </w:rPr>
  </w:style>
  <w:style w:type="paragraph" w:styleId="Footer">
    <w:name w:val="footer"/>
    <w:basedOn w:val="Normal"/>
    <w:link w:val="FooterChar"/>
    <w:uiPriority w:val="99"/>
    <w:rsid w:val="00DB6B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B28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styleId="Hyperlink">
    <w:name w:val="Hyperlink"/>
    <w:rsid w:val="00DB6B2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B6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6B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6B28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Mention">
    <w:name w:val="Mention"/>
    <w:uiPriority w:val="99"/>
    <w:unhideWhenUsed/>
    <w:rsid w:val="00DB6B28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86E2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3BBE"/>
    <w:pPr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BBE"/>
    <w:rPr>
      <w:rFonts w:ascii="Times New Roman" w:eastAsia="Times New Roman" w:hAnsi="Times New Roman" w:cs="Times New Roman"/>
      <w:b/>
      <w:bCs/>
      <w:snapToGrid w:val="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2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help.bdc.fcc.gov/hc/en-us/articles/10419121200923-How-Entities-Can-Access-the-Location-Fabric-" TargetMode="External" /><Relationship Id="rId6" Type="http://schemas.openxmlformats.org/officeDocument/2006/relationships/hyperlink" Target="https://www.fcc.gov/BroadbandData/resources" TargetMode="External" /><Relationship Id="rId7" Type="http://schemas.openxmlformats.org/officeDocument/2006/relationships/hyperlink" Target="https://www.fcc.gov/BroadbandData" TargetMode="External" /><Relationship Id="rId8" Type="http://schemas.openxmlformats.org/officeDocument/2006/relationships/hyperlink" Target="mailto:anne.veigle@fcc.gov" TargetMode="External" /><Relationship Id="rId9" Type="http://schemas.openxmlformats.org/officeDocument/2006/relationships/header" Target="header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