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77777777">
            <w:pPr>
              <w:ind w:right="-18"/>
              <w:rPr>
                <w:szCs w:val="22"/>
              </w:rPr>
            </w:pPr>
            <w:r w:rsidRPr="00683723">
              <w:rPr>
                <w:szCs w:val="22"/>
              </w:rPr>
              <w:t xml:space="preserve">In re Application of  </w:t>
            </w:r>
          </w:p>
          <w:p w:rsidR="00AE2D78" w:rsidRPr="00683723" w:rsidP="00197841" w14:paraId="4B8E20A0" w14:textId="77777777">
            <w:pPr>
              <w:ind w:right="-18"/>
              <w:rPr>
                <w:szCs w:val="22"/>
              </w:rPr>
            </w:pPr>
          </w:p>
          <w:p w:rsidR="00AE2D78" w:rsidRPr="00683723" w:rsidP="00197841" w14:paraId="2686789D" w14:textId="50C50DDB">
            <w:pPr>
              <w:tabs>
                <w:tab w:val="left" w:pos="0"/>
              </w:tabs>
              <w:suppressAutoHyphens/>
              <w:ind w:left="5040" w:hanging="5040"/>
              <w:rPr>
                <w:bCs/>
                <w:szCs w:val="22"/>
              </w:rPr>
            </w:pPr>
            <w:bookmarkStart w:id="0" w:name="_Hlk119653880"/>
            <w:r>
              <w:rPr>
                <w:bCs/>
                <w:szCs w:val="22"/>
              </w:rPr>
              <w:t>American Network Media Inc.</w:t>
            </w:r>
            <w:bookmarkEnd w:id="0"/>
          </w:p>
          <w:p w:rsidR="00762D8E" w:rsidRPr="00683723" w:rsidP="00197841" w14:paraId="0FCDD463" w14:textId="77777777">
            <w:pPr>
              <w:tabs>
                <w:tab w:val="left" w:pos="0"/>
              </w:tabs>
              <w:suppressAutoHyphens/>
              <w:ind w:left="5040" w:hanging="5040"/>
              <w:rPr>
                <w:szCs w:val="22"/>
              </w:rPr>
            </w:pPr>
          </w:p>
          <w:p w:rsidR="002E35A6" w:rsidP="00471790" w14:paraId="56733260" w14:textId="77777777">
            <w:pPr>
              <w:ind w:right="-18"/>
              <w:rPr>
                <w:szCs w:val="22"/>
              </w:rPr>
            </w:pPr>
            <w:r w:rsidRPr="00683723">
              <w:rPr>
                <w:szCs w:val="22"/>
              </w:rPr>
              <w:t xml:space="preserve">For Renewal of </w:t>
            </w:r>
            <w:r>
              <w:rPr>
                <w:szCs w:val="22"/>
              </w:rPr>
              <w:t xml:space="preserve">License for </w:t>
            </w:r>
          </w:p>
          <w:p w:rsidR="00AE2D78" w:rsidRPr="00B679F1" w:rsidP="00197841" w14:paraId="6A15853A" w14:textId="3A145854">
            <w:pPr>
              <w:ind w:right="-18"/>
              <w:rPr>
                <w:b/>
                <w:szCs w:val="22"/>
              </w:rPr>
            </w:pPr>
            <w:r>
              <w:rPr>
                <w:szCs w:val="22"/>
              </w:rPr>
              <w:t>WNGK-LP, Fort Lauderdale, Florida</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RPr="00683723" w:rsidP="00197841" w14:paraId="2DACACCC" w14:textId="39A93281">
            <w:pPr>
              <w:rPr>
                <w:b/>
                <w:szCs w:val="22"/>
              </w:rPr>
            </w:pPr>
            <w:r w:rsidRPr="00683723">
              <w:rPr>
                <w:b/>
                <w:szCs w:val="22"/>
              </w:rPr>
              <w:t>)</w:t>
            </w:r>
          </w:p>
        </w:tc>
        <w:tc>
          <w:tcPr>
            <w:tcW w:w="4230" w:type="dxa"/>
          </w:tcPr>
          <w:p w:rsidR="00AE2D78" w:rsidRPr="00683723" w:rsidP="00197841" w14:paraId="546DDA16" w14:textId="77777777">
            <w:pPr>
              <w:rPr>
                <w:szCs w:val="22"/>
              </w:rPr>
            </w:pPr>
          </w:p>
          <w:p w:rsidR="00AE2D78" w:rsidRPr="00683723" w:rsidP="00197841" w14:paraId="15545EE1" w14:textId="77777777">
            <w:pPr>
              <w:rPr>
                <w:szCs w:val="22"/>
              </w:rPr>
            </w:pPr>
          </w:p>
          <w:p w:rsidR="00AE2D78" w:rsidRPr="00683723" w:rsidP="00197841" w14:paraId="60C88BE4" w14:textId="56422417">
            <w:pPr>
              <w:rPr>
                <w:szCs w:val="22"/>
              </w:rPr>
            </w:pPr>
            <w:r w:rsidRPr="00683723">
              <w:rPr>
                <w:szCs w:val="22"/>
              </w:rPr>
              <w:t xml:space="preserve">Facility ID No. </w:t>
            </w:r>
            <w:r w:rsidR="002E6993">
              <w:rPr>
                <w:szCs w:val="22"/>
              </w:rPr>
              <w:t>192331</w:t>
            </w:r>
          </w:p>
          <w:p w:rsidR="00AE2D78" w:rsidRPr="00683723" w:rsidP="00197841" w14:paraId="08ABA5D7" w14:textId="24BF04EF">
            <w:pPr>
              <w:rPr>
                <w:szCs w:val="22"/>
              </w:rPr>
            </w:pPr>
            <w:r w:rsidRPr="00683723">
              <w:rPr>
                <w:szCs w:val="22"/>
              </w:rPr>
              <w:t>NAL/Acct. No. MB-</w:t>
            </w:r>
            <w:r w:rsidR="00C26A03">
              <w:t>202241410030</w:t>
            </w:r>
          </w:p>
          <w:p w:rsidR="00AE2D78" w:rsidRPr="00683723" w:rsidP="00197841" w14:paraId="3C05CDD2" w14:textId="1F89CBAD">
            <w:pPr>
              <w:rPr>
                <w:szCs w:val="22"/>
              </w:rPr>
            </w:pPr>
            <w:r w:rsidRPr="00683723">
              <w:rPr>
                <w:szCs w:val="22"/>
              </w:rPr>
              <w:t xml:space="preserve">FRN:  </w:t>
            </w:r>
            <w:r w:rsidR="00F33A59">
              <w:rPr>
                <w:szCs w:val="22"/>
              </w:rPr>
              <w:t>0022962419</w:t>
            </w:r>
          </w:p>
          <w:p w:rsidR="00AE2D78" w:rsidRPr="00683723" w:rsidP="00197841" w14:paraId="45B5CB47" w14:textId="12155EE5">
            <w:pPr>
              <w:rPr>
                <w:szCs w:val="22"/>
              </w:rPr>
            </w:pPr>
            <w:r>
              <w:rPr>
                <w:szCs w:val="22"/>
              </w:rPr>
              <w:t xml:space="preserve">Application </w:t>
            </w:r>
            <w:r w:rsidRPr="00683723" w:rsidR="003C67E5">
              <w:rPr>
                <w:szCs w:val="22"/>
              </w:rPr>
              <w:t>File No</w:t>
            </w:r>
            <w:r w:rsidRPr="00683723" w:rsidR="00762D8E">
              <w:rPr>
                <w:szCs w:val="22"/>
              </w:rPr>
              <w:t xml:space="preserve">. </w:t>
            </w:r>
            <w:r w:rsidR="00F33A59">
              <w:rPr>
                <w:szCs w:val="22"/>
              </w:rPr>
              <w:t>191264</w:t>
            </w: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21584941">
      <w:pPr>
        <w:tabs>
          <w:tab w:val="left" w:pos="5760"/>
        </w:tabs>
        <w:rPr>
          <w:b/>
          <w:szCs w:val="22"/>
        </w:rPr>
      </w:pPr>
      <w:r w:rsidRPr="00683723">
        <w:rPr>
          <w:b/>
          <w:szCs w:val="22"/>
        </w:rPr>
        <w:t xml:space="preserve">Adopted: </w:t>
      </w:r>
      <w:r w:rsidRPr="00683723" w:rsidR="00787F68">
        <w:rPr>
          <w:b/>
          <w:szCs w:val="22"/>
        </w:rPr>
        <w:t xml:space="preserve"> </w:t>
      </w:r>
      <w:r w:rsidR="00DC4C63">
        <w:rPr>
          <w:b/>
          <w:szCs w:val="22"/>
        </w:rPr>
        <w:t>November</w:t>
      </w:r>
      <w:r w:rsidRPr="00683723" w:rsidR="00762D8E">
        <w:rPr>
          <w:b/>
          <w:szCs w:val="22"/>
        </w:rPr>
        <w:t xml:space="preserve"> </w:t>
      </w:r>
      <w:r w:rsidR="00C26A03">
        <w:rPr>
          <w:b/>
          <w:szCs w:val="22"/>
        </w:rPr>
        <w:t>18,</w:t>
      </w:r>
      <w:r w:rsidRPr="00683723" w:rsidR="00787F68">
        <w:rPr>
          <w:b/>
          <w:szCs w:val="22"/>
        </w:rPr>
        <w:t xml:space="preserve"> 202</w:t>
      </w:r>
      <w:r w:rsidR="00DC4C63">
        <w:rPr>
          <w:b/>
          <w:szCs w:val="22"/>
        </w:rPr>
        <w:t>2</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DC4C63">
        <w:rPr>
          <w:b/>
          <w:szCs w:val="22"/>
        </w:rPr>
        <w:t>November</w:t>
      </w:r>
      <w:r w:rsidRPr="00683723" w:rsidR="00762D8E">
        <w:rPr>
          <w:b/>
          <w:szCs w:val="22"/>
        </w:rPr>
        <w:t xml:space="preserve"> </w:t>
      </w:r>
      <w:r w:rsidR="00C26A03">
        <w:rPr>
          <w:b/>
          <w:szCs w:val="22"/>
        </w:rPr>
        <w:t>18,</w:t>
      </w:r>
      <w:r w:rsidRPr="00683723" w:rsidR="003344E3">
        <w:rPr>
          <w:b/>
          <w:szCs w:val="22"/>
        </w:rPr>
        <w:t xml:space="preserve"> 202</w:t>
      </w:r>
      <w:r w:rsidR="00DC4C63">
        <w:rPr>
          <w:b/>
          <w:szCs w:val="22"/>
        </w:rPr>
        <w:t>2</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581D3E" w:rsidRPr="00F03E36" w:rsidP="000A7C12" w14:paraId="3524B4B7" w14:textId="41912D64">
      <w:pPr>
        <w:pStyle w:val="ParaNum"/>
        <w:rPr>
          <w:szCs w:val="22"/>
        </w:rPr>
      </w:pPr>
      <w:r w:rsidRPr="00683723">
        <w:rPr>
          <w:szCs w:val="22"/>
        </w:rPr>
        <w:t xml:space="preserve">The </w:t>
      </w:r>
      <w:r w:rsidRPr="00F03E36">
        <w:rPr>
          <w:szCs w:val="22"/>
        </w:rPr>
        <w:t>Media Bureau (Bureau) has before it the application (Application)</w:t>
      </w:r>
      <w:r>
        <w:rPr>
          <w:rStyle w:val="FootnoteReference"/>
          <w:sz w:val="22"/>
          <w:szCs w:val="22"/>
        </w:rPr>
        <w:footnoteReference w:id="3"/>
      </w:r>
      <w:r w:rsidRPr="00F03E36">
        <w:rPr>
          <w:szCs w:val="22"/>
        </w:rPr>
        <w:t xml:space="preserve"> of </w:t>
      </w:r>
      <w:r w:rsidR="00CE7532">
        <w:rPr>
          <w:szCs w:val="22"/>
        </w:rPr>
        <w:t>American Network Media</w:t>
      </w:r>
      <w:r w:rsidR="00D8049E">
        <w:rPr>
          <w:szCs w:val="22"/>
        </w:rPr>
        <w:t xml:space="preserve"> Inc.</w:t>
      </w:r>
      <w:r w:rsidRPr="00F03E36" w:rsidR="00573FFC">
        <w:rPr>
          <w:szCs w:val="22"/>
        </w:rPr>
        <w:t xml:space="preserve"> </w:t>
      </w:r>
      <w:r w:rsidRPr="00F03E36">
        <w:rPr>
          <w:szCs w:val="22"/>
        </w:rPr>
        <w:t xml:space="preserve">(Licensee) for renewal of its license </w:t>
      </w:r>
      <w:r w:rsidR="00390B9C">
        <w:rPr>
          <w:szCs w:val="22"/>
        </w:rPr>
        <w:t xml:space="preserve">for </w:t>
      </w:r>
      <w:r w:rsidR="00CE7532">
        <w:rPr>
          <w:szCs w:val="22"/>
        </w:rPr>
        <w:t>WNGK-LP, Fort Lauderdale, Florida</w:t>
      </w:r>
      <w:r w:rsidRPr="00F03E36">
        <w:rPr>
          <w:szCs w:val="22"/>
        </w:rPr>
        <w:t xml:space="preserve"> (Station).  In this </w:t>
      </w:r>
      <w:r w:rsidRPr="00F03E36">
        <w:rPr>
          <w:i/>
          <w:iCs/>
          <w:szCs w:val="22"/>
        </w:rPr>
        <w:t>Memorandum Opinion and Order and Notice of Apparent Liability for Forfeiture</w:t>
      </w:r>
      <w:r w:rsidRPr="00F03E36">
        <w:rPr>
          <w:szCs w:val="22"/>
        </w:rPr>
        <w:t xml:space="preserve"> (</w:t>
      </w:r>
      <w:r w:rsidRPr="00F03E36">
        <w:rPr>
          <w:i/>
          <w:iCs/>
          <w:szCs w:val="22"/>
        </w:rPr>
        <w:t>NAL</w:t>
      </w:r>
      <w:r w:rsidRPr="00F03E36">
        <w:rPr>
          <w:szCs w:val="22"/>
        </w:rPr>
        <w:t>)</w:t>
      </w:r>
      <w:r w:rsidRPr="00F03E36" w:rsidR="003364B8">
        <w:rPr>
          <w:szCs w:val="22"/>
        </w:rPr>
        <w:t>,</w:t>
      </w:r>
      <w:r>
        <w:rPr>
          <w:rStyle w:val="FootnoteReference"/>
          <w:sz w:val="22"/>
          <w:szCs w:val="22"/>
        </w:rPr>
        <w:footnoteReference w:id="4"/>
      </w:r>
      <w:r w:rsidRPr="00F03E36">
        <w:rPr>
          <w:szCs w:val="22"/>
        </w:rPr>
        <w:t xml:space="preserve"> we find </w:t>
      </w:r>
      <w:r w:rsidRPr="00F03E36" w:rsidR="003364B8">
        <w:rPr>
          <w:szCs w:val="22"/>
        </w:rPr>
        <w:t>the</w:t>
      </w:r>
      <w:r w:rsidRPr="00F03E36">
        <w:rPr>
          <w:szCs w:val="22"/>
        </w:rPr>
        <w:t xml:space="preserve"> Licensee apparently </w:t>
      </w:r>
      <w:r w:rsidRPr="00683723" w:rsidR="0000095C">
        <w:rPr>
          <w:szCs w:val="22"/>
        </w:rPr>
        <w:t>willfully violated section 73.3539 of the Commission’s Rules (Rules)</w:t>
      </w:r>
      <w:r>
        <w:rPr>
          <w:rStyle w:val="FootnoteReference"/>
          <w:sz w:val="22"/>
          <w:szCs w:val="22"/>
        </w:rPr>
        <w:footnoteReference w:id="5"/>
      </w:r>
      <w:r w:rsidRPr="00683723" w:rsidR="0000095C">
        <w:rPr>
          <w:szCs w:val="22"/>
        </w:rPr>
        <w:t xml:space="preserve"> by failing to timely file </w:t>
      </w:r>
      <w:r w:rsidR="00433D95">
        <w:rPr>
          <w:szCs w:val="22"/>
        </w:rPr>
        <w:t>the Application</w:t>
      </w:r>
      <w:r w:rsidRPr="00683723" w:rsidR="0000095C">
        <w:rPr>
          <w:szCs w:val="22"/>
        </w:rPr>
        <w:t>.  Based upon our review of the facts and circumstances befor</w:t>
      </w:r>
      <w:r w:rsidRPr="005C3464" w:rsidR="0000095C">
        <w:rPr>
          <w:szCs w:val="22"/>
        </w:rPr>
        <w:t xml:space="preserve">e us, we conclude that the Licensee is apparently liable for a monetary forfeiture in the amount of </w:t>
      </w:r>
      <w:r w:rsidR="002967C7">
        <w:rPr>
          <w:szCs w:val="22"/>
        </w:rPr>
        <w:t>one</w:t>
      </w:r>
      <w:r w:rsidRPr="005C3464" w:rsidR="0000095C">
        <w:rPr>
          <w:szCs w:val="22"/>
        </w:rPr>
        <w:t xml:space="preserve"> thousand </w:t>
      </w:r>
      <w:r w:rsidR="002967C7">
        <w:rPr>
          <w:szCs w:val="22"/>
        </w:rPr>
        <w:t xml:space="preserve">five hundred </w:t>
      </w:r>
      <w:r w:rsidRPr="005C3464" w:rsidR="0000095C">
        <w:rPr>
          <w:szCs w:val="22"/>
        </w:rPr>
        <w:t>dollars ($</w:t>
      </w:r>
      <w:r w:rsidR="00CE7532">
        <w:rPr>
          <w:szCs w:val="22"/>
        </w:rPr>
        <w:t>1</w:t>
      </w:r>
      <w:r w:rsidRPr="005C3464" w:rsidR="0000095C">
        <w:rPr>
          <w:szCs w:val="22"/>
        </w:rPr>
        <w:t>,</w:t>
      </w:r>
      <w:r w:rsidR="00CE7532">
        <w:rPr>
          <w:szCs w:val="22"/>
        </w:rPr>
        <w:t>5</w:t>
      </w:r>
      <w:r w:rsidRPr="005C3464" w:rsidR="0000095C">
        <w:rPr>
          <w:szCs w:val="22"/>
        </w:rPr>
        <w:t>00)</w:t>
      </w:r>
      <w:r w:rsidRPr="005C3464">
        <w:rPr>
          <w:szCs w:val="22"/>
        </w:rPr>
        <w:t>.</w:t>
      </w:r>
      <w:r w:rsidRPr="00F03E36">
        <w:rPr>
          <w:szCs w:val="22"/>
        </w:rPr>
        <w:t xml:space="preserve">  </w:t>
      </w:r>
    </w:p>
    <w:p w:rsidR="00AE2D78" w:rsidRPr="00683723" w:rsidP="00573FFC" w14:paraId="5C359F4E" w14:textId="77777777">
      <w:pPr>
        <w:pStyle w:val="Heading1"/>
        <w:rPr>
          <w:rFonts w:ascii="Times New Roman" w:hAnsi="Times New Roman"/>
          <w:szCs w:val="22"/>
        </w:rPr>
      </w:pPr>
      <w:r w:rsidRPr="00683723">
        <w:rPr>
          <w:rFonts w:ascii="Times New Roman" w:hAnsi="Times New Roman"/>
          <w:szCs w:val="22"/>
        </w:rPr>
        <w:t>BACKGROUND</w:t>
      </w:r>
    </w:p>
    <w:p w:rsidR="003364B8" w:rsidRPr="00EE54B4" w:rsidP="000A7C12" w14:paraId="650D9165" w14:textId="698354E1">
      <w:pPr>
        <w:pStyle w:val="ParaNum"/>
        <w:widowControl/>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6"/>
      </w:r>
      <w:r w:rsidRPr="00683723">
        <w:rPr>
          <w:szCs w:val="22"/>
        </w:rPr>
        <w:t xml:space="preserve">  An application for renewal of the Station’s license should have been filed by </w:t>
      </w:r>
      <w:r w:rsidR="00006679">
        <w:rPr>
          <w:szCs w:val="22"/>
        </w:rPr>
        <w:t xml:space="preserve">December </w:t>
      </w:r>
      <w:r w:rsidR="00EE54B4">
        <w:rPr>
          <w:szCs w:val="22"/>
        </w:rPr>
        <w:t>1</w:t>
      </w:r>
      <w:r w:rsidR="00006679">
        <w:rPr>
          <w:szCs w:val="22"/>
        </w:rPr>
        <w:t>, 2020</w:t>
      </w:r>
      <w:r w:rsidRPr="00683723">
        <w:rPr>
          <w:szCs w:val="22"/>
        </w:rPr>
        <w:t xml:space="preserve">, the first day of the fourth full calendar month prior to the Station’s license expiration date of </w:t>
      </w:r>
      <w:r w:rsidR="00A26FDB">
        <w:rPr>
          <w:szCs w:val="22"/>
        </w:rPr>
        <w:t>April 2, 2021</w:t>
      </w:r>
      <w:r w:rsidRPr="00683723">
        <w:rPr>
          <w:szCs w:val="22"/>
        </w:rPr>
        <w:t>.</w:t>
      </w:r>
      <w:r>
        <w:rPr>
          <w:rStyle w:val="FootnoteReference"/>
          <w:sz w:val="22"/>
          <w:szCs w:val="22"/>
        </w:rPr>
        <w:footnoteReference w:id="7"/>
      </w:r>
      <w:r w:rsidRPr="00683723">
        <w:rPr>
          <w:szCs w:val="22"/>
        </w:rPr>
        <w:t xml:space="preserve">  </w:t>
      </w:r>
      <w:r w:rsidR="00F9558D">
        <w:rPr>
          <w:szCs w:val="22"/>
        </w:rPr>
        <w:t>The</w:t>
      </w:r>
      <w:r w:rsidRPr="00EE54B4" w:rsidR="0053298C">
        <w:rPr>
          <w:szCs w:val="22"/>
        </w:rPr>
        <w:t xml:space="preserve"> Application</w:t>
      </w:r>
      <w:r w:rsidRPr="00EE54B4" w:rsidR="00712A98">
        <w:rPr>
          <w:szCs w:val="22"/>
        </w:rPr>
        <w:t xml:space="preserve"> </w:t>
      </w:r>
      <w:r w:rsidR="00F9558D">
        <w:rPr>
          <w:szCs w:val="22"/>
        </w:rPr>
        <w:t xml:space="preserve">was not filed </w:t>
      </w:r>
      <w:r w:rsidRPr="00EE54B4" w:rsidR="0053298C">
        <w:rPr>
          <w:szCs w:val="22"/>
        </w:rPr>
        <w:t xml:space="preserve">until </w:t>
      </w:r>
      <w:r w:rsidRPr="00EE54B4" w:rsidR="00A26FDB">
        <w:rPr>
          <w:szCs w:val="22"/>
        </w:rPr>
        <w:t>May 20, 2022</w:t>
      </w:r>
      <w:r w:rsidRPr="00EE54B4" w:rsidR="00541385">
        <w:rPr>
          <w:szCs w:val="22"/>
        </w:rPr>
        <w:t>.</w:t>
      </w:r>
      <w:r>
        <w:rPr>
          <w:rStyle w:val="FootnoteReference"/>
          <w:szCs w:val="22"/>
        </w:rPr>
        <w:footnoteReference w:id="8"/>
      </w:r>
      <w:r w:rsidRPr="00EE54B4" w:rsidR="00541385">
        <w:rPr>
          <w:szCs w:val="22"/>
        </w:rPr>
        <w:t xml:space="preserve">  </w:t>
      </w:r>
      <w:r w:rsidR="00F9558D">
        <w:t>The Licensee provides no explanation for the untimely filing.</w:t>
      </w:r>
    </w:p>
    <w:p w:rsidR="00581D3E" w:rsidRPr="00683723" w:rsidP="00406A52" w14:paraId="548FAE66" w14:textId="77777777">
      <w:pPr>
        <w:pStyle w:val="Heading1"/>
        <w:rPr>
          <w:rFonts w:ascii="Times New Roman" w:hAnsi="Times New Roman"/>
          <w:szCs w:val="22"/>
        </w:rPr>
      </w:pPr>
      <w:r w:rsidRPr="00683723">
        <w:rPr>
          <w:rFonts w:ascii="Times New Roman" w:hAnsi="Times New Roman"/>
          <w:szCs w:val="22"/>
        </w:rPr>
        <w:t>DISCUSSION</w:t>
      </w:r>
    </w:p>
    <w:p w:rsidR="00406A52" w:rsidRPr="00683723" w:rsidP="000A7C12" w14:paraId="27226FAC" w14:textId="27A9EDCC">
      <w:pPr>
        <w:pStyle w:val="ParaNum"/>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w:t>
      </w:r>
      <w:r w:rsidR="006E7EB5">
        <w:rPr>
          <w:rFonts w:eastAsia="SimSun"/>
          <w:szCs w:val="22"/>
        </w:rPr>
        <w:t xml:space="preserve">Communications </w:t>
      </w:r>
      <w:r w:rsidRPr="00683723">
        <w:rPr>
          <w:rFonts w:eastAsia="SimSun"/>
          <w:szCs w:val="22"/>
        </w:rPr>
        <w:t>Act</w:t>
      </w:r>
      <w:r w:rsidR="006E7EB5">
        <w:rPr>
          <w:rFonts w:eastAsia="SimSun"/>
          <w:szCs w:val="22"/>
        </w:rPr>
        <w:t xml:space="preserve"> of 1934, as amended</w:t>
      </w:r>
      <w:r w:rsidR="00C53E1F">
        <w:rPr>
          <w:rFonts w:eastAsia="SimSun"/>
          <w:szCs w:val="22"/>
        </w:rPr>
        <w:t xml:space="preserve"> (Act)</w:t>
      </w:r>
      <w:r w:rsidRPr="00683723">
        <w:rPr>
          <w:rFonts w:eastAsia="SimSun"/>
          <w:szCs w:val="22"/>
        </w:rPr>
        <w: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9"/>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10"/>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11"/>
      </w:r>
      <w:r w:rsidRPr="00683723">
        <w:rPr>
          <w:rFonts w:eastAsia="SimSun"/>
          <w:szCs w:val="22"/>
        </w:rPr>
        <w:t xml:space="preserve"> and the Commission has so interpreted the term in the section 503(b) context.</w:t>
      </w:r>
      <w:r>
        <w:rPr>
          <w:rFonts w:eastAsia="SimSun"/>
          <w:szCs w:val="22"/>
          <w:vertAlign w:val="superscript"/>
        </w:rPr>
        <w:footnoteReference w:id="12"/>
      </w:r>
      <w:r w:rsidRPr="00683723" w:rsidR="001E307A">
        <w:rPr>
          <w:rFonts w:eastAsia="SimSun"/>
          <w:szCs w:val="22"/>
        </w:rPr>
        <w:t xml:space="preserve">  </w:t>
      </w:r>
      <w:r w:rsidRPr="00683723" w:rsidR="001E307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13"/>
      </w:r>
      <w:r w:rsidRPr="00683723" w:rsidR="001E307A">
        <w:rPr>
          <w:szCs w:val="22"/>
        </w:rPr>
        <w:t xml:space="preserve">  </w:t>
      </w:r>
    </w:p>
    <w:p w:rsidR="001E307A" w:rsidRPr="00683723" w:rsidP="000A7C12" w14:paraId="6F22F38C" w14:textId="551FF5E3">
      <w:pPr>
        <w:pStyle w:val="ParaNum"/>
        <w:widowControl/>
        <w:rPr>
          <w:szCs w:val="22"/>
        </w:rPr>
      </w:pPr>
      <w:r w:rsidRPr="00683723">
        <w:rPr>
          <w:szCs w:val="22"/>
        </w:rPr>
        <w:t xml:space="preserve">The Commission’s </w:t>
      </w:r>
      <w:r w:rsidRPr="00032D22">
        <w:rPr>
          <w:i/>
          <w:iCs/>
          <w:szCs w:val="22"/>
        </w:rPr>
        <w:t>Forfeiture Policy Statement</w:t>
      </w:r>
      <w:r w:rsidRPr="00683723">
        <w:rPr>
          <w:szCs w:val="22"/>
        </w:rPr>
        <w:t xml:space="preserve"> and section 1.80(b)(</w:t>
      </w:r>
      <w:r w:rsidR="00A811FA">
        <w:rPr>
          <w:szCs w:val="22"/>
        </w:rPr>
        <w:t>10</w:t>
      </w:r>
      <w:r w:rsidRPr="00683723">
        <w:rPr>
          <w:szCs w:val="22"/>
        </w:rPr>
        <w:t>) of the Rules establish a base forfeiture amount of $3,000 for the failure to timely file a required form.</w:t>
      </w:r>
      <w:r>
        <w:rPr>
          <w:rStyle w:val="FootnoteReference"/>
          <w:sz w:val="22"/>
          <w:szCs w:val="22"/>
        </w:rPr>
        <w:footnoteReference w:id="14"/>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and gravity of the violation, and, with respect to the violator, the degree of culpability, any history of prior offenses, ability to pay, and such other matters as justice may require.”</w:t>
      </w:r>
      <w:r w:rsidRPr="00683723">
        <w:rPr>
          <w:rStyle w:val="FootnoteReference"/>
          <w:sz w:val="22"/>
          <w:szCs w:val="22"/>
        </w:rPr>
        <w:t xml:space="preserve"> </w:t>
      </w:r>
      <w:r>
        <w:rPr>
          <w:rStyle w:val="FootnoteReference"/>
          <w:sz w:val="22"/>
          <w:szCs w:val="22"/>
        </w:rPr>
        <w:footnoteReference w:id="15"/>
      </w:r>
    </w:p>
    <w:p w:rsidR="00AE2D78" w:rsidRPr="000A726E" w:rsidP="000A7C12" w14:paraId="5AAA1DCA" w14:textId="69531F6E">
      <w:pPr>
        <w:pStyle w:val="ParaNum"/>
        <w:rPr>
          <w:szCs w:val="22"/>
        </w:rPr>
      </w:pPr>
      <w:r w:rsidRPr="00683723">
        <w:rPr>
          <w:szCs w:val="22"/>
        </w:rPr>
        <w:t xml:space="preserve">In this case, </w:t>
      </w:r>
      <w:r w:rsidRPr="00683723" w:rsidR="001E307A">
        <w:rPr>
          <w:szCs w:val="22"/>
        </w:rPr>
        <w:t xml:space="preserve">the </w:t>
      </w:r>
      <w:r w:rsidRPr="00683723">
        <w:rPr>
          <w:szCs w:val="22"/>
        </w:rPr>
        <w:t xml:space="preserve">Licensee failed to </w:t>
      </w:r>
      <w:r w:rsidR="00650B53">
        <w:rPr>
          <w:szCs w:val="22"/>
        </w:rPr>
        <w:t xml:space="preserve">timely </w:t>
      </w:r>
      <w:r w:rsidRPr="00683723">
        <w:rPr>
          <w:szCs w:val="22"/>
        </w:rPr>
        <w:t xml:space="preserve">file a license renewal application for </w:t>
      </w:r>
      <w:r w:rsidRPr="00683723" w:rsidR="001E307A">
        <w:rPr>
          <w:szCs w:val="22"/>
        </w:rPr>
        <w:t>the Station</w:t>
      </w:r>
      <w:r w:rsidRPr="00683723">
        <w:rPr>
          <w:szCs w:val="22"/>
        </w:rPr>
        <w:t>, as required by section 73.3539</w:t>
      </w:r>
      <w:r w:rsidR="00650B53">
        <w:rPr>
          <w:szCs w:val="22"/>
        </w:rPr>
        <w:t>(a)</w:t>
      </w:r>
      <w:r w:rsidRPr="00683723">
        <w:rPr>
          <w:szCs w:val="22"/>
        </w:rPr>
        <w:t xml:space="preserve"> of the Rules.  </w:t>
      </w:r>
      <w:r w:rsidRPr="000A726E">
        <w:rPr>
          <w:szCs w:val="22"/>
        </w:rPr>
        <w:t xml:space="preserve">Taking into consideration all of the factors </w:t>
      </w:r>
      <w:r w:rsidRPr="000A726E">
        <w:rPr>
          <w:szCs w:val="22"/>
        </w:rPr>
        <w:t xml:space="preserve">required by section 503(b)(2)(E) of the Act and the </w:t>
      </w:r>
      <w:r w:rsidRPr="000A726E">
        <w:rPr>
          <w:rStyle w:val="Emphasis"/>
          <w:szCs w:val="22"/>
        </w:rPr>
        <w:t>Forfeiture Policy Statement</w:t>
      </w:r>
      <w:r w:rsidRPr="000A726E">
        <w:rPr>
          <w:szCs w:val="22"/>
        </w:rPr>
        <w:t xml:space="preserve">, we propose </w:t>
      </w:r>
      <w:r w:rsidR="00C631C0">
        <w:rPr>
          <w:szCs w:val="22"/>
        </w:rPr>
        <w:t>a forfeiture in the amount of one thousand five hundred dollars</w:t>
      </w:r>
      <w:r w:rsidRPr="0022190A" w:rsidR="001E307A">
        <w:rPr>
          <w:szCs w:val="22"/>
        </w:rPr>
        <w:t xml:space="preserve"> </w:t>
      </w:r>
      <w:r w:rsidR="00C631C0">
        <w:rPr>
          <w:szCs w:val="22"/>
        </w:rPr>
        <w:t>(</w:t>
      </w:r>
      <w:r w:rsidRPr="0022190A" w:rsidR="001E307A">
        <w:rPr>
          <w:szCs w:val="22"/>
        </w:rPr>
        <w:t>$</w:t>
      </w:r>
      <w:r w:rsidR="00C631C0">
        <w:rPr>
          <w:szCs w:val="22"/>
        </w:rPr>
        <w:t>1</w:t>
      </w:r>
      <w:r w:rsidRPr="0022190A" w:rsidR="001E307A">
        <w:rPr>
          <w:szCs w:val="22"/>
        </w:rPr>
        <w:t>,</w:t>
      </w:r>
      <w:r w:rsidR="00C631C0">
        <w:rPr>
          <w:szCs w:val="22"/>
        </w:rPr>
        <w:t>5</w:t>
      </w:r>
      <w:r w:rsidRPr="0022190A" w:rsidR="00481DD0">
        <w:rPr>
          <w:szCs w:val="22"/>
        </w:rPr>
        <w:t>0</w:t>
      </w:r>
      <w:r w:rsidRPr="0022190A" w:rsidR="001E307A">
        <w:rPr>
          <w:szCs w:val="22"/>
        </w:rPr>
        <w:t>0</w:t>
      </w:r>
      <w:r w:rsidR="00C631C0">
        <w:rPr>
          <w:szCs w:val="22"/>
        </w:rPr>
        <w:t xml:space="preserve">) </w:t>
      </w:r>
      <w:r w:rsidRPr="000A726E">
        <w:rPr>
          <w:szCs w:val="22"/>
        </w:rPr>
        <w:t>for the failure to file a timely renewal application</w:t>
      </w:r>
      <w:r w:rsidR="000A726E">
        <w:rPr>
          <w:szCs w:val="22"/>
        </w:rPr>
        <w:t>.</w:t>
      </w:r>
      <w:r w:rsidRPr="000A726E">
        <w:rPr>
          <w:szCs w:val="22"/>
        </w:rPr>
        <w:t xml:space="preserve">  </w:t>
      </w:r>
    </w:p>
    <w:p w:rsidR="00AE2D78" w:rsidRPr="00683723" w:rsidP="000A7C12" w14:paraId="4B45A4B3" w14:textId="77777777">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16"/>
      </w:r>
      <w:r w:rsidRPr="00683723" w:rsidR="00A7120F">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17"/>
      </w:r>
      <w:r w:rsidRPr="00683723" w:rsidR="00A7120F">
        <w:rPr>
          <w:szCs w:val="22"/>
        </w:rPr>
        <w:t xml:space="preserve"> </w:t>
      </w:r>
      <w:r w:rsidRPr="00683723" w:rsidR="00A7120F">
        <w:rPr>
          <w:i/>
          <w:szCs w:val="22"/>
        </w:rPr>
        <w:t xml:space="preserve"> </w:t>
      </w:r>
      <w:r w:rsidRPr="00683723" w:rsidR="00A7120F">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18"/>
      </w:r>
    </w:p>
    <w:p w:rsidR="00A7120F" w:rsidRPr="00683723" w:rsidP="000A7C12" w14:paraId="3D5145C4" w14:textId="096926E5">
      <w:pPr>
        <w:pStyle w:val="ParaNum"/>
        <w:rPr>
          <w:szCs w:val="22"/>
        </w:rPr>
      </w:pPr>
      <w:r w:rsidRPr="00683723">
        <w:rPr>
          <w:szCs w:val="22"/>
        </w:rPr>
        <w:t xml:space="preserve">We find that the Licensee’s apparent violation of section 73.3539 of the Rules </w:t>
      </w:r>
      <w:r w:rsidR="00D31C28">
        <w:rPr>
          <w:szCs w:val="22"/>
        </w:rPr>
        <w:t>does</w:t>
      </w:r>
      <w:r w:rsidRPr="00683723">
        <w:rPr>
          <w:szCs w:val="22"/>
        </w:rPr>
        <w:t xml:space="preserve"> not constitute </w:t>
      </w:r>
      <w:r w:rsidR="00325D61">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9"/>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the apparent violation</w:t>
      </w:r>
      <w:r w:rsidR="00C631C0">
        <w:rPr>
          <w:szCs w:val="22"/>
        </w:rPr>
        <w:t xml:space="preserve"> </w:t>
      </w:r>
      <w:r w:rsidRPr="00683723">
        <w:rPr>
          <w:szCs w:val="22"/>
        </w:rPr>
        <w:t>that would preclude grant of the Application.</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0A7C12" w14:paraId="5EFA09E3" w14:textId="309E6786">
      <w:pPr>
        <w:pStyle w:val="ParaNum"/>
        <w:rPr>
          <w:szCs w:val="22"/>
        </w:rPr>
      </w:pPr>
      <w:r w:rsidRPr="00683723">
        <w:rPr>
          <w:szCs w:val="22"/>
        </w:rPr>
        <w:t xml:space="preserve">Accordingly, </w:t>
      </w:r>
      <w:r w:rsidRPr="00683723">
        <w:rPr>
          <w:b/>
          <w:bCs/>
          <w:szCs w:val="22"/>
        </w:rPr>
        <w:t>IT IS ORDERED</w:t>
      </w:r>
      <w:r w:rsidRPr="00683723">
        <w:rPr>
          <w:szCs w:val="22"/>
        </w:rPr>
        <w:t xml:space="preserve">, pursuant to </w:t>
      </w:r>
      <w:r w:rsidRPr="008C0C80">
        <w:rPr>
          <w:szCs w:val="22"/>
        </w:rPr>
        <w:t xml:space="preserve">section 503(b) of the Communications Act of 1934, as amended, and section 1.80 of the FCC’s rules, </w:t>
      </w:r>
      <w:r w:rsidRPr="00453FF1">
        <w:rPr>
          <w:szCs w:val="22"/>
        </w:rPr>
        <w:t>that</w:t>
      </w:r>
      <w:r w:rsidRPr="00453FF1" w:rsidR="00A7120F">
        <w:rPr>
          <w:szCs w:val="22"/>
        </w:rPr>
        <w:t xml:space="preserve"> </w:t>
      </w:r>
      <w:r w:rsidR="00C631C0">
        <w:rPr>
          <w:szCs w:val="22"/>
        </w:rPr>
        <w:t>American Media Network In</w:t>
      </w:r>
      <w:r w:rsidR="00D26308">
        <w:rPr>
          <w:szCs w:val="22"/>
        </w:rPr>
        <w:t>c.</w:t>
      </w:r>
      <w:r w:rsidRPr="00453FF1" w:rsidR="00FF108E">
        <w:rPr>
          <w:szCs w:val="22"/>
        </w:rPr>
        <w:t xml:space="preserve">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00D26308">
        <w:rPr>
          <w:szCs w:val="22"/>
        </w:rPr>
        <w:t>one</w:t>
      </w:r>
      <w:r w:rsidRPr="00453FF1" w:rsidR="00A7120F">
        <w:rPr>
          <w:szCs w:val="22"/>
        </w:rPr>
        <w:t xml:space="preserve"> thousand </w:t>
      </w:r>
      <w:r w:rsidR="00F9325F">
        <w:rPr>
          <w:szCs w:val="22"/>
        </w:rPr>
        <w:t>f</w:t>
      </w:r>
      <w:r w:rsidR="00D26308">
        <w:rPr>
          <w:szCs w:val="22"/>
        </w:rPr>
        <w:t xml:space="preserve">ive hundred </w:t>
      </w:r>
      <w:r w:rsidRPr="00453FF1">
        <w:rPr>
          <w:szCs w:val="22"/>
        </w:rPr>
        <w:t>dollars (</w:t>
      </w:r>
      <w:r w:rsidRPr="00453FF1" w:rsidR="008C0C80">
        <w:rPr>
          <w:szCs w:val="22"/>
        </w:rPr>
        <w:t>$</w:t>
      </w:r>
      <w:r w:rsidR="00D26308">
        <w:rPr>
          <w:szCs w:val="22"/>
        </w:rPr>
        <w:t>1</w:t>
      </w:r>
      <w:r w:rsidRPr="00453FF1" w:rsidR="008C0C80">
        <w:rPr>
          <w:szCs w:val="22"/>
        </w:rPr>
        <w:t>,</w:t>
      </w:r>
      <w:r w:rsidR="00D26308">
        <w:rPr>
          <w:szCs w:val="22"/>
        </w:rPr>
        <w:t>5</w:t>
      </w:r>
      <w:r w:rsidRPr="00453FF1">
        <w:rPr>
          <w:szCs w:val="22"/>
        </w:rPr>
        <w:t>00) for</w:t>
      </w:r>
      <w:r w:rsidRPr="00683723">
        <w:rPr>
          <w:szCs w:val="22"/>
        </w:rPr>
        <w:t xml:space="preserve"> its apparent willful violation of section 73.3539 of the</w:t>
      </w:r>
      <w:r w:rsidR="000437E9">
        <w:rPr>
          <w:szCs w:val="22"/>
        </w:rPr>
        <w:t xml:space="preserve"> FCC’s</w:t>
      </w:r>
      <w:r w:rsidRPr="00683723">
        <w:rPr>
          <w:szCs w:val="22"/>
        </w:rPr>
        <w:t xml:space="preserve"> </w:t>
      </w:r>
      <w:r w:rsidR="001B52E5">
        <w:rPr>
          <w:szCs w:val="22"/>
        </w:rPr>
        <w:t>r</w:t>
      </w:r>
      <w:r w:rsidRPr="00683723">
        <w:rPr>
          <w:szCs w:val="22"/>
        </w:rPr>
        <w:t xml:space="preserve">ules. </w:t>
      </w:r>
    </w:p>
    <w:p w:rsidR="00AE2D78" w:rsidP="000A7C12" w14:paraId="395A452C" w14:textId="0A3FD2A6">
      <w:pPr>
        <w:pStyle w:val="ParaNum"/>
        <w:rPr>
          <w:szCs w:val="22"/>
        </w:rPr>
      </w:pPr>
      <w:r w:rsidRPr="00683723">
        <w:rPr>
          <w:b/>
          <w:bCs/>
          <w:szCs w:val="22"/>
        </w:rPr>
        <w:t>IT IS FURTHER ORDERED</w:t>
      </w:r>
      <w:r w:rsidRPr="00683723">
        <w:rPr>
          <w:szCs w:val="22"/>
        </w:rPr>
        <w:t xml:space="preserve">, pursuant to section 1.80 of the </w:t>
      </w:r>
      <w:r w:rsidR="001B52E5">
        <w:rPr>
          <w:szCs w:val="22"/>
        </w:rPr>
        <w:t xml:space="preserve">FCC’s </w:t>
      </w:r>
      <w:r w:rsidRPr="00683723">
        <w:rPr>
          <w:szCs w:val="22"/>
        </w:rPr>
        <w:t xml:space="preserve">Rules, that, within thirty (30) days of the release date of this </w:t>
      </w:r>
      <w:r w:rsidRPr="00683723">
        <w:rPr>
          <w:i/>
          <w:szCs w:val="22"/>
        </w:rPr>
        <w:t xml:space="preserve">NAL, </w:t>
      </w:r>
      <w:r w:rsidR="00D26308">
        <w:rPr>
          <w:szCs w:val="22"/>
        </w:rPr>
        <w:t>American Media Network Inc.</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proposed forfeiture.</w:t>
      </w:r>
    </w:p>
    <w:p w:rsidR="008561FC" w:rsidRPr="00503655" w:rsidP="000A7C12" w14:paraId="56C1996F" w14:textId="77777777">
      <w:pPr>
        <w:pStyle w:val="ParaNum"/>
        <w:rPr>
          <w:szCs w:val="22"/>
        </w:rPr>
      </w:pPr>
      <w:r w:rsidRPr="00503655">
        <w:rPr>
          <w:szCs w:val="22"/>
        </w:rPr>
        <w:t xml:space="preserve">Payment of the forfeiture must be made by credit card, ACH (Automated Clearing House) debit from a bank account using CORES (the Commission’s online payment system),  or by wire transfer.  Payments by check or money order to pay a forfeiture are no longer accepted.  Below are instructions that payors should follow based on the form of payment selected:  </w:t>
      </w:r>
    </w:p>
    <w:p w:rsidR="008561FC" w:rsidRPr="00767221" w:rsidP="008561FC" w14:paraId="5C2813DC" w14:textId="77777777">
      <w:pPr>
        <w:pStyle w:val="ListParagraph"/>
        <w:numPr>
          <w:ilvl w:val="0"/>
          <w:numId w:val="14"/>
        </w:numPr>
        <w:ind w:left="1080"/>
        <w:rPr>
          <w:szCs w:val="22"/>
        </w:rPr>
      </w:pPr>
      <w:r w:rsidRPr="00503655">
        <w:t xml:space="preserve">Payment by wire transfer must be made to ABA Number 021030004, receiving bank TREAS/NYC, and Account Number 27000001.  A completed Form 159 must be faxed to the Federal Communications Commission at 202-418-2843 or e-mailed to </w:t>
      </w:r>
      <w:r w:rsidRPr="00503655">
        <w:t xml:space="preserve">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5" w:history="1">
        <w:r w:rsidRPr="004B691C">
          <w:rPr>
            <w:rStyle w:val="Hyperlink"/>
          </w:rPr>
          <w:t>https://www.fcc.gov/licensing-databases/fees/wire-transfer</w:t>
        </w:r>
      </w:hyperlink>
      <w:r w:rsidRPr="00503655">
        <w:t>.</w:t>
      </w:r>
      <w:r>
        <w:br/>
      </w:r>
    </w:p>
    <w:p w:rsidR="008561FC" w:rsidP="008561FC" w14:paraId="088EC547" w14:textId="77777777">
      <w:pPr>
        <w:pStyle w:val="ListParagraph"/>
        <w:numPr>
          <w:ilvl w:val="0"/>
          <w:numId w:val="14"/>
        </w:numPr>
        <w:ind w:left="1080"/>
        <w:rPr>
          <w:szCs w:val="22"/>
        </w:rPr>
      </w:pPr>
      <w:r w:rsidRPr="00767221">
        <w:rPr>
          <w:szCs w:val="22"/>
        </w:rPr>
        <w:t>Payment by credit card must be made by using the Commission’s Registration System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r>
        <w:rPr>
          <w:szCs w:val="22"/>
        </w:rPr>
        <w:br/>
      </w:r>
    </w:p>
    <w:p w:rsidR="008561FC" w:rsidRPr="00767221" w:rsidP="008561FC" w14:paraId="6832ECEA" w14:textId="77777777">
      <w:pPr>
        <w:pStyle w:val="ListParagraph"/>
        <w:numPr>
          <w:ilvl w:val="0"/>
          <w:numId w:val="14"/>
        </w:numPr>
        <w:ind w:left="1080"/>
        <w:rPr>
          <w:szCs w:val="22"/>
        </w:rPr>
      </w:pPr>
      <w:r w:rsidRPr="00767221">
        <w:rPr>
          <w:szCs w:val="22"/>
        </w:rPr>
        <w:t>Payment by ACH must be made by using the Commission’s Registration System (CORES) at https://apps.fcc.gov/cores/paymentFrnLogin.do.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Pr>
          <w:szCs w:val="22"/>
        </w:rPr>
        <w:br/>
      </w:r>
    </w:p>
    <w:p w:rsidR="008561FC" w:rsidRPr="00503655" w:rsidP="00721E33" w14:paraId="04B7A8B9" w14:textId="77777777">
      <w:pPr>
        <w:pStyle w:val="ParaNum"/>
      </w:pPr>
      <w:r w:rsidRPr="00503655">
        <w:t xml:space="preserve">Any request for making full payment over time under an installment plan should be sent to:  Associate Managing Director—Financial Operations, Federal Communications Commission, 45 L Street, N.E., Washington, DC 20554.  Questions regarding payment procedures should be directed to the Financial Operations Group Help Desk by phone, 1-877-480-3201 (option #6), or by e-mail at </w:t>
      </w:r>
      <w:hyperlink r:id="rId6" w:history="1">
        <w:r w:rsidRPr="004B691C">
          <w:rPr>
            <w:rStyle w:val="Hyperlink"/>
            <w:szCs w:val="22"/>
          </w:rPr>
          <w:t>ARINQUIRIES@fcc.gov</w:t>
        </w:r>
      </w:hyperlink>
      <w:r w:rsidRPr="00503655">
        <w:t>.</w:t>
      </w:r>
    </w:p>
    <w:p w:rsidR="008561FC" w:rsidRPr="00503655" w:rsidP="00E41164" w14:paraId="14D08146" w14:textId="1A360BA6">
      <w:pPr>
        <w:pStyle w:val="ParaNum"/>
        <w:rPr>
          <w:szCs w:val="22"/>
        </w:rPr>
      </w:pPr>
      <w:r w:rsidRPr="00503655">
        <w:rPr>
          <w:szCs w:val="22"/>
        </w:rPr>
        <w:t xml:space="preserve">Any written response seeking reduction or cancellation of the proposed forfeiture must include a detailed factual statement supported by appropriate documentation and affidavits pursuant to sections 1.16 and 1.80(g)(3) of the Commission’s rules.  The written response must be filed with the Office of the Secretary, Federal Communications Commission, 45 L Street NE, Washington DC 20554, ATTN:  Albert Shuldiner, Chief, Audio Division, Media Bureau, and </w:t>
      </w:r>
      <w:r w:rsidR="00721E33">
        <w:rPr>
          <w:szCs w:val="22"/>
        </w:rPr>
        <w:t>must include</w:t>
      </w:r>
      <w:r w:rsidRPr="00503655">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  A courtesy copy emailed to </w:t>
      </w:r>
      <w:hyperlink r:id="rId7" w:history="1">
        <w:r w:rsidRPr="006E735B">
          <w:rPr>
            <w:rStyle w:val="Hyperlink"/>
            <w:szCs w:val="22"/>
          </w:rPr>
          <w:t>Heather.Dixon@fcc.gov</w:t>
        </w:r>
      </w:hyperlink>
      <w:r w:rsidRPr="00503655">
        <w:rPr>
          <w:szCs w:val="22"/>
        </w:rPr>
        <w:t xml:space="preserve"> will assist in processing the response.</w:t>
      </w:r>
    </w:p>
    <w:p w:rsidR="008561FC" w:rsidRPr="001A5FF1" w:rsidP="008561FC" w14:paraId="1DFC1986" w14:textId="77777777">
      <w:pPr>
        <w:pStyle w:val="ListParagraph"/>
        <w:numPr>
          <w:ilvl w:val="0"/>
          <w:numId w:val="15"/>
        </w:numPr>
        <w:ind w:left="1080"/>
        <w:rPr>
          <w:szCs w:val="22"/>
        </w:rPr>
      </w:pPr>
      <w:r w:rsidRPr="00503655">
        <w:t>Commercial overnight mail (other than U.S. Postal Service Express Mail and Priority Mail) must be sent to 9050 Junction Drive, Annapolis Junction, MD 20701.</w:t>
      </w:r>
      <w:r>
        <w:br/>
      </w:r>
    </w:p>
    <w:p w:rsidR="008561FC" w:rsidRPr="008561FC" w:rsidP="00E41164" w14:paraId="669E377F" w14:textId="53D97007">
      <w:pPr>
        <w:pStyle w:val="ListParagraph"/>
        <w:numPr>
          <w:ilvl w:val="0"/>
          <w:numId w:val="15"/>
        </w:numPr>
        <w:ind w:left="1080"/>
        <w:rPr>
          <w:szCs w:val="22"/>
        </w:rPr>
      </w:pPr>
      <w:r w:rsidRPr="001A5FF1">
        <w:rPr>
          <w:szCs w:val="22"/>
        </w:rPr>
        <w:t>Postal Service first-class, Express, and Priority mail must be addressed to 45 L Street, NE, Washington, DC 20554.</w:t>
      </w:r>
      <w:r>
        <w:rPr>
          <w:szCs w:val="22"/>
        </w:rPr>
        <w:br/>
      </w:r>
    </w:p>
    <w:p w:rsidR="00AE2D78" w:rsidRPr="00683723" w:rsidP="00721E33" w14:paraId="494E0E00" w14:textId="1D7AFDDF">
      <w:pPr>
        <w:pStyle w:val="ParaNum"/>
      </w:pPr>
      <w:r w:rsidRPr="00683723">
        <w:rPr>
          <w:b/>
          <w:bCs/>
        </w:rPr>
        <w:t>IT IS FURTHER ORDERED</w:t>
      </w:r>
      <w:r w:rsidRPr="00683723">
        <w:t xml:space="preserve"> that a copy of this </w:t>
      </w:r>
      <w:r w:rsidRPr="00683723" w:rsidR="002521B2">
        <w:rPr>
          <w:i/>
          <w:iCs/>
        </w:rPr>
        <w:t>NAL</w:t>
      </w:r>
      <w:r w:rsidRPr="00683723">
        <w:t xml:space="preserve"> shall be sent, by First Class and Certified Mail, Return Receipt Requested, to</w:t>
      </w:r>
      <w:r w:rsidR="00BE4786">
        <w:t xml:space="preserve"> </w:t>
      </w:r>
      <w:r w:rsidR="008561FC">
        <w:t>American Network Media Inc.,</w:t>
      </w:r>
      <w:r w:rsidR="00024E5A">
        <w:t xml:space="preserve"> 1334 SW 6</w:t>
      </w:r>
      <w:r w:rsidRPr="00024E5A" w:rsidR="00024E5A">
        <w:rPr>
          <w:vertAlign w:val="superscript"/>
        </w:rPr>
        <w:t>th</w:t>
      </w:r>
      <w:r w:rsidR="00024E5A">
        <w:t xml:space="preserve"> Street, </w:t>
      </w:r>
      <w:r w:rsidR="00430620">
        <w:t xml:space="preserve">Apt. 11, </w:t>
      </w:r>
      <w:r w:rsidR="00024E5A">
        <w:t>Miami, FL 33135</w:t>
      </w:r>
      <w:r w:rsidR="00B24B26">
        <w:t xml:space="preserve">, and its counsel, </w:t>
      </w:r>
      <w:r w:rsidR="00024E5A">
        <w:t>Dan J. Alpert</w:t>
      </w:r>
      <w:r w:rsidR="00D42B3B">
        <w:t>, Esq.,</w:t>
      </w:r>
      <w:r w:rsidR="00024E5A">
        <w:t xml:space="preserve"> 2120 21</w:t>
      </w:r>
      <w:r w:rsidRPr="00024E5A" w:rsidR="00024E5A">
        <w:rPr>
          <w:vertAlign w:val="superscript"/>
        </w:rPr>
        <w:t>st</w:t>
      </w:r>
      <w:r w:rsidR="00024E5A">
        <w:t xml:space="preserve"> Road N, Arlington, VA 22201</w:t>
      </w:r>
      <w:r w:rsidR="00D42B3B">
        <w:t>.</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6477" w14:paraId="7BD7B1A6" w14:textId="77777777">
      <w:r>
        <w:separator/>
      </w:r>
    </w:p>
  </w:footnote>
  <w:footnote w:type="continuationSeparator" w:id="1">
    <w:p w:rsidR="00186477" w:rsidP="00C721AC" w14:paraId="215A5844" w14:textId="77777777">
      <w:pPr>
        <w:spacing w:before="120"/>
        <w:rPr>
          <w:sz w:val="20"/>
        </w:rPr>
      </w:pPr>
      <w:r>
        <w:rPr>
          <w:sz w:val="20"/>
        </w:rPr>
        <w:t xml:space="preserve">(Continued from previous page)  </w:t>
      </w:r>
      <w:r>
        <w:rPr>
          <w:sz w:val="20"/>
        </w:rPr>
        <w:separator/>
      </w:r>
    </w:p>
  </w:footnote>
  <w:footnote w:type="continuationNotice" w:id="2">
    <w:p w:rsidR="00186477" w:rsidP="00C721AC" w14:paraId="67A44E85" w14:textId="77777777">
      <w:pPr>
        <w:jc w:val="right"/>
        <w:rPr>
          <w:sz w:val="20"/>
        </w:rPr>
      </w:pPr>
    </w:p>
  </w:footnote>
  <w:footnote w:id="3">
    <w:p w:rsidR="00CB1BA6" w14:paraId="4EC9954F" w14:textId="3488D3C9">
      <w:pPr>
        <w:pStyle w:val="FootnoteText"/>
      </w:pPr>
      <w:r>
        <w:rPr>
          <w:rStyle w:val="FootnoteReference"/>
        </w:rPr>
        <w:footnoteRef/>
      </w:r>
      <w:r>
        <w:t xml:space="preserve"> </w:t>
      </w:r>
      <w:r w:rsidR="00A26FDB">
        <w:t>Application File No. 191264</w:t>
      </w:r>
      <w:r>
        <w:t xml:space="preserve">.  </w:t>
      </w:r>
    </w:p>
  </w:footnote>
  <w:footnote w:id="4">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00095C" w:rsidP="0000095C" w14:paraId="2EF07F26" w14:textId="77777777">
      <w:pPr>
        <w:pStyle w:val="FootnoteText"/>
      </w:pPr>
      <w:r>
        <w:rPr>
          <w:rStyle w:val="FootnoteReference"/>
        </w:rPr>
        <w:footnoteRef/>
      </w:r>
      <w:r>
        <w:t xml:space="preserve"> </w:t>
      </w:r>
      <w:r>
        <w:rPr>
          <w:i/>
        </w:rPr>
        <w:t xml:space="preserve">See </w:t>
      </w:r>
      <w:r>
        <w:t>47 CFR § 73.3539.</w:t>
      </w:r>
    </w:p>
  </w:footnote>
  <w:footnote w:id="6">
    <w:p w:rsidR="003364B8" w:rsidP="003364B8" w14:paraId="6E974E4C" w14:textId="1817F28D">
      <w:pPr>
        <w:pStyle w:val="FootnoteText"/>
      </w:pPr>
      <w:r>
        <w:rPr>
          <w:rStyle w:val="FootnoteReference"/>
        </w:rPr>
        <w:footnoteRef/>
      </w:r>
      <w:r>
        <w:t xml:space="preserve"> </w:t>
      </w:r>
      <w:r w:rsidRPr="00EE54B4" w:rsidR="00EE54B4">
        <w:rPr>
          <w:i/>
          <w:iCs/>
        </w:rPr>
        <w:t>Id</w:t>
      </w:r>
      <w:r w:rsidR="00EE54B4">
        <w:t>.</w:t>
      </w:r>
      <w:r>
        <w:t xml:space="preserve"> § 73.3539(a).</w:t>
      </w:r>
    </w:p>
  </w:footnote>
  <w:footnote w:id="7">
    <w:p w:rsidR="003364B8" w:rsidP="003364B8" w14:paraId="3DA3B6D1" w14:textId="25CC6E55">
      <w:pPr>
        <w:pStyle w:val="FootnoteText"/>
      </w:pPr>
      <w:r>
        <w:rPr>
          <w:rStyle w:val="FootnoteReference"/>
        </w:rPr>
        <w:footnoteRef/>
      </w:r>
      <w:r>
        <w:t xml:space="preserve"> </w:t>
      </w:r>
      <w:r>
        <w:rPr>
          <w:i/>
        </w:rPr>
        <w:t>See</w:t>
      </w:r>
      <w:r>
        <w:t xml:space="preserve"> </w:t>
      </w:r>
      <w:r w:rsidRPr="00EE54B4" w:rsidR="00EE54B4">
        <w:rPr>
          <w:i/>
          <w:iCs/>
        </w:rPr>
        <w:t>id</w:t>
      </w:r>
      <w:r w:rsidR="00EE54B4">
        <w:t>.</w:t>
      </w:r>
      <w:r w:rsidR="00A2771E">
        <w:t xml:space="preserve">; </w:t>
      </w:r>
      <w:r w:rsidR="000F66CE">
        <w:rPr>
          <w:i/>
          <w:iCs/>
        </w:rPr>
        <w:t>American Network Media Inc.</w:t>
      </w:r>
      <w:r w:rsidR="000F66CE">
        <w:t xml:space="preserve">, Application File No. 83033, Letter Order (MB </w:t>
      </w:r>
      <w:r w:rsidR="00A34C12">
        <w:t>April 2, 2020)</w:t>
      </w:r>
      <w:r w:rsidR="00553FC2">
        <w:t>.</w:t>
      </w:r>
    </w:p>
  </w:footnote>
  <w:footnote w:id="8">
    <w:p w:rsidR="008A0535" w14:paraId="06D9CDA3" w14:textId="66C8DD19">
      <w:pPr>
        <w:pStyle w:val="FootnoteText"/>
      </w:pPr>
      <w:r>
        <w:rPr>
          <w:rStyle w:val="FootnoteReference"/>
        </w:rPr>
        <w:footnoteRef/>
      </w:r>
      <w:r w:rsidR="000636AA">
        <w:t xml:space="preserve"> </w:t>
      </w:r>
      <w:r w:rsidR="00EF0109">
        <w:t>While the Application was not filed until after the Station’s license expired</w:t>
      </w:r>
      <w:r w:rsidR="00E23D51">
        <w:t xml:space="preserve">, we </w:t>
      </w:r>
      <w:r w:rsidRPr="00E863B4" w:rsidR="00E23D51">
        <w:t>did not</w:t>
      </w:r>
      <w:r w:rsidR="00E23D51">
        <w:t xml:space="preserve">—as is our standard procedure—notify the Licensee of the license’s impending expiration.  </w:t>
      </w:r>
      <w:r w:rsidRPr="002A17AD" w:rsidR="00E96CE8">
        <w:rPr>
          <w:i/>
          <w:iCs/>
        </w:rPr>
        <w:t>See</w:t>
      </w:r>
      <w:r w:rsidRPr="002A17AD" w:rsidR="00E96CE8">
        <w:t xml:space="preserve"> </w:t>
      </w:r>
      <w:r w:rsidRPr="002A17AD" w:rsidR="00E96CE8">
        <w:rPr>
          <w:i/>
          <w:iCs/>
        </w:rPr>
        <w:t>Atl. City Bd. of E</w:t>
      </w:r>
      <w:r w:rsidRPr="006A7BD1" w:rsidR="00E96CE8">
        <w:rPr>
          <w:i/>
          <w:iCs/>
        </w:rPr>
        <w:t xml:space="preserve">duc., </w:t>
      </w:r>
      <w:r w:rsidRPr="006A7BD1" w:rsidR="00E96CE8">
        <w:t>Memorandum Opinion and Order, 31 FCC Rcd 9380, 9384, n. 30 (2016) (noting that the Bureau “has modified its processing policies to promptly notify stations that have failed to file their renewal applications”)</w:t>
      </w:r>
      <w:r w:rsidRPr="006A7BD1" w:rsidR="00E96CE8">
        <w:rPr>
          <w:i/>
          <w:iCs/>
        </w:rPr>
        <w:t>.  See also, e.g., Radio License Expirations</w:t>
      </w:r>
      <w:r w:rsidRPr="006A7BD1" w:rsidR="00E96CE8">
        <w:t>, Public Notice, DA 22-491 (MB May 5, 2022</w:t>
      </w:r>
      <w:r w:rsidRPr="006A7BD1" w:rsidR="00E96CE8">
        <w:rPr>
          <w:i/>
          <w:iCs/>
        </w:rPr>
        <w:t>); Radio License Expirations</w:t>
      </w:r>
      <w:r w:rsidRPr="006A7BD1" w:rsidR="00E96CE8">
        <w:t xml:space="preserve">, Public Notice, DA 22-228 (MB Mar. 4, 2022); </w:t>
      </w:r>
      <w:r w:rsidRPr="006A7BD1" w:rsidR="00E96CE8">
        <w:rPr>
          <w:i/>
          <w:iCs/>
        </w:rPr>
        <w:t>Radio License Expirations</w:t>
      </w:r>
      <w:r w:rsidRPr="006A7BD1" w:rsidR="00E96CE8">
        <w:t>, Public Notice, DA 22-23 (MB Jan. 11, 2022) (all reminding licensees that had missed the deadline for filing renewal applications for their station licenses of the upcoming expiration date for those licenses).</w:t>
      </w:r>
      <w:r w:rsidRPr="006A7BD1" w:rsidR="00E96CE8">
        <w:rPr>
          <w:i/>
          <w:iCs/>
          <w:sz w:val="23"/>
          <w:szCs w:val="23"/>
        </w:rPr>
        <w:t xml:space="preserve"> </w:t>
      </w:r>
      <w:r w:rsidR="00E96CE8">
        <w:rPr>
          <w:i/>
          <w:iCs/>
          <w:sz w:val="23"/>
          <w:szCs w:val="23"/>
        </w:rPr>
        <w:t xml:space="preserve"> </w:t>
      </w:r>
      <w:r w:rsidR="00913B3D">
        <w:t>Further</w:t>
      </w:r>
      <w:r w:rsidR="00E23D51">
        <w:t xml:space="preserve">, the Licensee filed the Application as soon as it was made aware of the license’s expiration.  Given these factors, we do not believe it would be appropriate to pursue enforcement action related to operation of the Station </w:t>
      </w:r>
      <w:r w:rsidR="002E041A">
        <w:t>between</w:t>
      </w:r>
      <w:r w:rsidR="00A40AD0">
        <w:t xml:space="preserve"> April</w:t>
      </w:r>
      <w:r w:rsidR="002D3A95">
        <w:t xml:space="preserve"> 3, 2021</w:t>
      </w:r>
      <w:r w:rsidR="002E041A">
        <w:t xml:space="preserve">, and </w:t>
      </w:r>
      <w:r w:rsidR="000607FF">
        <w:t>May 19, 2022</w:t>
      </w:r>
      <w:r w:rsidR="00E23D51">
        <w:t xml:space="preserve">.  </w:t>
      </w:r>
      <w:r w:rsidRPr="00B8495F" w:rsidR="003365EA">
        <w:rPr>
          <w:i/>
          <w:iCs/>
        </w:rPr>
        <w:t xml:space="preserve">See Redrock Broad., Inc., </w:t>
      </w:r>
      <w:r w:rsidRPr="00144B5F" w:rsidR="003365EA">
        <w:t>Memorandum Opinion and Order and Notice of Apparent Liability for Forfeiture,</w:t>
      </w:r>
      <w:r w:rsidRPr="00B8495F" w:rsidR="003365EA">
        <w:rPr>
          <w:i/>
          <w:iCs/>
        </w:rPr>
        <w:t xml:space="preserve"> </w:t>
      </w:r>
      <w:r w:rsidRPr="009111E8" w:rsidR="003365EA">
        <w:t>36 FCC Rcd 11320, 11320, n.6 (MB 2021);</w:t>
      </w:r>
      <w:r w:rsidRPr="00B8495F" w:rsidR="003365EA">
        <w:rPr>
          <w:i/>
          <w:iCs/>
        </w:rPr>
        <w:t xml:space="preserve"> Cultural Energy</w:t>
      </w:r>
      <w:r w:rsidRPr="00E4322E" w:rsidR="003365EA">
        <w:t xml:space="preserve">, Memorandum Opinion and Order and Notice of Apparent Liability for Forfeiture, </w:t>
      </w:r>
      <w:r w:rsidR="003365EA">
        <w:t>36 FCC Rcd 5524</w:t>
      </w:r>
      <w:r w:rsidRPr="00E4322E" w:rsidR="003365EA">
        <w:t xml:space="preserve">, </w:t>
      </w:r>
      <w:r w:rsidR="003365EA">
        <w:t xml:space="preserve">5524 </w:t>
      </w:r>
      <w:r w:rsidRPr="00E4322E" w:rsidR="003365EA">
        <w:t>n. 6 (MB 2021) (</w:t>
      </w:r>
      <w:r w:rsidR="003365EA">
        <w:t xml:space="preserve">both </w:t>
      </w:r>
      <w:r w:rsidRPr="00E4322E" w:rsidR="003365EA">
        <w:t>declining to impose forfeiture for unauthorized operations where, among other things, (1) the Bureau had not</w:t>
      </w:r>
      <w:r w:rsidR="003365EA">
        <w:t>—</w:t>
      </w:r>
      <w:r w:rsidRPr="00E4322E" w:rsidR="003365EA">
        <w:t>as is its standard procedure</w:t>
      </w:r>
      <w:r w:rsidR="003365EA">
        <w:t>—</w:t>
      </w:r>
      <w:r w:rsidRPr="00E4322E" w:rsidR="003365EA">
        <w:t>notified the Licensee of the impending expiration of the Station</w:t>
      </w:r>
      <w:r w:rsidR="003365EA">
        <w:t>’</w:t>
      </w:r>
      <w:r w:rsidRPr="00E4322E" w:rsidR="003365EA">
        <w:t>s license, (2) the Bureau did not cancel the Station</w:t>
      </w:r>
      <w:r w:rsidR="003365EA">
        <w:t>’</w:t>
      </w:r>
      <w:r w:rsidRPr="00E4322E" w:rsidR="003365EA">
        <w:t>s license, or otherwise notify the Licensee of the license</w:t>
      </w:r>
      <w:r w:rsidR="003365EA">
        <w:t>’</w:t>
      </w:r>
      <w:r w:rsidRPr="00E4322E" w:rsidR="003365EA">
        <w:t>s expiration, and (3) the Licensee promptly fil</w:t>
      </w:r>
      <w:r w:rsidR="00595D85">
        <w:t xml:space="preserve">ed renewal application </w:t>
      </w:r>
      <w:r w:rsidRPr="00E4322E" w:rsidR="003365EA">
        <w:t>as soon as it was made aware of the license</w:t>
      </w:r>
      <w:r w:rsidR="00595D85">
        <w:t>’</w:t>
      </w:r>
      <w:r w:rsidRPr="00E4322E" w:rsidR="003365EA">
        <w:t>s expiration).</w:t>
      </w:r>
      <w:r w:rsidR="003365EA">
        <w:t xml:space="preserve">  </w:t>
      </w:r>
      <w:r w:rsidRPr="00D91495" w:rsidR="00E23D51">
        <w:rPr>
          <w:i/>
          <w:iCs/>
        </w:rPr>
        <w:t>Cf</w:t>
      </w:r>
      <w:r w:rsidR="00E23D51">
        <w:rPr>
          <w:i/>
          <w:iCs/>
        </w:rPr>
        <w:t>.</w:t>
      </w:r>
      <w:r w:rsidRPr="00D91495" w:rsidR="00E23D51">
        <w:rPr>
          <w:i/>
          <w:iCs/>
        </w:rPr>
        <w:t xml:space="preserve"> Ward Broad. Corp</w:t>
      </w:r>
      <w:r w:rsidR="00E23D51">
        <w:t xml:space="preserve">., Memorandum Opinion and Order and Notice of Apparent Liability for Forfeiture, 35 FCC Rcd 5592, 5592, para. 2 (MB 2020) (proposing a forfeiture for unauthorized operation of a station where renewal application was not filed prior to expiration of station’s license; Bureau </w:t>
      </w:r>
      <w:r w:rsidRPr="000A6315" w:rsidR="00E23D51">
        <w:t xml:space="preserve">notified </w:t>
      </w:r>
      <w:r w:rsidR="00E23D51">
        <w:t xml:space="preserve">licensee </w:t>
      </w:r>
      <w:r w:rsidRPr="000A6315" w:rsidR="00E23D51">
        <w:t xml:space="preserve">that </w:t>
      </w:r>
      <w:r w:rsidR="00E23D51">
        <w:t>st</w:t>
      </w:r>
      <w:r w:rsidRPr="000A6315" w:rsidR="00E23D51">
        <w:t>ation's license had expired, that all authority to operate the Station was terminated, and that the Station's call letters were deleted from the Commission's database</w:t>
      </w:r>
      <w:r w:rsidR="00E23D51">
        <w:t>, and thus licensee</w:t>
      </w:r>
      <w:r w:rsidRPr="000A6315" w:rsidR="00E23D51">
        <w:t xml:space="preserve"> was </w:t>
      </w:r>
      <w:r w:rsidR="00E23D51">
        <w:t>“</w:t>
      </w:r>
      <w:r w:rsidRPr="000A6315" w:rsidR="00E23D51">
        <w:t>on notice</w:t>
      </w:r>
      <w:r w:rsidR="00E23D51">
        <w:t>”</w:t>
      </w:r>
      <w:r w:rsidRPr="000A6315" w:rsidR="00E23D51">
        <w:t xml:space="preserve"> that any further operation of</w:t>
      </w:r>
      <w:r w:rsidR="00E23D51">
        <w:t xml:space="preserve"> station </w:t>
      </w:r>
      <w:r w:rsidRPr="000A6315" w:rsidR="00E23D51">
        <w:t>was unauthorized</w:t>
      </w:r>
      <w:r w:rsidR="00E23D51">
        <w:t>)</w:t>
      </w:r>
      <w:r w:rsidRPr="000A6315" w:rsidR="00E23D51">
        <w:t>.</w:t>
      </w:r>
      <w:r w:rsidR="004412DC">
        <w:t xml:space="preserve">  </w:t>
      </w:r>
      <w:r w:rsidRPr="00DD6C3D" w:rsidR="004412DC">
        <w:t>We note, however, that if this case were in a different procedural posture (</w:t>
      </w:r>
      <w:r w:rsidRPr="00EE3D28" w:rsidR="004412DC">
        <w:rPr>
          <w:i/>
          <w:iCs/>
        </w:rPr>
        <w:t>i.e</w:t>
      </w:r>
      <w:r w:rsidRPr="00DD6C3D" w:rsidR="004412DC">
        <w:t>., had we cancelled the Station’s license and had that cancellation become final), we would not be able to accept and process a late-filed application to renew the Station’s license.</w:t>
      </w:r>
    </w:p>
  </w:footnote>
  <w:footnote w:id="9">
    <w:p w:rsidR="00406A52" w:rsidRPr="00E4519B" w:rsidP="00406A52" w14:paraId="44543E71" w14:textId="77777777">
      <w:pPr>
        <w:pStyle w:val="FootnoteText"/>
        <w:widowControl w:val="0"/>
      </w:pPr>
      <w:r w:rsidRPr="00E4519B">
        <w:rPr>
          <w:rStyle w:val="FootnoteReference"/>
        </w:rPr>
        <w:footnoteRef/>
      </w:r>
      <w:r w:rsidRPr="00E4519B">
        <w:t xml:space="preserve"> </w:t>
      </w:r>
      <w:r w:rsidRPr="00E4519B">
        <w:t xml:space="preserve">47 U.S.C. § </w:t>
      </w:r>
      <w:r w:rsidRPr="00BE662A">
        <w:t xml:space="preserve">503(b)(1)(B).  </w:t>
      </w:r>
      <w:r w:rsidRPr="00BE662A">
        <w:rPr>
          <w:i/>
        </w:rPr>
        <w:t>S</w:t>
      </w:r>
      <w:r w:rsidRPr="00BE662A">
        <w:rPr>
          <w:i/>
          <w:iCs/>
        </w:rPr>
        <w:t>ee also</w:t>
      </w:r>
      <w:r w:rsidRPr="00BE662A">
        <w:t xml:space="preserve"> 47 CFR § 1.80(a)(1</w:t>
      </w:r>
      <w:r w:rsidRPr="00E4519B">
        <w:t>).</w:t>
      </w:r>
    </w:p>
  </w:footnote>
  <w:footnote w:id="10">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11">
    <w:p w:rsidR="00406A52" w:rsidRPr="00D64E57" w:rsidP="00406A52" w14:paraId="7C6A1DAD" w14:textId="77777777">
      <w:pPr>
        <w:pStyle w:val="FootnoteText"/>
        <w:widowControl w:val="0"/>
      </w:pPr>
      <w:r w:rsidRPr="00D64E57">
        <w:rPr>
          <w:rStyle w:val="FootnoteReference"/>
        </w:rPr>
        <w:footnoteRef/>
      </w:r>
      <w:r w:rsidRPr="00D64E57">
        <w:rPr>
          <w:i/>
        </w:rPr>
        <w:t xml:space="preserve"> </w:t>
      </w:r>
      <w:r w:rsidRPr="00D64E57">
        <w:rPr>
          <w:i/>
        </w:rPr>
        <w:t>See</w:t>
      </w:r>
      <w:r w:rsidRPr="00D64E57">
        <w:t xml:space="preserve"> H.R. Rep. No. 97-765, 97</w:t>
      </w:r>
      <w:r w:rsidRPr="00D64E57">
        <w:rPr>
          <w:vertAlign w:val="superscript"/>
        </w:rPr>
        <w:t>th</w:t>
      </w:r>
      <w:r w:rsidRPr="00D64E57">
        <w:t xml:space="preserve"> Cong. 2d Sess. 51 (1982).</w:t>
      </w:r>
    </w:p>
  </w:footnote>
  <w:footnote w:id="12">
    <w:p w:rsidR="00406A52" w:rsidRPr="00D64E57" w:rsidP="00406A52" w14:paraId="0E016A5D" w14:textId="2AC7E37F">
      <w:pPr>
        <w:pStyle w:val="FootnoteText"/>
        <w:widowControl w:val="0"/>
      </w:pPr>
      <w:r w:rsidRPr="00D64E57">
        <w:rPr>
          <w:rStyle w:val="FootnoteReference"/>
        </w:rPr>
        <w:footnoteRef/>
      </w:r>
      <w:r w:rsidRPr="00D64E57">
        <w:rPr>
          <w:i/>
          <w:iCs/>
        </w:rPr>
        <w:t xml:space="preserve"> </w:t>
      </w:r>
      <w:r w:rsidRPr="00D64E57">
        <w:rPr>
          <w:i/>
          <w:iCs/>
        </w:rPr>
        <w:t>See Southern California Broad</w:t>
      </w:r>
      <w:r>
        <w:rPr>
          <w:i/>
          <w:iCs/>
        </w:rPr>
        <w:t>.</w:t>
      </w:r>
      <w:r w:rsidRPr="00D64E57">
        <w:rPr>
          <w:i/>
          <w:iCs/>
        </w:rPr>
        <w:t xml:space="preserve"> Co.</w:t>
      </w:r>
      <w:r w:rsidRPr="00D64E57">
        <w:t>, Memorandum Opinion and Order, 6 FCC Rcd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7 FCC Rcd 3454 (1992</w:t>
      </w:r>
      <w:r w:rsidRPr="00600AB4">
        <w:t>).</w:t>
      </w:r>
    </w:p>
  </w:footnote>
  <w:footnote w:id="13">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w:t>
      </w:r>
      <w:r w:rsidRPr="006F7D37">
        <w:rPr>
          <w:sz w:val="20"/>
        </w:rPr>
        <w:t xml:space="preserve">47 U.S.C. </w:t>
      </w:r>
      <w:r w:rsidRPr="00BE662A">
        <w:rPr>
          <w:sz w:val="20"/>
        </w:rPr>
        <w:t>§ 312(f)(2).</w:t>
      </w:r>
      <w:r w:rsidRPr="006F7D37">
        <w:rPr>
          <w:sz w:val="20"/>
        </w:rPr>
        <w:t xml:space="preserve"> </w:t>
      </w:r>
    </w:p>
  </w:footnote>
  <w:footnote w:id="14">
    <w:p w:rsidR="001E307A" w:rsidRPr="00CF021F" w:rsidP="001E307A" w14:paraId="0AEF2F03" w14:textId="1EB32307">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Rcd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15 FCC Rcd 303 (1999)</w:t>
        </w:r>
      </w:hyperlink>
      <w:r w:rsidRPr="00CF021F">
        <w:rPr>
          <w:sz w:val="20"/>
        </w:rPr>
        <w:t xml:space="preserve">; </w:t>
      </w:r>
      <w:hyperlink r:id="rId3" w:anchor="co_pp_6ad60000aeea7" w:history="1">
        <w:r w:rsidRPr="00BE662A">
          <w:rPr>
            <w:sz w:val="20"/>
          </w:rPr>
          <w:t>47 CFR § 1.80(b)(</w:t>
        </w:r>
        <w:r w:rsidR="00A811FA">
          <w:rPr>
            <w:sz w:val="20"/>
          </w:rPr>
          <w:t>10</w:t>
        </w:r>
        <w:r w:rsidRPr="00BE662A">
          <w:rPr>
            <w:sz w:val="20"/>
          </w:rPr>
          <w:t>)</w:t>
        </w:r>
      </w:hyperlink>
      <w:r w:rsidRPr="00BE662A">
        <w:rPr>
          <w:sz w:val="20"/>
        </w:rPr>
        <w:t xml:space="preserve">, </w:t>
      </w:r>
      <w:r w:rsidR="00341360">
        <w:rPr>
          <w:sz w:val="20"/>
        </w:rPr>
        <w:t>Table</w:t>
      </w:r>
      <w:r w:rsidRPr="00BE662A">
        <w:rPr>
          <w:sz w:val="20"/>
        </w:rPr>
        <w:t xml:space="preserve"> I.</w:t>
      </w:r>
    </w:p>
  </w:footnote>
  <w:footnote w:id="15">
    <w:p w:rsidR="001E307A" w:rsidRPr="00CF021F" w:rsidP="001E307A" w14:paraId="1F6DFCF4" w14:textId="16C839FA">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12 FCC Rcd at 17100</w:t>
        </w:r>
        <w:r w:rsidR="00A80BDA">
          <w:rPr>
            <w:sz w:val="20"/>
          </w:rPr>
          <w:t>, para. 27</w:t>
        </w:r>
        <w:r w:rsidRPr="00650B53">
          <w:rPr>
            <w:sz w:val="20"/>
          </w:rPr>
          <w:t>;</w:t>
        </w:r>
      </w:hyperlink>
      <w:r w:rsidRPr="00650B53">
        <w:rPr>
          <w:sz w:val="20"/>
        </w:rPr>
        <w:t xml:space="preserve"> </w:t>
      </w:r>
      <w:hyperlink r:id="rId3" w:anchor="co_pp_6ad60000aeea7" w:history="1">
        <w:r w:rsidRPr="00650B53">
          <w:rPr>
            <w:sz w:val="20"/>
          </w:rPr>
          <w:t>47 C.F.R. § 1.80(b)(</w:t>
        </w:r>
        <w:r w:rsidR="00A35413">
          <w:rPr>
            <w:sz w:val="20"/>
          </w:rPr>
          <w:t>10</w:t>
        </w:r>
        <w:r w:rsidRPr="00650B53">
          <w:rPr>
            <w:sz w:val="20"/>
          </w:rPr>
          <w:t>)</w:t>
        </w:r>
      </w:hyperlink>
      <w:r w:rsidRPr="00CF021F">
        <w:rPr>
          <w:sz w:val="20"/>
        </w:rPr>
        <w:t>.</w:t>
      </w:r>
    </w:p>
  </w:footnote>
  <w:footnote w:id="16">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7">
    <w:p w:rsidR="00A7120F" w:rsidRPr="00E4519B" w:rsidP="00A7120F" w14:paraId="22A7FCA9" w14:textId="50B8F1DA">
      <w:pPr>
        <w:pStyle w:val="Footer"/>
        <w:spacing w:after="120"/>
        <w:rPr>
          <w:sz w:val="20"/>
        </w:rPr>
      </w:pPr>
      <w:r w:rsidRPr="00D423B0">
        <w:rPr>
          <w:rStyle w:val="FootnoteReference"/>
        </w:rPr>
        <w:footnoteRef/>
      </w:r>
      <w:r w:rsidRPr="00D423B0">
        <w:rPr>
          <w:sz w:val="20"/>
        </w:rPr>
        <w:t xml:space="preserve"> </w:t>
      </w:r>
      <w:r w:rsidRPr="00A07E12" w:rsidR="00A07E12">
        <w:rPr>
          <w:i/>
          <w:iCs/>
          <w:sz w:val="20"/>
        </w:rPr>
        <w:t>Id</w:t>
      </w:r>
      <w:r w:rsidRPr="00E4519B">
        <w:rPr>
          <w:sz w:val="20"/>
        </w:rPr>
        <w:t xml:space="preserve">. § 309(k)(1).  </w:t>
      </w:r>
    </w:p>
  </w:footnote>
  <w:footnote w:id="18">
    <w:p w:rsidR="00A7120F" w:rsidRPr="00132193" w:rsidP="00A7120F" w14:paraId="21949CB0" w14:textId="0EFDA571">
      <w:pPr>
        <w:pStyle w:val="Footer"/>
        <w:spacing w:after="120"/>
        <w:rPr>
          <w:sz w:val="20"/>
        </w:rPr>
      </w:pPr>
      <w:r w:rsidRPr="00132193">
        <w:rPr>
          <w:rStyle w:val="FootnoteReference"/>
        </w:rPr>
        <w:footnoteRef/>
      </w:r>
      <w:r w:rsidRPr="00132193">
        <w:rPr>
          <w:sz w:val="20"/>
        </w:rPr>
        <w:t xml:space="preserve"> </w:t>
      </w:r>
      <w:r w:rsidRPr="00A07E12" w:rsidR="00A07E12">
        <w:rPr>
          <w:i/>
          <w:iCs/>
          <w:sz w:val="20"/>
        </w:rPr>
        <w:t>Id</w:t>
      </w:r>
      <w:r w:rsidRPr="00132193">
        <w:rPr>
          <w:sz w:val="20"/>
        </w:rPr>
        <w:t>. §§ 309(k)(2), 309(k)(3).</w:t>
      </w:r>
    </w:p>
  </w:footnote>
  <w:footnote w:id="19">
    <w:p w:rsidR="00A7120F" w:rsidRPr="00132193" w:rsidP="00A7120F" w14:paraId="5D4BD5BE" w14:textId="70AE5FF3">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A07E12">
        <w:rPr>
          <w:sz w:val="20"/>
        </w:rPr>
        <w:t>“</w:t>
      </w:r>
      <w:r w:rsidRPr="00132193">
        <w:rPr>
          <w:sz w:val="20"/>
        </w:rPr>
        <w:t>the number, nature and extent</w:t>
      </w:r>
      <w:r w:rsidR="00A07E12">
        <w:rPr>
          <w:sz w:val="20"/>
        </w:rPr>
        <w:t>”</w:t>
      </w:r>
      <w:r w:rsidRPr="00132193">
        <w:rPr>
          <w:sz w:val="20"/>
        </w:rPr>
        <w:t xml:space="preserve"> of the violations indicate that </w:t>
      </w:r>
      <w:r w:rsidR="00A07E12">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47F58FA2">
    <w:pPr>
      <w:pStyle w:val="Header"/>
      <w:rPr>
        <w:b w:val="0"/>
      </w:rPr>
    </w:pPr>
    <w:r>
      <w:tab/>
    </w:r>
    <w:r>
      <w:t>Federal Communications Commission</w:t>
    </w:r>
    <w:r>
      <w:tab/>
    </w:r>
    <w:r w:rsidR="00AE2D78">
      <w:t xml:space="preserve">DA </w:t>
    </w:r>
    <w:r w:rsidR="0044571B">
      <w:t>2</w:t>
    </w:r>
    <w:r w:rsidR="00EE54B4">
      <w:t>2</w:t>
    </w:r>
    <w:r w:rsidR="00AE2D78">
      <w:t>-</w:t>
    </w:r>
    <w:r w:rsidR="00C26A03">
      <w:t>1208</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74C5355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D78">
      <w:rPr>
        <w:spacing w:val="-2"/>
      </w:rPr>
      <w:t>DA 2</w:t>
    </w:r>
    <w:r w:rsidR="00DC4C63">
      <w:rPr>
        <w:spacing w:val="-2"/>
      </w:rPr>
      <w:t>2</w:t>
    </w:r>
    <w:r w:rsidR="00AE2D78">
      <w:rPr>
        <w:spacing w:val="-2"/>
      </w:rPr>
      <w:t>-</w:t>
    </w:r>
    <w:r w:rsidR="00C26A03">
      <w:rPr>
        <w:spacing w:val="-2"/>
      </w:rPr>
      <w:t>1208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00D3CD3"/>
    <w:multiLevelType w:val="hybridMultilevel"/>
    <w:tmpl w:val="6BA4D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7FA83611"/>
    <w:multiLevelType w:val="hybridMultilevel"/>
    <w:tmpl w:val="B51EF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4"/>
  </w:num>
  <w:num w:numId="6">
    <w:abstractNumId w:val="0"/>
  </w:num>
  <w:num w:numId="7">
    <w:abstractNumId w:val="7"/>
  </w:num>
  <w:num w:numId="8">
    <w:abstractNumId w:val="11"/>
  </w:num>
  <w:num w:numId="9">
    <w:abstractNumId w:val="1"/>
  </w:num>
  <w:num w:numId="10">
    <w:abstractNumId w:val="10"/>
    <w:lvlOverride w:ilvl="0">
      <w:startOverride w:val="1"/>
    </w:lvlOverride>
  </w:num>
  <w:num w:numId="11">
    <w:abstractNumId w:val="10"/>
  </w:num>
  <w:num w:numId="12">
    <w:abstractNumId w:val="5"/>
  </w:num>
  <w:num w:numId="13">
    <w:abstractNumId w:val="9"/>
  </w:num>
  <w:num w:numId="14">
    <w:abstractNumId w:val="12"/>
  </w:num>
  <w:num w:numId="15">
    <w:abstractNumId w:val="2"/>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06679"/>
    <w:rsid w:val="0002026E"/>
    <w:rsid w:val="00020F91"/>
    <w:rsid w:val="000210B8"/>
    <w:rsid w:val="00024E5A"/>
    <w:rsid w:val="00025997"/>
    <w:rsid w:val="00032D22"/>
    <w:rsid w:val="00036039"/>
    <w:rsid w:val="00037F90"/>
    <w:rsid w:val="000437E9"/>
    <w:rsid w:val="00056C13"/>
    <w:rsid w:val="000607FF"/>
    <w:rsid w:val="000636AA"/>
    <w:rsid w:val="00076929"/>
    <w:rsid w:val="00077673"/>
    <w:rsid w:val="000875BF"/>
    <w:rsid w:val="000923FD"/>
    <w:rsid w:val="00092A6F"/>
    <w:rsid w:val="00096D8C"/>
    <w:rsid w:val="000A2A51"/>
    <w:rsid w:val="000A6315"/>
    <w:rsid w:val="000A726E"/>
    <w:rsid w:val="000A7C12"/>
    <w:rsid w:val="000C0B65"/>
    <w:rsid w:val="000C2713"/>
    <w:rsid w:val="000D4E69"/>
    <w:rsid w:val="000E05FE"/>
    <w:rsid w:val="000E3D42"/>
    <w:rsid w:val="000E5765"/>
    <w:rsid w:val="000F3BFA"/>
    <w:rsid w:val="000F66CE"/>
    <w:rsid w:val="001011DB"/>
    <w:rsid w:val="001046C4"/>
    <w:rsid w:val="00120216"/>
    <w:rsid w:val="00121F6D"/>
    <w:rsid w:val="00122BD5"/>
    <w:rsid w:val="00132193"/>
    <w:rsid w:val="00133F4A"/>
    <w:rsid w:val="00133F79"/>
    <w:rsid w:val="00137016"/>
    <w:rsid w:val="0014400D"/>
    <w:rsid w:val="00144B5F"/>
    <w:rsid w:val="00155950"/>
    <w:rsid w:val="00177E7D"/>
    <w:rsid w:val="00186477"/>
    <w:rsid w:val="00186998"/>
    <w:rsid w:val="0019392E"/>
    <w:rsid w:val="00194A66"/>
    <w:rsid w:val="00197841"/>
    <w:rsid w:val="001A2A87"/>
    <w:rsid w:val="001A5FF1"/>
    <w:rsid w:val="001B52E5"/>
    <w:rsid w:val="001C2556"/>
    <w:rsid w:val="001C60F2"/>
    <w:rsid w:val="001D6BCF"/>
    <w:rsid w:val="001E01CA"/>
    <w:rsid w:val="001E307A"/>
    <w:rsid w:val="001E6B1E"/>
    <w:rsid w:val="002011A6"/>
    <w:rsid w:val="00201D9D"/>
    <w:rsid w:val="00203CC8"/>
    <w:rsid w:val="002169FD"/>
    <w:rsid w:val="00217E01"/>
    <w:rsid w:val="0022190A"/>
    <w:rsid w:val="00222234"/>
    <w:rsid w:val="00226B4A"/>
    <w:rsid w:val="00226F68"/>
    <w:rsid w:val="00226FB2"/>
    <w:rsid w:val="0024351C"/>
    <w:rsid w:val="00244E59"/>
    <w:rsid w:val="00250E60"/>
    <w:rsid w:val="002521B2"/>
    <w:rsid w:val="00262650"/>
    <w:rsid w:val="00267CB6"/>
    <w:rsid w:val="002739A0"/>
    <w:rsid w:val="00275752"/>
    <w:rsid w:val="00275CF5"/>
    <w:rsid w:val="00277180"/>
    <w:rsid w:val="0028301F"/>
    <w:rsid w:val="00283C23"/>
    <w:rsid w:val="00285017"/>
    <w:rsid w:val="002950EC"/>
    <w:rsid w:val="002967C7"/>
    <w:rsid w:val="002A17AD"/>
    <w:rsid w:val="002A2D2E"/>
    <w:rsid w:val="002B2977"/>
    <w:rsid w:val="002C00E8"/>
    <w:rsid w:val="002C1B50"/>
    <w:rsid w:val="002D3A95"/>
    <w:rsid w:val="002D40C2"/>
    <w:rsid w:val="002E041A"/>
    <w:rsid w:val="002E35A6"/>
    <w:rsid w:val="002E3B83"/>
    <w:rsid w:val="002E6993"/>
    <w:rsid w:val="002F01B8"/>
    <w:rsid w:val="00324878"/>
    <w:rsid w:val="00325CD8"/>
    <w:rsid w:val="00325D61"/>
    <w:rsid w:val="003275F6"/>
    <w:rsid w:val="003344E3"/>
    <w:rsid w:val="003364B8"/>
    <w:rsid w:val="003365EA"/>
    <w:rsid w:val="00341360"/>
    <w:rsid w:val="00343250"/>
    <w:rsid w:val="00343749"/>
    <w:rsid w:val="00347E89"/>
    <w:rsid w:val="003568AC"/>
    <w:rsid w:val="0036418E"/>
    <w:rsid w:val="003660ED"/>
    <w:rsid w:val="003713DD"/>
    <w:rsid w:val="00386456"/>
    <w:rsid w:val="00390B9C"/>
    <w:rsid w:val="00390FF4"/>
    <w:rsid w:val="003A176B"/>
    <w:rsid w:val="003B0550"/>
    <w:rsid w:val="003B694F"/>
    <w:rsid w:val="003C2570"/>
    <w:rsid w:val="003C67E5"/>
    <w:rsid w:val="003F171C"/>
    <w:rsid w:val="003F41B4"/>
    <w:rsid w:val="004029B5"/>
    <w:rsid w:val="00403C7A"/>
    <w:rsid w:val="00406A52"/>
    <w:rsid w:val="00412C4E"/>
    <w:rsid w:val="00412FC5"/>
    <w:rsid w:val="00413F36"/>
    <w:rsid w:val="00422270"/>
    <w:rsid w:val="00422276"/>
    <w:rsid w:val="004242F1"/>
    <w:rsid w:val="0042432B"/>
    <w:rsid w:val="00430620"/>
    <w:rsid w:val="00431BF2"/>
    <w:rsid w:val="00433D95"/>
    <w:rsid w:val="00440D17"/>
    <w:rsid w:val="004412DC"/>
    <w:rsid w:val="0044571B"/>
    <w:rsid w:val="00445A00"/>
    <w:rsid w:val="00446F14"/>
    <w:rsid w:val="00447598"/>
    <w:rsid w:val="00451B0F"/>
    <w:rsid w:val="00453FF1"/>
    <w:rsid w:val="0046407C"/>
    <w:rsid w:val="0046477F"/>
    <w:rsid w:val="00465896"/>
    <w:rsid w:val="00471790"/>
    <w:rsid w:val="004810EE"/>
    <w:rsid w:val="00481DD0"/>
    <w:rsid w:val="00490F7F"/>
    <w:rsid w:val="0049479B"/>
    <w:rsid w:val="004A4379"/>
    <w:rsid w:val="004B30EA"/>
    <w:rsid w:val="004B35AF"/>
    <w:rsid w:val="004B691C"/>
    <w:rsid w:val="004B7012"/>
    <w:rsid w:val="004C0E7E"/>
    <w:rsid w:val="004C2EE3"/>
    <w:rsid w:val="004D3C6A"/>
    <w:rsid w:val="004E4A22"/>
    <w:rsid w:val="004F4D11"/>
    <w:rsid w:val="004F4D56"/>
    <w:rsid w:val="00503655"/>
    <w:rsid w:val="00504672"/>
    <w:rsid w:val="00505710"/>
    <w:rsid w:val="0050667B"/>
    <w:rsid w:val="00511968"/>
    <w:rsid w:val="00511C90"/>
    <w:rsid w:val="0052603B"/>
    <w:rsid w:val="0053298C"/>
    <w:rsid w:val="00537BD6"/>
    <w:rsid w:val="00540DA6"/>
    <w:rsid w:val="00541385"/>
    <w:rsid w:val="00547527"/>
    <w:rsid w:val="00553E14"/>
    <w:rsid w:val="00553FC2"/>
    <w:rsid w:val="0055614C"/>
    <w:rsid w:val="00556E77"/>
    <w:rsid w:val="00563BC9"/>
    <w:rsid w:val="00566D06"/>
    <w:rsid w:val="00573FFC"/>
    <w:rsid w:val="0057749E"/>
    <w:rsid w:val="00581D3E"/>
    <w:rsid w:val="00595D85"/>
    <w:rsid w:val="005A4D87"/>
    <w:rsid w:val="005B0485"/>
    <w:rsid w:val="005B4905"/>
    <w:rsid w:val="005B5791"/>
    <w:rsid w:val="005B7F04"/>
    <w:rsid w:val="005C2209"/>
    <w:rsid w:val="005C3464"/>
    <w:rsid w:val="005D6746"/>
    <w:rsid w:val="005E14C2"/>
    <w:rsid w:val="005E1FDE"/>
    <w:rsid w:val="005F0E03"/>
    <w:rsid w:val="005F282C"/>
    <w:rsid w:val="00600AB4"/>
    <w:rsid w:val="00603561"/>
    <w:rsid w:val="00607BA5"/>
    <w:rsid w:val="0061097A"/>
    <w:rsid w:val="0061180A"/>
    <w:rsid w:val="0062230F"/>
    <w:rsid w:val="00626DAA"/>
    <w:rsid w:val="00626EB6"/>
    <w:rsid w:val="00636C51"/>
    <w:rsid w:val="00650B53"/>
    <w:rsid w:val="00655ACE"/>
    <w:rsid w:val="00655D03"/>
    <w:rsid w:val="006608B4"/>
    <w:rsid w:val="00663F5C"/>
    <w:rsid w:val="00664BAE"/>
    <w:rsid w:val="006801A0"/>
    <w:rsid w:val="00683388"/>
    <w:rsid w:val="00683723"/>
    <w:rsid w:val="00683F84"/>
    <w:rsid w:val="006A0BEA"/>
    <w:rsid w:val="006A60D5"/>
    <w:rsid w:val="006A6A81"/>
    <w:rsid w:val="006A7BD1"/>
    <w:rsid w:val="006B0B35"/>
    <w:rsid w:val="006B42CE"/>
    <w:rsid w:val="006B60FC"/>
    <w:rsid w:val="006C18EB"/>
    <w:rsid w:val="006C4A34"/>
    <w:rsid w:val="006D4C7A"/>
    <w:rsid w:val="006E735B"/>
    <w:rsid w:val="006E7EB5"/>
    <w:rsid w:val="006F2A16"/>
    <w:rsid w:val="006F3D33"/>
    <w:rsid w:val="006F7393"/>
    <w:rsid w:val="006F7D37"/>
    <w:rsid w:val="0070224F"/>
    <w:rsid w:val="00702C1A"/>
    <w:rsid w:val="00705F9C"/>
    <w:rsid w:val="00710DF1"/>
    <w:rsid w:val="007115F7"/>
    <w:rsid w:val="00712A98"/>
    <w:rsid w:val="007135F7"/>
    <w:rsid w:val="00713C38"/>
    <w:rsid w:val="007143AC"/>
    <w:rsid w:val="007170FF"/>
    <w:rsid w:val="00721E33"/>
    <w:rsid w:val="00731630"/>
    <w:rsid w:val="00743676"/>
    <w:rsid w:val="0074666D"/>
    <w:rsid w:val="00753C45"/>
    <w:rsid w:val="0075574D"/>
    <w:rsid w:val="00762D8E"/>
    <w:rsid w:val="00767221"/>
    <w:rsid w:val="00770F52"/>
    <w:rsid w:val="00773331"/>
    <w:rsid w:val="00785689"/>
    <w:rsid w:val="00787F68"/>
    <w:rsid w:val="007967CC"/>
    <w:rsid w:val="0079754B"/>
    <w:rsid w:val="007A1E6D"/>
    <w:rsid w:val="007A3CC1"/>
    <w:rsid w:val="007B0EB2"/>
    <w:rsid w:val="007B1D07"/>
    <w:rsid w:val="007C6043"/>
    <w:rsid w:val="007C6076"/>
    <w:rsid w:val="007D0E97"/>
    <w:rsid w:val="007D504D"/>
    <w:rsid w:val="007F5303"/>
    <w:rsid w:val="008049A8"/>
    <w:rsid w:val="00810A28"/>
    <w:rsid w:val="00810B6F"/>
    <w:rsid w:val="00822CE0"/>
    <w:rsid w:val="008338F6"/>
    <w:rsid w:val="00841AB1"/>
    <w:rsid w:val="00842EE8"/>
    <w:rsid w:val="008561FC"/>
    <w:rsid w:val="00856F96"/>
    <w:rsid w:val="00862C04"/>
    <w:rsid w:val="00862C7D"/>
    <w:rsid w:val="008642E2"/>
    <w:rsid w:val="00870D02"/>
    <w:rsid w:val="0087629E"/>
    <w:rsid w:val="008762E9"/>
    <w:rsid w:val="00887CCD"/>
    <w:rsid w:val="008A0535"/>
    <w:rsid w:val="008A3F25"/>
    <w:rsid w:val="008C0C80"/>
    <w:rsid w:val="008C68F1"/>
    <w:rsid w:val="008D30C5"/>
    <w:rsid w:val="008D7515"/>
    <w:rsid w:val="008E5CD8"/>
    <w:rsid w:val="008F5600"/>
    <w:rsid w:val="009002F1"/>
    <w:rsid w:val="00910EC5"/>
    <w:rsid w:val="009111E8"/>
    <w:rsid w:val="00913B3D"/>
    <w:rsid w:val="00921803"/>
    <w:rsid w:val="00926503"/>
    <w:rsid w:val="00940218"/>
    <w:rsid w:val="00953833"/>
    <w:rsid w:val="00957F4D"/>
    <w:rsid w:val="00960C4F"/>
    <w:rsid w:val="009726D8"/>
    <w:rsid w:val="00972E77"/>
    <w:rsid w:val="0097716D"/>
    <w:rsid w:val="009866A4"/>
    <w:rsid w:val="00987F23"/>
    <w:rsid w:val="00991446"/>
    <w:rsid w:val="009A1484"/>
    <w:rsid w:val="009A2DEF"/>
    <w:rsid w:val="009A400A"/>
    <w:rsid w:val="009A5FF8"/>
    <w:rsid w:val="009A621D"/>
    <w:rsid w:val="009A65BD"/>
    <w:rsid w:val="009C4B9E"/>
    <w:rsid w:val="009C5E1D"/>
    <w:rsid w:val="009D269D"/>
    <w:rsid w:val="009D7308"/>
    <w:rsid w:val="009F6FD8"/>
    <w:rsid w:val="009F76DB"/>
    <w:rsid w:val="00A02418"/>
    <w:rsid w:val="00A07E12"/>
    <w:rsid w:val="00A12634"/>
    <w:rsid w:val="00A1359E"/>
    <w:rsid w:val="00A20B95"/>
    <w:rsid w:val="00A26FDB"/>
    <w:rsid w:val="00A2771E"/>
    <w:rsid w:val="00A32C3B"/>
    <w:rsid w:val="00A34C12"/>
    <w:rsid w:val="00A35413"/>
    <w:rsid w:val="00A40554"/>
    <w:rsid w:val="00A40AD0"/>
    <w:rsid w:val="00A45F4F"/>
    <w:rsid w:val="00A46FAE"/>
    <w:rsid w:val="00A52908"/>
    <w:rsid w:val="00A53FAF"/>
    <w:rsid w:val="00A600A9"/>
    <w:rsid w:val="00A61051"/>
    <w:rsid w:val="00A7009C"/>
    <w:rsid w:val="00A7120F"/>
    <w:rsid w:val="00A80BDA"/>
    <w:rsid w:val="00A811FA"/>
    <w:rsid w:val="00A83757"/>
    <w:rsid w:val="00AA55B7"/>
    <w:rsid w:val="00AA5B9E"/>
    <w:rsid w:val="00AB0947"/>
    <w:rsid w:val="00AB2407"/>
    <w:rsid w:val="00AB38FE"/>
    <w:rsid w:val="00AB53DF"/>
    <w:rsid w:val="00AB57DA"/>
    <w:rsid w:val="00AB6476"/>
    <w:rsid w:val="00AC2D7D"/>
    <w:rsid w:val="00AC2DD4"/>
    <w:rsid w:val="00AC6215"/>
    <w:rsid w:val="00AE2D78"/>
    <w:rsid w:val="00AE4BAF"/>
    <w:rsid w:val="00AE72A8"/>
    <w:rsid w:val="00AF0B21"/>
    <w:rsid w:val="00AF227F"/>
    <w:rsid w:val="00AF3D38"/>
    <w:rsid w:val="00B067B6"/>
    <w:rsid w:val="00B07E5C"/>
    <w:rsid w:val="00B24B26"/>
    <w:rsid w:val="00B40D6E"/>
    <w:rsid w:val="00B43A70"/>
    <w:rsid w:val="00B47C4A"/>
    <w:rsid w:val="00B520EB"/>
    <w:rsid w:val="00B529DB"/>
    <w:rsid w:val="00B57DC5"/>
    <w:rsid w:val="00B61A54"/>
    <w:rsid w:val="00B679F1"/>
    <w:rsid w:val="00B811F7"/>
    <w:rsid w:val="00B8495F"/>
    <w:rsid w:val="00B86ED4"/>
    <w:rsid w:val="00B8718C"/>
    <w:rsid w:val="00B92BD3"/>
    <w:rsid w:val="00BA5DC6"/>
    <w:rsid w:val="00BA6196"/>
    <w:rsid w:val="00BB1F61"/>
    <w:rsid w:val="00BB563D"/>
    <w:rsid w:val="00BB5E1D"/>
    <w:rsid w:val="00BC6D8C"/>
    <w:rsid w:val="00BD3CD6"/>
    <w:rsid w:val="00BE4786"/>
    <w:rsid w:val="00BE662A"/>
    <w:rsid w:val="00BF5C1D"/>
    <w:rsid w:val="00C029B2"/>
    <w:rsid w:val="00C029FB"/>
    <w:rsid w:val="00C02ABB"/>
    <w:rsid w:val="00C13DEA"/>
    <w:rsid w:val="00C26A03"/>
    <w:rsid w:val="00C27B19"/>
    <w:rsid w:val="00C34006"/>
    <w:rsid w:val="00C36B4C"/>
    <w:rsid w:val="00C426B1"/>
    <w:rsid w:val="00C42763"/>
    <w:rsid w:val="00C52B42"/>
    <w:rsid w:val="00C53A45"/>
    <w:rsid w:val="00C53E1F"/>
    <w:rsid w:val="00C573FF"/>
    <w:rsid w:val="00C61CB8"/>
    <w:rsid w:val="00C61D84"/>
    <w:rsid w:val="00C631C0"/>
    <w:rsid w:val="00C63222"/>
    <w:rsid w:val="00C64401"/>
    <w:rsid w:val="00C66160"/>
    <w:rsid w:val="00C721AC"/>
    <w:rsid w:val="00C73E1C"/>
    <w:rsid w:val="00C75785"/>
    <w:rsid w:val="00C81DB0"/>
    <w:rsid w:val="00C820BE"/>
    <w:rsid w:val="00C82698"/>
    <w:rsid w:val="00C90D6A"/>
    <w:rsid w:val="00C912F2"/>
    <w:rsid w:val="00C94A28"/>
    <w:rsid w:val="00CA247E"/>
    <w:rsid w:val="00CA6D21"/>
    <w:rsid w:val="00CB1BA6"/>
    <w:rsid w:val="00CB2315"/>
    <w:rsid w:val="00CC2241"/>
    <w:rsid w:val="00CC72B6"/>
    <w:rsid w:val="00CD4E5F"/>
    <w:rsid w:val="00CD7225"/>
    <w:rsid w:val="00CE7532"/>
    <w:rsid w:val="00CF021F"/>
    <w:rsid w:val="00CF0B18"/>
    <w:rsid w:val="00CF2533"/>
    <w:rsid w:val="00CF56A8"/>
    <w:rsid w:val="00D0218D"/>
    <w:rsid w:val="00D171C1"/>
    <w:rsid w:val="00D25FB5"/>
    <w:rsid w:val="00D26308"/>
    <w:rsid w:val="00D2667A"/>
    <w:rsid w:val="00D31C28"/>
    <w:rsid w:val="00D36FF9"/>
    <w:rsid w:val="00D423B0"/>
    <w:rsid w:val="00D42B3B"/>
    <w:rsid w:val="00D44223"/>
    <w:rsid w:val="00D5367E"/>
    <w:rsid w:val="00D55DAF"/>
    <w:rsid w:val="00D57BEE"/>
    <w:rsid w:val="00D64CDA"/>
    <w:rsid w:val="00D64E57"/>
    <w:rsid w:val="00D666C8"/>
    <w:rsid w:val="00D66DD6"/>
    <w:rsid w:val="00D72354"/>
    <w:rsid w:val="00D74CC9"/>
    <w:rsid w:val="00D8049E"/>
    <w:rsid w:val="00D91495"/>
    <w:rsid w:val="00D9349C"/>
    <w:rsid w:val="00D972A2"/>
    <w:rsid w:val="00DA04C7"/>
    <w:rsid w:val="00DA2529"/>
    <w:rsid w:val="00DA6849"/>
    <w:rsid w:val="00DB130A"/>
    <w:rsid w:val="00DB2286"/>
    <w:rsid w:val="00DB2EBB"/>
    <w:rsid w:val="00DB56D6"/>
    <w:rsid w:val="00DC10A1"/>
    <w:rsid w:val="00DC4C63"/>
    <w:rsid w:val="00DC655F"/>
    <w:rsid w:val="00DC7C49"/>
    <w:rsid w:val="00DD0B59"/>
    <w:rsid w:val="00DD6C3D"/>
    <w:rsid w:val="00DD728C"/>
    <w:rsid w:val="00DD7E8F"/>
    <w:rsid w:val="00DD7EBD"/>
    <w:rsid w:val="00DF62B6"/>
    <w:rsid w:val="00E01AAB"/>
    <w:rsid w:val="00E020A5"/>
    <w:rsid w:val="00E07225"/>
    <w:rsid w:val="00E07BBB"/>
    <w:rsid w:val="00E12786"/>
    <w:rsid w:val="00E168EE"/>
    <w:rsid w:val="00E23B79"/>
    <w:rsid w:val="00E23D51"/>
    <w:rsid w:val="00E24E97"/>
    <w:rsid w:val="00E41164"/>
    <w:rsid w:val="00E4322E"/>
    <w:rsid w:val="00E4519B"/>
    <w:rsid w:val="00E4654F"/>
    <w:rsid w:val="00E4775B"/>
    <w:rsid w:val="00E521FC"/>
    <w:rsid w:val="00E53B67"/>
    <w:rsid w:val="00E5409F"/>
    <w:rsid w:val="00E55CA4"/>
    <w:rsid w:val="00E700E1"/>
    <w:rsid w:val="00E716DE"/>
    <w:rsid w:val="00E721CC"/>
    <w:rsid w:val="00E73584"/>
    <w:rsid w:val="00E74B25"/>
    <w:rsid w:val="00E771A2"/>
    <w:rsid w:val="00E77E92"/>
    <w:rsid w:val="00E85474"/>
    <w:rsid w:val="00E863B4"/>
    <w:rsid w:val="00E96CE8"/>
    <w:rsid w:val="00EC73EC"/>
    <w:rsid w:val="00ED20BA"/>
    <w:rsid w:val="00EE3D28"/>
    <w:rsid w:val="00EE54B4"/>
    <w:rsid w:val="00EE6488"/>
    <w:rsid w:val="00EE66C9"/>
    <w:rsid w:val="00EE6BC8"/>
    <w:rsid w:val="00EF0109"/>
    <w:rsid w:val="00EF47D7"/>
    <w:rsid w:val="00F00C61"/>
    <w:rsid w:val="00F021FA"/>
    <w:rsid w:val="00F03E36"/>
    <w:rsid w:val="00F04C39"/>
    <w:rsid w:val="00F135C7"/>
    <w:rsid w:val="00F1542D"/>
    <w:rsid w:val="00F23B4B"/>
    <w:rsid w:val="00F32824"/>
    <w:rsid w:val="00F33A59"/>
    <w:rsid w:val="00F60863"/>
    <w:rsid w:val="00F62E97"/>
    <w:rsid w:val="00F64209"/>
    <w:rsid w:val="00F70083"/>
    <w:rsid w:val="00F738BD"/>
    <w:rsid w:val="00F9325F"/>
    <w:rsid w:val="00F93BF5"/>
    <w:rsid w:val="00F9558D"/>
    <w:rsid w:val="00FA212D"/>
    <w:rsid w:val="00FC0289"/>
    <w:rsid w:val="00FE360C"/>
    <w:rsid w:val="00FE5A80"/>
    <w:rsid w:val="00FF09FE"/>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A03"/>
    <w:pPr>
      <w:widowControl w:val="0"/>
    </w:pPr>
    <w:rPr>
      <w:snapToGrid w:val="0"/>
      <w:kern w:val="28"/>
      <w:sz w:val="22"/>
    </w:rPr>
  </w:style>
  <w:style w:type="paragraph" w:styleId="Heading1">
    <w:name w:val="heading 1"/>
    <w:basedOn w:val="Normal"/>
    <w:next w:val="ParaNum"/>
    <w:qFormat/>
    <w:rsid w:val="00C26A0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26A03"/>
    <w:pPr>
      <w:keepNext/>
      <w:numPr>
        <w:ilvl w:val="1"/>
        <w:numId w:val="3"/>
      </w:numPr>
      <w:spacing w:after="120"/>
      <w:outlineLvl w:val="1"/>
    </w:pPr>
    <w:rPr>
      <w:b/>
    </w:rPr>
  </w:style>
  <w:style w:type="paragraph" w:styleId="Heading3">
    <w:name w:val="heading 3"/>
    <w:basedOn w:val="Normal"/>
    <w:next w:val="ParaNum"/>
    <w:qFormat/>
    <w:rsid w:val="00C26A03"/>
    <w:pPr>
      <w:keepNext/>
      <w:numPr>
        <w:ilvl w:val="2"/>
        <w:numId w:val="3"/>
      </w:numPr>
      <w:tabs>
        <w:tab w:val="left" w:pos="2160"/>
      </w:tabs>
      <w:spacing w:after="120"/>
      <w:outlineLvl w:val="2"/>
    </w:pPr>
    <w:rPr>
      <w:b/>
    </w:rPr>
  </w:style>
  <w:style w:type="paragraph" w:styleId="Heading4">
    <w:name w:val="heading 4"/>
    <w:basedOn w:val="Normal"/>
    <w:next w:val="ParaNum"/>
    <w:qFormat/>
    <w:rsid w:val="00C26A03"/>
    <w:pPr>
      <w:keepNext/>
      <w:numPr>
        <w:ilvl w:val="3"/>
        <w:numId w:val="3"/>
      </w:numPr>
      <w:tabs>
        <w:tab w:val="left" w:pos="2880"/>
      </w:tabs>
      <w:spacing w:after="120"/>
      <w:outlineLvl w:val="3"/>
    </w:pPr>
    <w:rPr>
      <w:b/>
    </w:rPr>
  </w:style>
  <w:style w:type="paragraph" w:styleId="Heading5">
    <w:name w:val="heading 5"/>
    <w:basedOn w:val="Normal"/>
    <w:next w:val="ParaNum"/>
    <w:qFormat/>
    <w:rsid w:val="00C26A0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26A03"/>
    <w:pPr>
      <w:numPr>
        <w:ilvl w:val="5"/>
        <w:numId w:val="3"/>
      </w:numPr>
      <w:tabs>
        <w:tab w:val="left" w:pos="4320"/>
      </w:tabs>
      <w:spacing w:after="120"/>
      <w:outlineLvl w:val="5"/>
    </w:pPr>
    <w:rPr>
      <w:b/>
    </w:rPr>
  </w:style>
  <w:style w:type="paragraph" w:styleId="Heading7">
    <w:name w:val="heading 7"/>
    <w:basedOn w:val="Normal"/>
    <w:next w:val="ParaNum"/>
    <w:qFormat/>
    <w:rsid w:val="00C26A0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26A0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26A0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26A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6A03"/>
  </w:style>
  <w:style w:type="paragraph" w:customStyle="1" w:styleId="ParaNum">
    <w:name w:val="ParaNum"/>
    <w:basedOn w:val="Normal"/>
    <w:link w:val="ParaNumChar"/>
    <w:rsid w:val="00C26A03"/>
    <w:pPr>
      <w:numPr>
        <w:numId w:val="2"/>
      </w:numPr>
      <w:tabs>
        <w:tab w:val="clear" w:pos="1080"/>
        <w:tab w:val="num" w:pos="1440"/>
      </w:tabs>
      <w:spacing w:after="120"/>
    </w:pPr>
  </w:style>
  <w:style w:type="paragraph" w:styleId="EndnoteText">
    <w:name w:val="endnote text"/>
    <w:basedOn w:val="Normal"/>
    <w:semiHidden/>
    <w:rsid w:val="00C26A03"/>
    <w:rPr>
      <w:sz w:val="20"/>
    </w:rPr>
  </w:style>
  <w:style w:type="character" w:styleId="EndnoteReference">
    <w:name w:val="endnote reference"/>
    <w:semiHidden/>
    <w:rsid w:val="00C26A03"/>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C26A0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26A03"/>
    <w:rPr>
      <w:rFonts w:ascii="Times New Roman" w:hAnsi="Times New Roman"/>
      <w:dstrike w:val="0"/>
      <w:color w:val="auto"/>
      <w:sz w:val="20"/>
      <w:vertAlign w:val="superscript"/>
    </w:rPr>
  </w:style>
  <w:style w:type="paragraph" w:styleId="TOC1">
    <w:name w:val="toc 1"/>
    <w:basedOn w:val="Normal"/>
    <w:next w:val="Normal"/>
    <w:semiHidden/>
    <w:rsid w:val="00C26A0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26A03"/>
    <w:pPr>
      <w:tabs>
        <w:tab w:val="left" w:pos="720"/>
        <w:tab w:val="right" w:leader="dot" w:pos="9360"/>
      </w:tabs>
      <w:suppressAutoHyphens/>
      <w:ind w:left="720" w:right="720" w:hanging="360"/>
    </w:pPr>
    <w:rPr>
      <w:noProof/>
    </w:rPr>
  </w:style>
  <w:style w:type="paragraph" w:styleId="TOC3">
    <w:name w:val="toc 3"/>
    <w:basedOn w:val="Normal"/>
    <w:next w:val="Normal"/>
    <w:semiHidden/>
    <w:rsid w:val="00C26A0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6A0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6A0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6A0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6A0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6A0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6A0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26A03"/>
    <w:pPr>
      <w:tabs>
        <w:tab w:val="right" w:pos="9360"/>
      </w:tabs>
      <w:suppressAutoHyphens/>
    </w:pPr>
  </w:style>
  <w:style w:type="character" w:customStyle="1" w:styleId="EquationCaption">
    <w:name w:val="_Equation Caption"/>
    <w:rsid w:val="00C26A03"/>
  </w:style>
  <w:style w:type="paragraph" w:styleId="Header">
    <w:name w:val="header"/>
    <w:basedOn w:val="Normal"/>
    <w:autoRedefine/>
    <w:rsid w:val="00C26A03"/>
    <w:pPr>
      <w:tabs>
        <w:tab w:val="center" w:pos="4680"/>
        <w:tab w:val="right" w:pos="9360"/>
      </w:tabs>
    </w:pPr>
    <w:rPr>
      <w:b/>
    </w:rPr>
  </w:style>
  <w:style w:type="paragraph" w:styleId="Footer">
    <w:name w:val="footer"/>
    <w:basedOn w:val="Normal"/>
    <w:link w:val="FooterChar"/>
    <w:uiPriority w:val="99"/>
    <w:rsid w:val="00C26A03"/>
    <w:pPr>
      <w:tabs>
        <w:tab w:val="center" w:pos="4320"/>
        <w:tab w:val="right" w:pos="8640"/>
      </w:tabs>
    </w:pPr>
  </w:style>
  <w:style w:type="character" w:styleId="PageNumber">
    <w:name w:val="page number"/>
    <w:basedOn w:val="DefaultParagraphFont"/>
    <w:rsid w:val="00C26A03"/>
  </w:style>
  <w:style w:type="paragraph" w:styleId="BlockText">
    <w:name w:val="Block Text"/>
    <w:basedOn w:val="Normal"/>
    <w:rsid w:val="00C26A03"/>
    <w:pPr>
      <w:spacing w:after="240"/>
      <w:ind w:left="1440" w:right="1440"/>
    </w:pPr>
  </w:style>
  <w:style w:type="paragraph" w:customStyle="1" w:styleId="Paratitle">
    <w:name w:val="Para title"/>
    <w:basedOn w:val="Normal"/>
    <w:rsid w:val="00C26A03"/>
    <w:pPr>
      <w:tabs>
        <w:tab w:val="center" w:pos="9270"/>
      </w:tabs>
      <w:spacing w:after="240"/>
    </w:pPr>
    <w:rPr>
      <w:spacing w:val="-2"/>
    </w:rPr>
  </w:style>
  <w:style w:type="paragraph" w:customStyle="1" w:styleId="Bullet">
    <w:name w:val="Bullet"/>
    <w:basedOn w:val="Normal"/>
    <w:rsid w:val="00C26A03"/>
    <w:pPr>
      <w:tabs>
        <w:tab w:val="left" w:pos="2160"/>
      </w:tabs>
      <w:spacing w:after="220"/>
      <w:ind w:left="2160" w:hanging="720"/>
    </w:pPr>
  </w:style>
  <w:style w:type="paragraph" w:customStyle="1" w:styleId="TableFormat">
    <w:name w:val="TableFormat"/>
    <w:basedOn w:val="Bullet"/>
    <w:rsid w:val="00C26A03"/>
    <w:pPr>
      <w:tabs>
        <w:tab w:val="clear" w:pos="2160"/>
        <w:tab w:val="left" w:pos="5040"/>
      </w:tabs>
      <w:ind w:left="5040" w:hanging="3600"/>
    </w:pPr>
  </w:style>
  <w:style w:type="paragraph" w:customStyle="1" w:styleId="TOCTitle">
    <w:name w:val="TOC Title"/>
    <w:basedOn w:val="Normal"/>
    <w:rsid w:val="00C26A0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6A03"/>
    <w:pPr>
      <w:jc w:val="center"/>
    </w:pPr>
    <w:rPr>
      <w:rFonts w:ascii="Times New Roman Bold" w:hAnsi="Times New Roman Bold"/>
      <w:b/>
      <w:bCs/>
      <w:caps/>
      <w:szCs w:val="22"/>
    </w:rPr>
  </w:style>
  <w:style w:type="character" w:styleId="Hyperlink">
    <w:name w:val="Hyperlink"/>
    <w:rsid w:val="00C26A03"/>
    <w:rPr>
      <w:color w:val="0000FF"/>
      <w:u w:val="single"/>
    </w:rPr>
  </w:style>
  <w:style w:type="character" w:customStyle="1" w:styleId="FooterChar">
    <w:name w:val="Footer Char"/>
    <w:link w:val="Footer"/>
    <w:uiPriority w:val="99"/>
    <w:rsid w:val="00C26A03"/>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styleId="UnresolvedMention">
    <w:name w:val="Unresolved Mention"/>
    <w:basedOn w:val="DefaultParagraphFont"/>
    <w:rsid w:val="001A2A87"/>
    <w:rPr>
      <w:color w:val="605E5C"/>
      <w:shd w:val="clear" w:color="auto" w:fill="E1DFDD"/>
    </w:rPr>
  </w:style>
  <w:style w:type="paragraph" w:styleId="Revision">
    <w:name w:val="Revision"/>
    <w:hidden/>
    <w:uiPriority w:val="99"/>
    <w:semiHidden/>
    <w:rsid w:val="00C53A45"/>
    <w:rPr>
      <w:snapToGrid w:val="0"/>
      <w:kern w:val="28"/>
      <w:sz w:val="22"/>
    </w:rPr>
  </w:style>
  <w:style w:type="paragraph" w:styleId="ListParagraph">
    <w:name w:val="List Paragraph"/>
    <w:basedOn w:val="Normal"/>
    <w:uiPriority w:val="34"/>
    <w:qFormat/>
    <w:rsid w:val="0085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mailto:ARINQUIRIES@fcc.gov" TargetMode="External" /><Relationship Id="rId7" Type="http://schemas.openxmlformats.org/officeDocument/2006/relationships/hyperlink" Target="mailto:Heather.Dix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