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BC69A1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135CB9" w14:textId="77777777">
      <w:pPr>
        <w:pStyle w:val="StyleBoldCentered"/>
      </w:pPr>
      <w:r>
        <w:t>F</w:t>
      </w:r>
      <w:r>
        <w:rPr>
          <w:caps w:val="0"/>
        </w:rPr>
        <w:t>ederal Communications Commission</w:t>
      </w:r>
    </w:p>
    <w:p w:rsidR="004C2EE3" w:rsidP="00096D8C" w14:paraId="5AD8F5AE" w14:textId="77777777">
      <w:pPr>
        <w:pStyle w:val="StyleBoldCentered"/>
      </w:pPr>
      <w:r>
        <w:rPr>
          <w:caps w:val="0"/>
        </w:rPr>
        <w:t>Washington, D.C. 20554</w:t>
      </w:r>
    </w:p>
    <w:p w:rsidR="004C2EE3" w:rsidP="0070224F" w14:paraId="5055F132" w14:textId="77777777"/>
    <w:p w:rsidR="004C2EE3" w:rsidP="0070224F" w14:paraId="0C12F4F7" w14:textId="77777777"/>
    <w:tbl>
      <w:tblPr>
        <w:tblW w:w="0" w:type="auto"/>
        <w:tblLayout w:type="fixed"/>
        <w:tblLook w:val="0000"/>
      </w:tblPr>
      <w:tblGrid>
        <w:gridCol w:w="4698"/>
        <w:gridCol w:w="630"/>
        <w:gridCol w:w="4248"/>
      </w:tblGrid>
      <w:tr w14:paraId="402546FE" w14:textId="77777777">
        <w:tblPrEx>
          <w:tblW w:w="0" w:type="auto"/>
          <w:tblLayout w:type="fixed"/>
          <w:tblLook w:val="0000"/>
        </w:tblPrEx>
        <w:tc>
          <w:tcPr>
            <w:tcW w:w="4698" w:type="dxa"/>
          </w:tcPr>
          <w:p w:rsidR="00932D0D" w:rsidRPr="00E67E71" w:rsidP="00932D0D" w14:paraId="23B71CEE" w14:textId="77777777">
            <w:pPr>
              <w:tabs>
                <w:tab w:val="center" w:pos="4680"/>
              </w:tabs>
              <w:suppressAutoHyphens/>
              <w:rPr>
                <w:spacing w:val="-2"/>
                <w:szCs w:val="22"/>
              </w:rPr>
            </w:pPr>
            <w:r w:rsidRPr="00E67E71">
              <w:rPr>
                <w:spacing w:val="-2"/>
                <w:szCs w:val="22"/>
              </w:rPr>
              <w:t>In the Matter of</w:t>
            </w:r>
          </w:p>
          <w:p w:rsidR="00932D0D" w:rsidRPr="00E67E71" w:rsidP="00932D0D" w14:paraId="42DD9C5F" w14:textId="77777777">
            <w:pPr>
              <w:tabs>
                <w:tab w:val="center" w:pos="4680"/>
              </w:tabs>
              <w:suppressAutoHyphens/>
              <w:rPr>
                <w:spacing w:val="-2"/>
                <w:szCs w:val="22"/>
              </w:rPr>
            </w:pPr>
          </w:p>
          <w:p w:rsidR="00932D0D" w:rsidRPr="007115F7" w:rsidP="00203836" w14:paraId="5FC637CF" w14:textId="443D6F98">
            <w:pPr>
              <w:tabs>
                <w:tab w:val="center" w:pos="4680"/>
              </w:tabs>
              <w:suppressAutoHyphens/>
              <w:rPr>
                <w:spacing w:val="-2"/>
              </w:rPr>
            </w:pPr>
            <w:r>
              <w:rPr>
                <w:color w:val="000000"/>
                <w:kern w:val="1"/>
                <w:szCs w:val="22"/>
              </w:rPr>
              <w:t>Targeting and Eliminating Unlawful Text Messages</w:t>
            </w:r>
          </w:p>
        </w:tc>
        <w:tc>
          <w:tcPr>
            <w:tcW w:w="630" w:type="dxa"/>
          </w:tcPr>
          <w:p w:rsidR="00932D0D" w:rsidRPr="00E67E71" w:rsidP="00932D0D" w14:paraId="392AF2EB" w14:textId="77777777">
            <w:pPr>
              <w:tabs>
                <w:tab w:val="center" w:pos="4680"/>
              </w:tabs>
              <w:suppressAutoHyphens/>
              <w:rPr>
                <w:b/>
                <w:spacing w:val="-2"/>
                <w:szCs w:val="22"/>
              </w:rPr>
            </w:pPr>
            <w:r w:rsidRPr="00E67E71">
              <w:rPr>
                <w:b/>
                <w:spacing w:val="-2"/>
                <w:szCs w:val="22"/>
              </w:rPr>
              <w:t>)</w:t>
            </w:r>
          </w:p>
          <w:p w:rsidR="00932D0D" w:rsidRPr="00E67E71" w:rsidP="00932D0D" w14:paraId="3FB5FA9C" w14:textId="77777777">
            <w:pPr>
              <w:tabs>
                <w:tab w:val="center" w:pos="4680"/>
              </w:tabs>
              <w:suppressAutoHyphens/>
              <w:rPr>
                <w:b/>
                <w:spacing w:val="-2"/>
                <w:szCs w:val="22"/>
              </w:rPr>
            </w:pPr>
            <w:r w:rsidRPr="00E67E71">
              <w:rPr>
                <w:b/>
                <w:spacing w:val="-2"/>
                <w:szCs w:val="22"/>
              </w:rPr>
              <w:t>)</w:t>
            </w:r>
          </w:p>
          <w:p w:rsidR="00932D0D" w:rsidRPr="00E67E71" w:rsidP="00932D0D" w14:paraId="435C1953" w14:textId="77777777">
            <w:pPr>
              <w:tabs>
                <w:tab w:val="center" w:pos="4680"/>
              </w:tabs>
              <w:suppressAutoHyphens/>
              <w:rPr>
                <w:b/>
                <w:spacing w:val="-2"/>
                <w:szCs w:val="22"/>
              </w:rPr>
            </w:pPr>
            <w:r w:rsidRPr="00E67E71">
              <w:rPr>
                <w:b/>
                <w:spacing w:val="-2"/>
                <w:szCs w:val="22"/>
              </w:rPr>
              <w:t>)</w:t>
            </w:r>
          </w:p>
          <w:p w:rsidR="00932D0D" w:rsidRPr="00E67E71" w:rsidP="00932D0D" w14:paraId="3F445926" w14:textId="77777777">
            <w:pPr>
              <w:tabs>
                <w:tab w:val="center" w:pos="4680"/>
              </w:tabs>
              <w:suppressAutoHyphens/>
              <w:rPr>
                <w:b/>
                <w:spacing w:val="-2"/>
                <w:szCs w:val="22"/>
              </w:rPr>
            </w:pPr>
            <w:r w:rsidRPr="00E67E71">
              <w:rPr>
                <w:b/>
                <w:spacing w:val="-2"/>
                <w:szCs w:val="22"/>
              </w:rPr>
              <w:t>)</w:t>
            </w:r>
          </w:p>
          <w:p w:rsidR="00932D0D" w:rsidRPr="00E67E71" w:rsidP="00932D0D" w14:paraId="3C1CD209" w14:textId="77777777">
            <w:pPr>
              <w:tabs>
                <w:tab w:val="center" w:pos="4680"/>
              </w:tabs>
              <w:suppressAutoHyphens/>
              <w:rPr>
                <w:b/>
                <w:spacing w:val="-2"/>
                <w:szCs w:val="22"/>
              </w:rPr>
            </w:pPr>
            <w:r w:rsidRPr="00E67E71">
              <w:rPr>
                <w:b/>
                <w:spacing w:val="-2"/>
                <w:szCs w:val="22"/>
              </w:rPr>
              <w:t>)</w:t>
            </w:r>
          </w:p>
          <w:p w:rsidR="00932D0D" w:rsidP="00932D0D" w14:paraId="2FE76C30" w14:textId="38B264D5">
            <w:pPr>
              <w:tabs>
                <w:tab w:val="center" w:pos="4680"/>
              </w:tabs>
              <w:suppressAutoHyphens/>
              <w:rPr>
                <w:spacing w:val="-2"/>
              </w:rPr>
            </w:pPr>
            <w:r w:rsidRPr="00E67E71">
              <w:rPr>
                <w:b/>
                <w:spacing w:val="-2"/>
                <w:szCs w:val="22"/>
              </w:rPr>
              <w:t>)</w:t>
            </w:r>
          </w:p>
        </w:tc>
        <w:tc>
          <w:tcPr>
            <w:tcW w:w="4248" w:type="dxa"/>
          </w:tcPr>
          <w:p w:rsidR="00932D0D" w:rsidRPr="00E67E71" w:rsidP="00932D0D" w14:paraId="731C6F48" w14:textId="77777777">
            <w:pPr>
              <w:tabs>
                <w:tab w:val="center" w:pos="4680"/>
              </w:tabs>
              <w:suppressAutoHyphens/>
              <w:rPr>
                <w:spacing w:val="-2"/>
                <w:szCs w:val="22"/>
              </w:rPr>
            </w:pPr>
          </w:p>
          <w:p w:rsidR="00932D0D" w:rsidRPr="00E67E71" w:rsidP="00932D0D" w14:paraId="24E60B74" w14:textId="77777777">
            <w:pPr>
              <w:pStyle w:val="TOAHeading"/>
              <w:tabs>
                <w:tab w:val="center" w:pos="4680"/>
                <w:tab w:val="clear" w:pos="9360"/>
              </w:tabs>
              <w:rPr>
                <w:spacing w:val="-2"/>
              </w:rPr>
            </w:pPr>
          </w:p>
          <w:p w:rsidR="00932D0D" w:rsidRPr="00E67E71" w:rsidP="00932D0D" w14:paraId="28522301" w14:textId="6FE65F9B">
            <w:pPr>
              <w:tabs>
                <w:tab w:val="center" w:pos="4680"/>
              </w:tabs>
              <w:suppressAutoHyphens/>
              <w:rPr>
                <w:spacing w:val="-2"/>
                <w:szCs w:val="22"/>
              </w:rPr>
            </w:pPr>
            <w:r w:rsidRPr="00E67E71">
              <w:rPr>
                <w:spacing w:val="-2"/>
                <w:szCs w:val="22"/>
              </w:rPr>
              <w:t xml:space="preserve">CG Docket No. </w:t>
            </w:r>
            <w:r w:rsidR="00203836">
              <w:rPr>
                <w:spacing w:val="-2"/>
                <w:szCs w:val="22"/>
              </w:rPr>
              <w:t>21-402</w:t>
            </w:r>
          </w:p>
          <w:p w:rsidR="00932D0D" w:rsidRPr="00E67E71" w:rsidP="00932D0D" w14:paraId="1F5939B2" w14:textId="44C83D9A">
            <w:pPr>
              <w:pStyle w:val="TOAHeading"/>
              <w:tabs>
                <w:tab w:val="center" w:pos="4680"/>
                <w:tab w:val="clear" w:pos="9360"/>
              </w:tabs>
              <w:rPr>
                <w:spacing w:val="-2"/>
                <w:szCs w:val="22"/>
              </w:rPr>
            </w:pPr>
          </w:p>
          <w:p w:rsidR="00932D0D" w:rsidP="00932D0D" w14:paraId="3332D515" w14:textId="2ED316BF">
            <w:pPr>
              <w:tabs>
                <w:tab w:val="center" w:pos="4680"/>
              </w:tabs>
              <w:suppressAutoHyphens/>
              <w:rPr>
                <w:spacing w:val="-2"/>
              </w:rPr>
            </w:pPr>
          </w:p>
        </w:tc>
      </w:tr>
    </w:tbl>
    <w:p w:rsidR="004C2EE3" w:rsidP="0070224F" w14:paraId="7121593C" w14:textId="77777777"/>
    <w:p w:rsidR="00841AB1" w:rsidP="00F021FA" w14:paraId="27694045" w14:textId="5F66330F">
      <w:pPr>
        <w:pStyle w:val="StyleBoldCentered"/>
      </w:pPr>
      <w:r>
        <w:t>ORDER</w:t>
      </w:r>
    </w:p>
    <w:p w:rsidR="004C2EE3" w14:paraId="0BD35915" w14:textId="77777777">
      <w:pPr>
        <w:tabs>
          <w:tab w:val="left" w:pos="-720"/>
        </w:tabs>
        <w:suppressAutoHyphens/>
        <w:spacing w:line="227" w:lineRule="auto"/>
        <w:rPr>
          <w:spacing w:val="-2"/>
        </w:rPr>
      </w:pPr>
    </w:p>
    <w:p w:rsidR="004C2EE3" w:rsidP="00133F79" w14:paraId="460D2F14" w14:textId="686F2F0B">
      <w:pPr>
        <w:tabs>
          <w:tab w:val="left" w:pos="720"/>
          <w:tab w:val="right" w:pos="9360"/>
        </w:tabs>
        <w:suppressAutoHyphens/>
        <w:spacing w:line="227" w:lineRule="auto"/>
        <w:rPr>
          <w:spacing w:val="-2"/>
        </w:rPr>
      </w:pPr>
      <w:r>
        <w:rPr>
          <w:b/>
          <w:spacing w:val="-2"/>
        </w:rPr>
        <w:t xml:space="preserve">Adopted:  </w:t>
      </w:r>
      <w:r w:rsidR="005E3842">
        <w:rPr>
          <w:b/>
          <w:spacing w:val="-2"/>
        </w:rPr>
        <w:t xml:space="preserve">November 18, 2022                                                                  </w:t>
      </w:r>
      <w:r w:rsidR="00822CE0">
        <w:rPr>
          <w:b/>
          <w:spacing w:val="-2"/>
        </w:rPr>
        <w:t>Released</w:t>
      </w:r>
      <w:r>
        <w:rPr>
          <w:b/>
          <w:spacing w:val="-2"/>
        </w:rPr>
        <w:t>:</w:t>
      </w:r>
      <w:r w:rsidR="00822CE0">
        <w:rPr>
          <w:b/>
          <w:spacing w:val="-2"/>
        </w:rPr>
        <w:t xml:space="preserve"> </w:t>
      </w:r>
      <w:r>
        <w:rPr>
          <w:b/>
          <w:spacing w:val="-2"/>
        </w:rPr>
        <w:t xml:space="preserve"> </w:t>
      </w:r>
      <w:r w:rsidR="005E3842">
        <w:rPr>
          <w:b/>
          <w:spacing w:val="-2"/>
        </w:rPr>
        <w:t>November 18, 2022</w:t>
      </w:r>
    </w:p>
    <w:p w:rsidR="00A00FE9" w14:paraId="59491C31" w14:textId="77777777"/>
    <w:p w:rsidR="004C2EE3" w14:paraId="17F00FA8" w14:textId="611CC409">
      <w:pPr>
        <w:rPr>
          <w:spacing w:val="-2"/>
        </w:rPr>
      </w:pPr>
      <w:r>
        <w:t xml:space="preserve">By </w:t>
      </w:r>
      <w:r w:rsidR="004E4A22">
        <w:t>the</w:t>
      </w:r>
      <w:r w:rsidR="002A2D2E">
        <w:t xml:space="preserve"> </w:t>
      </w:r>
      <w:r w:rsidR="00932D0D">
        <w:rPr>
          <w:spacing w:val="-2"/>
        </w:rPr>
        <w:t xml:space="preserve">Chief, </w:t>
      </w:r>
      <w:r w:rsidRPr="00932D0D" w:rsidR="00932D0D">
        <w:rPr>
          <w:spacing w:val="-2"/>
        </w:rPr>
        <w:t>Consumer and Governmental Affairs Bureau</w:t>
      </w:r>
      <w:r>
        <w:rPr>
          <w:spacing w:val="-2"/>
        </w:rPr>
        <w:t>:</w:t>
      </w:r>
    </w:p>
    <w:p w:rsidR="00822CE0" w14:paraId="6F954CC3" w14:textId="77777777">
      <w:pPr>
        <w:rPr>
          <w:spacing w:val="-2"/>
        </w:rPr>
      </w:pPr>
    </w:p>
    <w:p w:rsidR="00932D0D" w:rsidRPr="00E67E71" w:rsidP="00932D0D" w14:paraId="396791AE" w14:textId="77777777">
      <w:pPr>
        <w:pStyle w:val="Heading1"/>
      </w:pPr>
      <w:bookmarkStart w:id="0" w:name="_Toc68873415"/>
      <w:bookmarkStart w:id="1" w:name="_Toc69224014"/>
      <w:bookmarkStart w:id="2" w:name="_Toc69224118"/>
      <w:bookmarkStart w:id="3" w:name="_Toc69896348"/>
      <w:bookmarkStart w:id="4" w:name="_Toc69918325"/>
      <w:bookmarkStart w:id="5" w:name="_Toc70070034"/>
      <w:bookmarkStart w:id="6" w:name="_Toc75947859"/>
      <w:bookmarkStart w:id="7" w:name="_Toc79166344"/>
      <w:bookmarkStart w:id="8" w:name="_Toc79495867"/>
      <w:bookmarkStart w:id="9" w:name="_Toc80796212"/>
      <w:bookmarkStart w:id="10" w:name="_Toc81575186"/>
      <w:bookmarkStart w:id="11" w:name="_Toc81995358"/>
      <w:bookmarkStart w:id="12" w:name="_Toc83803828"/>
      <w:bookmarkStart w:id="13" w:name="_Toc77851074"/>
      <w:bookmarkStart w:id="14" w:name="_Toc77855811"/>
      <w:bookmarkStart w:id="15" w:name="_Toc77886242"/>
      <w:bookmarkStart w:id="16" w:name="_Toc78487059"/>
      <w:bookmarkStart w:id="17" w:name="_Toc80184607"/>
      <w:bookmarkStart w:id="18" w:name="_Toc80200385"/>
      <w:r w:rsidRPr="00E67E71">
        <w:t>INTRODUCTION</w:t>
      </w:r>
      <w:bookmarkEnd w:id="0"/>
      <w:bookmarkEnd w:id="1"/>
      <w:bookmarkEnd w:id="2"/>
      <w:bookmarkEnd w:id="3"/>
      <w:bookmarkEnd w:id="4"/>
      <w:bookmarkEnd w:id="5"/>
      <w:bookmarkEnd w:id="6"/>
      <w:bookmarkEnd w:id="7"/>
      <w:bookmarkEnd w:id="8"/>
      <w:bookmarkEnd w:id="9"/>
      <w:bookmarkEnd w:id="10"/>
      <w:bookmarkEnd w:id="11"/>
      <w:bookmarkEnd w:id="12"/>
      <w:r w:rsidRPr="00E67E71">
        <w:t xml:space="preserve"> </w:t>
      </w:r>
      <w:bookmarkEnd w:id="13"/>
      <w:bookmarkEnd w:id="14"/>
      <w:bookmarkEnd w:id="15"/>
      <w:bookmarkEnd w:id="16"/>
      <w:bookmarkEnd w:id="17"/>
      <w:bookmarkEnd w:id="18"/>
    </w:p>
    <w:p w:rsidR="00932D0D" w:rsidRPr="00E67E71" w:rsidP="00932D0D" w14:paraId="554C86A4" w14:textId="3941EE2A">
      <w:pPr>
        <w:pStyle w:val="ParaNum"/>
        <w:widowControl/>
      </w:pPr>
      <w:r>
        <w:t>By this Order, the</w:t>
      </w:r>
      <w:r w:rsidR="00203836">
        <w:t xml:space="preserve"> </w:t>
      </w:r>
      <w:r>
        <w:t>Consumer and Governmental Affairs Bureau (Bureau) of the Federal Communications Commission grant</w:t>
      </w:r>
      <w:r w:rsidR="00C018EA">
        <w:t>s</w:t>
      </w:r>
      <w:r>
        <w:t xml:space="preserve"> a request filed by </w:t>
      </w:r>
      <w:r w:rsidR="0063254B">
        <w:t xml:space="preserve">the </w:t>
      </w:r>
      <w:r w:rsidR="00C018EA">
        <w:t xml:space="preserve">National Consumer Law Center </w:t>
      </w:r>
      <w:r w:rsidR="0063254B">
        <w:t xml:space="preserve">(NCLC) and CTIA—The Wireless Association (CTIA) </w:t>
      </w:r>
      <w:r>
        <w:t>for a</w:t>
      </w:r>
      <w:r w:rsidR="00C018EA">
        <w:t>n</w:t>
      </w:r>
      <w:r>
        <w:t xml:space="preserve"> extension of the time in which to file</w:t>
      </w:r>
      <w:r w:rsidR="00C018EA">
        <w:t xml:space="preserve"> </w:t>
      </w:r>
      <w:r>
        <w:t xml:space="preserve">reply comments in response to </w:t>
      </w:r>
      <w:r w:rsidR="00C018EA">
        <w:t xml:space="preserve">the </w:t>
      </w:r>
      <w:r>
        <w:t>Notice of Proposed Rulemaking</w:t>
      </w:r>
      <w:r w:rsidR="00C018EA">
        <w:t xml:space="preserve"> </w:t>
      </w:r>
      <w:r w:rsidR="00BE4087">
        <w:t>(</w:t>
      </w:r>
      <w:r w:rsidRPr="00311A71" w:rsidR="00BE4087">
        <w:rPr>
          <w:i/>
          <w:iCs/>
        </w:rPr>
        <w:t>N</w:t>
      </w:r>
      <w:r w:rsidRPr="00311A71" w:rsidR="003F2540">
        <w:rPr>
          <w:i/>
          <w:iCs/>
        </w:rPr>
        <w:t>otice</w:t>
      </w:r>
      <w:r w:rsidR="00BE4087">
        <w:t xml:space="preserve">) </w:t>
      </w:r>
      <w:r>
        <w:t>in th</w:t>
      </w:r>
      <w:r w:rsidR="00C018EA">
        <w:t xml:space="preserve">is </w:t>
      </w:r>
      <w:r w:rsidR="00311A71">
        <w:t>docket</w:t>
      </w:r>
      <w:r>
        <w:t xml:space="preserve">.  </w:t>
      </w:r>
      <w:r w:rsidR="00332FD5">
        <w:t xml:space="preserve">As determined by the date </w:t>
      </w:r>
      <w:r w:rsidR="008B73F5">
        <w:t xml:space="preserve">of publication in the Federal Register, comments </w:t>
      </w:r>
      <w:r>
        <w:t xml:space="preserve">and reply comments were originally due on November </w:t>
      </w:r>
      <w:r w:rsidR="00166FEF">
        <w:t>10</w:t>
      </w:r>
      <w:r>
        <w:t>, 202</w:t>
      </w:r>
      <w:r w:rsidR="00166FEF">
        <w:t>2</w:t>
      </w:r>
      <w:r>
        <w:t xml:space="preserve"> and </w:t>
      </w:r>
      <w:r w:rsidR="00166FEF">
        <w:t>November 25, 2022</w:t>
      </w:r>
      <w:r>
        <w:t xml:space="preserve">, respectively.  </w:t>
      </w:r>
      <w:bookmarkStart w:id="19" w:name="_Hlk86926621"/>
      <w:r>
        <w:t xml:space="preserve">Pursuant to this Order, </w:t>
      </w:r>
      <w:r w:rsidR="00E71BB9">
        <w:t xml:space="preserve">we extend </w:t>
      </w:r>
      <w:r>
        <w:t xml:space="preserve">the </w:t>
      </w:r>
      <w:r w:rsidR="00166FEF">
        <w:t xml:space="preserve">reply </w:t>
      </w:r>
      <w:r>
        <w:t xml:space="preserve">comment date </w:t>
      </w:r>
      <w:r w:rsidRPr="00992D95" w:rsidR="00E71BB9">
        <w:t>fourteen</w:t>
      </w:r>
      <w:r w:rsidRPr="00992D95" w:rsidR="00311A71">
        <w:t xml:space="preserve"> </w:t>
      </w:r>
      <w:r w:rsidRPr="00992D95" w:rsidR="00311A71">
        <w:t xml:space="preserve">days </w:t>
      </w:r>
      <w:r w:rsidRPr="00992D95" w:rsidR="003F2540">
        <w:t xml:space="preserve">to </w:t>
      </w:r>
      <w:r w:rsidRPr="00992D95" w:rsidR="00166FEF">
        <w:t xml:space="preserve">December </w:t>
      </w:r>
      <w:r w:rsidRPr="00992D95" w:rsidR="00487866">
        <w:t>9</w:t>
      </w:r>
      <w:r w:rsidRPr="00992D95">
        <w:t>, 2022.</w:t>
      </w:r>
      <w:r>
        <w:t xml:space="preserve">  </w:t>
      </w:r>
      <w:bookmarkEnd w:id="19"/>
    </w:p>
    <w:p w:rsidR="00932D0D" w:rsidRPr="00E67E71" w:rsidP="00932D0D" w14:paraId="73D637E3" w14:textId="77777777">
      <w:pPr>
        <w:pStyle w:val="Heading1"/>
        <w:rPr>
          <w:rFonts w:ascii="Times New Roman" w:hAnsi="Times New Roman"/>
        </w:rPr>
      </w:pPr>
      <w:bookmarkStart w:id="20" w:name="_Toc69224015"/>
      <w:bookmarkStart w:id="21" w:name="_Toc69224119"/>
      <w:bookmarkStart w:id="22" w:name="_Toc69896349"/>
      <w:bookmarkStart w:id="23" w:name="_Toc69918326"/>
      <w:bookmarkStart w:id="24" w:name="_Toc70070035"/>
      <w:bookmarkStart w:id="25" w:name="_Toc75947860"/>
      <w:bookmarkStart w:id="26" w:name="_Toc77074333"/>
      <w:bookmarkStart w:id="27" w:name="_Toc77851075"/>
      <w:bookmarkStart w:id="28" w:name="_Toc77855812"/>
      <w:bookmarkStart w:id="29" w:name="_Toc77886243"/>
      <w:bookmarkStart w:id="30" w:name="_Toc78487060"/>
      <w:bookmarkStart w:id="31" w:name="_Toc79166345"/>
      <w:bookmarkStart w:id="32" w:name="_Toc79495868"/>
      <w:bookmarkStart w:id="33" w:name="_Toc80184608"/>
      <w:bookmarkStart w:id="34" w:name="_Toc80200386"/>
      <w:bookmarkStart w:id="35" w:name="_Toc80796213"/>
      <w:bookmarkStart w:id="36" w:name="_Toc81575187"/>
      <w:bookmarkStart w:id="37" w:name="_Toc81995359"/>
      <w:bookmarkStart w:id="38" w:name="_Toc83803829"/>
      <w:r w:rsidRPr="00E67E71">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32D0D" w:rsidP="00932D0D" w14:paraId="7C2AF865" w14:textId="4E13373B">
      <w:pPr>
        <w:pStyle w:val="ParaNum"/>
        <w:widowControl/>
        <w:rPr>
          <w:szCs w:val="22"/>
        </w:rPr>
      </w:pPr>
      <w:r>
        <w:rPr>
          <w:szCs w:val="22"/>
        </w:rPr>
        <w:t xml:space="preserve">On October </w:t>
      </w:r>
      <w:r w:rsidR="00166FEF">
        <w:rPr>
          <w:szCs w:val="22"/>
        </w:rPr>
        <w:t>11</w:t>
      </w:r>
      <w:r w:rsidRPr="00251121">
        <w:t>, 202</w:t>
      </w:r>
      <w:r w:rsidR="00166FEF">
        <w:t>2</w:t>
      </w:r>
      <w:r>
        <w:rPr>
          <w:szCs w:val="22"/>
        </w:rPr>
        <w:t>, t</w:t>
      </w:r>
      <w:r w:rsidRPr="000B3058">
        <w:rPr>
          <w:szCs w:val="22"/>
        </w:rPr>
        <w:t>he Federal Register published a summary</w:t>
      </w:r>
      <w:r>
        <w:rPr>
          <w:rStyle w:val="FootnoteReference"/>
          <w:szCs w:val="22"/>
        </w:rPr>
        <w:footnoteReference w:id="3"/>
      </w:r>
      <w:r w:rsidRPr="000B3058">
        <w:rPr>
          <w:szCs w:val="22"/>
        </w:rPr>
        <w:t xml:space="preserve"> of </w:t>
      </w:r>
      <w:r w:rsidRPr="003F2540" w:rsidR="00BE4087">
        <w:rPr>
          <w:i/>
          <w:iCs/>
          <w:color w:val="000000"/>
          <w:kern w:val="1"/>
          <w:szCs w:val="22"/>
        </w:rPr>
        <w:t>Targeting and Eliminating Unlawful Text Messages</w:t>
      </w:r>
      <w:r w:rsidR="00BE4087">
        <w:rPr>
          <w:color w:val="000000"/>
          <w:kern w:val="1"/>
          <w:szCs w:val="22"/>
        </w:rPr>
        <w:t>, CG Docket No. 22-402, Notice of Proposed Rulemaking.</w:t>
      </w:r>
      <w:r>
        <w:rPr>
          <w:rStyle w:val="FootnoteReference"/>
          <w:szCs w:val="22"/>
        </w:rPr>
        <w:footnoteReference w:id="4"/>
      </w:r>
      <w:r w:rsidRPr="000B3058">
        <w:rPr>
          <w:szCs w:val="22"/>
        </w:rPr>
        <w:t xml:space="preserve"> </w:t>
      </w:r>
      <w:r w:rsidR="003F2540">
        <w:rPr>
          <w:szCs w:val="22"/>
        </w:rPr>
        <w:t xml:space="preserve"> </w:t>
      </w:r>
      <w:r w:rsidRPr="000B3058">
        <w:rPr>
          <w:szCs w:val="22"/>
        </w:rPr>
        <w:t xml:space="preserve">The </w:t>
      </w:r>
      <w:r w:rsidRPr="00780A6A">
        <w:rPr>
          <w:i/>
          <w:szCs w:val="22"/>
        </w:rPr>
        <w:t>Notice</w:t>
      </w:r>
      <w:r w:rsidRPr="000B3058">
        <w:rPr>
          <w:szCs w:val="22"/>
        </w:rPr>
        <w:t xml:space="preserve"> set</w:t>
      </w:r>
      <w:r>
        <w:rPr>
          <w:szCs w:val="22"/>
        </w:rPr>
        <w:t>s</w:t>
      </w:r>
      <w:r w:rsidRPr="000B3058">
        <w:rPr>
          <w:szCs w:val="22"/>
        </w:rPr>
        <w:t xml:space="preserve"> deadlines for filing comments and reply comments at 30 and </w:t>
      </w:r>
      <w:r w:rsidR="003F2540">
        <w:rPr>
          <w:szCs w:val="22"/>
        </w:rPr>
        <w:t>45</w:t>
      </w:r>
      <w:r w:rsidRPr="000B3058">
        <w:rPr>
          <w:szCs w:val="22"/>
        </w:rPr>
        <w:t xml:space="preserve"> days after the date of publication of the summary of the </w:t>
      </w:r>
      <w:r w:rsidRPr="00780A6A">
        <w:rPr>
          <w:i/>
          <w:szCs w:val="22"/>
        </w:rPr>
        <w:t>Notice</w:t>
      </w:r>
      <w:r w:rsidRPr="000B3058">
        <w:rPr>
          <w:szCs w:val="22"/>
        </w:rPr>
        <w:t xml:space="preserve"> in the Federal Register.  </w:t>
      </w:r>
      <w:r>
        <w:rPr>
          <w:szCs w:val="22"/>
        </w:rPr>
        <w:t xml:space="preserve">Consistent with the </w:t>
      </w:r>
      <w:r w:rsidRPr="00C16D67">
        <w:rPr>
          <w:i/>
          <w:iCs/>
          <w:szCs w:val="22"/>
        </w:rPr>
        <w:t>Notice</w:t>
      </w:r>
      <w:r>
        <w:rPr>
          <w:szCs w:val="22"/>
        </w:rPr>
        <w:t xml:space="preserve">, the </w:t>
      </w:r>
      <w:r w:rsidRPr="00F87CEC">
        <w:rPr>
          <w:i/>
          <w:iCs/>
          <w:szCs w:val="22"/>
        </w:rPr>
        <w:t>Federal Register Notice</w:t>
      </w:r>
      <w:r>
        <w:rPr>
          <w:szCs w:val="22"/>
        </w:rPr>
        <w:t xml:space="preserve"> states that comments are due no later than November </w:t>
      </w:r>
      <w:r w:rsidR="003F2540">
        <w:rPr>
          <w:szCs w:val="22"/>
        </w:rPr>
        <w:t>10</w:t>
      </w:r>
      <w:r>
        <w:rPr>
          <w:szCs w:val="22"/>
        </w:rPr>
        <w:t>, 202</w:t>
      </w:r>
      <w:r w:rsidR="003F2540">
        <w:rPr>
          <w:szCs w:val="22"/>
        </w:rPr>
        <w:t>2</w:t>
      </w:r>
      <w:r>
        <w:rPr>
          <w:szCs w:val="22"/>
        </w:rPr>
        <w:t xml:space="preserve">, and reply comments are due no later than </w:t>
      </w:r>
      <w:r w:rsidR="003F2540">
        <w:rPr>
          <w:szCs w:val="22"/>
        </w:rPr>
        <w:t>November 25, 2022</w:t>
      </w:r>
      <w:r>
        <w:rPr>
          <w:szCs w:val="22"/>
        </w:rPr>
        <w:t>.</w:t>
      </w:r>
      <w:r>
        <w:rPr>
          <w:rStyle w:val="FootnoteReference"/>
          <w:szCs w:val="22"/>
        </w:rPr>
        <w:footnoteReference w:id="5"/>
      </w:r>
      <w:r>
        <w:rPr>
          <w:szCs w:val="22"/>
        </w:rPr>
        <w:t xml:space="preserve"> </w:t>
      </w:r>
      <w:r w:rsidRPr="000B3058">
        <w:rPr>
          <w:szCs w:val="22"/>
        </w:rPr>
        <w:t xml:space="preserve"> </w:t>
      </w:r>
    </w:p>
    <w:p w:rsidR="00B057D3" w:rsidP="00932D0D" w14:paraId="77678FAE" w14:textId="51429D57">
      <w:pPr>
        <w:pStyle w:val="ParaNum"/>
        <w:widowControl/>
        <w:rPr>
          <w:szCs w:val="22"/>
        </w:rPr>
      </w:pPr>
      <w:r>
        <w:rPr>
          <w:szCs w:val="22"/>
        </w:rPr>
        <w:t xml:space="preserve">On November </w:t>
      </w:r>
      <w:r w:rsidR="00674697">
        <w:rPr>
          <w:szCs w:val="22"/>
        </w:rPr>
        <w:t>14</w:t>
      </w:r>
      <w:r>
        <w:rPr>
          <w:szCs w:val="22"/>
        </w:rPr>
        <w:t>, 202</w:t>
      </w:r>
      <w:r w:rsidR="00674697">
        <w:rPr>
          <w:szCs w:val="22"/>
        </w:rPr>
        <w:t>2</w:t>
      </w:r>
      <w:r>
        <w:rPr>
          <w:szCs w:val="22"/>
        </w:rPr>
        <w:t xml:space="preserve">, </w:t>
      </w:r>
      <w:r w:rsidR="00352CAB">
        <w:rPr>
          <w:szCs w:val="22"/>
        </w:rPr>
        <w:t xml:space="preserve">NCLC and </w:t>
      </w:r>
      <w:r w:rsidR="00674697">
        <w:t xml:space="preserve">CTIA </w:t>
      </w:r>
      <w:r>
        <w:rPr>
          <w:szCs w:val="22"/>
        </w:rPr>
        <w:t xml:space="preserve">submitted a request for </w:t>
      </w:r>
      <w:r w:rsidRPr="00992D95">
        <w:rPr>
          <w:szCs w:val="22"/>
        </w:rPr>
        <w:t xml:space="preserve">a </w:t>
      </w:r>
      <w:r w:rsidRPr="00992D95">
        <w:rPr>
          <w:szCs w:val="22"/>
        </w:rPr>
        <w:t>14</w:t>
      </w:r>
      <w:r w:rsidRPr="00992D95">
        <w:rPr>
          <w:szCs w:val="22"/>
        </w:rPr>
        <w:t>-day extension</w:t>
      </w:r>
      <w:r>
        <w:rPr>
          <w:szCs w:val="22"/>
        </w:rPr>
        <w:t xml:space="preserve"> of time</w:t>
      </w:r>
      <w:r w:rsidR="00263389">
        <w:rPr>
          <w:szCs w:val="22"/>
        </w:rPr>
        <w:t xml:space="preserve"> to file</w:t>
      </w:r>
      <w:r w:rsidR="00352CAB">
        <w:rPr>
          <w:szCs w:val="22"/>
        </w:rPr>
        <w:t xml:space="preserve"> </w:t>
      </w:r>
      <w:r>
        <w:rPr>
          <w:szCs w:val="22"/>
        </w:rPr>
        <w:t>reply comments.</w:t>
      </w:r>
      <w:r>
        <w:rPr>
          <w:rStyle w:val="FootnoteReference"/>
          <w:szCs w:val="22"/>
        </w:rPr>
        <w:footnoteReference w:id="6"/>
      </w:r>
      <w:r>
        <w:rPr>
          <w:szCs w:val="22"/>
        </w:rPr>
        <w:t xml:space="preserve">  </w:t>
      </w:r>
      <w:r>
        <w:rPr>
          <w:szCs w:val="22"/>
        </w:rPr>
        <w:t xml:space="preserve">These parties assert that an </w:t>
      </w:r>
      <w:r>
        <w:rPr>
          <w:szCs w:val="22"/>
        </w:rPr>
        <w:t>extension to</w:t>
      </w:r>
      <w:r>
        <w:rPr>
          <w:szCs w:val="22"/>
        </w:rPr>
        <w:t xml:space="preserve"> the</w:t>
      </w:r>
      <w:r w:rsidRPr="00B057D3">
        <w:t xml:space="preserve"> </w:t>
      </w:r>
      <w:r w:rsidRPr="00B057D3">
        <w:rPr>
          <w:szCs w:val="22"/>
        </w:rPr>
        <w:t>reply comment deadline is reasonable and warranted because the current reply comment period leaves insufficient time for parties to review the extensive comments in this complex proceeding and develop a complete record.</w:t>
      </w:r>
      <w:r>
        <w:rPr>
          <w:rStyle w:val="FootnoteReference"/>
          <w:szCs w:val="22"/>
        </w:rPr>
        <w:footnoteReference w:id="7"/>
      </w:r>
      <w:r w:rsidRPr="00B057D3">
        <w:rPr>
          <w:szCs w:val="22"/>
        </w:rPr>
        <w:t xml:space="preserve"> </w:t>
      </w:r>
      <w:r w:rsidR="00ED6CB0">
        <w:rPr>
          <w:szCs w:val="22"/>
        </w:rPr>
        <w:t xml:space="preserve"> </w:t>
      </w:r>
      <w:r w:rsidR="00DD23CB">
        <w:rPr>
          <w:szCs w:val="22"/>
        </w:rPr>
        <w:t xml:space="preserve">They </w:t>
      </w:r>
      <w:r w:rsidR="00DD23CB">
        <w:rPr>
          <w:szCs w:val="22"/>
        </w:rPr>
        <w:t xml:space="preserve">observe that the </w:t>
      </w:r>
      <w:r w:rsidRPr="00B057D3">
        <w:rPr>
          <w:szCs w:val="22"/>
        </w:rPr>
        <w:t xml:space="preserve">reply comment period is </w:t>
      </w:r>
      <w:r w:rsidR="007872E4">
        <w:rPr>
          <w:szCs w:val="22"/>
        </w:rPr>
        <w:t>reduced</w:t>
      </w:r>
      <w:r w:rsidRPr="00B057D3">
        <w:rPr>
          <w:szCs w:val="22"/>
        </w:rPr>
        <w:t xml:space="preserve"> by two federal holidays</w:t>
      </w:r>
      <w:r w:rsidR="009F280B">
        <w:rPr>
          <w:szCs w:val="22"/>
        </w:rPr>
        <w:t>—</w:t>
      </w:r>
      <w:r w:rsidRPr="00B057D3">
        <w:rPr>
          <w:szCs w:val="22"/>
        </w:rPr>
        <w:t>Veterans Day and Thanksgiving Day.</w:t>
      </w:r>
      <w:r>
        <w:rPr>
          <w:rStyle w:val="FootnoteReference"/>
          <w:szCs w:val="22"/>
        </w:rPr>
        <w:footnoteReference w:id="8"/>
      </w:r>
    </w:p>
    <w:p w:rsidR="00932D0D" w:rsidRPr="00E67E71" w:rsidP="00932D0D" w14:paraId="6145298E" w14:textId="77777777">
      <w:pPr>
        <w:pStyle w:val="Heading1"/>
      </w:pPr>
      <w:bookmarkStart w:id="39" w:name="co_tablefootnote_459_1"/>
      <w:bookmarkStart w:id="40" w:name="_Toc79166346"/>
      <w:bookmarkStart w:id="41" w:name="_Toc79495869"/>
      <w:bookmarkStart w:id="42" w:name="_Toc80184609"/>
      <w:bookmarkStart w:id="43" w:name="_Toc80200387"/>
      <w:bookmarkStart w:id="44" w:name="_Toc80796214"/>
      <w:bookmarkStart w:id="45" w:name="_Toc81575188"/>
      <w:bookmarkStart w:id="46" w:name="_Toc81995360"/>
      <w:bookmarkStart w:id="47" w:name="_Toc83803830"/>
      <w:bookmarkEnd w:id="39"/>
      <w:r w:rsidRPr="00E67E71">
        <w:t>DISCUSSION</w:t>
      </w:r>
      <w:bookmarkEnd w:id="40"/>
      <w:bookmarkEnd w:id="41"/>
      <w:bookmarkEnd w:id="42"/>
      <w:bookmarkEnd w:id="43"/>
      <w:bookmarkEnd w:id="44"/>
      <w:bookmarkEnd w:id="45"/>
      <w:bookmarkEnd w:id="46"/>
      <w:bookmarkEnd w:id="47"/>
    </w:p>
    <w:p w:rsidR="00932D0D" w:rsidRPr="00A86E99" w:rsidP="00932D0D" w14:paraId="355821ED" w14:textId="77777777">
      <w:pPr>
        <w:pStyle w:val="ParaNum"/>
        <w:widowControl/>
      </w:pPr>
      <w:bookmarkStart w:id="48" w:name="_Toc79166347"/>
      <w:bookmarkStart w:id="49" w:name="_Toc79495870"/>
      <w:bookmarkStart w:id="50" w:name="_Toc80796215"/>
      <w:bookmarkStart w:id="51" w:name="_Toc81575189"/>
      <w:bookmarkStart w:id="52" w:name="_Toc81995361"/>
      <w:bookmarkStart w:id="53" w:name="_Toc83803831"/>
      <w:bookmarkStart w:id="54" w:name="_Toc77851077"/>
      <w:bookmarkStart w:id="55" w:name="_Toc77855814"/>
      <w:bookmarkStart w:id="56" w:name="_Toc77886245"/>
      <w:bookmarkStart w:id="57" w:name="_Toc78487062"/>
      <w:bookmarkStart w:id="58" w:name="_Toc80184610"/>
      <w:bookmarkStart w:id="59" w:name="_Toc80200388"/>
      <w:r w:rsidRPr="00BC0CA6">
        <w:t>As set forth in section 1.46 of the Commission’s rules, it is the policy of the Commission that extensions of time shall not be routinely granted.</w:t>
      </w:r>
      <w:r>
        <w:rPr>
          <w:rStyle w:val="FootnoteReference"/>
          <w:sz w:val="22"/>
        </w:rPr>
        <w:footnoteReference w:id="9"/>
      </w:r>
      <w:r w:rsidRPr="00BC0CA6">
        <w:t xml:space="preserve">  However, extensions may be considered “to the extent that good cause for an extension is demonstrated.”</w:t>
      </w:r>
      <w:r>
        <w:rPr>
          <w:rStyle w:val="FootnoteReference"/>
          <w:sz w:val="22"/>
        </w:rPr>
        <w:footnoteReference w:id="10"/>
      </w:r>
      <w:r w:rsidRPr="00BC0CA6">
        <w:t xml:space="preserve">  The criteria for granting requests for extensions of time “are that the extension be in the public interest, cause no harm to any party in the proceeding, and cause no significant delay.”</w:t>
      </w:r>
      <w:r>
        <w:rPr>
          <w:rStyle w:val="FootnoteReference"/>
          <w:sz w:val="22"/>
        </w:rPr>
        <w:footnoteReference w:id="11"/>
      </w:r>
      <w:r w:rsidRPr="00BC0CA6">
        <w:t xml:space="preserve">  The Commission has previously found that an extension of time is warranted when it is “necessary to ensure that the Commission receives full and informed responses and that affected parties have a meaningful opportunity to develop a complete record for the Commission’s consideration.”</w:t>
      </w:r>
      <w:r>
        <w:rPr>
          <w:rStyle w:val="FootnoteReference"/>
          <w:sz w:val="22"/>
        </w:rPr>
        <w:footnoteReference w:id="12"/>
      </w:r>
    </w:p>
    <w:p w:rsidR="00932D0D" w:rsidRPr="00992D95" w:rsidP="00932D0D" w14:paraId="111A45CF" w14:textId="742B4D05">
      <w:pPr>
        <w:pStyle w:val="ParaNum"/>
        <w:widowControl/>
        <w:rPr>
          <w:szCs w:val="22"/>
        </w:rPr>
      </w:pPr>
      <w:r w:rsidRPr="0054268C">
        <w:t>Here</w:t>
      </w:r>
      <w:r>
        <w:rPr>
          <w:szCs w:val="22"/>
        </w:rPr>
        <w:t>, the Bureau find</w:t>
      </w:r>
      <w:r w:rsidR="00BE1857">
        <w:rPr>
          <w:szCs w:val="22"/>
        </w:rPr>
        <w:t>s</w:t>
      </w:r>
      <w:r>
        <w:rPr>
          <w:szCs w:val="22"/>
        </w:rPr>
        <w:t xml:space="preserve"> good cause to grant </w:t>
      </w:r>
      <w:r w:rsidR="00BE1857">
        <w:rPr>
          <w:szCs w:val="22"/>
        </w:rPr>
        <w:t>an</w:t>
      </w:r>
      <w:r>
        <w:rPr>
          <w:szCs w:val="22"/>
        </w:rPr>
        <w:t xml:space="preserve"> extension</w:t>
      </w:r>
      <w:r w:rsidR="00BE1857">
        <w:rPr>
          <w:szCs w:val="22"/>
        </w:rPr>
        <w:t xml:space="preserve"> of </w:t>
      </w:r>
      <w:r w:rsidR="00291559">
        <w:rPr>
          <w:szCs w:val="22"/>
        </w:rPr>
        <w:t>fourteen</w:t>
      </w:r>
      <w:r w:rsidR="00B70009">
        <w:rPr>
          <w:szCs w:val="22"/>
        </w:rPr>
        <w:t xml:space="preserve"> </w:t>
      </w:r>
      <w:r w:rsidR="00BE1857">
        <w:rPr>
          <w:szCs w:val="22"/>
        </w:rPr>
        <w:t>days</w:t>
      </w:r>
      <w:r>
        <w:rPr>
          <w:szCs w:val="22"/>
        </w:rPr>
        <w:t>.</w:t>
      </w:r>
      <w:r w:rsidRPr="000B3058">
        <w:rPr>
          <w:szCs w:val="22"/>
        </w:rPr>
        <w:t xml:space="preserve"> </w:t>
      </w:r>
      <w:r>
        <w:rPr>
          <w:szCs w:val="22"/>
        </w:rPr>
        <w:t xml:space="preserve"> </w:t>
      </w:r>
      <w:r w:rsidR="00BE1857">
        <w:rPr>
          <w:szCs w:val="22"/>
        </w:rPr>
        <w:t xml:space="preserve">Veterans Day and </w:t>
      </w:r>
      <w:r>
        <w:rPr>
          <w:szCs w:val="22"/>
        </w:rPr>
        <w:t xml:space="preserve">Thanksgiving </w:t>
      </w:r>
      <w:r w:rsidR="00B70009">
        <w:rPr>
          <w:szCs w:val="22"/>
        </w:rPr>
        <w:t xml:space="preserve">Day </w:t>
      </w:r>
      <w:r>
        <w:rPr>
          <w:szCs w:val="22"/>
        </w:rPr>
        <w:t xml:space="preserve">both fall within </w:t>
      </w:r>
      <w:r w:rsidR="00BE1857">
        <w:rPr>
          <w:szCs w:val="22"/>
        </w:rPr>
        <w:t xml:space="preserve">the </w:t>
      </w:r>
      <w:r>
        <w:rPr>
          <w:szCs w:val="22"/>
        </w:rPr>
        <w:t xml:space="preserve">reply comment deadline, </w:t>
      </w:r>
      <w:r>
        <w:t xml:space="preserve">shortening the normal time for </w:t>
      </w:r>
      <w:r w:rsidR="00AB4DC3">
        <w:t xml:space="preserve">reviewing comments, and </w:t>
      </w:r>
      <w:r w:rsidR="00B70009">
        <w:t xml:space="preserve">drafting and </w:t>
      </w:r>
      <w:r>
        <w:t>filing</w:t>
      </w:r>
      <w:r w:rsidR="00B70009">
        <w:t xml:space="preserve"> replies</w:t>
      </w:r>
      <w:r>
        <w:t xml:space="preserve">. </w:t>
      </w:r>
      <w:r>
        <w:rPr>
          <w:szCs w:val="22"/>
        </w:rPr>
        <w:t xml:space="preserve"> </w:t>
      </w:r>
      <w:r w:rsidR="00F94486">
        <w:rPr>
          <w:szCs w:val="22"/>
        </w:rPr>
        <w:t xml:space="preserve">We also appreciate the </w:t>
      </w:r>
      <w:r w:rsidR="003478AA">
        <w:rPr>
          <w:szCs w:val="22"/>
        </w:rPr>
        <w:t xml:space="preserve">parties’ interest in </w:t>
      </w:r>
      <w:r w:rsidR="009F2C21">
        <w:rPr>
          <w:szCs w:val="22"/>
        </w:rPr>
        <w:t>more fully developing the record in this proceeding.</w:t>
      </w:r>
      <w:r w:rsidR="00F94486">
        <w:rPr>
          <w:szCs w:val="22"/>
        </w:rPr>
        <w:t xml:space="preserve"> </w:t>
      </w:r>
      <w:r w:rsidR="009F2C21">
        <w:rPr>
          <w:szCs w:val="22"/>
        </w:rPr>
        <w:t xml:space="preserve"> </w:t>
      </w:r>
      <w:r>
        <w:rPr>
          <w:szCs w:val="22"/>
        </w:rPr>
        <w:t>The Bureau therefore find</w:t>
      </w:r>
      <w:r w:rsidR="00BE1857">
        <w:rPr>
          <w:szCs w:val="22"/>
        </w:rPr>
        <w:t>s</w:t>
      </w:r>
      <w:r>
        <w:rPr>
          <w:szCs w:val="22"/>
        </w:rPr>
        <w:t xml:space="preserve"> tha</w:t>
      </w:r>
      <w:r w:rsidRPr="00992D95">
        <w:rPr>
          <w:szCs w:val="22"/>
        </w:rPr>
        <w:t xml:space="preserve">t a </w:t>
      </w:r>
      <w:r w:rsidRPr="00992D95" w:rsidR="002B2CB5">
        <w:rPr>
          <w:szCs w:val="22"/>
        </w:rPr>
        <w:t>14</w:t>
      </w:r>
      <w:r w:rsidRPr="00992D95">
        <w:rPr>
          <w:szCs w:val="22"/>
        </w:rPr>
        <w:t>-day extension would be appropriate in this instance to give parties sufficient time to file and that such a brief extension would not interfere with the Commission’s ability to consider the issues raised in these proceedings in a timely manner.</w:t>
      </w:r>
      <w:r>
        <w:rPr>
          <w:rStyle w:val="FootnoteReference"/>
          <w:szCs w:val="22"/>
        </w:rPr>
        <w:footnoteReference w:id="13"/>
      </w:r>
      <w:r w:rsidRPr="00992D95">
        <w:rPr>
          <w:szCs w:val="22"/>
        </w:rPr>
        <w:t xml:space="preserve">  Accordingly, reply comments are due no later than </w:t>
      </w:r>
      <w:r w:rsidRPr="00992D95" w:rsidR="00BE1857">
        <w:rPr>
          <w:szCs w:val="22"/>
        </w:rPr>
        <w:t xml:space="preserve">December </w:t>
      </w:r>
      <w:r w:rsidRPr="00992D95" w:rsidR="00266F64">
        <w:rPr>
          <w:szCs w:val="22"/>
        </w:rPr>
        <w:t>9</w:t>
      </w:r>
      <w:r w:rsidRPr="00992D95">
        <w:rPr>
          <w:szCs w:val="22"/>
        </w:rPr>
        <w:t xml:space="preserve">, 2022.  </w:t>
      </w:r>
      <w:bookmarkEnd w:id="48"/>
      <w:bookmarkEnd w:id="49"/>
      <w:bookmarkEnd w:id="50"/>
      <w:bookmarkEnd w:id="51"/>
      <w:bookmarkEnd w:id="52"/>
      <w:bookmarkEnd w:id="53"/>
      <w:bookmarkEnd w:id="54"/>
      <w:bookmarkEnd w:id="55"/>
      <w:bookmarkEnd w:id="56"/>
      <w:bookmarkEnd w:id="57"/>
      <w:bookmarkEnd w:id="58"/>
      <w:bookmarkEnd w:id="59"/>
    </w:p>
    <w:p w:rsidR="00932D0D" w:rsidP="00932D0D" w14:paraId="37F4DF54" w14:textId="4541075C">
      <w:pPr>
        <w:pStyle w:val="ParaNum"/>
        <w:widowControl/>
      </w:pPr>
      <w:r w:rsidRPr="00992D95">
        <w:t>To request materials in accessible formats (such as Brail</w:t>
      </w:r>
      <w:r w:rsidRPr="00BC0CA6">
        <w:t xml:space="preserve">le, large print, electronic files, or audio format), send an email to: </w:t>
      </w:r>
      <w:hyperlink r:id="rId5" w:history="1">
        <w:r w:rsidRPr="00BC0CA6">
          <w:rPr>
            <w:rStyle w:val="Hyperlink"/>
          </w:rPr>
          <w:t>fcc504@fcc.gov</w:t>
        </w:r>
      </w:hyperlink>
      <w:r w:rsidRPr="00BC0CA6">
        <w:t xml:space="preserve">, or call the Consumer and Governmental Affairs Bureau at (202) 418-0530 (voice).  </w:t>
      </w:r>
    </w:p>
    <w:p w:rsidR="00932D0D" w:rsidRPr="0054268C" w:rsidP="00932D0D" w14:paraId="48287E25" w14:textId="39FA6548">
      <w:pPr>
        <w:pStyle w:val="ParaNum"/>
        <w:widowControl/>
        <w:rPr>
          <w:szCs w:val="22"/>
        </w:rPr>
      </w:pPr>
      <w:r>
        <w:t xml:space="preserve">For additional </w:t>
      </w:r>
      <w:r w:rsidR="0097753D">
        <w:t>i</w:t>
      </w:r>
      <w:r>
        <w:t>nformation</w:t>
      </w:r>
      <w:r w:rsidR="0097753D">
        <w:t>,</w:t>
      </w:r>
      <w:r w:rsidRPr="001128ED">
        <w:rPr>
          <w:szCs w:val="22"/>
        </w:rPr>
        <w:t xml:space="preserve"> </w:t>
      </w:r>
      <w:r>
        <w:t>contact</w:t>
      </w:r>
      <w:r w:rsidR="00BE1857">
        <w:t xml:space="preserve"> Mika Savir</w:t>
      </w:r>
      <w:r>
        <w:t>, Attorney Advisor, Consumer Policy Division, Consumer and Governmental Affairs Bureau, at</w:t>
      </w:r>
      <w:r w:rsidR="00BE1857">
        <w:t xml:space="preserve"> </w:t>
      </w:r>
      <w:hyperlink r:id="rId6" w:history="1">
        <w:r w:rsidRPr="00D97116" w:rsidR="00BE1857">
          <w:rPr>
            <w:rStyle w:val="Hyperlink"/>
          </w:rPr>
          <w:t>mika.savir@fcc.gov</w:t>
        </w:r>
      </w:hyperlink>
      <w:r w:rsidR="00BE1857">
        <w:t xml:space="preserve">, </w:t>
      </w:r>
      <w:r>
        <w:t>202-418-0</w:t>
      </w:r>
      <w:r w:rsidR="00BE1857">
        <w:t>384</w:t>
      </w:r>
      <w:r>
        <w:t>.</w:t>
      </w:r>
    </w:p>
    <w:p w:rsidR="00932D0D" w:rsidRPr="00E67E71" w:rsidP="00932D0D" w14:paraId="547C291B" w14:textId="77777777">
      <w:pPr>
        <w:pStyle w:val="Heading1"/>
      </w:pPr>
      <w:r>
        <w:t>ORDERING CLAUSES</w:t>
      </w:r>
    </w:p>
    <w:p w:rsidR="00932D0D" w:rsidP="00932D0D" w14:paraId="3A41DE94" w14:textId="5FB42069">
      <w:pPr>
        <w:pStyle w:val="ParaNum"/>
        <w:widowControl/>
      </w:pPr>
      <w:bookmarkStart w:id="60" w:name="comebackhere"/>
      <w:bookmarkEnd w:id="60"/>
      <w:r w:rsidRPr="00BC0CA6">
        <w:t xml:space="preserve">Accordingly, IT IS ORDERED, pursuant to sections 0.204, </w:t>
      </w:r>
      <w:r w:rsidRPr="00BC0CA6">
        <w:t>0.</w:t>
      </w:r>
      <w:r>
        <w:t xml:space="preserve">361, </w:t>
      </w:r>
      <w:r w:rsidRPr="00BC0CA6">
        <w:t xml:space="preserve">and 1.46 of the Commission’s rules, 47 CFR §§ 0.204, </w:t>
      </w:r>
      <w:r w:rsidRPr="00BC0CA6">
        <w:t>0.</w:t>
      </w:r>
      <w:r>
        <w:t>361,</w:t>
      </w:r>
      <w:r w:rsidRPr="00BC0CA6">
        <w:t xml:space="preserve"> 1.46, that the </w:t>
      </w:r>
      <w:r w:rsidR="00BE1857">
        <w:t>National Consumer Law Center And CTIA Joint Request For Extension Of Reply Comment Deadline</w:t>
      </w:r>
      <w:r w:rsidRPr="00BC0CA6" w:rsidR="00BE1857">
        <w:t xml:space="preserve"> </w:t>
      </w:r>
      <w:r w:rsidRPr="00BC0CA6">
        <w:t xml:space="preserve">filed on </w:t>
      </w:r>
      <w:r>
        <w:t>November</w:t>
      </w:r>
      <w:r w:rsidRPr="00BC0CA6">
        <w:t xml:space="preserve"> </w:t>
      </w:r>
      <w:r w:rsidR="00BE1857">
        <w:t>14</w:t>
      </w:r>
      <w:r w:rsidRPr="00BC0CA6">
        <w:t>, 202</w:t>
      </w:r>
      <w:r w:rsidR="00BE1857">
        <w:t>2</w:t>
      </w:r>
      <w:r w:rsidRPr="00BC0CA6">
        <w:t xml:space="preserve"> is GRANTED as described herein. </w:t>
      </w:r>
    </w:p>
    <w:p w:rsidR="00992D95" w:rsidP="00992D95" w14:paraId="1C4C4FB0" w14:textId="3699C9DC">
      <w:pPr>
        <w:pStyle w:val="ParaNum"/>
        <w:widowControl/>
        <w:numPr>
          <w:ilvl w:val="0"/>
          <w:numId w:val="0"/>
        </w:numPr>
        <w:ind w:firstLine="720"/>
      </w:pPr>
    </w:p>
    <w:p w:rsidR="00992D95" w:rsidP="00992D95" w14:paraId="44E1DC3B" w14:textId="27CA9F13">
      <w:pPr>
        <w:pStyle w:val="ParaNum"/>
        <w:widowControl/>
        <w:numPr>
          <w:ilvl w:val="0"/>
          <w:numId w:val="0"/>
        </w:numPr>
        <w:ind w:firstLine="720"/>
      </w:pPr>
    </w:p>
    <w:p w:rsidR="00992D95" w:rsidRPr="00BC0CA6" w:rsidP="00992D95" w14:paraId="23455500" w14:textId="77777777">
      <w:pPr>
        <w:pStyle w:val="ParaNum"/>
        <w:widowControl/>
        <w:numPr>
          <w:ilvl w:val="0"/>
          <w:numId w:val="0"/>
        </w:numPr>
        <w:ind w:firstLine="720"/>
      </w:pPr>
    </w:p>
    <w:p w:rsidR="00932D0D" w:rsidP="00932D0D" w14:paraId="0C04B194" w14:textId="4AC4B8ED">
      <w:pPr>
        <w:pStyle w:val="ParaNum"/>
        <w:widowControl/>
      </w:pPr>
      <w:r w:rsidRPr="00BC0CA6">
        <w:t xml:space="preserve">IT IS FURTHER ORDERED that the date for filing reply comments in response to the </w:t>
      </w:r>
      <w:r w:rsidRPr="007C776F">
        <w:rPr>
          <w:i/>
          <w:iCs/>
        </w:rPr>
        <w:t>Notice</w:t>
      </w:r>
      <w:r w:rsidRPr="00BC0CA6">
        <w:t xml:space="preserve"> </w:t>
      </w:r>
      <w:r w:rsidR="00BE1857">
        <w:t>is</w:t>
      </w:r>
      <w:r w:rsidRPr="00BC0CA6">
        <w:t xml:space="preserve"> EXTENDED </w:t>
      </w:r>
      <w:r w:rsidRPr="00992D95">
        <w:t>to</w:t>
      </w:r>
      <w:r w:rsidRPr="00992D95" w:rsidR="00BE1857">
        <w:t xml:space="preserve"> December </w:t>
      </w:r>
      <w:r w:rsidRPr="00992D95" w:rsidR="006F6901">
        <w:t>9</w:t>
      </w:r>
      <w:r w:rsidRPr="00992D95" w:rsidR="00BE1857">
        <w:t>, 2022</w:t>
      </w:r>
      <w:r w:rsidRPr="00992D95">
        <w:t>.</w:t>
      </w:r>
      <w:r w:rsidRPr="00BC0CA6">
        <w:t xml:space="preserve"> </w:t>
      </w:r>
      <w:r>
        <w:tab/>
      </w:r>
      <w:r>
        <w:tab/>
      </w:r>
      <w:r>
        <w:tab/>
      </w:r>
      <w:r>
        <w:tab/>
      </w:r>
    </w:p>
    <w:p w:rsidR="00932D0D" w:rsidP="00932D0D" w14:paraId="2B1D3E21" w14:textId="77777777"/>
    <w:p w:rsidR="00932D0D" w:rsidP="00932D0D" w14:paraId="1BE536C8" w14:textId="77777777"/>
    <w:p w:rsidR="00932D0D" w:rsidP="00932D0D" w14:paraId="43735260" w14:textId="77777777">
      <w:pPr>
        <w:ind w:left="3600" w:firstLine="720"/>
      </w:pPr>
      <w:r>
        <w:t>FEDERAL COMMUNICATIONS COMMISSION</w:t>
      </w:r>
    </w:p>
    <w:p w:rsidR="00932D0D" w:rsidP="00932D0D" w14:paraId="3A2BFDCC" w14:textId="77777777"/>
    <w:p w:rsidR="00932D0D" w:rsidP="00932D0D" w14:paraId="44B45B8B" w14:textId="77777777"/>
    <w:p w:rsidR="00932D0D" w:rsidP="00932D0D" w14:paraId="5628B491" w14:textId="77777777"/>
    <w:p w:rsidR="00932D0D" w:rsidP="00932D0D" w14:paraId="72A40D0B" w14:textId="77777777"/>
    <w:p w:rsidR="00932D0D" w:rsidP="00BE1857" w14:paraId="3A020DBD" w14:textId="3B6A0271">
      <w:r>
        <w:tab/>
      </w:r>
      <w:r>
        <w:tab/>
      </w:r>
      <w:r>
        <w:tab/>
      </w:r>
      <w:r>
        <w:tab/>
      </w:r>
      <w:r>
        <w:tab/>
      </w:r>
      <w:r>
        <w:tab/>
      </w:r>
    </w:p>
    <w:p w:rsidR="00932D0D" w:rsidP="00932D0D" w14:paraId="7BD5D1B7" w14:textId="77777777">
      <w:pPr>
        <w:ind w:left="3600" w:firstLine="720"/>
      </w:pPr>
    </w:p>
    <w:p w:rsidR="00932D0D" w:rsidP="00932D0D" w14:paraId="54DB5350" w14:textId="2F055EAC">
      <w:pPr>
        <w:ind w:left="3600" w:firstLine="720"/>
      </w:pPr>
      <w:r>
        <w:t>Alejandro Roark</w:t>
      </w:r>
    </w:p>
    <w:p w:rsidR="00932D0D" w:rsidP="00932D0D" w14:paraId="7D180B63" w14:textId="77777777">
      <w:r>
        <w:tab/>
      </w:r>
      <w:r>
        <w:tab/>
      </w:r>
      <w:r>
        <w:tab/>
      </w:r>
      <w:r>
        <w:tab/>
      </w:r>
      <w:r>
        <w:tab/>
      </w:r>
      <w:r>
        <w:tab/>
        <w:t>Chief</w:t>
      </w:r>
    </w:p>
    <w:p w:rsidR="00412FC5" w:rsidP="00932D0D" w14:paraId="4DAED68A" w14:textId="1E79C150">
      <w:r>
        <w:tab/>
      </w:r>
      <w:r>
        <w:tab/>
      </w:r>
      <w:r>
        <w:tab/>
      </w:r>
      <w:r>
        <w:tab/>
      </w:r>
      <w:r>
        <w:tab/>
      </w:r>
      <w:r>
        <w:tab/>
        <w:t>Consumer and Governmental Affairs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02AE5"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0FCA53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32D0D" w14:paraId="0F76E666" w14:textId="387A0D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F132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6E09" w14:paraId="201E4032" w14:textId="77777777">
      <w:r>
        <w:separator/>
      </w:r>
    </w:p>
  </w:footnote>
  <w:footnote w:type="continuationSeparator" w:id="1">
    <w:p w:rsidR="00156E09" w:rsidP="00C721AC" w14:paraId="40C98F55" w14:textId="77777777">
      <w:pPr>
        <w:spacing w:before="120"/>
        <w:rPr>
          <w:sz w:val="20"/>
        </w:rPr>
      </w:pPr>
      <w:r>
        <w:rPr>
          <w:sz w:val="20"/>
        </w:rPr>
        <w:t xml:space="preserve">(Continued from previous page)  </w:t>
      </w:r>
      <w:r>
        <w:rPr>
          <w:sz w:val="20"/>
        </w:rPr>
        <w:separator/>
      </w:r>
    </w:p>
  </w:footnote>
  <w:footnote w:type="continuationNotice" w:id="2">
    <w:p w:rsidR="00156E09" w:rsidP="00C721AC" w14:paraId="1D752A8D" w14:textId="77777777">
      <w:pPr>
        <w:jc w:val="right"/>
        <w:rPr>
          <w:sz w:val="20"/>
        </w:rPr>
      </w:pPr>
      <w:r>
        <w:rPr>
          <w:sz w:val="20"/>
        </w:rPr>
        <w:t>(continued….)</w:t>
      </w:r>
    </w:p>
  </w:footnote>
  <w:footnote w:id="3">
    <w:p w:rsidR="00932D0D" w:rsidRPr="00360266" w:rsidP="00932D0D" w14:paraId="3FF9E6B7" w14:textId="7B193A32">
      <w:pPr>
        <w:pStyle w:val="FootnoteText"/>
        <w:rPr>
          <w:i/>
        </w:rPr>
      </w:pPr>
      <w:r>
        <w:rPr>
          <w:rStyle w:val="FootnoteReference"/>
        </w:rPr>
        <w:footnoteRef/>
      </w:r>
      <w:r>
        <w:t xml:space="preserve"> </w:t>
      </w:r>
      <w:r>
        <w:rPr>
          <w:iCs/>
        </w:rPr>
        <w:t xml:space="preserve">Federal Communications Commission, </w:t>
      </w:r>
      <w:r w:rsidR="00BE4087">
        <w:rPr>
          <w:color w:val="000000"/>
          <w:kern w:val="1"/>
          <w:szCs w:val="22"/>
        </w:rPr>
        <w:t>Targeting and Eliminating Unlawful Text Messages</w:t>
      </w:r>
      <w:r>
        <w:t>, 8</w:t>
      </w:r>
      <w:r w:rsidR="00BE4087">
        <w:t>7</w:t>
      </w:r>
      <w:r>
        <w:t xml:space="preserve"> Fed. Reg.</w:t>
      </w:r>
      <w:r w:rsidR="00BE4087">
        <w:t xml:space="preserve"> 61271 </w:t>
      </w:r>
      <w:r>
        <w:t xml:space="preserve">(Oct. </w:t>
      </w:r>
      <w:r w:rsidR="00BE4087">
        <w:t>11</w:t>
      </w:r>
      <w:r>
        <w:t>, 202</w:t>
      </w:r>
      <w:r w:rsidR="00BE4087">
        <w:t>2</w:t>
      </w:r>
      <w:r>
        <w:t>) (</w:t>
      </w:r>
      <w:r w:rsidRPr="004C2E70">
        <w:rPr>
          <w:i/>
          <w:iCs/>
        </w:rPr>
        <w:t>Federal Register Notice</w:t>
      </w:r>
      <w:r>
        <w:t>)</w:t>
      </w:r>
      <w:r w:rsidR="00BE4087">
        <w:t>.</w:t>
      </w:r>
      <w:r>
        <w:t xml:space="preserve"> </w:t>
      </w:r>
    </w:p>
  </w:footnote>
  <w:footnote w:id="4">
    <w:p w:rsidR="00932D0D" w:rsidRPr="008D3621" w:rsidP="00932D0D" w14:paraId="7114CD59" w14:textId="055F7BCC">
      <w:pPr>
        <w:pStyle w:val="FootnoteText"/>
      </w:pPr>
      <w:r>
        <w:rPr>
          <w:rStyle w:val="FootnoteReference"/>
        </w:rPr>
        <w:footnoteRef/>
      </w:r>
      <w:r w:rsidR="00BE4087">
        <w:rPr>
          <w:i/>
          <w:szCs w:val="22"/>
        </w:rPr>
        <w:t xml:space="preserve"> </w:t>
      </w:r>
      <w:r w:rsidR="00BE4087">
        <w:rPr>
          <w:i/>
          <w:szCs w:val="22"/>
        </w:rPr>
        <w:t>Targeting and Eliminating Unlawful Text Messages</w:t>
      </w:r>
      <w:r w:rsidR="00BE4087">
        <w:rPr>
          <w:iCs/>
          <w:szCs w:val="22"/>
        </w:rPr>
        <w:t>, CG Docket No. 21-402, FCC 22-72 (rel. Sept. 27, 2022)</w:t>
      </w:r>
      <w:r w:rsidR="00BE1857">
        <w:rPr>
          <w:iCs/>
          <w:szCs w:val="22"/>
        </w:rPr>
        <w:t xml:space="preserve"> (</w:t>
      </w:r>
      <w:r w:rsidRPr="00BE1857" w:rsidR="00BE1857">
        <w:rPr>
          <w:i/>
          <w:szCs w:val="22"/>
        </w:rPr>
        <w:t>Notice</w:t>
      </w:r>
      <w:r w:rsidR="00BE1857">
        <w:rPr>
          <w:iCs/>
          <w:szCs w:val="22"/>
        </w:rPr>
        <w:t>)</w:t>
      </w:r>
      <w:r w:rsidR="00BE4087">
        <w:rPr>
          <w:iCs/>
          <w:szCs w:val="22"/>
        </w:rPr>
        <w:t>.</w:t>
      </w:r>
      <w:r>
        <w:t xml:space="preserve"> </w:t>
      </w:r>
      <w:r w:rsidRPr="00FF1E5A">
        <w:t xml:space="preserve"> </w:t>
      </w:r>
      <w:r>
        <w:t>The document is available on the Commission’s website at</w:t>
      </w:r>
      <w:r w:rsidR="00A57091">
        <w:t xml:space="preserve"> </w:t>
      </w:r>
      <w:hyperlink r:id="rId1" w:history="1">
        <w:r w:rsidRPr="00D97116" w:rsidR="00A57091">
          <w:rPr>
            <w:rStyle w:val="Hyperlink"/>
          </w:rPr>
          <w:t>https://www.fcc.gov/document/fcc-proposes-blocking-illegal-text-messages</w:t>
        </w:r>
      </w:hyperlink>
      <w:r w:rsidR="00A57091">
        <w:t xml:space="preserve">. </w:t>
      </w:r>
    </w:p>
  </w:footnote>
  <w:footnote w:id="5">
    <w:p w:rsidR="00932D0D" w:rsidRPr="009E4EB0" w:rsidP="00932D0D" w14:paraId="76552E36" w14:textId="6F059B8D">
      <w:pPr>
        <w:pStyle w:val="FootnoteText"/>
        <w:rPr>
          <w:iCs/>
        </w:rPr>
      </w:pPr>
      <w:r>
        <w:rPr>
          <w:rStyle w:val="FootnoteReference"/>
        </w:rPr>
        <w:footnoteRef/>
      </w:r>
      <w:r>
        <w:t xml:space="preserve"> </w:t>
      </w:r>
      <w:r w:rsidRPr="00F87CEC">
        <w:rPr>
          <w:i/>
          <w:iCs/>
        </w:rPr>
        <w:t>See</w:t>
      </w:r>
      <w:r>
        <w:t xml:space="preserve"> </w:t>
      </w:r>
      <w:r>
        <w:rPr>
          <w:i/>
        </w:rPr>
        <w:t xml:space="preserve">Federal Register Notice, </w:t>
      </w:r>
      <w:r w:rsidRPr="00F87CEC">
        <w:rPr>
          <w:iCs/>
        </w:rPr>
        <w:t>8</w:t>
      </w:r>
      <w:r w:rsidR="003F2540">
        <w:rPr>
          <w:iCs/>
        </w:rPr>
        <w:t>7</w:t>
      </w:r>
      <w:r w:rsidRPr="00F87CEC">
        <w:rPr>
          <w:iCs/>
        </w:rPr>
        <w:t xml:space="preserve"> Fed. Reg.</w:t>
      </w:r>
      <w:r>
        <w:rPr>
          <w:i/>
        </w:rPr>
        <w:t xml:space="preserve"> </w:t>
      </w:r>
      <w:r w:rsidRPr="00407C38">
        <w:rPr>
          <w:iCs/>
        </w:rPr>
        <w:t>at</w:t>
      </w:r>
      <w:r>
        <w:rPr>
          <w:i/>
        </w:rPr>
        <w:t xml:space="preserve"> </w:t>
      </w:r>
      <w:r w:rsidR="003F2540">
        <w:rPr>
          <w:iCs/>
        </w:rPr>
        <w:t>61271</w:t>
      </w:r>
      <w:r>
        <w:rPr>
          <w:i/>
        </w:rPr>
        <w:t xml:space="preserve">. </w:t>
      </w:r>
      <w:r>
        <w:rPr>
          <w:iCs/>
        </w:rPr>
        <w:t xml:space="preserve"> </w:t>
      </w:r>
    </w:p>
  </w:footnote>
  <w:footnote w:id="6">
    <w:p w:rsidR="00932D0D" w:rsidP="00281A2C" w14:paraId="3CDAD038" w14:textId="5C55D1BE">
      <w:pPr>
        <w:pStyle w:val="FootnoteText"/>
      </w:pPr>
      <w:r>
        <w:rPr>
          <w:rStyle w:val="FootnoteReference"/>
        </w:rPr>
        <w:footnoteRef/>
      </w:r>
      <w:r>
        <w:t xml:space="preserve"> </w:t>
      </w:r>
      <w:r w:rsidRPr="00860B3B">
        <w:rPr>
          <w:i/>
          <w:iCs/>
        </w:rPr>
        <w:t>See</w:t>
      </w:r>
      <w:r w:rsidR="00281A2C">
        <w:t xml:space="preserve"> National Consumer Law Center </w:t>
      </w:r>
      <w:r w:rsidR="00D055F5">
        <w:t>a</w:t>
      </w:r>
      <w:r w:rsidR="00281A2C">
        <w:t xml:space="preserve">nd CTIA Joint Request </w:t>
      </w:r>
      <w:r w:rsidR="001F557D">
        <w:t xml:space="preserve">for </w:t>
      </w:r>
      <w:r w:rsidR="00281A2C">
        <w:t>Extension</w:t>
      </w:r>
      <w:r w:rsidR="00281A2C">
        <w:t xml:space="preserve"> </w:t>
      </w:r>
      <w:r w:rsidR="001F557D">
        <w:t>of</w:t>
      </w:r>
      <w:r w:rsidR="00281A2C">
        <w:t xml:space="preserve"> Reply</w:t>
      </w:r>
      <w:r w:rsidR="008D019B">
        <w:t xml:space="preserve"> </w:t>
      </w:r>
      <w:r w:rsidR="00281A2C">
        <w:t>Comment Deadline,</w:t>
      </w:r>
      <w:r w:rsidR="008D019B">
        <w:t xml:space="preserve"> </w:t>
      </w:r>
      <w:r w:rsidR="008D019B">
        <w:rPr>
          <w:i/>
          <w:szCs w:val="22"/>
        </w:rPr>
        <w:t>Targeting and Eliminating Unlawful Text Messages</w:t>
      </w:r>
      <w:r w:rsidR="008D019B">
        <w:rPr>
          <w:iCs/>
          <w:szCs w:val="22"/>
        </w:rPr>
        <w:t>, CG Docket No. 21-402 (filed Nov. 14, 2022) (Extension Request).</w:t>
      </w:r>
    </w:p>
  </w:footnote>
  <w:footnote w:id="7">
    <w:p w:rsidR="00780A6A" w14:paraId="2A0CF8CA" w14:textId="60C61154">
      <w:pPr>
        <w:pStyle w:val="FootnoteText"/>
      </w:pPr>
      <w:r>
        <w:rPr>
          <w:rStyle w:val="FootnoteReference"/>
        </w:rPr>
        <w:footnoteRef/>
      </w:r>
      <w:r>
        <w:t xml:space="preserve"> </w:t>
      </w:r>
      <w:r w:rsidR="00BE1857">
        <w:t>Extension Request at 2.</w:t>
      </w:r>
    </w:p>
  </w:footnote>
  <w:footnote w:id="8">
    <w:p w:rsidR="00780A6A" w14:paraId="40CC93BC" w14:textId="3B78C4D7">
      <w:pPr>
        <w:pStyle w:val="FootnoteText"/>
      </w:pPr>
      <w:r>
        <w:rPr>
          <w:rStyle w:val="FootnoteReference"/>
        </w:rPr>
        <w:footnoteRef/>
      </w:r>
      <w:r>
        <w:t xml:space="preserve"> </w:t>
      </w:r>
      <w:r w:rsidRPr="00BE1857" w:rsidR="00BE1857">
        <w:rPr>
          <w:i/>
          <w:iCs/>
        </w:rPr>
        <w:t>Id.</w:t>
      </w:r>
    </w:p>
  </w:footnote>
  <w:footnote w:id="9">
    <w:p w:rsidR="00932D0D" w:rsidP="00932D0D" w14:paraId="4B25C115" w14:textId="77777777">
      <w:pPr>
        <w:pStyle w:val="FootnoteText"/>
      </w:pPr>
      <w:r>
        <w:rPr>
          <w:rStyle w:val="FootnoteReference"/>
        </w:rPr>
        <w:footnoteRef/>
      </w:r>
      <w:r>
        <w:t xml:space="preserve"> </w:t>
      </w:r>
      <w:r>
        <w:t xml:space="preserve">47 CFR § 1.46.  </w:t>
      </w:r>
    </w:p>
  </w:footnote>
  <w:footnote w:id="10">
    <w:p w:rsidR="00932D0D" w:rsidRPr="00F27104" w:rsidP="00932D0D" w14:paraId="026D1128" w14:textId="77777777">
      <w:pPr>
        <w:pStyle w:val="FootnoteText"/>
      </w:pPr>
      <w:r>
        <w:rPr>
          <w:rStyle w:val="FootnoteReference"/>
        </w:rPr>
        <w:footnoteRef/>
      </w:r>
      <w:r>
        <w:t xml:space="preserve"> </w:t>
      </w:r>
      <w:r>
        <w:rPr>
          <w:i/>
          <w:iCs/>
        </w:rPr>
        <w:t>See, e.g.</w:t>
      </w:r>
      <w:r>
        <w:t xml:space="preserve">, </w:t>
      </w:r>
      <w:r>
        <w:rPr>
          <w:i/>
          <w:iCs/>
        </w:rPr>
        <w:t>Audio Enterprises, Inc. Apparent Liability for Forfeiture</w:t>
      </w:r>
      <w:r>
        <w:t xml:space="preserve">, File No. ENF-88-04, Order, 3 FCC Rcd 5402, para. 2 (Com. Car. Bur. 1988).  </w:t>
      </w:r>
    </w:p>
  </w:footnote>
  <w:footnote w:id="11">
    <w:p w:rsidR="00932D0D" w:rsidRPr="0078320D" w:rsidP="00932D0D" w14:paraId="2D37ECCC" w14:textId="77777777">
      <w:pPr>
        <w:pStyle w:val="FootnoteText"/>
      </w:pPr>
      <w:r>
        <w:rPr>
          <w:rStyle w:val="FootnoteReference"/>
        </w:rPr>
        <w:footnoteRef/>
      </w:r>
      <w:r>
        <w:t xml:space="preserve"> </w:t>
      </w:r>
      <w:r>
        <w:rPr>
          <w:i/>
          <w:iCs/>
        </w:rPr>
        <w:t>Id.</w:t>
      </w:r>
      <w:r>
        <w:t xml:space="preserve">  </w:t>
      </w:r>
    </w:p>
  </w:footnote>
  <w:footnote w:id="12">
    <w:p w:rsidR="00932D0D" w:rsidRPr="00FD3527" w:rsidP="00932D0D" w14:paraId="5584099B" w14:textId="77777777">
      <w:pPr>
        <w:pStyle w:val="FootnoteText"/>
      </w:pPr>
      <w:r>
        <w:rPr>
          <w:rStyle w:val="FootnoteReference"/>
        </w:rPr>
        <w:footnoteRef/>
      </w:r>
      <w:r>
        <w:t xml:space="preserve"> </w:t>
      </w:r>
      <w:r>
        <w:rPr>
          <w:i/>
          <w:iCs/>
        </w:rPr>
        <w:t>See, e.g.</w:t>
      </w:r>
      <w:r>
        <w:t>,</w:t>
      </w:r>
      <w:r>
        <w:rPr>
          <w:i/>
          <w:iCs/>
        </w:rPr>
        <w:t xml:space="preserve"> Wireless E911 Location Accuracy Requirements</w:t>
      </w:r>
      <w:r>
        <w:t xml:space="preserve">, PS Docket No. 07-114, Order, 35 FCC Rcd 193, 194, para. 3 (PSHSB 2020); </w:t>
      </w:r>
      <w:r>
        <w:rPr>
          <w:i/>
          <w:iCs/>
        </w:rPr>
        <w:t>see also</w:t>
      </w:r>
      <w:r>
        <w:t xml:space="preserve"> </w:t>
      </w:r>
      <w:r>
        <w:rPr>
          <w:i/>
          <w:iCs/>
        </w:rPr>
        <w:t>Protecting Against National Security Threats to the Communications Supply Chain Through FCC Programs</w:t>
      </w:r>
      <w:r>
        <w:t xml:space="preserve">, WC Docket No. 18-89, Order, 35 FCC Rcd 2998, 2999, para. 6 (WCB &amp; OEA 2020).  </w:t>
      </w:r>
    </w:p>
  </w:footnote>
  <w:footnote w:id="13">
    <w:p w:rsidR="00932D0D" w:rsidP="00932D0D" w14:paraId="45715254" w14:textId="0FD5C758">
      <w:pPr>
        <w:pStyle w:val="FootnoteText"/>
      </w:pPr>
      <w:r>
        <w:rPr>
          <w:rStyle w:val="FootnoteReference"/>
        </w:rPr>
        <w:footnoteRef/>
      </w:r>
      <w:r>
        <w:t xml:space="preserve"> </w:t>
      </w:r>
      <w:r w:rsidRPr="00F87CEC">
        <w:rPr>
          <w:i/>
          <w:iCs/>
        </w:rPr>
        <w:t>See, e.g.</w:t>
      </w:r>
      <w:r w:rsidRPr="000D1C39">
        <w:t>,</w:t>
      </w:r>
      <w:r>
        <w:t xml:space="preserve"> </w:t>
      </w:r>
      <w:r w:rsidRPr="00F87CEC">
        <w:rPr>
          <w:i/>
          <w:iCs/>
        </w:rPr>
        <w:t>Intel Corporation’s Request for Waiver of Section 76.640(B)(4) of the Commission’s Rules</w:t>
      </w:r>
      <w:r>
        <w:t xml:space="preserve">, CS Docket No. 97-80, Order, 24 FCC Rcd 14104 (MB 2015) (in response to a request, extending deadline for filing oppositions to a waiver request by ten days “[g]iven that the Thanksgiving holiday effectively shortened the normal time for filing comments, and that the requested extension will not interfere with the Commission’s ability to timely consider the waiver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64EAE0" w14:textId="7DB9D7BC">
    <w:pPr>
      <w:pStyle w:val="Header"/>
      <w:rPr>
        <w:b w:val="0"/>
      </w:rPr>
    </w:pPr>
    <w:r>
      <w:tab/>
      <w:t>Federal Communications Commission</w:t>
    </w:r>
    <w:r>
      <w:tab/>
    </w:r>
    <w:r w:rsidR="00BE1857">
      <w:t>DA 22-</w:t>
    </w:r>
    <w:r w:rsidR="005E3842">
      <w:t>1212</w:t>
    </w:r>
  </w:p>
  <w:p w:rsidR="00D25FB5" w14:paraId="69939E71" w14:textId="0BA852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F3233A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A814E1" w14:textId="59349D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D11F9">
      <w:tab/>
    </w:r>
    <w:r w:rsidR="004D11F9">
      <w:t>Federal Communications Commission</w:t>
    </w:r>
    <w:r w:rsidR="004D11F9">
      <w:tab/>
    </w:r>
    <w:r w:rsidR="00C436C9">
      <w:rPr>
        <w:spacing w:val="-2"/>
      </w:rPr>
      <w:t>DA 2</w:t>
    </w:r>
    <w:r w:rsidR="00203836">
      <w:rPr>
        <w:spacing w:val="-2"/>
      </w:rPr>
      <w:t>2-</w:t>
    </w:r>
    <w:r w:rsidR="005E3842">
      <w:rPr>
        <w:spacing w:val="-2"/>
      </w:rPr>
      <w:t>1212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0D"/>
    <w:rsid w:val="00021954"/>
    <w:rsid w:val="00036039"/>
    <w:rsid w:val="00037F90"/>
    <w:rsid w:val="000515B6"/>
    <w:rsid w:val="00062F69"/>
    <w:rsid w:val="000875BF"/>
    <w:rsid w:val="00094DA7"/>
    <w:rsid w:val="00096D8C"/>
    <w:rsid w:val="000A40D1"/>
    <w:rsid w:val="000B3058"/>
    <w:rsid w:val="000C0B65"/>
    <w:rsid w:val="000D1C39"/>
    <w:rsid w:val="000E05FE"/>
    <w:rsid w:val="000E3D42"/>
    <w:rsid w:val="000E5E0F"/>
    <w:rsid w:val="001128ED"/>
    <w:rsid w:val="00122BD5"/>
    <w:rsid w:val="00133F79"/>
    <w:rsid w:val="001366ED"/>
    <w:rsid w:val="0014111C"/>
    <w:rsid w:val="001541D8"/>
    <w:rsid w:val="00156E09"/>
    <w:rsid w:val="00166EA1"/>
    <w:rsid w:val="00166FEF"/>
    <w:rsid w:val="00192DA0"/>
    <w:rsid w:val="00194A66"/>
    <w:rsid w:val="001D6BCF"/>
    <w:rsid w:val="001E01CA"/>
    <w:rsid w:val="001F557D"/>
    <w:rsid w:val="00203836"/>
    <w:rsid w:val="00206B09"/>
    <w:rsid w:val="00207A66"/>
    <w:rsid w:val="00211BC1"/>
    <w:rsid w:val="00216BA4"/>
    <w:rsid w:val="00251121"/>
    <w:rsid w:val="00263389"/>
    <w:rsid w:val="00266F64"/>
    <w:rsid w:val="00273F65"/>
    <w:rsid w:val="00275CF5"/>
    <w:rsid w:val="00281A2C"/>
    <w:rsid w:val="0028301F"/>
    <w:rsid w:val="00285017"/>
    <w:rsid w:val="00291559"/>
    <w:rsid w:val="002A2D2E"/>
    <w:rsid w:val="002A6F2B"/>
    <w:rsid w:val="002A7879"/>
    <w:rsid w:val="002B2CB5"/>
    <w:rsid w:val="002C00E8"/>
    <w:rsid w:val="002E76E8"/>
    <w:rsid w:val="002F3EEE"/>
    <w:rsid w:val="00300A7E"/>
    <w:rsid w:val="00311A71"/>
    <w:rsid w:val="003208D3"/>
    <w:rsid w:val="00332FD5"/>
    <w:rsid w:val="003404FA"/>
    <w:rsid w:val="00343749"/>
    <w:rsid w:val="003478AA"/>
    <w:rsid w:val="00352CAB"/>
    <w:rsid w:val="00360266"/>
    <w:rsid w:val="003660ED"/>
    <w:rsid w:val="0036682C"/>
    <w:rsid w:val="00391D6F"/>
    <w:rsid w:val="003B0550"/>
    <w:rsid w:val="003B694F"/>
    <w:rsid w:val="003D4695"/>
    <w:rsid w:val="003E7396"/>
    <w:rsid w:val="003F171C"/>
    <w:rsid w:val="003F2540"/>
    <w:rsid w:val="003F46E6"/>
    <w:rsid w:val="00407C38"/>
    <w:rsid w:val="00412FC5"/>
    <w:rsid w:val="00422276"/>
    <w:rsid w:val="004242F1"/>
    <w:rsid w:val="0043577D"/>
    <w:rsid w:val="00445A00"/>
    <w:rsid w:val="00451B0F"/>
    <w:rsid w:val="00483E69"/>
    <w:rsid w:val="00487866"/>
    <w:rsid w:val="00491052"/>
    <w:rsid w:val="00491C66"/>
    <w:rsid w:val="004B2774"/>
    <w:rsid w:val="004C2E70"/>
    <w:rsid w:val="004C2EE3"/>
    <w:rsid w:val="004D11F9"/>
    <w:rsid w:val="004E4A22"/>
    <w:rsid w:val="004E69C4"/>
    <w:rsid w:val="004F0F30"/>
    <w:rsid w:val="004F4340"/>
    <w:rsid w:val="00511968"/>
    <w:rsid w:val="00513DE7"/>
    <w:rsid w:val="0054268C"/>
    <w:rsid w:val="00545327"/>
    <w:rsid w:val="00554F81"/>
    <w:rsid w:val="0055614C"/>
    <w:rsid w:val="0056104D"/>
    <w:rsid w:val="00566D06"/>
    <w:rsid w:val="0058422D"/>
    <w:rsid w:val="005A76BA"/>
    <w:rsid w:val="005E14C2"/>
    <w:rsid w:val="005E2F9E"/>
    <w:rsid w:val="005E3842"/>
    <w:rsid w:val="00607BA5"/>
    <w:rsid w:val="00607F08"/>
    <w:rsid w:val="0061180A"/>
    <w:rsid w:val="00626EB6"/>
    <w:rsid w:val="0063254B"/>
    <w:rsid w:val="00641D3B"/>
    <w:rsid w:val="00642EBE"/>
    <w:rsid w:val="00652D72"/>
    <w:rsid w:val="00655704"/>
    <w:rsid w:val="00655D03"/>
    <w:rsid w:val="00674697"/>
    <w:rsid w:val="00676F2F"/>
    <w:rsid w:val="00683388"/>
    <w:rsid w:val="00683F84"/>
    <w:rsid w:val="006A6A81"/>
    <w:rsid w:val="006C3B07"/>
    <w:rsid w:val="006C4BAF"/>
    <w:rsid w:val="006E0A5D"/>
    <w:rsid w:val="006F6901"/>
    <w:rsid w:val="006F7393"/>
    <w:rsid w:val="0070224F"/>
    <w:rsid w:val="007115F7"/>
    <w:rsid w:val="00742C26"/>
    <w:rsid w:val="00780A6A"/>
    <w:rsid w:val="0078320D"/>
    <w:rsid w:val="00784219"/>
    <w:rsid w:val="00785689"/>
    <w:rsid w:val="007872E4"/>
    <w:rsid w:val="0079754B"/>
    <w:rsid w:val="007A1E6D"/>
    <w:rsid w:val="007A68CD"/>
    <w:rsid w:val="007B0EB2"/>
    <w:rsid w:val="007B2DD7"/>
    <w:rsid w:val="007C04B6"/>
    <w:rsid w:val="007C776F"/>
    <w:rsid w:val="00807E64"/>
    <w:rsid w:val="00810B6F"/>
    <w:rsid w:val="00822CE0"/>
    <w:rsid w:val="00841AB1"/>
    <w:rsid w:val="0086084C"/>
    <w:rsid w:val="00860B3B"/>
    <w:rsid w:val="008800BD"/>
    <w:rsid w:val="008A5FCF"/>
    <w:rsid w:val="008B4074"/>
    <w:rsid w:val="008B73F5"/>
    <w:rsid w:val="008C68F1"/>
    <w:rsid w:val="008D019B"/>
    <w:rsid w:val="008D3621"/>
    <w:rsid w:val="008D4338"/>
    <w:rsid w:val="008E4E41"/>
    <w:rsid w:val="008F57B5"/>
    <w:rsid w:val="009028F7"/>
    <w:rsid w:val="00921803"/>
    <w:rsid w:val="00922A88"/>
    <w:rsid w:val="00924669"/>
    <w:rsid w:val="00925851"/>
    <w:rsid w:val="00926503"/>
    <w:rsid w:val="009305DB"/>
    <w:rsid w:val="00932D0D"/>
    <w:rsid w:val="00933D02"/>
    <w:rsid w:val="009726D8"/>
    <w:rsid w:val="009745B2"/>
    <w:rsid w:val="0097498D"/>
    <w:rsid w:val="0097753D"/>
    <w:rsid w:val="00983F93"/>
    <w:rsid w:val="00992D95"/>
    <w:rsid w:val="009B2663"/>
    <w:rsid w:val="009D527B"/>
    <w:rsid w:val="009D7308"/>
    <w:rsid w:val="009D7366"/>
    <w:rsid w:val="009E4EB0"/>
    <w:rsid w:val="009F280B"/>
    <w:rsid w:val="009F2C21"/>
    <w:rsid w:val="009F76DB"/>
    <w:rsid w:val="00A00FE9"/>
    <w:rsid w:val="00A32C3B"/>
    <w:rsid w:val="00A41071"/>
    <w:rsid w:val="00A45F4F"/>
    <w:rsid w:val="00A54BBC"/>
    <w:rsid w:val="00A5577B"/>
    <w:rsid w:val="00A57091"/>
    <w:rsid w:val="00A600A9"/>
    <w:rsid w:val="00A672C2"/>
    <w:rsid w:val="00A86E99"/>
    <w:rsid w:val="00AA55B7"/>
    <w:rsid w:val="00AA5B9E"/>
    <w:rsid w:val="00AB2407"/>
    <w:rsid w:val="00AB37AD"/>
    <w:rsid w:val="00AB4DC3"/>
    <w:rsid w:val="00AB53DF"/>
    <w:rsid w:val="00AC5673"/>
    <w:rsid w:val="00AD45CA"/>
    <w:rsid w:val="00B057D3"/>
    <w:rsid w:val="00B07E5C"/>
    <w:rsid w:val="00B2370E"/>
    <w:rsid w:val="00B404AB"/>
    <w:rsid w:val="00B4247B"/>
    <w:rsid w:val="00B70009"/>
    <w:rsid w:val="00B73A04"/>
    <w:rsid w:val="00B811F7"/>
    <w:rsid w:val="00B928C6"/>
    <w:rsid w:val="00BA4B7B"/>
    <w:rsid w:val="00BA5DC6"/>
    <w:rsid w:val="00BA6196"/>
    <w:rsid w:val="00BC0CA6"/>
    <w:rsid w:val="00BC6D8C"/>
    <w:rsid w:val="00BC6FFC"/>
    <w:rsid w:val="00BD2F09"/>
    <w:rsid w:val="00BE1857"/>
    <w:rsid w:val="00BE4087"/>
    <w:rsid w:val="00C018EA"/>
    <w:rsid w:val="00C16D67"/>
    <w:rsid w:val="00C26A12"/>
    <w:rsid w:val="00C34006"/>
    <w:rsid w:val="00C36B4C"/>
    <w:rsid w:val="00C37078"/>
    <w:rsid w:val="00C426B1"/>
    <w:rsid w:val="00C436C9"/>
    <w:rsid w:val="00C55396"/>
    <w:rsid w:val="00C66160"/>
    <w:rsid w:val="00C721AC"/>
    <w:rsid w:val="00C84F3C"/>
    <w:rsid w:val="00C90D6A"/>
    <w:rsid w:val="00C95DFE"/>
    <w:rsid w:val="00CA247E"/>
    <w:rsid w:val="00CA6D21"/>
    <w:rsid w:val="00CA78F3"/>
    <w:rsid w:val="00CC72B6"/>
    <w:rsid w:val="00CD1605"/>
    <w:rsid w:val="00CD2829"/>
    <w:rsid w:val="00CD5764"/>
    <w:rsid w:val="00CF4834"/>
    <w:rsid w:val="00D0218D"/>
    <w:rsid w:val="00D028D1"/>
    <w:rsid w:val="00D055F5"/>
    <w:rsid w:val="00D06817"/>
    <w:rsid w:val="00D25FB5"/>
    <w:rsid w:val="00D44223"/>
    <w:rsid w:val="00D4736B"/>
    <w:rsid w:val="00D863C4"/>
    <w:rsid w:val="00D97116"/>
    <w:rsid w:val="00DA2529"/>
    <w:rsid w:val="00DA78DD"/>
    <w:rsid w:val="00DB130A"/>
    <w:rsid w:val="00DB2EBB"/>
    <w:rsid w:val="00DC10A1"/>
    <w:rsid w:val="00DC1F8C"/>
    <w:rsid w:val="00DC655F"/>
    <w:rsid w:val="00DD0B59"/>
    <w:rsid w:val="00DD23CB"/>
    <w:rsid w:val="00DD7EBD"/>
    <w:rsid w:val="00DF62B6"/>
    <w:rsid w:val="00E07225"/>
    <w:rsid w:val="00E5409F"/>
    <w:rsid w:val="00E5792D"/>
    <w:rsid w:val="00E67E71"/>
    <w:rsid w:val="00E7050A"/>
    <w:rsid w:val="00E71BB9"/>
    <w:rsid w:val="00E9101A"/>
    <w:rsid w:val="00EA3886"/>
    <w:rsid w:val="00EB63DF"/>
    <w:rsid w:val="00EC21EA"/>
    <w:rsid w:val="00EC5E48"/>
    <w:rsid w:val="00EC6190"/>
    <w:rsid w:val="00ED6CB0"/>
    <w:rsid w:val="00EE172C"/>
    <w:rsid w:val="00EE3171"/>
    <w:rsid w:val="00EE6488"/>
    <w:rsid w:val="00F0145F"/>
    <w:rsid w:val="00F021FA"/>
    <w:rsid w:val="00F27104"/>
    <w:rsid w:val="00F47542"/>
    <w:rsid w:val="00F62E97"/>
    <w:rsid w:val="00F64209"/>
    <w:rsid w:val="00F7310B"/>
    <w:rsid w:val="00F8133F"/>
    <w:rsid w:val="00F82773"/>
    <w:rsid w:val="00F87CEC"/>
    <w:rsid w:val="00F93BF5"/>
    <w:rsid w:val="00F94486"/>
    <w:rsid w:val="00FA3188"/>
    <w:rsid w:val="00FD044F"/>
    <w:rsid w:val="00FD3527"/>
    <w:rsid w:val="00FE347A"/>
    <w:rsid w:val="00FF02CB"/>
    <w:rsid w:val="00FF1E5A"/>
    <w:rsid w:val="72F4D4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E297E4"/>
  <w15:chartTrackingRefBased/>
  <w15:docId w15:val="{DA3D1E04-0BF5-4F7E-B6E9-DBECA94E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link w:val="FootnoteText"/>
    <w:rsid w:val="00932D0D"/>
  </w:style>
  <w:style w:type="character" w:customStyle="1" w:styleId="ParaNumChar">
    <w:name w:val="ParaNum Char"/>
    <w:link w:val="ParaNum"/>
    <w:locked/>
    <w:rsid w:val="00932D0D"/>
    <w:rPr>
      <w:snapToGrid w:val="0"/>
      <w:kern w:val="28"/>
      <w:sz w:val="22"/>
    </w:rPr>
  </w:style>
  <w:style w:type="character" w:styleId="UnresolvedMention">
    <w:name w:val="Unresolved Mention"/>
    <w:basedOn w:val="DefaultParagraphFont"/>
    <w:rsid w:val="00A57091"/>
    <w:rPr>
      <w:color w:val="605E5C"/>
      <w:shd w:val="clear" w:color="auto" w:fill="E1DFDD"/>
    </w:rPr>
  </w:style>
  <w:style w:type="paragraph" w:styleId="Revision">
    <w:name w:val="Revision"/>
    <w:hidden/>
    <w:uiPriority w:val="99"/>
    <w:semiHidden/>
    <w:rsid w:val="00332FD5"/>
    <w:rPr>
      <w:snapToGrid w:val="0"/>
      <w:kern w:val="28"/>
      <w:sz w:val="22"/>
    </w:rPr>
  </w:style>
  <w:style w:type="character" w:styleId="CommentReference">
    <w:name w:val="annotation reference"/>
    <w:basedOn w:val="DefaultParagraphFont"/>
    <w:rsid w:val="00CD1605"/>
    <w:rPr>
      <w:sz w:val="16"/>
      <w:szCs w:val="16"/>
    </w:rPr>
  </w:style>
  <w:style w:type="paragraph" w:styleId="CommentText">
    <w:name w:val="annotation text"/>
    <w:basedOn w:val="Normal"/>
    <w:link w:val="CommentTextChar"/>
    <w:rsid w:val="00CD1605"/>
    <w:rPr>
      <w:sz w:val="20"/>
    </w:rPr>
  </w:style>
  <w:style w:type="character" w:customStyle="1" w:styleId="CommentTextChar">
    <w:name w:val="Comment Text Char"/>
    <w:basedOn w:val="DefaultParagraphFont"/>
    <w:link w:val="CommentText"/>
    <w:rsid w:val="00CD1605"/>
    <w:rPr>
      <w:snapToGrid w:val="0"/>
      <w:kern w:val="28"/>
    </w:rPr>
  </w:style>
  <w:style w:type="paragraph" w:styleId="CommentSubject">
    <w:name w:val="annotation subject"/>
    <w:basedOn w:val="CommentText"/>
    <w:next w:val="CommentText"/>
    <w:link w:val="CommentSubjectChar"/>
    <w:rsid w:val="00CD1605"/>
    <w:rPr>
      <w:b/>
      <w:bCs/>
    </w:rPr>
  </w:style>
  <w:style w:type="character" w:customStyle="1" w:styleId="CommentSubjectChar">
    <w:name w:val="Comment Subject Char"/>
    <w:basedOn w:val="CommentTextChar"/>
    <w:link w:val="CommentSubject"/>
    <w:rsid w:val="00CD160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ka.savi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proposes-blocking-illegal-text-messag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