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C068DD" w:rsidP="00801DE7" w14:paraId="6576ACF4" w14:textId="0096958B">
      <w:pPr>
        <w:spacing w:after="120"/>
        <w:jc w:val="right"/>
        <w:rPr>
          <w:b/>
          <w:sz w:val="24"/>
        </w:rPr>
      </w:pPr>
      <w:r>
        <w:rPr>
          <w:b/>
          <w:sz w:val="24"/>
        </w:rPr>
        <w:t>DA 22-</w:t>
      </w:r>
      <w:r w:rsidR="0009055D">
        <w:rPr>
          <w:b/>
          <w:sz w:val="24"/>
        </w:rPr>
        <w:t>1215</w:t>
      </w:r>
      <w:r>
        <w:rPr>
          <w:b/>
          <w:sz w:val="24"/>
        </w:rPr>
        <w:t xml:space="preserve"> </w:t>
      </w:r>
    </w:p>
    <w:p w:rsidR="00C068DD" w:rsidP="00801DE7" w14:paraId="14D5F552" w14:textId="0D0B3269">
      <w:pPr>
        <w:spacing w:after="120"/>
        <w:jc w:val="right"/>
        <w:rPr>
          <w:b/>
          <w:sz w:val="24"/>
        </w:rPr>
      </w:pPr>
      <w:r>
        <w:rPr>
          <w:b/>
          <w:sz w:val="24"/>
        </w:rPr>
        <w:t xml:space="preserve">Released:  </w:t>
      </w:r>
      <w:r w:rsidR="0081314F">
        <w:rPr>
          <w:b/>
          <w:sz w:val="24"/>
        </w:rPr>
        <w:t>November</w:t>
      </w:r>
      <w:r w:rsidR="000257BC">
        <w:rPr>
          <w:b/>
          <w:sz w:val="24"/>
        </w:rPr>
        <w:t xml:space="preserve"> </w:t>
      </w:r>
      <w:r w:rsidR="006E2EB1">
        <w:rPr>
          <w:b/>
          <w:sz w:val="24"/>
        </w:rPr>
        <w:t>21</w:t>
      </w:r>
      <w:r>
        <w:rPr>
          <w:b/>
          <w:sz w:val="24"/>
        </w:rPr>
        <w:t>, 2022</w:t>
      </w:r>
    </w:p>
    <w:p w:rsidR="00C068DD" w:rsidP="00801DE7" w14:paraId="6F30F4BF" w14:textId="77777777">
      <w:pPr>
        <w:spacing w:after="120"/>
        <w:jc w:val="right"/>
        <w:rPr>
          <w:sz w:val="24"/>
        </w:rPr>
      </w:pPr>
    </w:p>
    <w:p w:rsidR="00DE453F" w:rsidRPr="00B20363" w:rsidP="00801DE7" w14:paraId="442A38CD" w14:textId="1E7E9AF0">
      <w:pPr>
        <w:spacing w:after="120"/>
        <w:jc w:val="center"/>
        <w:rPr>
          <w:rFonts w:ascii="Times New Roman Bold" w:hAnsi="Times New Roman Bold"/>
          <w:b/>
          <w:caps/>
          <w:sz w:val="24"/>
        </w:rPr>
      </w:pPr>
      <w:bookmarkStart w:id="0" w:name="TOChere"/>
      <w:r>
        <w:rPr>
          <w:rFonts w:ascii="Times New Roman Bold" w:hAnsi="Times New Roman Bold"/>
          <w:b/>
          <w:caps/>
          <w:sz w:val="24"/>
        </w:rPr>
        <w:t>wireless telecommunications bureau</w:t>
      </w:r>
      <w:r w:rsidR="0091675A">
        <w:rPr>
          <w:rFonts w:ascii="Times New Roman Bold" w:hAnsi="Times New Roman Bold"/>
          <w:b/>
          <w:caps/>
          <w:sz w:val="24"/>
        </w:rPr>
        <w:t>,</w:t>
      </w:r>
      <w:r>
        <w:rPr>
          <w:rFonts w:ascii="Times New Roman Bold" w:hAnsi="Times New Roman Bold"/>
          <w:b/>
          <w:caps/>
          <w:sz w:val="24"/>
        </w:rPr>
        <w:t xml:space="preserve"> Office of Engineering and Technology, and international bureau remind </w:t>
      </w:r>
      <w:r w:rsidR="0091675A">
        <w:rPr>
          <w:rFonts w:ascii="Times New Roman Bold" w:hAnsi="Times New Roman Bold"/>
          <w:b/>
          <w:caps/>
          <w:sz w:val="24"/>
        </w:rPr>
        <w:t xml:space="preserve">grandfathered </w:t>
      </w:r>
      <w:r>
        <w:rPr>
          <w:rFonts w:ascii="Times New Roman Bold" w:hAnsi="Times New Roman Bold"/>
          <w:b/>
          <w:caps/>
          <w:sz w:val="24"/>
        </w:rPr>
        <w:t xml:space="preserve">fixed satellite service licensees </w:t>
      </w:r>
      <w:r w:rsidR="0091675A">
        <w:rPr>
          <w:rFonts w:ascii="Times New Roman Bold" w:hAnsi="Times New Roman Bold"/>
          <w:b/>
          <w:caps/>
          <w:sz w:val="24"/>
        </w:rPr>
        <w:t>in the 3</w:t>
      </w:r>
      <w:r w:rsidR="00425E44">
        <w:rPr>
          <w:rFonts w:ascii="Times New Roman Bold" w:hAnsi="Times New Roman Bold"/>
          <w:b/>
          <w:caps/>
          <w:sz w:val="24"/>
        </w:rPr>
        <w:t>.</w:t>
      </w:r>
      <w:r w:rsidR="0091675A">
        <w:rPr>
          <w:rFonts w:ascii="Times New Roman Bold" w:hAnsi="Times New Roman Bold"/>
          <w:b/>
          <w:caps/>
          <w:sz w:val="24"/>
        </w:rPr>
        <w:t>6-3</w:t>
      </w:r>
      <w:r w:rsidR="00425E44">
        <w:rPr>
          <w:rFonts w:ascii="Times New Roman Bold" w:hAnsi="Times New Roman Bold"/>
          <w:b/>
          <w:caps/>
          <w:sz w:val="24"/>
        </w:rPr>
        <w:t>.</w:t>
      </w:r>
      <w:r w:rsidR="0091675A">
        <w:rPr>
          <w:rFonts w:ascii="Times New Roman Bold" w:hAnsi="Times New Roman Bold"/>
          <w:b/>
          <w:caps/>
          <w:sz w:val="24"/>
        </w:rPr>
        <w:t xml:space="preserve">7 </w:t>
      </w:r>
      <w:r w:rsidR="00425E44">
        <w:rPr>
          <w:rFonts w:ascii="Times New Roman Bold" w:hAnsi="Times New Roman Bold"/>
          <w:b/>
          <w:caps/>
          <w:sz w:val="24"/>
        </w:rPr>
        <w:t>G</w:t>
      </w:r>
      <w:r w:rsidR="0091675A">
        <w:rPr>
          <w:rFonts w:ascii="Times New Roman Bold" w:hAnsi="Times New Roman Bold"/>
          <w:b/>
          <w:caps/>
          <w:sz w:val="24"/>
        </w:rPr>
        <w:t xml:space="preserve">Hz band </w:t>
      </w:r>
      <w:r>
        <w:rPr>
          <w:rFonts w:ascii="Times New Roman Bold" w:hAnsi="Times New Roman Bold"/>
          <w:b/>
          <w:caps/>
          <w:sz w:val="24"/>
        </w:rPr>
        <w:t xml:space="preserve">to submit </w:t>
      </w:r>
      <w:r w:rsidR="00AD6895">
        <w:rPr>
          <w:rFonts w:ascii="Times New Roman Bold" w:hAnsi="Times New Roman Bold"/>
          <w:b/>
          <w:caps/>
          <w:sz w:val="24"/>
        </w:rPr>
        <w:t xml:space="preserve">2023 </w:t>
      </w:r>
      <w:r>
        <w:rPr>
          <w:rFonts w:ascii="Times New Roman Bold" w:hAnsi="Times New Roman Bold"/>
          <w:b/>
          <w:caps/>
          <w:sz w:val="24"/>
        </w:rPr>
        <w:t xml:space="preserve">annual registration </w:t>
      </w:r>
      <w:r w:rsidR="0091675A">
        <w:rPr>
          <w:rFonts w:ascii="Times New Roman Bold" w:hAnsi="Times New Roman Bold"/>
          <w:b/>
          <w:caps/>
          <w:sz w:val="24"/>
        </w:rPr>
        <w:t>updates</w:t>
      </w:r>
      <w:r w:rsidR="00AD6895">
        <w:rPr>
          <w:rFonts w:ascii="Times New Roman Bold" w:hAnsi="Times New Roman Bold"/>
          <w:b/>
          <w:caps/>
          <w:sz w:val="24"/>
        </w:rPr>
        <w:t xml:space="preserve"> by December 1, 2022</w:t>
      </w:r>
    </w:p>
    <w:p w:rsidR="00DE453F" w:rsidP="00CB3F59" w14:paraId="22D1DC3A" w14:textId="77777777">
      <w:pPr>
        <w:spacing w:after="120"/>
        <w:jc w:val="center"/>
        <w:rPr>
          <w:b/>
          <w:sz w:val="24"/>
        </w:rPr>
      </w:pPr>
      <w:r>
        <w:rPr>
          <w:b/>
          <w:sz w:val="24"/>
        </w:rPr>
        <w:t>GN Docket No. 17-258</w:t>
      </w:r>
    </w:p>
    <w:p w:rsidR="00A64A7F" w:rsidP="002C185C" w14:paraId="21AABE6E" w14:textId="75B47E9B">
      <w:pPr>
        <w:spacing w:after="120"/>
        <w:ind w:firstLine="720"/>
        <w:rPr>
          <w:szCs w:val="22"/>
        </w:rPr>
      </w:pPr>
      <w:r>
        <w:t xml:space="preserve">By this Public Notice, the Wireless Telecommunications Bureau, Office of Engineering and Technology, and the International Bureau </w:t>
      </w:r>
      <w:r w:rsidR="00B16987">
        <w:t xml:space="preserve">(Bureaus and Office) </w:t>
      </w:r>
      <w:r>
        <w:t xml:space="preserve">remind </w:t>
      </w:r>
      <w:r w:rsidR="00B16987">
        <w:t xml:space="preserve">grandfathered </w:t>
      </w:r>
      <w:r w:rsidRPr="003A43A2" w:rsidR="00225240">
        <w:rPr>
          <w:szCs w:val="22"/>
        </w:rPr>
        <w:t xml:space="preserve">Fixed Satellite Service </w:t>
      </w:r>
      <w:r w:rsidR="00225240">
        <w:rPr>
          <w:szCs w:val="22"/>
        </w:rPr>
        <w:t xml:space="preserve">(FSS) </w:t>
      </w:r>
      <w:r w:rsidR="002A2531">
        <w:rPr>
          <w:szCs w:val="22"/>
        </w:rPr>
        <w:t xml:space="preserve">earth station </w:t>
      </w:r>
      <w:r w:rsidR="00B16987">
        <w:rPr>
          <w:szCs w:val="22"/>
        </w:rPr>
        <w:t>operators in the 3</w:t>
      </w:r>
      <w:r w:rsidR="00072E29">
        <w:rPr>
          <w:szCs w:val="22"/>
        </w:rPr>
        <w:t>.</w:t>
      </w:r>
      <w:r w:rsidR="00B16987">
        <w:rPr>
          <w:szCs w:val="22"/>
        </w:rPr>
        <w:t>6-3</w:t>
      </w:r>
      <w:r w:rsidR="00072E29">
        <w:rPr>
          <w:szCs w:val="22"/>
        </w:rPr>
        <w:t>.</w:t>
      </w:r>
      <w:r w:rsidR="00B16987">
        <w:rPr>
          <w:szCs w:val="22"/>
        </w:rPr>
        <w:t xml:space="preserve">7 </w:t>
      </w:r>
      <w:r w:rsidR="00072E29">
        <w:rPr>
          <w:szCs w:val="22"/>
        </w:rPr>
        <w:t>G</w:t>
      </w:r>
      <w:r w:rsidR="00B16987">
        <w:rPr>
          <w:szCs w:val="22"/>
        </w:rPr>
        <w:t>Hz band of their annual registration requirements</w:t>
      </w:r>
      <w:r>
        <w:rPr>
          <w:szCs w:val="22"/>
        </w:rPr>
        <w:t xml:space="preserve">.  </w:t>
      </w:r>
      <w:r w:rsidRPr="002C1214">
        <w:rPr>
          <w:i/>
          <w:iCs/>
        </w:rPr>
        <w:t>All registrations must be renewed annually by December 1, 2022, for the registration to be valid at the beginning of next year, January 1, 2023</w:t>
      </w:r>
      <w:r>
        <w:t>.</w:t>
      </w:r>
      <w:r>
        <w:rPr>
          <w:rStyle w:val="FootnoteReference"/>
        </w:rPr>
        <w:footnoteReference w:id="3"/>
      </w:r>
      <w:r>
        <w:rPr>
          <w:szCs w:val="22"/>
        </w:rPr>
        <w:t xml:space="preserve">  </w:t>
      </w:r>
      <w:r w:rsidR="002C185C">
        <w:rPr>
          <w:szCs w:val="22"/>
        </w:rPr>
        <w:t>Registrations must be submitted via the 3.5 GHz FSS Database.</w:t>
      </w:r>
      <w:r>
        <w:rPr>
          <w:rStyle w:val="FootnoteReference"/>
          <w:szCs w:val="22"/>
        </w:rPr>
        <w:footnoteReference w:id="4"/>
      </w:r>
      <w:r w:rsidR="002C185C">
        <w:rPr>
          <w:szCs w:val="22"/>
        </w:rPr>
        <w:t xml:space="preserve">  The Bureaus and Office also remind FSS operators that only those earth stations that meet the qualification requirements in section 96.17 of the Commission’s rules may register for protection in the 3.5 GHz FSS database.</w:t>
      </w:r>
      <w:r>
        <w:rPr>
          <w:rStyle w:val="FootnoteReference"/>
          <w:szCs w:val="22"/>
        </w:rPr>
        <w:footnoteReference w:id="5"/>
      </w:r>
      <w:r w:rsidR="002C185C">
        <w:rPr>
          <w:szCs w:val="22"/>
        </w:rPr>
        <w:t xml:space="preserve">  </w:t>
      </w:r>
    </w:p>
    <w:p w:rsidR="00083C20" w:rsidP="006E2EB1" w14:paraId="2213742A" w14:textId="09C8B060">
      <w:pPr>
        <w:keepNext/>
        <w:widowControl/>
        <w:spacing w:after="120"/>
        <w:ind w:firstLine="720"/>
      </w:pPr>
      <w:r>
        <w:t xml:space="preserve">After </w:t>
      </w:r>
      <w:r w:rsidR="00832DAA">
        <w:t>January 1, 2023</w:t>
      </w:r>
      <w:r>
        <w:t>, registrations that have not been completed may be deactivated or deleted, and the site will no longer merit protection by the Spectrum Access System (SAS) administrators.</w:t>
      </w:r>
      <w:r>
        <w:rPr>
          <w:rStyle w:val="FootnoteReference"/>
        </w:rPr>
        <w:footnoteReference w:id="6"/>
      </w:r>
      <w:r>
        <w:t xml:space="preserve">  Consistent with established policy, the Bureaus and Office will continue to accept late-filed registrations </w:t>
      </w:r>
      <w:r>
        <w:t xml:space="preserve">and renewals, including registrations submitted </w:t>
      </w:r>
      <w:r w:rsidRPr="00BC180D">
        <w:t>after deactivation</w:t>
      </w:r>
      <w:r>
        <w:t xml:space="preserve">, and the SAS administrators will </w:t>
      </w:r>
      <w:r w:rsidRPr="00063701">
        <w:t>reinstate</w:t>
      </w:r>
      <w:r>
        <w:t xml:space="preserve"> protections as soon as reasonably practicable after filing.</w:t>
      </w:r>
      <w:r>
        <w:rPr>
          <w:rStyle w:val="FootnoteReference"/>
        </w:rPr>
        <w:footnoteReference w:id="7"/>
      </w:r>
      <w:r>
        <w:t xml:space="preserve"> </w:t>
      </w:r>
    </w:p>
    <w:p w:rsidR="00680026" w:rsidP="00801DE7" w14:paraId="290B7EBC" w14:textId="77777777">
      <w:pPr>
        <w:spacing w:after="120"/>
        <w:ind w:firstLine="720"/>
        <w:rPr>
          <w:szCs w:val="22"/>
        </w:rPr>
      </w:pPr>
      <w:r w:rsidRPr="00680026">
        <w:rPr>
          <w:i/>
          <w:iCs/>
          <w:szCs w:val="22"/>
        </w:rPr>
        <w:t>People with Disabilities</w:t>
      </w:r>
      <w:r>
        <w:rPr>
          <w:szCs w:val="22"/>
        </w:rPr>
        <w:t xml:space="preserve">.  </w:t>
      </w:r>
      <w:r w:rsidRPr="003A43A2">
        <w:rPr>
          <w:szCs w:val="22"/>
        </w:rPr>
        <w:t>To request materials in accessible formats for people with disabilities (Braille, large print, electronic files, audio format), send an e-mail to fcc504@fcc.gov or call the Consumer &amp; Governmental Affairs Bureau at 202-418-0530 (voice), 202-418-0432 (TTY).</w:t>
      </w:r>
      <w:r>
        <w:rPr>
          <w:szCs w:val="22"/>
        </w:rPr>
        <w:t xml:space="preserve">  </w:t>
      </w:r>
    </w:p>
    <w:p w:rsidR="007951A6" w:rsidRPr="000673B1" w:rsidP="00801DE7" w14:paraId="3909ACE4" w14:textId="77777777">
      <w:pPr>
        <w:spacing w:after="120"/>
        <w:ind w:firstLine="720"/>
      </w:pPr>
      <w:r w:rsidRPr="00680026">
        <w:rPr>
          <w:i/>
          <w:iCs/>
          <w:szCs w:val="22"/>
        </w:rPr>
        <w:t>Additional Information</w:t>
      </w:r>
      <w:r>
        <w:rPr>
          <w:szCs w:val="22"/>
        </w:rPr>
        <w:t xml:space="preserve">.  </w:t>
      </w:r>
      <w:r w:rsidRPr="00EE4904">
        <w:rPr>
          <w:szCs w:val="22"/>
        </w:rPr>
        <w:t>F</w:t>
      </w:r>
      <w:r w:rsidRPr="003A43A2">
        <w:rPr>
          <w:szCs w:val="22"/>
        </w:rPr>
        <w:t xml:space="preserve">or </w:t>
      </w:r>
      <w:r>
        <w:rPr>
          <w:szCs w:val="22"/>
        </w:rPr>
        <w:t xml:space="preserve">further information regarding this Public Notice, </w:t>
      </w:r>
      <w:r w:rsidRPr="003A43A2">
        <w:rPr>
          <w:szCs w:val="22"/>
        </w:rPr>
        <w:t xml:space="preserve">please contact Paul Powell, Assistant Division Chief, Wireless Telecommunications Bureau, Mobility Division at </w:t>
      </w:r>
      <w:r w:rsidRPr="00227C7F">
        <w:rPr>
          <w:szCs w:val="22"/>
        </w:rPr>
        <w:t>paul.powell@fcc.gov</w:t>
      </w:r>
      <w:r w:rsidRPr="003A43A2">
        <w:rPr>
          <w:szCs w:val="22"/>
        </w:rPr>
        <w:t xml:space="preserve"> or 202</w:t>
      </w:r>
      <w:r>
        <w:rPr>
          <w:szCs w:val="22"/>
        </w:rPr>
        <w:t>-</w:t>
      </w:r>
      <w:r w:rsidRPr="003A43A2">
        <w:rPr>
          <w:szCs w:val="22"/>
        </w:rPr>
        <w:t xml:space="preserve">418-1613; </w:t>
      </w:r>
      <w:r w:rsidR="008F18C7">
        <w:rPr>
          <w:szCs w:val="22"/>
        </w:rPr>
        <w:t>Kerry Murray</w:t>
      </w:r>
      <w:r w:rsidRPr="003A43A2">
        <w:rPr>
          <w:szCs w:val="22"/>
        </w:rPr>
        <w:t xml:space="preserve">, </w:t>
      </w:r>
      <w:r w:rsidR="008F18C7">
        <w:rPr>
          <w:szCs w:val="22"/>
        </w:rPr>
        <w:t xml:space="preserve">Attorney Advisor, </w:t>
      </w:r>
      <w:r w:rsidRPr="003A43A2">
        <w:rPr>
          <w:szCs w:val="22"/>
        </w:rPr>
        <w:t xml:space="preserve">International Bureau, Systems Analysis Branch at </w:t>
      </w:r>
      <w:r w:rsidR="008F18C7">
        <w:rPr>
          <w:szCs w:val="22"/>
        </w:rPr>
        <w:t>kerry.murray</w:t>
      </w:r>
      <w:r w:rsidRPr="00227C7F">
        <w:rPr>
          <w:szCs w:val="22"/>
        </w:rPr>
        <w:t>@fcc.gov</w:t>
      </w:r>
      <w:r w:rsidRPr="003A43A2">
        <w:rPr>
          <w:szCs w:val="22"/>
        </w:rPr>
        <w:t xml:space="preserve"> or 202</w:t>
      </w:r>
      <w:r>
        <w:rPr>
          <w:szCs w:val="22"/>
        </w:rPr>
        <w:t>-</w:t>
      </w:r>
      <w:r w:rsidRPr="003A43A2">
        <w:rPr>
          <w:szCs w:val="22"/>
        </w:rPr>
        <w:t>418-</w:t>
      </w:r>
      <w:r w:rsidR="008F18C7">
        <w:rPr>
          <w:szCs w:val="22"/>
        </w:rPr>
        <w:t>0734</w:t>
      </w:r>
      <w:r w:rsidRPr="003A43A2">
        <w:rPr>
          <w:szCs w:val="22"/>
        </w:rPr>
        <w:t xml:space="preserve"> or </w:t>
      </w:r>
      <w:r w:rsidRPr="00227C7F">
        <w:rPr>
          <w:szCs w:val="22"/>
        </w:rPr>
        <w:t>IBFSINFO@fcc.gov</w:t>
      </w:r>
      <w:r w:rsidRPr="003A43A2">
        <w:rPr>
          <w:szCs w:val="22"/>
        </w:rPr>
        <w:t xml:space="preserve">; or </w:t>
      </w:r>
      <w:r w:rsidR="00072E29">
        <w:rPr>
          <w:szCs w:val="22"/>
        </w:rPr>
        <w:t xml:space="preserve">Navid Golshahi, </w:t>
      </w:r>
      <w:r w:rsidR="005A6D2F">
        <w:rPr>
          <w:szCs w:val="22"/>
        </w:rPr>
        <w:t>Electronics Engineer</w:t>
      </w:r>
      <w:r w:rsidRPr="003A43A2">
        <w:rPr>
          <w:szCs w:val="22"/>
        </w:rPr>
        <w:t xml:space="preserve">, Office of Engineering and Technology, Electromagnetic Compatibility Division at </w:t>
      </w:r>
      <w:r w:rsidR="00072E29">
        <w:rPr>
          <w:szCs w:val="22"/>
        </w:rPr>
        <w:t>navid.golshahi</w:t>
      </w:r>
      <w:r w:rsidRPr="00227C7F">
        <w:rPr>
          <w:szCs w:val="22"/>
        </w:rPr>
        <w:t>@fcc.gov</w:t>
      </w:r>
      <w:r w:rsidRPr="003A43A2">
        <w:rPr>
          <w:szCs w:val="22"/>
        </w:rPr>
        <w:t xml:space="preserve"> or 202</w:t>
      </w:r>
      <w:r>
        <w:rPr>
          <w:szCs w:val="22"/>
        </w:rPr>
        <w:t>-</w:t>
      </w:r>
      <w:r w:rsidRPr="003A43A2">
        <w:rPr>
          <w:szCs w:val="22"/>
        </w:rPr>
        <w:t>418-</w:t>
      </w:r>
      <w:r w:rsidR="005A6D2F">
        <w:rPr>
          <w:szCs w:val="22"/>
        </w:rPr>
        <w:t>2422</w:t>
      </w:r>
      <w:r w:rsidRPr="003A43A2">
        <w:rPr>
          <w:szCs w:val="22"/>
        </w:rPr>
        <w:t>.</w:t>
      </w:r>
    </w:p>
    <w:p w:rsidR="001A5E1B" w:rsidP="00CB3F59" w14:paraId="433A8251" w14:textId="77777777">
      <w:pPr>
        <w:spacing w:after="120"/>
        <w:ind w:firstLine="720"/>
        <w:rPr>
          <w:color w:val="000000"/>
          <w:szCs w:val="22"/>
          <w:shd w:val="clear" w:color="auto" w:fill="FFFFFF"/>
        </w:rPr>
      </w:pPr>
      <w:r w:rsidRPr="001543AF">
        <w:rPr>
          <w:color w:val="000000"/>
          <w:szCs w:val="22"/>
          <w:shd w:val="clear" w:color="auto" w:fill="FFFFFF"/>
        </w:rPr>
        <w:t xml:space="preserve">Customers with questions regarding </w:t>
      </w:r>
      <w:r>
        <w:rPr>
          <w:color w:val="000000"/>
          <w:szCs w:val="22"/>
          <w:shd w:val="clear" w:color="auto" w:fill="FFFFFF"/>
        </w:rPr>
        <w:t xml:space="preserve">filing registrations </w:t>
      </w:r>
      <w:r w:rsidRPr="001543AF">
        <w:rPr>
          <w:color w:val="000000"/>
          <w:szCs w:val="22"/>
          <w:shd w:val="clear" w:color="auto" w:fill="FFFFFF"/>
        </w:rPr>
        <w:t>may contact the FCC L</w:t>
      </w:r>
      <w:r>
        <w:rPr>
          <w:color w:val="000000"/>
          <w:szCs w:val="22"/>
          <w:shd w:val="clear" w:color="auto" w:fill="FFFFFF"/>
        </w:rPr>
        <w:t xml:space="preserve">icensing Support via the web at </w:t>
      </w:r>
      <w:hyperlink r:id="rId5" w:history="1">
        <w:r w:rsidRPr="00BD4190" w:rsidR="004B1CA2">
          <w:rPr>
            <w:rStyle w:val="Hyperlink"/>
            <w:szCs w:val="22"/>
            <w:shd w:val="clear" w:color="auto" w:fill="FFFFFF"/>
          </w:rPr>
          <w:t>https://www.fcc.gov/wireless/available-support-services</w:t>
        </w:r>
      </w:hyperlink>
      <w:r w:rsidR="004B1CA2">
        <w:rPr>
          <w:szCs w:val="22"/>
          <w:shd w:val="clear" w:color="auto" w:fill="FFFFFF"/>
        </w:rPr>
        <w:t xml:space="preserve">, </w:t>
      </w:r>
      <w:r>
        <w:rPr>
          <w:color w:val="000000"/>
          <w:szCs w:val="22"/>
          <w:shd w:val="clear" w:color="auto" w:fill="FFFFFF"/>
        </w:rPr>
        <w:t xml:space="preserve">or by telephone at </w:t>
      </w:r>
      <w:r w:rsidRPr="001543AF">
        <w:rPr>
          <w:color w:val="000000"/>
          <w:szCs w:val="22"/>
          <w:shd w:val="clear" w:color="auto" w:fill="FFFFFF"/>
        </w:rPr>
        <w:t xml:space="preserve">877-480-3201 </w:t>
      </w:r>
      <w:r>
        <w:rPr>
          <w:color w:val="000000"/>
          <w:szCs w:val="22"/>
          <w:shd w:val="clear" w:color="auto" w:fill="FFFFFF"/>
        </w:rPr>
        <w:t>(</w:t>
      </w:r>
      <w:r w:rsidRPr="001543AF">
        <w:rPr>
          <w:color w:val="000000"/>
          <w:szCs w:val="22"/>
          <w:shd w:val="clear" w:color="auto" w:fill="FFFFFF"/>
        </w:rPr>
        <w:t>select option #2</w:t>
      </w:r>
      <w:r>
        <w:rPr>
          <w:color w:val="000000"/>
          <w:szCs w:val="22"/>
          <w:shd w:val="clear" w:color="auto" w:fill="FFFFFF"/>
        </w:rPr>
        <w:t xml:space="preserve">).  </w:t>
      </w:r>
      <w:r w:rsidRPr="001543AF">
        <w:rPr>
          <w:color w:val="000000"/>
          <w:szCs w:val="22"/>
          <w:shd w:val="clear" w:color="auto" w:fill="FFFFFF"/>
        </w:rPr>
        <w:t xml:space="preserve">The support hours of operation are </w:t>
      </w:r>
      <w:r>
        <w:rPr>
          <w:color w:val="000000"/>
          <w:szCs w:val="22"/>
          <w:shd w:val="clear" w:color="auto" w:fill="FFFFFF"/>
        </w:rPr>
        <w:t xml:space="preserve">8 a.m. to 6 p.m. EST, Monday through </w:t>
      </w:r>
      <w:r w:rsidRPr="001543AF">
        <w:rPr>
          <w:color w:val="000000"/>
          <w:szCs w:val="22"/>
          <w:shd w:val="clear" w:color="auto" w:fill="FFFFFF"/>
        </w:rPr>
        <w:t>Friday (except Federal holidays).</w:t>
      </w:r>
    </w:p>
    <w:p w:rsidR="003A5CE9" w:rsidRPr="00F06733" w:rsidP="00CB3F59" w14:paraId="36A62EF3" w14:textId="77777777">
      <w:pPr>
        <w:spacing w:after="120"/>
        <w:ind w:firstLine="720"/>
        <w:rPr>
          <w:b/>
          <w:szCs w:val="22"/>
        </w:rPr>
      </w:pPr>
      <w:r w:rsidRPr="00F06733">
        <w:rPr>
          <w:szCs w:val="22"/>
        </w:rPr>
        <w:t>By the Acting Chief, Wireless Telecommunications Bureau, the Acting Chief, Office of Engineering and Technology</w:t>
      </w:r>
      <w:r w:rsidR="00403D6F">
        <w:rPr>
          <w:szCs w:val="22"/>
        </w:rPr>
        <w:t xml:space="preserve">, and </w:t>
      </w:r>
      <w:r w:rsidR="005E0908">
        <w:rPr>
          <w:szCs w:val="22"/>
        </w:rPr>
        <w:t xml:space="preserve">the </w:t>
      </w:r>
      <w:r w:rsidR="00403D6F">
        <w:rPr>
          <w:szCs w:val="22"/>
        </w:rPr>
        <w:t>Chief</w:t>
      </w:r>
      <w:r w:rsidR="005E0908">
        <w:rPr>
          <w:szCs w:val="22"/>
        </w:rPr>
        <w:t>,</w:t>
      </w:r>
      <w:r w:rsidR="00403D6F">
        <w:rPr>
          <w:szCs w:val="22"/>
        </w:rPr>
        <w:t xml:space="preserve"> International Bureau</w:t>
      </w:r>
      <w:r w:rsidRPr="00F06733">
        <w:rPr>
          <w:szCs w:val="22"/>
        </w:rPr>
        <w:t>.</w:t>
      </w:r>
    </w:p>
    <w:p w:rsidR="001215E9" w:rsidP="00801DE7" w14:paraId="2063EBBB" w14:textId="77777777">
      <w:pPr>
        <w:spacing w:after="120"/>
        <w:jc w:val="center"/>
        <w:rPr>
          <w:b/>
          <w:bCs/>
        </w:rPr>
      </w:pPr>
      <w:r w:rsidRPr="0027372E">
        <w:rPr>
          <w:b/>
          <w:bCs/>
        </w:rPr>
        <w:t>-FCC-</w:t>
      </w:r>
      <w:bookmarkEnd w:id="0"/>
    </w:p>
    <w:sectPr>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068DD" w14:paraId="6A7D5829" w14:textId="77777777">
    <w:pPr>
      <w:pStyle w:val="Footer"/>
      <w:framePr w:wrap="around" w:vAnchor="text" w:hAnchor="margin" w:xAlign="center" w:y="1"/>
    </w:pPr>
    <w:r>
      <w:fldChar w:fldCharType="begin"/>
    </w:r>
    <w:r>
      <w:instrText xml:space="preserve">PAGE  </w:instrText>
    </w:r>
    <w:r w:rsidR="00D072F8">
      <w:fldChar w:fldCharType="separate"/>
    </w:r>
    <w:r>
      <w:fldChar w:fldCharType="end"/>
    </w:r>
  </w:p>
  <w:p w:rsidR="00C068DD" w14:paraId="65ABFEE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068DD" w14:paraId="5541289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068DD" w14:paraId="3998B18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2F00" w14:paraId="56B3C360" w14:textId="77777777">
      <w:r>
        <w:separator/>
      </w:r>
    </w:p>
  </w:footnote>
  <w:footnote w:type="continuationSeparator" w:id="1">
    <w:p w:rsidR="002F2F00" w14:paraId="4680401C" w14:textId="77777777">
      <w:pPr>
        <w:rPr>
          <w:sz w:val="20"/>
        </w:rPr>
      </w:pPr>
      <w:r>
        <w:rPr>
          <w:sz w:val="20"/>
        </w:rPr>
        <w:t xml:space="preserve">(Continued from previous page)  </w:t>
      </w:r>
      <w:r>
        <w:rPr>
          <w:sz w:val="20"/>
        </w:rPr>
        <w:separator/>
      </w:r>
    </w:p>
  </w:footnote>
  <w:footnote w:type="continuationNotice" w:id="2">
    <w:p w:rsidR="002F2F00" w14:paraId="40D0CE15" w14:textId="77777777">
      <w:pPr>
        <w:jc w:val="right"/>
        <w:rPr>
          <w:sz w:val="20"/>
        </w:rPr>
      </w:pPr>
      <w:r>
        <w:rPr>
          <w:sz w:val="20"/>
        </w:rPr>
        <w:t>(continued….)</w:t>
      </w:r>
    </w:p>
  </w:footnote>
  <w:footnote w:id="3">
    <w:p w:rsidR="00A64A7F" w:rsidRPr="00B07A6F" w:rsidP="00A64A7F" w14:paraId="630E6DA9" w14:textId="77777777">
      <w:pPr>
        <w:pStyle w:val="indent-2"/>
        <w:spacing w:before="0" w:beforeAutospacing="0" w:after="120" w:afterAutospacing="0"/>
        <w:rPr>
          <w:sz w:val="20"/>
          <w:szCs w:val="20"/>
        </w:rPr>
      </w:pPr>
      <w:r w:rsidRPr="00B07A6F">
        <w:rPr>
          <w:rStyle w:val="FootnoteReference"/>
          <w:sz w:val="20"/>
          <w:szCs w:val="20"/>
        </w:rPr>
        <w:footnoteRef/>
      </w:r>
      <w:r w:rsidRPr="00B07A6F">
        <w:rPr>
          <w:sz w:val="20"/>
          <w:szCs w:val="20"/>
        </w:rPr>
        <w:t xml:space="preserve"> “FSS earth station licensees requesting protection under this part must register with the Commission annually, no later than 30 days before the end of the preceding calendar year, or upon making changes to any of the operational parameters listed in this section.  Registration information shall be made available to all approved SASs.”  47 CFR § 96.17(d).  This includes information required by the Commission’s rules as well as additional information necessary to ensure that SASs can appropriately protect registered FSS earth stations. </w:t>
      </w:r>
      <w:r>
        <w:rPr>
          <w:sz w:val="20"/>
          <w:szCs w:val="20"/>
        </w:rPr>
        <w:t xml:space="preserve"> </w:t>
      </w:r>
      <w:r w:rsidRPr="00B07A6F">
        <w:rPr>
          <w:sz w:val="20"/>
          <w:szCs w:val="20"/>
        </w:rPr>
        <w:t xml:space="preserve">“Annual registration for each earth station shall include, at a minimum: </w:t>
      </w:r>
      <w:r w:rsidRPr="00B07A6F">
        <w:rPr>
          <w:rStyle w:val="paren"/>
          <w:sz w:val="20"/>
          <w:szCs w:val="20"/>
        </w:rPr>
        <w:t>(</w:t>
      </w:r>
      <w:r w:rsidRPr="00B07A6F">
        <w:rPr>
          <w:rStyle w:val="paragraph-hierarchy"/>
          <w:sz w:val="20"/>
          <w:szCs w:val="20"/>
        </w:rPr>
        <w:t>i</w:t>
      </w:r>
      <w:r w:rsidRPr="00B07A6F">
        <w:rPr>
          <w:rStyle w:val="paren"/>
          <w:sz w:val="20"/>
          <w:szCs w:val="20"/>
        </w:rPr>
        <w:t>)</w:t>
      </w:r>
      <w:r w:rsidRPr="00B07A6F">
        <w:rPr>
          <w:sz w:val="20"/>
          <w:szCs w:val="20"/>
        </w:rPr>
        <w:t xml:space="preserve"> The earth station's geographic location (Using NAD83 coordinates); </w:t>
      </w:r>
      <w:r w:rsidRPr="00B07A6F">
        <w:rPr>
          <w:rStyle w:val="paren"/>
          <w:sz w:val="20"/>
          <w:szCs w:val="20"/>
        </w:rPr>
        <w:t>(</w:t>
      </w:r>
      <w:r w:rsidRPr="00B07A6F">
        <w:rPr>
          <w:rStyle w:val="paragraph-hierarchy"/>
          <w:sz w:val="20"/>
          <w:szCs w:val="20"/>
        </w:rPr>
        <w:t>ii</w:t>
      </w:r>
      <w:r w:rsidRPr="00B07A6F">
        <w:rPr>
          <w:rStyle w:val="paren"/>
          <w:sz w:val="20"/>
          <w:szCs w:val="20"/>
        </w:rPr>
        <w:t>)</w:t>
      </w:r>
      <w:r w:rsidRPr="00B07A6F">
        <w:rPr>
          <w:sz w:val="20"/>
          <w:szCs w:val="20"/>
        </w:rPr>
        <w:t xml:space="preserve"> Antenna gain; </w:t>
      </w:r>
      <w:r w:rsidRPr="00B07A6F">
        <w:rPr>
          <w:rStyle w:val="paren"/>
          <w:sz w:val="20"/>
          <w:szCs w:val="20"/>
        </w:rPr>
        <w:t>(</w:t>
      </w:r>
      <w:r w:rsidRPr="00B07A6F">
        <w:rPr>
          <w:rStyle w:val="paragraph-hierarchy"/>
          <w:sz w:val="20"/>
          <w:szCs w:val="20"/>
        </w:rPr>
        <w:t>iii</w:t>
      </w:r>
      <w:r w:rsidRPr="00B07A6F">
        <w:rPr>
          <w:rStyle w:val="paren"/>
          <w:sz w:val="20"/>
          <w:szCs w:val="20"/>
        </w:rPr>
        <w:t>)</w:t>
      </w:r>
      <w:r w:rsidRPr="00B07A6F">
        <w:rPr>
          <w:sz w:val="20"/>
          <w:szCs w:val="20"/>
        </w:rPr>
        <w:t xml:space="preserve"> Azimuth and elevation antenna gain pattern; </w:t>
      </w:r>
      <w:r w:rsidRPr="00B07A6F">
        <w:rPr>
          <w:rStyle w:val="paren"/>
          <w:sz w:val="20"/>
          <w:szCs w:val="20"/>
        </w:rPr>
        <w:t>(</w:t>
      </w:r>
      <w:r w:rsidRPr="00B07A6F">
        <w:rPr>
          <w:rStyle w:val="paragraph-hierarchy"/>
          <w:sz w:val="20"/>
          <w:szCs w:val="20"/>
        </w:rPr>
        <w:t>iv</w:t>
      </w:r>
      <w:r w:rsidRPr="00B07A6F">
        <w:rPr>
          <w:rStyle w:val="paren"/>
          <w:sz w:val="20"/>
          <w:szCs w:val="20"/>
        </w:rPr>
        <w:t>)</w:t>
      </w:r>
      <w:r w:rsidRPr="00B07A6F">
        <w:rPr>
          <w:sz w:val="20"/>
          <w:szCs w:val="20"/>
        </w:rPr>
        <w:t xml:space="preserve"> Antenna azimuth relative to true north; and </w:t>
      </w:r>
      <w:r w:rsidRPr="00B07A6F">
        <w:rPr>
          <w:rStyle w:val="paren"/>
          <w:sz w:val="20"/>
          <w:szCs w:val="20"/>
        </w:rPr>
        <w:t>(</w:t>
      </w:r>
      <w:r w:rsidRPr="00B07A6F">
        <w:rPr>
          <w:rStyle w:val="paragraph-hierarchy"/>
          <w:sz w:val="20"/>
          <w:szCs w:val="20"/>
        </w:rPr>
        <w:t>v</w:t>
      </w:r>
      <w:r w:rsidRPr="00B07A6F">
        <w:rPr>
          <w:rStyle w:val="paren"/>
          <w:sz w:val="20"/>
          <w:szCs w:val="20"/>
        </w:rPr>
        <w:t>)</w:t>
      </w:r>
      <w:r w:rsidRPr="00B07A6F">
        <w:rPr>
          <w:sz w:val="20"/>
          <w:szCs w:val="20"/>
        </w:rPr>
        <w:t xml:space="preserve"> Antenna elevation angle. </w:t>
      </w:r>
      <w:r w:rsidRPr="00B07A6F">
        <w:rPr>
          <w:rStyle w:val="paren"/>
          <w:sz w:val="20"/>
          <w:szCs w:val="20"/>
        </w:rPr>
        <w:t>(</w:t>
      </w:r>
      <w:r w:rsidRPr="00B07A6F">
        <w:rPr>
          <w:rStyle w:val="paragraph-hierarchy"/>
          <w:sz w:val="20"/>
          <w:szCs w:val="20"/>
        </w:rPr>
        <w:t>vi</w:t>
      </w:r>
      <w:r w:rsidRPr="00B07A6F">
        <w:rPr>
          <w:rStyle w:val="paren"/>
          <w:sz w:val="20"/>
          <w:szCs w:val="20"/>
        </w:rPr>
        <w:t>)</w:t>
      </w:r>
      <w:r w:rsidRPr="00B07A6F">
        <w:rPr>
          <w:sz w:val="20"/>
          <w:szCs w:val="20"/>
        </w:rPr>
        <w:t xml:space="preserve"> Whether the earth station is used for satellite telemetry, tracking, and control (for earth stations in the 3700-4200 MHz band).”  47 CFR § 96.17(d)(1).     </w:t>
      </w:r>
    </w:p>
  </w:footnote>
  <w:footnote w:id="4">
    <w:p w:rsidR="002C185C" w:rsidRPr="00B07A6F" w:rsidP="002C185C" w14:paraId="28E8B47D" w14:textId="64411CF4">
      <w:pPr>
        <w:pStyle w:val="FootnoteText"/>
      </w:pPr>
      <w:r w:rsidRPr="00B07A6F">
        <w:rPr>
          <w:rStyle w:val="FootnoteReference"/>
          <w:sz w:val="20"/>
        </w:rPr>
        <w:footnoteRef/>
      </w:r>
      <w:r w:rsidRPr="00B07A6F">
        <w:t xml:space="preserve"> </w:t>
      </w:r>
      <w:r w:rsidRPr="00B07A6F">
        <w:rPr>
          <w:i/>
          <w:iCs/>
        </w:rPr>
        <w:t>See</w:t>
      </w:r>
      <w:r w:rsidRPr="00B07A6F">
        <w:t xml:space="preserve"> </w:t>
      </w:r>
      <w:r w:rsidRPr="00B07A6F">
        <w:rPr>
          <w:i/>
        </w:rPr>
        <w:t>Wireless Telecommunications Bureau, Office of Engineering and Technology, and International Bureau Announce the Initial Filing Window and Procedures for Registration of Fixed Satellite Service Earth Stations Entitled to Protection from 3.5 GHz Citizens Broadband Radio Service</w:t>
      </w:r>
      <w:r w:rsidRPr="00755FEE">
        <w:rPr>
          <w:iCs/>
        </w:rPr>
        <w:t>,</w:t>
      </w:r>
      <w:r w:rsidRPr="00B07A6F">
        <w:rPr>
          <w:i/>
        </w:rPr>
        <w:t xml:space="preserve"> </w:t>
      </w:r>
      <w:r w:rsidRPr="00B07A6F">
        <w:rPr>
          <w:iCs/>
        </w:rPr>
        <w:t xml:space="preserve">GN Docket No. 17-258, Public Notice, DA 18-623, 33 FCC Rcd 6033 </w:t>
      </w:r>
      <w:r w:rsidRPr="00B07A6F">
        <w:t xml:space="preserve">(WTB/OET/IB 2018); </w:t>
      </w:r>
      <w:r w:rsidRPr="00B07A6F">
        <w:rPr>
          <w:i/>
          <w:iCs/>
        </w:rPr>
        <w:t>see also</w:t>
      </w:r>
      <w:r w:rsidRPr="00B07A6F">
        <w:t xml:space="preserve"> 47 CFR</w:t>
      </w:r>
      <w:r w:rsidR="004507BB">
        <w:t xml:space="preserve"> </w:t>
      </w:r>
      <w:r w:rsidRPr="00B07A6F">
        <w:t>§ 96.17.</w:t>
      </w:r>
    </w:p>
  </w:footnote>
  <w:footnote w:id="5">
    <w:p w:rsidR="002C185C" w:rsidRPr="00B07A6F" w:rsidP="002C185C" w14:paraId="0260D716" w14:textId="10F673B3">
      <w:pPr>
        <w:pStyle w:val="FootnoteText"/>
      </w:pPr>
      <w:r w:rsidRPr="00B07A6F">
        <w:rPr>
          <w:rStyle w:val="FootnoteReference"/>
          <w:sz w:val="20"/>
        </w:rPr>
        <w:footnoteRef/>
      </w:r>
      <w:r w:rsidRPr="00B07A6F">
        <w:t xml:space="preserve"> </w:t>
      </w:r>
      <w:r w:rsidRPr="00B07A6F">
        <w:rPr>
          <w:i/>
          <w:iCs/>
        </w:rPr>
        <w:t xml:space="preserve">See </w:t>
      </w:r>
      <w:r w:rsidRPr="00B07A6F">
        <w:t>47 CFR § 96.17.</w:t>
      </w:r>
    </w:p>
  </w:footnote>
  <w:footnote w:id="6">
    <w:p w:rsidR="002C1214" w:rsidRPr="002C1214" w:rsidP="002C1214" w14:paraId="0C77180D" w14:textId="1CCC53D1">
      <w:pPr>
        <w:pStyle w:val="FootnoteText"/>
        <w:rPr>
          <w:i/>
          <w:iCs/>
        </w:rPr>
      </w:pPr>
      <w:r>
        <w:rPr>
          <w:rStyle w:val="FootnoteReference"/>
        </w:rPr>
        <w:footnoteRef/>
      </w:r>
      <w:r>
        <w:t xml:space="preserve"> We provided a one-time grace period until October 17, 2022, for any FSS earth station licensee that failed to submit a 2022 annual registration.  </w:t>
      </w:r>
      <w:r>
        <w:rPr>
          <w:i/>
          <w:iCs/>
        </w:rPr>
        <w:t xml:space="preserve">See </w:t>
      </w:r>
      <w:r w:rsidRPr="00DA7260">
        <w:rPr>
          <w:i/>
          <w:iCs/>
        </w:rPr>
        <w:t>Wireless Telecommunications Bureau, Office of Engineering and Technology, and International Bureau Remind Grandfathered Fixed Satellite Service Licensees In The 3.6-3.7 GHz Band To Submit Annual Registration Updates</w:t>
      </w:r>
      <w:r>
        <w:t xml:space="preserve">, </w:t>
      </w:r>
      <w:r w:rsidRPr="00B07A6F">
        <w:rPr>
          <w:iCs/>
        </w:rPr>
        <w:t xml:space="preserve">GN Docket No. 17-258, Public Notice, DA </w:t>
      </w:r>
      <w:r>
        <w:rPr>
          <w:iCs/>
        </w:rPr>
        <w:t>22</w:t>
      </w:r>
      <w:r w:rsidRPr="00B07A6F">
        <w:rPr>
          <w:iCs/>
        </w:rPr>
        <w:t>-</w:t>
      </w:r>
      <w:r>
        <w:rPr>
          <w:iCs/>
        </w:rPr>
        <w:t xml:space="preserve">960 </w:t>
      </w:r>
      <w:r w:rsidRPr="00B07A6F">
        <w:t>(WTB/OET/IB 20</w:t>
      </w:r>
      <w:r>
        <w:t>22</w:t>
      </w:r>
      <w:r w:rsidRPr="00B07A6F">
        <w:t>)</w:t>
      </w:r>
      <w:r>
        <w:t xml:space="preserve"> (rel. Sep. 15, 2022).  This grace period was in consideration of the relatively new process and in order to avoid any unnecessary service interruptions.  </w:t>
      </w:r>
    </w:p>
  </w:footnote>
  <w:footnote w:id="7">
    <w:p w:rsidR="00083C20" w:rsidRPr="00B07A6F" w:rsidP="00083C20" w14:paraId="6D45B11D" w14:textId="77777777">
      <w:pPr>
        <w:pStyle w:val="FootnoteText"/>
      </w:pPr>
      <w:r w:rsidRPr="00B07A6F">
        <w:rPr>
          <w:rStyle w:val="FootnoteReference"/>
          <w:sz w:val="20"/>
        </w:rPr>
        <w:footnoteRef/>
      </w:r>
      <w:r w:rsidRPr="00B07A6F">
        <w:t xml:space="preserve"> </w:t>
      </w:r>
      <w:r w:rsidRPr="00B07A6F">
        <w:rPr>
          <w:i/>
          <w:iCs/>
        </w:rPr>
        <w:t>See</w:t>
      </w:r>
      <w:r w:rsidRPr="00B07A6F">
        <w:t xml:space="preserve"> </w:t>
      </w:r>
      <w:r w:rsidRPr="00B07A6F">
        <w:rPr>
          <w:i/>
        </w:rPr>
        <w:t>Wireless Telecommunications Bureau, Office of Engineering and Technology, and International Bureau Announce Procedures for Registration of Fixed Satellite Service Earth Stations Entitled to Protection from the 3.5 GHz Citizens Broadband Radio Service</w:t>
      </w:r>
      <w:r w:rsidRPr="00B07A6F">
        <w:t xml:space="preserve">, </w:t>
      </w:r>
      <w:r w:rsidRPr="00B07A6F">
        <w:rPr>
          <w:iCs/>
        </w:rPr>
        <w:t>Public Notice</w:t>
      </w:r>
      <w:r w:rsidRPr="00B07A6F">
        <w:t>, 32 FCC Rcd 10419, 10421 (WTB/OET/IB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068DD" w14:paraId="0F9E467B" w14:textId="39AA708A">
    <w:pPr>
      <w:tabs>
        <w:tab w:val="center" w:pos="4680"/>
        <w:tab w:val="right" w:pos="9360"/>
      </w:tabs>
    </w:pPr>
    <w:r>
      <w:rPr>
        <w:b/>
      </w:rPr>
      <w:tab/>
    </w:r>
    <w:r>
      <w:rPr>
        <w:b/>
      </w:rPr>
      <w:t>Federal Communications Commission</w:t>
    </w:r>
    <w:r>
      <w:rPr>
        <w:b/>
      </w:rPr>
      <w:tab/>
    </w:r>
    <w:r w:rsidR="004F01FD">
      <w:rPr>
        <w:b/>
      </w:rPr>
      <w:t>DA 22-</w:t>
    </w:r>
    <w:r w:rsidR="0009055D">
      <w:rPr>
        <w:b/>
      </w:rPr>
      <w:t>1215</w:t>
    </w:r>
  </w:p>
  <w:p w:rsidR="00C068DD" w14:paraId="460288B4"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C068DD" w14:paraId="6A43436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068DD" w14:paraId="79FA1566" w14:textId="77777777">
    <w:pPr>
      <w:pStyle w:val="Header"/>
    </w:pPr>
    <w:r>
      <w:rPr>
        <w:noProof/>
        <w:snapToGrid/>
      </w:rPr>
      <w:drawing>
        <wp:inline distT="0" distB="0" distL="0" distR="0">
          <wp:extent cx="5951220" cy="1432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51220" cy="1432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CE9"/>
    <w:rsid w:val="00010A55"/>
    <w:rsid w:val="0002131D"/>
    <w:rsid w:val="000257BC"/>
    <w:rsid w:val="000353BF"/>
    <w:rsid w:val="00052BA5"/>
    <w:rsid w:val="00063701"/>
    <w:rsid w:val="000673B1"/>
    <w:rsid w:val="00072E29"/>
    <w:rsid w:val="00074BAE"/>
    <w:rsid w:val="00081EE6"/>
    <w:rsid w:val="00083C20"/>
    <w:rsid w:val="0009055D"/>
    <w:rsid w:val="000C7A94"/>
    <w:rsid w:val="000D5055"/>
    <w:rsid w:val="000E728B"/>
    <w:rsid w:val="000E7E95"/>
    <w:rsid w:val="000F0B47"/>
    <w:rsid w:val="000F37F9"/>
    <w:rsid w:val="000F5A5A"/>
    <w:rsid w:val="00103F95"/>
    <w:rsid w:val="001142D6"/>
    <w:rsid w:val="001215E9"/>
    <w:rsid w:val="00123752"/>
    <w:rsid w:val="0012619F"/>
    <w:rsid w:val="00127754"/>
    <w:rsid w:val="001379E9"/>
    <w:rsid w:val="00153AAC"/>
    <w:rsid w:val="001543AF"/>
    <w:rsid w:val="00154FEC"/>
    <w:rsid w:val="00164892"/>
    <w:rsid w:val="001A2518"/>
    <w:rsid w:val="001A5E1B"/>
    <w:rsid w:val="001A66A2"/>
    <w:rsid w:val="001A7D5A"/>
    <w:rsid w:val="001D06EF"/>
    <w:rsid w:val="001D3DF7"/>
    <w:rsid w:val="001D7CCF"/>
    <w:rsid w:val="001F19E8"/>
    <w:rsid w:val="00225240"/>
    <w:rsid w:val="00227C7F"/>
    <w:rsid w:val="002314D8"/>
    <w:rsid w:val="0026748A"/>
    <w:rsid w:val="0027372E"/>
    <w:rsid w:val="002966E0"/>
    <w:rsid w:val="002A2531"/>
    <w:rsid w:val="002B44E5"/>
    <w:rsid w:val="002B5C19"/>
    <w:rsid w:val="002C1214"/>
    <w:rsid w:val="002C185C"/>
    <w:rsid w:val="002D6F15"/>
    <w:rsid w:val="002E716A"/>
    <w:rsid w:val="002F2F00"/>
    <w:rsid w:val="002F6482"/>
    <w:rsid w:val="00306E9E"/>
    <w:rsid w:val="00307320"/>
    <w:rsid w:val="003076D6"/>
    <w:rsid w:val="0032426C"/>
    <w:rsid w:val="00333227"/>
    <w:rsid w:val="00377620"/>
    <w:rsid w:val="00380C01"/>
    <w:rsid w:val="0039375D"/>
    <w:rsid w:val="003A43A2"/>
    <w:rsid w:val="003A5CE9"/>
    <w:rsid w:val="00403D6F"/>
    <w:rsid w:val="0042331A"/>
    <w:rsid w:val="00425E44"/>
    <w:rsid w:val="004507BB"/>
    <w:rsid w:val="00461F5E"/>
    <w:rsid w:val="004661BB"/>
    <w:rsid w:val="004926BD"/>
    <w:rsid w:val="004B1CA2"/>
    <w:rsid w:val="004B4131"/>
    <w:rsid w:val="004B657A"/>
    <w:rsid w:val="004E25C4"/>
    <w:rsid w:val="004F01FD"/>
    <w:rsid w:val="004F0943"/>
    <w:rsid w:val="00520436"/>
    <w:rsid w:val="00540BE4"/>
    <w:rsid w:val="005446F8"/>
    <w:rsid w:val="00563805"/>
    <w:rsid w:val="00563CB0"/>
    <w:rsid w:val="00573B13"/>
    <w:rsid w:val="00574E28"/>
    <w:rsid w:val="00592D92"/>
    <w:rsid w:val="005A6D2F"/>
    <w:rsid w:val="005B00F4"/>
    <w:rsid w:val="005B1F5A"/>
    <w:rsid w:val="005C4139"/>
    <w:rsid w:val="005E0908"/>
    <w:rsid w:val="005E25CC"/>
    <w:rsid w:val="00600A08"/>
    <w:rsid w:val="006016E9"/>
    <w:rsid w:val="00606ABE"/>
    <w:rsid w:val="0062014A"/>
    <w:rsid w:val="006221AF"/>
    <w:rsid w:val="00624858"/>
    <w:rsid w:val="00640DAF"/>
    <w:rsid w:val="00656E4E"/>
    <w:rsid w:val="00680026"/>
    <w:rsid w:val="00682042"/>
    <w:rsid w:val="0069643F"/>
    <w:rsid w:val="006A2043"/>
    <w:rsid w:val="006B4532"/>
    <w:rsid w:val="006C5DF1"/>
    <w:rsid w:val="006E2EB1"/>
    <w:rsid w:val="006F3EEB"/>
    <w:rsid w:val="006F46B9"/>
    <w:rsid w:val="0073146F"/>
    <w:rsid w:val="00755FEE"/>
    <w:rsid w:val="00777A1A"/>
    <w:rsid w:val="007951A6"/>
    <w:rsid w:val="007A5D71"/>
    <w:rsid w:val="007B4247"/>
    <w:rsid w:val="007B65FC"/>
    <w:rsid w:val="007C5185"/>
    <w:rsid w:val="007D4744"/>
    <w:rsid w:val="007D666E"/>
    <w:rsid w:val="007D69D4"/>
    <w:rsid w:val="007E2CBF"/>
    <w:rsid w:val="007E5F24"/>
    <w:rsid w:val="007F63A5"/>
    <w:rsid w:val="00801DE7"/>
    <w:rsid w:val="00803EB4"/>
    <w:rsid w:val="0081314F"/>
    <w:rsid w:val="00830C48"/>
    <w:rsid w:val="00832DAA"/>
    <w:rsid w:val="00842700"/>
    <w:rsid w:val="008438C5"/>
    <w:rsid w:val="00874517"/>
    <w:rsid w:val="008A142C"/>
    <w:rsid w:val="008A5BB0"/>
    <w:rsid w:val="008A61F9"/>
    <w:rsid w:val="008C520F"/>
    <w:rsid w:val="008D5292"/>
    <w:rsid w:val="008D5BCD"/>
    <w:rsid w:val="008F18C7"/>
    <w:rsid w:val="008F6813"/>
    <w:rsid w:val="0091675A"/>
    <w:rsid w:val="0092116D"/>
    <w:rsid w:val="00936811"/>
    <w:rsid w:val="0095236B"/>
    <w:rsid w:val="009525F4"/>
    <w:rsid w:val="009559DC"/>
    <w:rsid w:val="0097278E"/>
    <w:rsid w:val="009821ED"/>
    <w:rsid w:val="009A2471"/>
    <w:rsid w:val="009A4FD5"/>
    <w:rsid w:val="009C0564"/>
    <w:rsid w:val="009C20A6"/>
    <w:rsid w:val="009E1684"/>
    <w:rsid w:val="009E5B5C"/>
    <w:rsid w:val="009E6B5E"/>
    <w:rsid w:val="00A15EAA"/>
    <w:rsid w:val="00A4354A"/>
    <w:rsid w:val="00A44D5C"/>
    <w:rsid w:val="00A53D76"/>
    <w:rsid w:val="00A64A7F"/>
    <w:rsid w:val="00A8369F"/>
    <w:rsid w:val="00AA619D"/>
    <w:rsid w:val="00AA68A8"/>
    <w:rsid w:val="00AC6AB7"/>
    <w:rsid w:val="00AD6895"/>
    <w:rsid w:val="00B061E9"/>
    <w:rsid w:val="00B07A6F"/>
    <w:rsid w:val="00B10F6A"/>
    <w:rsid w:val="00B16987"/>
    <w:rsid w:val="00B20363"/>
    <w:rsid w:val="00B20392"/>
    <w:rsid w:val="00B269CB"/>
    <w:rsid w:val="00B40ED5"/>
    <w:rsid w:val="00B63892"/>
    <w:rsid w:val="00B9184F"/>
    <w:rsid w:val="00BA4E15"/>
    <w:rsid w:val="00BB136C"/>
    <w:rsid w:val="00BC180D"/>
    <w:rsid w:val="00BD4190"/>
    <w:rsid w:val="00BE3035"/>
    <w:rsid w:val="00C068DD"/>
    <w:rsid w:val="00C132EA"/>
    <w:rsid w:val="00C2531E"/>
    <w:rsid w:val="00C332BE"/>
    <w:rsid w:val="00C36FC3"/>
    <w:rsid w:val="00C53FAD"/>
    <w:rsid w:val="00C60654"/>
    <w:rsid w:val="00C84485"/>
    <w:rsid w:val="00C84C87"/>
    <w:rsid w:val="00C92ABC"/>
    <w:rsid w:val="00CB3F59"/>
    <w:rsid w:val="00CE64A5"/>
    <w:rsid w:val="00CF6AC6"/>
    <w:rsid w:val="00D20E6D"/>
    <w:rsid w:val="00D24D51"/>
    <w:rsid w:val="00D33F7E"/>
    <w:rsid w:val="00D508AA"/>
    <w:rsid w:val="00D50FB4"/>
    <w:rsid w:val="00D6798D"/>
    <w:rsid w:val="00D7020A"/>
    <w:rsid w:val="00D87468"/>
    <w:rsid w:val="00D9050B"/>
    <w:rsid w:val="00DA7260"/>
    <w:rsid w:val="00DA796D"/>
    <w:rsid w:val="00DB44A7"/>
    <w:rsid w:val="00DB4DC9"/>
    <w:rsid w:val="00DE453F"/>
    <w:rsid w:val="00DE634E"/>
    <w:rsid w:val="00DF2DB3"/>
    <w:rsid w:val="00E16EB5"/>
    <w:rsid w:val="00E311BF"/>
    <w:rsid w:val="00E33EB6"/>
    <w:rsid w:val="00E62DD6"/>
    <w:rsid w:val="00E675C9"/>
    <w:rsid w:val="00E90758"/>
    <w:rsid w:val="00EA3CFA"/>
    <w:rsid w:val="00EA49B7"/>
    <w:rsid w:val="00EB16F8"/>
    <w:rsid w:val="00EB65C9"/>
    <w:rsid w:val="00EC36F2"/>
    <w:rsid w:val="00ED250E"/>
    <w:rsid w:val="00EE4904"/>
    <w:rsid w:val="00F06733"/>
    <w:rsid w:val="00F06FB9"/>
    <w:rsid w:val="00F2102F"/>
    <w:rsid w:val="00F25B20"/>
    <w:rsid w:val="00F341CD"/>
    <w:rsid w:val="00F44AD7"/>
    <w:rsid w:val="00F467F5"/>
    <w:rsid w:val="00F71E76"/>
    <w:rsid w:val="00FA1E29"/>
    <w:rsid w:val="00FC17F4"/>
    <w:rsid w:val="00FE0B9F"/>
    <w:rsid w:val="00FE483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54249EF"/>
  <w15:chartTrackingRefBased/>
  <w15:docId w15:val="{67AC299A-2822-4060-A6C6-710EF808D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 Char,ALTS FOOTNOTE Char Char Char Char,Footnote Text Char,Footnote Text Char Char,Footnote Text Char Char Char Char,Footnote Text Char1,Footnote Text Char1 Char Char,f,fn Char,fn Char Char,fn Char Char Char Char,fn Char1"/>
    <w:link w:val="FootnoteTextChar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FootnoteTextChar2">
    <w:name w:val="Footnote Text Char2"/>
    <w:aliases w:val="ALTS FOOTNOTE Char Char Char,ALTS FOOTNOTE Char Char Char Char Char,Footnote Text Char Char Char,Footnote Text Char Char Char Char Char,Footnote Text Char Char1,Footnote Text Char1 Char,Footnote Text Char1 Char Char Char,f Char"/>
    <w:link w:val="FootnoteText"/>
    <w:locked/>
    <w:rsid w:val="003A5CE9"/>
  </w:style>
  <w:style w:type="character" w:customStyle="1" w:styleId="ParaNumChar">
    <w:name w:val="ParaNum Char"/>
    <w:link w:val="ParaNum"/>
    <w:locked/>
    <w:rsid w:val="003A5CE9"/>
    <w:rPr>
      <w:snapToGrid w:val="0"/>
      <w:kern w:val="28"/>
      <w:sz w:val="22"/>
    </w:rPr>
  </w:style>
  <w:style w:type="character" w:styleId="UnresolvedMention">
    <w:name w:val="Unresolved Mention"/>
    <w:basedOn w:val="DefaultParagraphFont"/>
    <w:uiPriority w:val="99"/>
    <w:rsid w:val="004B1CA2"/>
    <w:rPr>
      <w:color w:val="605E5C"/>
      <w:shd w:val="clear" w:color="auto" w:fill="E1DFDD"/>
    </w:rPr>
  </w:style>
  <w:style w:type="paragraph" w:customStyle="1" w:styleId="indent-2">
    <w:name w:val="indent-2"/>
    <w:basedOn w:val="Normal"/>
    <w:rsid w:val="006A2043"/>
    <w:pPr>
      <w:widowControl/>
      <w:spacing w:before="100" w:beforeAutospacing="1" w:after="100" w:afterAutospacing="1"/>
    </w:pPr>
    <w:rPr>
      <w:snapToGrid/>
      <w:kern w:val="0"/>
      <w:sz w:val="24"/>
      <w:szCs w:val="24"/>
    </w:rPr>
  </w:style>
  <w:style w:type="paragraph" w:customStyle="1" w:styleId="indent-3">
    <w:name w:val="indent-3"/>
    <w:basedOn w:val="Normal"/>
    <w:rsid w:val="006A2043"/>
    <w:pPr>
      <w:widowControl/>
      <w:spacing w:before="100" w:beforeAutospacing="1" w:after="100" w:afterAutospacing="1"/>
    </w:pPr>
    <w:rPr>
      <w:snapToGrid/>
      <w:kern w:val="0"/>
      <w:sz w:val="24"/>
      <w:szCs w:val="24"/>
    </w:rPr>
  </w:style>
  <w:style w:type="character" w:customStyle="1" w:styleId="paragraph-hierarchy">
    <w:name w:val="paragraph-hierarchy"/>
    <w:basedOn w:val="DefaultParagraphFont"/>
    <w:rsid w:val="006A2043"/>
  </w:style>
  <w:style w:type="character" w:customStyle="1" w:styleId="paren">
    <w:name w:val="paren"/>
    <w:basedOn w:val="DefaultParagraphFont"/>
    <w:rsid w:val="006A2043"/>
  </w:style>
  <w:style w:type="paragraph" w:styleId="Revision">
    <w:name w:val="Revision"/>
    <w:hidden/>
    <w:uiPriority w:val="99"/>
    <w:semiHidden/>
    <w:rsid w:val="0091675A"/>
    <w:rPr>
      <w:snapToGrid w:val="0"/>
      <w:kern w:val="28"/>
      <w:sz w:val="22"/>
    </w:rPr>
  </w:style>
  <w:style w:type="character" w:styleId="CommentReference">
    <w:name w:val="annotation reference"/>
    <w:basedOn w:val="DefaultParagraphFont"/>
    <w:uiPriority w:val="99"/>
    <w:semiHidden/>
    <w:unhideWhenUsed/>
    <w:rsid w:val="00D20E6D"/>
    <w:rPr>
      <w:sz w:val="16"/>
      <w:szCs w:val="16"/>
    </w:rPr>
  </w:style>
  <w:style w:type="paragraph" w:styleId="CommentText">
    <w:name w:val="annotation text"/>
    <w:basedOn w:val="Normal"/>
    <w:link w:val="CommentTextChar"/>
    <w:uiPriority w:val="99"/>
    <w:unhideWhenUsed/>
    <w:rsid w:val="00D20E6D"/>
    <w:rPr>
      <w:sz w:val="20"/>
    </w:rPr>
  </w:style>
  <w:style w:type="character" w:customStyle="1" w:styleId="CommentTextChar">
    <w:name w:val="Comment Text Char"/>
    <w:basedOn w:val="DefaultParagraphFont"/>
    <w:link w:val="CommentText"/>
    <w:uiPriority w:val="99"/>
    <w:rsid w:val="00D20E6D"/>
    <w:rPr>
      <w:snapToGrid w:val="0"/>
      <w:kern w:val="28"/>
    </w:rPr>
  </w:style>
  <w:style w:type="paragraph" w:styleId="CommentSubject">
    <w:name w:val="annotation subject"/>
    <w:basedOn w:val="CommentText"/>
    <w:next w:val="CommentText"/>
    <w:link w:val="CommentSubjectChar"/>
    <w:uiPriority w:val="99"/>
    <w:semiHidden/>
    <w:unhideWhenUsed/>
    <w:rsid w:val="00D20E6D"/>
    <w:rPr>
      <w:b/>
      <w:bCs/>
    </w:rPr>
  </w:style>
  <w:style w:type="character" w:customStyle="1" w:styleId="CommentSubjectChar">
    <w:name w:val="Comment Subject Char"/>
    <w:basedOn w:val="CommentTextChar"/>
    <w:link w:val="CommentSubject"/>
    <w:uiPriority w:val="99"/>
    <w:semiHidden/>
    <w:rsid w:val="00D20E6D"/>
    <w:rPr>
      <w:b/>
      <w:bCs/>
      <w:snapToGrid w:val="0"/>
      <w:kern w:val="28"/>
    </w:rPr>
  </w:style>
  <w:style w:type="character" w:styleId="FollowedHyperlink">
    <w:name w:val="FollowedHyperlink"/>
    <w:basedOn w:val="DefaultParagraphFont"/>
    <w:uiPriority w:val="99"/>
    <w:semiHidden/>
    <w:unhideWhenUsed/>
    <w:rsid w:val="009368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wireless/available-support-services"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