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31EFB" w:rsidP="007043CF" w14:paraId="065E2334" w14:textId="5E23CC8A">
      <w:pPr>
        <w:widowControl w:val="0"/>
        <w:ind w:left="5760" w:firstLine="720"/>
        <w:rPr>
          <w:sz w:val="22"/>
          <w:szCs w:val="22"/>
        </w:rPr>
      </w:pPr>
      <w:r w:rsidRPr="000A5F53">
        <w:rPr>
          <w:sz w:val="22"/>
          <w:szCs w:val="22"/>
        </w:rPr>
        <w:t>DA 22-</w:t>
      </w:r>
      <w:r w:rsidR="0068687B">
        <w:rPr>
          <w:sz w:val="22"/>
          <w:szCs w:val="22"/>
        </w:rPr>
        <w:t>1216</w:t>
      </w:r>
    </w:p>
    <w:p w:rsidR="007043CF" w:rsidRPr="008C1D05" w:rsidP="007043CF" w14:paraId="5F914B8B" w14:textId="38A75469">
      <w:pPr>
        <w:widowControl w:val="0"/>
        <w:ind w:left="5760" w:firstLine="720"/>
        <w:rPr>
          <w:sz w:val="22"/>
          <w:szCs w:val="22"/>
        </w:rPr>
      </w:pPr>
      <w:r w:rsidRPr="008C1D05">
        <w:rPr>
          <w:sz w:val="22"/>
          <w:szCs w:val="22"/>
        </w:rPr>
        <w:t xml:space="preserve">In </w:t>
      </w:r>
      <w:r w:rsidRPr="008C1D05" w:rsidR="00734AD6">
        <w:rPr>
          <w:sz w:val="22"/>
          <w:szCs w:val="22"/>
        </w:rPr>
        <w:t>R</w:t>
      </w:r>
      <w:r w:rsidRPr="008C1D05">
        <w:rPr>
          <w:sz w:val="22"/>
          <w:szCs w:val="22"/>
        </w:rPr>
        <w:t xml:space="preserve">eply </w:t>
      </w:r>
      <w:r w:rsidRPr="008C1D05" w:rsidR="00734AD6">
        <w:rPr>
          <w:sz w:val="22"/>
          <w:szCs w:val="22"/>
        </w:rPr>
        <w:t>R</w:t>
      </w:r>
      <w:r w:rsidRPr="008C1D05">
        <w:rPr>
          <w:sz w:val="22"/>
          <w:szCs w:val="22"/>
        </w:rPr>
        <w:t xml:space="preserve">efer to: </w:t>
      </w:r>
    </w:p>
    <w:p w:rsidR="00A3008F" w:rsidP="007043CF" w14:paraId="67F35975" w14:textId="68E7B894">
      <w:pPr>
        <w:widowControl w:val="0"/>
        <w:ind w:left="5760" w:firstLine="720"/>
        <w:rPr>
          <w:sz w:val="22"/>
          <w:szCs w:val="22"/>
        </w:rPr>
      </w:pPr>
      <w:r w:rsidRPr="008C1D05">
        <w:rPr>
          <w:sz w:val="22"/>
          <w:szCs w:val="22"/>
        </w:rPr>
        <w:t>1800B3-</w:t>
      </w:r>
      <w:r w:rsidRPr="008C1D05" w:rsidR="00995E10">
        <w:rPr>
          <w:sz w:val="22"/>
          <w:szCs w:val="22"/>
        </w:rPr>
        <w:t>JAC</w:t>
      </w:r>
    </w:p>
    <w:p w:rsidR="00431EFB" w:rsidRPr="008C1D05" w:rsidP="007043CF" w14:paraId="1CA0EAEC" w14:textId="275E36EA">
      <w:pPr>
        <w:widowControl w:val="0"/>
        <w:ind w:left="5760" w:firstLine="720"/>
        <w:rPr>
          <w:sz w:val="22"/>
          <w:szCs w:val="22"/>
        </w:rPr>
      </w:pPr>
      <w:r w:rsidRPr="000A5F53">
        <w:rPr>
          <w:sz w:val="22"/>
          <w:szCs w:val="22"/>
        </w:rPr>
        <w:t xml:space="preserve">Released November </w:t>
      </w:r>
      <w:r w:rsidRPr="000A5F53" w:rsidR="000A5F53">
        <w:rPr>
          <w:sz w:val="22"/>
          <w:szCs w:val="22"/>
        </w:rPr>
        <w:t>21</w:t>
      </w:r>
      <w:r w:rsidRPr="000A5F53">
        <w:rPr>
          <w:sz w:val="22"/>
          <w:szCs w:val="22"/>
        </w:rPr>
        <w:t>, 2022</w:t>
      </w:r>
    </w:p>
    <w:p w:rsidR="00995E10" w:rsidRPr="008C1D05" w:rsidP="007043CF" w14:paraId="2A3F6D6C" w14:textId="77777777">
      <w:pPr>
        <w:tabs>
          <w:tab w:val="left" w:pos="0"/>
        </w:tabs>
        <w:suppressAutoHyphens/>
        <w:rPr>
          <w:sz w:val="22"/>
          <w:szCs w:val="22"/>
        </w:rPr>
      </w:pPr>
    </w:p>
    <w:p w:rsidR="00727EFB" w:rsidRPr="008C1D05" w:rsidP="00727EFB" w14:paraId="04CAF460" w14:textId="77777777">
      <w:pPr>
        <w:tabs>
          <w:tab w:val="left" w:pos="0"/>
        </w:tabs>
        <w:suppressAutoHyphens/>
        <w:rPr>
          <w:sz w:val="22"/>
          <w:szCs w:val="22"/>
        </w:rPr>
      </w:pPr>
      <w:r w:rsidRPr="008C1D05">
        <w:rPr>
          <w:sz w:val="22"/>
          <w:szCs w:val="22"/>
        </w:rPr>
        <w:t>Francisco R. Montero</w:t>
      </w:r>
    </w:p>
    <w:p w:rsidR="00727EFB" w:rsidRPr="008C1D05" w:rsidP="00727EFB" w14:paraId="790DB720" w14:textId="77777777">
      <w:pPr>
        <w:tabs>
          <w:tab w:val="left" w:pos="0"/>
        </w:tabs>
        <w:suppressAutoHyphens/>
        <w:rPr>
          <w:sz w:val="22"/>
          <w:szCs w:val="22"/>
        </w:rPr>
      </w:pPr>
      <w:r w:rsidRPr="008C1D05">
        <w:rPr>
          <w:sz w:val="22"/>
          <w:szCs w:val="22"/>
        </w:rPr>
        <w:t>Travis J. Andring</w:t>
      </w:r>
    </w:p>
    <w:p w:rsidR="00727EFB" w:rsidRPr="008C1D05" w:rsidP="00727EFB" w14:paraId="1E3745EE" w14:textId="77777777">
      <w:pPr>
        <w:tabs>
          <w:tab w:val="left" w:pos="0"/>
        </w:tabs>
        <w:suppressAutoHyphens/>
        <w:rPr>
          <w:sz w:val="22"/>
          <w:szCs w:val="22"/>
        </w:rPr>
      </w:pPr>
      <w:r w:rsidRPr="008C1D05">
        <w:rPr>
          <w:sz w:val="22"/>
          <w:szCs w:val="22"/>
        </w:rPr>
        <w:t>Fletcher, Heald &amp; Hildreth, PLC</w:t>
      </w:r>
    </w:p>
    <w:p w:rsidR="00727EFB" w:rsidRPr="008C1D05" w:rsidP="00727EFB" w14:paraId="49828650" w14:textId="77777777">
      <w:pPr>
        <w:tabs>
          <w:tab w:val="left" w:pos="0"/>
        </w:tabs>
        <w:suppressAutoHyphens/>
        <w:rPr>
          <w:sz w:val="22"/>
          <w:szCs w:val="22"/>
        </w:rPr>
      </w:pPr>
      <w:r w:rsidRPr="008C1D05">
        <w:rPr>
          <w:sz w:val="22"/>
          <w:szCs w:val="22"/>
        </w:rPr>
        <w:t>1300 N. 17th Street, Suite 1100</w:t>
      </w:r>
    </w:p>
    <w:p w:rsidR="00727EFB" w:rsidRPr="008C1D05" w:rsidP="00727EFB" w14:paraId="2F679683" w14:textId="77777777">
      <w:pPr>
        <w:tabs>
          <w:tab w:val="left" w:pos="0"/>
        </w:tabs>
        <w:suppressAutoHyphens/>
        <w:rPr>
          <w:sz w:val="22"/>
          <w:szCs w:val="22"/>
        </w:rPr>
      </w:pPr>
      <w:r w:rsidRPr="008C1D05">
        <w:rPr>
          <w:sz w:val="22"/>
          <w:szCs w:val="22"/>
        </w:rPr>
        <w:t>Arlington, VA 22209</w:t>
      </w:r>
    </w:p>
    <w:p w:rsidR="00727EFB" w:rsidRPr="008C1D05" w:rsidP="00727EFB" w14:paraId="0879EBC4" w14:textId="6FC6E6AF">
      <w:pPr>
        <w:tabs>
          <w:tab w:val="left" w:pos="0"/>
        </w:tabs>
        <w:suppressAutoHyphens/>
        <w:rPr>
          <w:sz w:val="22"/>
          <w:szCs w:val="22"/>
        </w:rPr>
      </w:pPr>
      <w:hyperlink r:id="rId5" w:history="1">
        <w:r w:rsidRPr="008C1D05" w:rsidR="009C1D73">
          <w:rPr>
            <w:rStyle w:val="Hyperlink"/>
            <w:sz w:val="22"/>
            <w:szCs w:val="22"/>
          </w:rPr>
          <w:t>montero@fhhlaw.com</w:t>
        </w:r>
      </w:hyperlink>
      <w:r w:rsidRPr="008C1D05" w:rsidR="009C1D73">
        <w:rPr>
          <w:sz w:val="22"/>
          <w:szCs w:val="22"/>
        </w:rPr>
        <w:t xml:space="preserve"> </w:t>
      </w:r>
    </w:p>
    <w:p w:rsidR="00727EFB" w:rsidRPr="008C1D05" w:rsidP="00727EFB" w14:paraId="6FEFC110" w14:textId="5ED85C28">
      <w:pPr>
        <w:tabs>
          <w:tab w:val="left" w:pos="0"/>
        </w:tabs>
        <w:suppressAutoHyphens/>
        <w:rPr>
          <w:sz w:val="22"/>
          <w:szCs w:val="22"/>
        </w:rPr>
      </w:pPr>
      <w:hyperlink r:id="rId6" w:history="1">
        <w:r w:rsidRPr="008C1D05" w:rsidR="009C1D73">
          <w:rPr>
            <w:rStyle w:val="Hyperlink"/>
            <w:sz w:val="22"/>
            <w:szCs w:val="22"/>
          </w:rPr>
          <w:t>andring@fhhlaw.com</w:t>
        </w:r>
      </w:hyperlink>
      <w:r w:rsidRPr="008C1D05" w:rsidR="009C1D73">
        <w:rPr>
          <w:sz w:val="22"/>
          <w:szCs w:val="22"/>
        </w:rPr>
        <w:t xml:space="preserve"> </w:t>
      </w:r>
      <w:r w:rsidRPr="008C1D05">
        <w:rPr>
          <w:sz w:val="22"/>
          <w:szCs w:val="22"/>
        </w:rPr>
        <w:t xml:space="preserve"> </w:t>
      </w:r>
      <w:r w:rsidRPr="008C1D05" w:rsidR="009C1D73">
        <w:rPr>
          <w:sz w:val="22"/>
          <w:szCs w:val="22"/>
        </w:rPr>
        <w:t xml:space="preserve"> </w:t>
      </w:r>
    </w:p>
    <w:p w:rsidR="00626336" w:rsidRPr="008C1D05" w:rsidP="007043CF" w14:paraId="0FE8B7E6" w14:textId="77777777">
      <w:pPr>
        <w:tabs>
          <w:tab w:val="left" w:pos="0"/>
        </w:tabs>
        <w:suppressAutoHyphens/>
        <w:rPr>
          <w:sz w:val="22"/>
          <w:szCs w:val="22"/>
        </w:rPr>
      </w:pPr>
    </w:p>
    <w:p w:rsidR="009C1D73" w:rsidRPr="008C1D05" w:rsidP="009C1D73" w14:paraId="56291281" w14:textId="77777777">
      <w:pPr>
        <w:tabs>
          <w:tab w:val="left" w:pos="0"/>
        </w:tabs>
        <w:suppressAutoHyphens/>
        <w:rPr>
          <w:sz w:val="22"/>
          <w:szCs w:val="22"/>
        </w:rPr>
      </w:pPr>
      <w:r w:rsidRPr="008C1D05">
        <w:rPr>
          <w:sz w:val="22"/>
          <w:szCs w:val="22"/>
        </w:rPr>
        <w:t>Michele C. Farquhar</w:t>
      </w:r>
    </w:p>
    <w:p w:rsidR="009C1D73" w:rsidRPr="008C1D05" w:rsidP="009C1D73" w14:paraId="00B7B58F" w14:textId="77777777">
      <w:pPr>
        <w:tabs>
          <w:tab w:val="left" w:pos="0"/>
        </w:tabs>
        <w:suppressAutoHyphens/>
        <w:rPr>
          <w:sz w:val="22"/>
          <w:szCs w:val="22"/>
        </w:rPr>
      </w:pPr>
      <w:r w:rsidRPr="008C1D05">
        <w:rPr>
          <w:sz w:val="22"/>
          <w:szCs w:val="22"/>
        </w:rPr>
        <w:t>Warren A. Kessler</w:t>
      </w:r>
    </w:p>
    <w:p w:rsidR="009C1D73" w:rsidRPr="008C1D05" w:rsidP="009C1D73" w14:paraId="22BCE87F" w14:textId="77777777">
      <w:pPr>
        <w:tabs>
          <w:tab w:val="left" w:pos="0"/>
        </w:tabs>
        <w:suppressAutoHyphens/>
        <w:rPr>
          <w:sz w:val="22"/>
          <w:szCs w:val="22"/>
        </w:rPr>
      </w:pPr>
      <w:r w:rsidRPr="008C1D05">
        <w:rPr>
          <w:sz w:val="22"/>
          <w:szCs w:val="22"/>
        </w:rPr>
        <w:t>Hogan Lovells US LLP</w:t>
      </w:r>
    </w:p>
    <w:p w:rsidR="009C1D73" w:rsidRPr="008C1D05" w:rsidP="009C1D73" w14:paraId="443016CC" w14:textId="77777777">
      <w:pPr>
        <w:tabs>
          <w:tab w:val="left" w:pos="0"/>
        </w:tabs>
        <w:suppressAutoHyphens/>
        <w:rPr>
          <w:sz w:val="22"/>
          <w:szCs w:val="22"/>
        </w:rPr>
      </w:pPr>
      <w:r w:rsidRPr="008C1D05">
        <w:rPr>
          <w:sz w:val="22"/>
          <w:szCs w:val="22"/>
        </w:rPr>
        <w:t>555 13th Street, NW</w:t>
      </w:r>
    </w:p>
    <w:p w:rsidR="009C1D73" w:rsidRPr="008C1D05" w:rsidP="009C1D73" w14:paraId="03E75A1B" w14:textId="77777777">
      <w:pPr>
        <w:tabs>
          <w:tab w:val="left" w:pos="0"/>
        </w:tabs>
        <w:suppressAutoHyphens/>
        <w:rPr>
          <w:sz w:val="22"/>
          <w:szCs w:val="22"/>
        </w:rPr>
      </w:pPr>
      <w:r w:rsidRPr="008C1D05">
        <w:rPr>
          <w:sz w:val="22"/>
          <w:szCs w:val="22"/>
        </w:rPr>
        <w:t>Washington, DC 20004</w:t>
      </w:r>
    </w:p>
    <w:p w:rsidR="009C1D73" w:rsidRPr="008C1D05" w:rsidP="009C1D73" w14:paraId="3B11AD84" w14:textId="396480F6">
      <w:pPr>
        <w:tabs>
          <w:tab w:val="left" w:pos="0"/>
        </w:tabs>
        <w:suppressAutoHyphens/>
        <w:rPr>
          <w:sz w:val="22"/>
          <w:szCs w:val="22"/>
        </w:rPr>
      </w:pPr>
      <w:hyperlink r:id="rId7" w:history="1">
        <w:r w:rsidRPr="008C1D05">
          <w:rPr>
            <w:rStyle w:val="Hyperlink"/>
            <w:sz w:val="22"/>
            <w:szCs w:val="22"/>
          </w:rPr>
          <w:t>michele.farquhar@hoganlovells.com</w:t>
        </w:r>
      </w:hyperlink>
      <w:r w:rsidRPr="008C1D05">
        <w:rPr>
          <w:sz w:val="22"/>
          <w:szCs w:val="22"/>
        </w:rPr>
        <w:t xml:space="preserve"> </w:t>
      </w:r>
    </w:p>
    <w:p w:rsidR="009C1D73" w:rsidRPr="008C1D05" w:rsidP="009C1D73" w14:paraId="2E3E98FA" w14:textId="018AA7A4">
      <w:pPr>
        <w:tabs>
          <w:tab w:val="left" w:pos="0"/>
        </w:tabs>
        <w:suppressAutoHyphens/>
        <w:rPr>
          <w:sz w:val="22"/>
          <w:szCs w:val="22"/>
        </w:rPr>
      </w:pPr>
      <w:hyperlink r:id="rId8" w:history="1">
        <w:r w:rsidRPr="008C1D05">
          <w:rPr>
            <w:rStyle w:val="Hyperlink"/>
            <w:sz w:val="22"/>
            <w:szCs w:val="22"/>
          </w:rPr>
          <w:t>warren.kessler@hoganlovells.com</w:t>
        </w:r>
      </w:hyperlink>
      <w:r w:rsidRPr="008C1D05">
        <w:rPr>
          <w:sz w:val="22"/>
          <w:szCs w:val="22"/>
        </w:rPr>
        <w:t xml:space="preserve"> </w:t>
      </w:r>
    </w:p>
    <w:p w:rsidR="009C1D73" w:rsidRPr="008C1D05" w:rsidP="009C1D73" w14:paraId="3F4DE4B8" w14:textId="2A4C2BC8">
      <w:pPr>
        <w:tabs>
          <w:tab w:val="left" w:pos="0"/>
        </w:tabs>
        <w:suppressAutoHyphens/>
        <w:rPr>
          <w:sz w:val="22"/>
          <w:szCs w:val="22"/>
        </w:rPr>
      </w:pPr>
    </w:p>
    <w:p w:rsidR="00760CC8" w:rsidRPr="008C1D05" w:rsidP="00760CC8" w14:paraId="34166368" w14:textId="18420672">
      <w:pPr>
        <w:tabs>
          <w:tab w:val="left" w:pos="0"/>
        </w:tabs>
        <w:suppressAutoHyphens/>
        <w:rPr>
          <w:b/>
          <w:bCs/>
          <w:sz w:val="22"/>
          <w:szCs w:val="22"/>
        </w:rPr>
      </w:pPr>
      <w:r w:rsidRPr="008C1D05">
        <w:rPr>
          <w:sz w:val="22"/>
          <w:szCs w:val="22"/>
        </w:rPr>
        <w:t xml:space="preserve">Dr. </w:t>
      </w:r>
      <w:r w:rsidRPr="008C1D05">
        <w:rPr>
          <w:sz w:val="22"/>
          <w:szCs w:val="22"/>
        </w:rPr>
        <w:t>Pedro Roig</w:t>
      </w:r>
    </w:p>
    <w:p w:rsidR="00760CC8" w:rsidRPr="008C1D05" w:rsidP="00760CC8" w14:paraId="59F06C2A" w14:textId="594B2E29">
      <w:pPr>
        <w:tabs>
          <w:tab w:val="left" w:pos="0"/>
        </w:tabs>
        <w:suppressAutoHyphens/>
        <w:rPr>
          <w:sz w:val="22"/>
          <w:szCs w:val="22"/>
        </w:rPr>
      </w:pPr>
      <w:r w:rsidRPr="008C1D05">
        <w:rPr>
          <w:sz w:val="22"/>
          <w:szCs w:val="22"/>
        </w:rPr>
        <w:t>1325 Bella Vista Ave.</w:t>
      </w:r>
      <w:r w:rsidRPr="008C1D05">
        <w:rPr>
          <w:sz w:val="22"/>
          <w:szCs w:val="22"/>
        </w:rPr>
        <w:br/>
        <w:t>Coral Gables, FL 33156</w:t>
      </w:r>
    </w:p>
    <w:p w:rsidR="00760CC8" w:rsidRPr="008C1D05" w:rsidP="00760CC8" w14:paraId="3436B303" w14:textId="778C61E0">
      <w:pPr>
        <w:tabs>
          <w:tab w:val="left" w:pos="0"/>
        </w:tabs>
        <w:suppressAutoHyphens/>
        <w:rPr>
          <w:sz w:val="22"/>
          <w:szCs w:val="22"/>
        </w:rPr>
      </w:pPr>
      <w:hyperlink r:id="rId9" w:history="1">
        <w:r w:rsidRPr="008C1D05">
          <w:rPr>
            <w:rStyle w:val="Hyperlink"/>
            <w:sz w:val="22"/>
            <w:szCs w:val="22"/>
          </w:rPr>
          <w:t>roigmdoffice@gmail.com</w:t>
        </w:r>
      </w:hyperlink>
      <w:r w:rsidRPr="008C1D05">
        <w:rPr>
          <w:sz w:val="22"/>
          <w:szCs w:val="22"/>
        </w:rPr>
        <w:t xml:space="preserve"> </w:t>
      </w:r>
    </w:p>
    <w:p w:rsidR="007043CF" w:rsidRPr="008C1D05" w:rsidP="007043CF" w14:paraId="20B39F38" w14:textId="77777777">
      <w:pPr>
        <w:tabs>
          <w:tab w:val="left" w:pos="0"/>
        </w:tabs>
        <w:suppressAutoHyphens/>
        <w:rPr>
          <w:sz w:val="22"/>
          <w:szCs w:val="22"/>
        </w:rPr>
      </w:pPr>
      <w:r w:rsidRPr="008C1D05">
        <w:rPr>
          <w:sz w:val="22"/>
          <w:szCs w:val="22"/>
        </w:rPr>
        <w:tab/>
      </w:r>
      <w:r w:rsidRPr="008C1D05">
        <w:rPr>
          <w:sz w:val="22"/>
          <w:szCs w:val="22"/>
        </w:rPr>
        <w:tab/>
      </w:r>
      <w:r w:rsidRPr="008C1D05">
        <w:rPr>
          <w:sz w:val="22"/>
          <w:szCs w:val="22"/>
        </w:rPr>
        <w:tab/>
      </w:r>
      <w:r w:rsidRPr="008C1D05">
        <w:rPr>
          <w:sz w:val="22"/>
          <w:szCs w:val="22"/>
        </w:rPr>
        <w:tab/>
      </w:r>
    </w:p>
    <w:p w:rsidR="00355B9B" w:rsidRPr="008C1D05" w:rsidP="00083DB4" w14:paraId="087A3A61" w14:textId="3CA5675F">
      <w:pPr>
        <w:tabs>
          <w:tab w:val="left" w:pos="0"/>
          <w:tab w:val="left" w:pos="5040"/>
        </w:tabs>
        <w:suppressAutoHyphens/>
        <w:ind w:left="4050" w:hanging="5040"/>
        <w:rPr>
          <w:sz w:val="22"/>
          <w:szCs w:val="22"/>
        </w:rPr>
      </w:pPr>
      <w:r w:rsidRPr="008C1D05">
        <w:rPr>
          <w:sz w:val="22"/>
          <w:szCs w:val="22"/>
        </w:rPr>
        <w:tab/>
      </w:r>
      <w:r w:rsidRPr="008C1D05" w:rsidR="00DC5ADF">
        <w:rPr>
          <w:sz w:val="22"/>
          <w:szCs w:val="22"/>
        </w:rPr>
        <w:tab/>
      </w:r>
      <w:r w:rsidRPr="008C1D05" w:rsidR="007043CF">
        <w:rPr>
          <w:sz w:val="22"/>
          <w:szCs w:val="22"/>
        </w:rPr>
        <w:t>In re:</w:t>
      </w:r>
      <w:bookmarkStart w:id="0" w:name="_Hlk26369230"/>
      <w:bookmarkStart w:id="1" w:name="_Hlk21100666"/>
      <w:r w:rsidRPr="008C1D05" w:rsidR="007043CF">
        <w:rPr>
          <w:sz w:val="22"/>
          <w:szCs w:val="22"/>
        </w:rPr>
        <w:tab/>
      </w:r>
      <w:bookmarkStart w:id="2" w:name="_Hlk36126556"/>
      <w:bookmarkStart w:id="3" w:name="_Hlk36200037"/>
      <w:bookmarkStart w:id="4" w:name="_Hlk52889655"/>
      <w:r w:rsidRPr="008C1D05" w:rsidR="00335022">
        <w:rPr>
          <w:sz w:val="22"/>
          <w:szCs w:val="22"/>
        </w:rPr>
        <w:t xml:space="preserve">Applications for Consent to </w:t>
      </w:r>
      <w:r w:rsidRPr="008C1D05" w:rsidR="0079369B">
        <w:rPr>
          <w:sz w:val="22"/>
          <w:szCs w:val="22"/>
        </w:rPr>
        <w:t xml:space="preserve">Assignment of </w:t>
      </w:r>
      <w:r w:rsidR="00083DB4">
        <w:rPr>
          <w:sz w:val="22"/>
          <w:szCs w:val="22"/>
        </w:rPr>
        <w:tab/>
      </w:r>
      <w:r w:rsidRPr="008C1D05" w:rsidR="0079369B">
        <w:rPr>
          <w:sz w:val="22"/>
          <w:szCs w:val="22"/>
        </w:rPr>
        <w:t xml:space="preserve">Certain Broadcast Licenses from </w:t>
      </w:r>
      <w:r w:rsidRPr="008C1D05">
        <w:rPr>
          <w:sz w:val="22"/>
          <w:szCs w:val="22"/>
        </w:rPr>
        <w:t xml:space="preserve">Univision </w:t>
      </w:r>
      <w:r w:rsidR="001D1B8F">
        <w:rPr>
          <w:sz w:val="22"/>
          <w:szCs w:val="22"/>
        </w:rPr>
        <w:tab/>
      </w:r>
      <w:r w:rsidRPr="008C1D05">
        <w:rPr>
          <w:sz w:val="22"/>
          <w:szCs w:val="22"/>
        </w:rPr>
        <w:t xml:space="preserve">Radio Stations Group, Inc., </w:t>
      </w:r>
      <w:r w:rsidRPr="008C1D05" w:rsidR="008D45A0">
        <w:rPr>
          <w:sz w:val="22"/>
          <w:szCs w:val="22"/>
        </w:rPr>
        <w:t xml:space="preserve">Tichenor License </w:t>
      </w:r>
      <w:r w:rsidR="001D1B8F">
        <w:rPr>
          <w:sz w:val="22"/>
          <w:szCs w:val="22"/>
        </w:rPr>
        <w:tab/>
      </w:r>
      <w:r w:rsidRPr="008C1D05" w:rsidR="008D45A0">
        <w:rPr>
          <w:sz w:val="22"/>
          <w:szCs w:val="22"/>
        </w:rPr>
        <w:t>Corporation</w:t>
      </w:r>
      <w:r w:rsidR="008D45A0">
        <w:rPr>
          <w:sz w:val="22"/>
          <w:szCs w:val="22"/>
        </w:rPr>
        <w:t>, and</w:t>
      </w:r>
      <w:r w:rsidRPr="008C1D05" w:rsidR="008D45A0">
        <w:rPr>
          <w:sz w:val="22"/>
          <w:szCs w:val="22"/>
        </w:rPr>
        <w:t xml:space="preserve"> </w:t>
      </w:r>
      <w:r w:rsidRPr="008C1D05">
        <w:rPr>
          <w:sz w:val="22"/>
          <w:szCs w:val="22"/>
        </w:rPr>
        <w:t xml:space="preserve">Univision Radio San </w:t>
      </w:r>
      <w:r w:rsidR="001D1B8F">
        <w:rPr>
          <w:sz w:val="22"/>
          <w:szCs w:val="22"/>
        </w:rPr>
        <w:tab/>
      </w:r>
      <w:r w:rsidRPr="008C1D05">
        <w:rPr>
          <w:sz w:val="22"/>
          <w:szCs w:val="22"/>
        </w:rPr>
        <w:t>Francisco, Inc., to Latino Media Network, LLC</w:t>
      </w:r>
    </w:p>
    <w:p w:rsidR="00FF18E0" w:rsidRPr="008C1D05" w:rsidP="00F10A4E" w14:paraId="7D042788" w14:textId="77777777">
      <w:pPr>
        <w:tabs>
          <w:tab w:val="left" w:pos="0"/>
        </w:tabs>
        <w:suppressAutoHyphens/>
        <w:ind w:left="4320" w:hanging="5040"/>
        <w:rPr>
          <w:sz w:val="22"/>
          <w:szCs w:val="22"/>
        </w:rPr>
      </w:pPr>
    </w:p>
    <w:bookmarkEnd w:id="0"/>
    <w:bookmarkEnd w:id="1"/>
    <w:bookmarkEnd w:id="2"/>
    <w:bookmarkEnd w:id="3"/>
    <w:bookmarkEnd w:id="4"/>
    <w:p w:rsidR="008D45A0" w:rsidP="00B43A7E" w14:paraId="535B8668" w14:textId="47FAAA68">
      <w:pPr>
        <w:spacing w:after="240"/>
        <w:ind w:left="5040"/>
        <w:rPr>
          <w:b/>
          <w:bCs/>
          <w:color w:val="000000"/>
          <w:sz w:val="22"/>
          <w:szCs w:val="22"/>
        </w:rPr>
      </w:pPr>
      <w:r>
        <w:rPr>
          <w:sz w:val="22"/>
          <w:szCs w:val="22"/>
        </w:rPr>
        <w:t xml:space="preserve">Application File Nos. </w:t>
      </w:r>
      <w:r w:rsidRPr="00450F58">
        <w:rPr>
          <w:sz w:val="22"/>
          <w:szCs w:val="22"/>
        </w:rPr>
        <w:t>0000194638</w:t>
      </w:r>
      <w:r>
        <w:rPr>
          <w:sz w:val="22"/>
          <w:szCs w:val="22"/>
        </w:rPr>
        <w:t xml:space="preserve">-48, </w:t>
      </w:r>
      <w:r w:rsidRPr="008E64B8">
        <w:rPr>
          <w:sz w:val="22"/>
          <w:szCs w:val="22"/>
        </w:rPr>
        <w:t>0000194656</w:t>
      </w:r>
      <w:r>
        <w:rPr>
          <w:sz w:val="22"/>
          <w:szCs w:val="22"/>
        </w:rPr>
        <w:t xml:space="preserve">-60, and </w:t>
      </w:r>
      <w:r w:rsidRPr="008E64B8">
        <w:rPr>
          <w:sz w:val="22"/>
          <w:szCs w:val="22"/>
        </w:rPr>
        <w:t>0000194661</w:t>
      </w:r>
      <w:r>
        <w:rPr>
          <w:sz w:val="22"/>
          <w:szCs w:val="22"/>
        </w:rPr>
        <w:t>-62</w:t>
      </w:r>
    </w:p>
    <w:p w:rsidR="00760CC8" w:rsidRPr="008C1D05" w:rsidP="00B43A7E" w14:paraId="3F13CB88" w14:textId="12C2B9B8">
      <w:pPr>
        <w:spacing w:after="240"/>
        <w:ind w:left="5040"/>
        <w:rPr>
          <w:b/>
          <w:color w:val="000000"/>
          <w:sz w:val="22"/>
          <w:szCs w:val="22"/>
        </w:rPr>
      </w:pPr>
      <w:r w:rsidRPr="008C1D05">
        <w:rPr>
          <w:b/>
          <w:bCs/>
          <w:color w:val="000000"/>
          <w:sz w:val="22"/>
          <w:szCs w:val="22"/>
        </w:rPr>
        <w:t>Application</w:t>
      </w:r>
      <w:r w:rsidRPr="008C1D05" w:rsidR="00F10A4E">
        <w:rPr>
          <w:b/>
          <w:bCs/>
          <w:color w:val="000000"/>
          <w:sz w:val="22"/>
          <w:szCs w:val="22"/>
        </w:rPr>
        <w:t>s</w:t>
      </w:r>
      <w:r w:rsidRPr="008C1D05">
        <w:rPr>
          <w:b/>
          <w:bCs/>
          <w:color w:val="000000"/>
          <w:sz w:val="22"/>
          <w:szCs w:val="22"/>
        </w:rPr>
        <w:t xml:space="preserve"> for Assignment of License</w:t>
      </w:r>
      <w:r w:rsidRPr="008C1D05" w:rsidR="00F10A4E">
        <w:rPr>
          <w:b/>
          <w:bCs/>
          <w:color w:val="000000"/>
          <w:sz w:val="22"/>
          <w:szCs w:val="22"/>
        </w:rPr>
        <w:t>s</w:t>
      </w:r>
    </w:p>
    <w:p w:rsidR="00760CC8" w:rsidRPr="008C1D05" w:rsidP="00B43A7E" w14:paraId="1EEF88FF" w14:textId="634D7AD8">
      <w:pPr>
        <w:spacing w:after="240"/>
        <w:ind w:left="4320" w:firstLine="720"/>
        <w:rPr>
          <w:b/>
          <w:color w:val="000000"/>
          <w:sz w:val="22"/>
          <w:szCs w:val="22"/>
        </w:rPr>
      </w:pPr>
      <w:r w:rsidRPr="008C1D05">
        <w:rPr>
          <w:b/>
          <w:bCs/>
          <w:color w:val="000000"/>
          <w:sz w:val="22"/>
          <w:szCs w:val="22"/>
        </w:rPr>
        <w:t>Petition to Deny</w:t>
      </w:r>
    </w:p>
    <w:p w:rsidR="007043CF" w:rsidRPr="008C1D05" w:rsidP="00760CC8" w14:paraId="525DB73F" w14:textId="40B49F21">
      <w:pPr>
        <w:tabs>
          <w:tab w:val="left" w:pos="0"/>
        </w:tabs>
        <w:suppressAutoHyphens/>
        <w:spacing w:after="240"/>
        <w:outlineLvl w:val="0"/>
        <w:rPr>
          <w:b/>
          <w:color w:val="000000"/>
          <w:sz w:val="22"/>
          <w:szCs w:val="22"/>
        </w:rPr>
      </w:pPr>
      <w:r w:rsidRPr="008C1D05">
        <w:rPr>
          <w:color w:val="000000"/>
          <w:sz w:val="22"/>
          <w:szCs w:val="22"/>
        </w:rPr>
        <w:t xml:space="preserve">Dear </w:t>
      </w:r>
      <w:r w:rsidRPr="008C1D05" w:rsidR="00760CC8">
        <w:rPr>
          <w:color w:val="000000"/>
          <w:sz w:val="22"/>
          <w:szCs w:val="22"/>
        </w:rPr>
        <w:t xml:space="preserve">Counsel and </w:t>
      </w:r>
      <w:r w:rsidRPr="008C1D05" w:rsidR="00D35151">
        <w:rPr>
          <w:color w:val="000000"/>
          <w:sz w:val="22"/>
          <w:szCs w:val="22"/>
        </w:rPr>
        <w:t>Petitioner</w:t>
      </w:r>
      <w:r w:rsidRPr="008C1D05">
        <w:rPr>
          <w:color w:val="000000"/>
          <w:sz w:val="22"/>
          <w:szCs w:val="22"/>
        </w:rPr>
        <w:t>:</w:t>
      </w:r>
    </w:p>
    <w:p w:rsidR="000C3DE2" w:rsidRPr="008C1D05" w:rsidP="0059654C" w14:paraId="222DE9C9" w14:textId="3FF34C0A">
      <w:pPr>
        <w:spacing w:after="240"/>
        <w:ind w:firstLine="720"/>
        <w:rPr>
          <w:sz w:val="22"/>
          <w:szCs w:val="22"/>
        </w:rPr>
      </w:pPr>
      <w:r w:rsidRPr="008C1D05">
        <w:rPr>
          <w:sz w:val="22"/>
          <w:szCs w:val="22"/>
        </w:rPr>
        <w:t xml:space="preserve">We have before us the above-captioned </w:t>
      </w:r>
      <w:r w:rsidRPr="008C1D05" w:rsidR="001A0859">
        <w:rPr>
          <w:sz w:val="22"/>
          <w:szCs w:val="22"/>
        </w:rPr>
        <w:t xml:space="preserve">amended </w:t>
      </w:r>
      <w:r w:rsidRPr="008C1D05">
        <w:rPr>
          <w:sz w:val="22"/>
          <w:szCs w:val="22"/>
        </w:rPr>
        <w:t xml:space="preserve">applications (Applications) seeking approval for the proposed assignment of </w:t>
      </w:r>
      <w:r w:rsidRPr="008C1D05" w:rsidR="00520FE8">
        <w:rPr>
          <w:sz w:val="22"/>
          <w:szCs w:val="22"/>
        </w:rPr>
        <w:t xml:space="preserve">certain </w:t>
      </w:r>
      <w:r w:rsidR="00816457">
        <w:rPr>
          <w:sz w:val="22"/>
          <w:szCs w:val="22"/>
        </w:rPr>
        <w:t xml:space="preserve">radio station </w:t>
      </w:r>
      <w:r w:rsidRPr="008C1D05" w:rsidR="00520FE8">
        <w:rPr>
          <w:sz w:val="22"/>
          <w:szCs w:val="22"/>
        </w:rPr>
        <w:t>licenses</w:t>
      </w:r>
      <w:r w:rsidRPr="008C1D05" w:rsidR="00152941">
        <w:rPr>
          <w:sz w:val="22"/>
          <w:szCs w:val="22"/>
        </w:rPr>
        <w:t xml:space="preserve"> </w:t>
      </w:r>
      <w:r w:rsidRPr="008C1D05">
        <w:rPr>
          <w:sz w:val="22"/>
          <w:szCs w:val="22"/>
        </w:rPr>
        <w:t>from</w:t>
      </w:r>
      <w:r w:rsidRPr="008C1D05" w:rsidR="0059654C">
        <w:rPr>
          <w:sz w:val="22"/>
          <w:szCs w:val="22"/>
        </w:rPr>
        <w:t xml:space="preserve"> Univision Radio Stations Group, Inc. (URSGI), </w:t>
      </w:r>
      <w:r w:rsidRPr="008C1D05" w:rsidR="00046155">
        <w:rPr>
          <w:sz w:val="22"/>
          <w:szCs w:val="22"/>
        </w:rPr>
        <w:t>Tichenor License Corporation (Tichenor)</w:t>
      </w:r>
      <w:r w:rsidR="00046155">
        <w:rPr>
          <w:sz w:val="22"/>
          <w:szCs w:val="22"/>
        </w:rPr>
        <w:t xml:space="preserve">, and </w:t>
      </w:r>
      <w:r w:rsidRPr="008C1D05" w:rsidR="0059654C">
        <w:rPr>
          <w:sz w:val="22"/>
          <w:szCs w:val="22"/>
        </w:rPr>
        <w:t>Univision Radio San Francisco, Inc. (URSF) (collectively, Univision)</w:t>
      </w:r>
      <w:r w:rsidRPr="008C1D05">
        <w:rPr>
          <w:sz w:val="22"/>
          <w:szCs w:val="22"/>
        </w:rPr>
        <w:t xml:space="preserve"> to </w:t>
      </w:r>
      <w:r w:rsidRPr="008C1D05" w:rsidR="005A53CF">
        <w:rPr>
          <w:sz w:val="22"/>
          <w:szCs w:val="22"/>
        </w:rPr>
        <w:t>Latino Media Network, LLC (LMN</w:t>
      </w:r>
      <w:r w:rsidRPr="008C1D05" w:rsidR="00E77DBB">
        <w:rPr>
          <w:sz w:val="22"/>
          <w:szCs w:val="22"/>
        </w:rPr>
        <w:t xml:space="preserve">, </w:t>
      </w:r>
      <w:r w:rsidR="0041059F">
        <w:rPr>
          <w:sz w:val="22"/>
          <w:szCs w:val="22"/>
        </w:rPr>
        <w:t>and together with Univision, the</w:t>
      </w:r>
      <w:r w:rsidRPr="008C1D05" w:rsidR="00E77DBB">
        <w:rPr>
          <w:sz w:val="22"/>
          <w:szCs w:val="22"/>
        </w:rPr>
        <w:t xml:space="preserve"> </w:t>
      </w:r>
      <w:r w:rsidRPr="008C1D05" w:rsidR="00E77DBB">
        <w:rPr>
          <w:sz w:val="22"/>
          <w:szCs w:val="22"/>
        </w:rPr>
        <w:t>Applicants</w:t>
      </w:r>
      <w:r w:rsidRPr="008C1D05" w:rsidR="005A53CF">
        <w:rPr>
          <w:sz w:val="22"/>
          <w:szCs w:val="22"/>
        </w:rPr>
        <w:t>)</w:t>
      </w:r>
      <w:r w:rsidRPr="008C1D05">
        <w:rPr>
          <w:sz w:val="22"/>
          <w:szCs w:val="22"/>
        </w:rPr>
        <w:t>.</w:t>
      </w:r>
      <w:r>
        <w:rPr>
          <w:rStyle w:val="FootnoteReference"/>
          <w:sz w:val="22"/>
          <w:szCs w:val="22"/>
        </w:rPr>
        <w:footnoteReference w:id="2"/>
      </w:r>
      <w:r w:rsidRPr="008C1D05">
        <w:rPr>
          <w:sz w:val="22"/>
          <w:szCs w:val="22"/>
        </w:rPr>
        <w:t xml:space="preserve">  Also before us is</w:t>
      </w:r>
      <w:r w:rsidRPr="008C1D05" w:rsidR="000B4ABB">
        <w:rPr>
          <w:sz w:val="22"/>
          <w:szCs w:val="22"/>
        </w:rPr>
        <w:t xml:space="preserve"> a Petition to Deny</w:t>
      </w:r>
      <w:r w:rsidRPr="008C1D05">
        <w:rPr>
          <w:sz w:val="22"/>
          <w:szCs w:val="22"/>
        </w:rPr>
        <w:t xml:space="preserve"> the Application</w:t>
      </w:r>
      <w:r w:rsidRPr="008C1D05" w:rsidR="000B4ABB">
        <w:rPr>
          <w:sz w:val="22"/>
          <w:szCs w:val="22"/>
        </w:rPr>
        <w:t>s</w:t>
      </w:r>
      <w:r w:rsidR="007A6EBC">
        <w:rPr>
          <w:sz w:val="22"/>
          <w:szCs w:val="22"/>
        </w:rPr>
        <w:t xml:space="preserve">, </w:t>
      </w:r>
      <w:r w:rsidRPr="008C1D05" w:rsidR="007A6EBC">
        <w:rPr>
          <w:sz w:val="22"/>
          <w:szCs w:val="22"/>
        </w:rPr>
        <w:t>which we treat as an informal objection (Objection),</w:t>
      </w:r>
      <w:r w:rsidRPr="008C1D05">
        <w:rPr>
          <w:sz w:val="22"/>
          <w:szCs w:val="22"/>
        </w:rPr>
        <w:t xml:space="preserve"> filed on</w:t>
      </w:r>
      <w:r w:rsidRPr="008C1D05" w:rsidR="000B4ABB">
        <w:rPr>
          <w:sz w:val="22"/>
          <w:szCs w:val="22"/>
        </w:rPr>
        <w:t xml:space="preserve"> August 11, 2022,</w:t>
      </w:r>
      <w:r w:rsidRPr="008C1D05">
        <w:rPr>
          <w:sz w:val="22"/>
          <w:szCs w:val="22"/>
        </w:rPr>
        <w:t xml:space="preserve"> by </w:t>
      </w:r>
      <w:r w:rsidRPr="008C1D05" w:rsidR="000B4ABB">
        <w:rPr>
          <w:sz w:val="22"/>
          <w:szCs w:val="22"/>
        </w:rPr>
        <w:t>Dr. Pedro Roig</w:t>
      </w:r>
      <w:r w:rsidRPr="008C1D05" w:rsidR="00A87FEA">
        <w:rPr>
          <w:sz w:val="22"/>
          <w:szCs w:val="22"/>
        </w:rPr>
        <w:t xml:space="preserve"> (</w:t>
      </w:r>
      <w:r w:rsidRPr="008C1D05" w:rsidR="00470F23">
        <w:rPr>
          <w:sz w:val="22"/>
          <w:szCs w:val="22"/>
        </w:rPr>
        <w:t xml:space="preserve">Dr. </w:t>
      </w:r>
      <w:r w:rsidRPr="008C1D05" w:rsidR="00A87FEA">
        <w:rPr>
          <w:sz w:val="22"/>
          <w:szCs w:val="22"/>
        </w:rPr>
        <w:t>Roig)</w:t>
      </w:r>
      <w:r w:rsidRPr="008C1D05">
        <w:rPr>
          <w:sz w:val="22"/>
          <w:szCs w:val="22"/>
        </w:rPr>
        <w:t>,</w:t>
      </w:r>
      <w:r>
        <w:rPr>
          <w:rStyle w:val="FootnoteReference"/>
          <w:sz w:val="22"/>
          <w:szCs w:val="22"/>
        </w:rPr>
        <w:footnoteReference w:id="3"/>
      </w:r>
      <w:r w:rsidRPr="008C1D05" w:rsidR="005025D2">
        <w:rPr>
          <w:sz w:val="22"/>
          <w:szCs w:val="22"/>
        </w:rPr>
        <w:t xml:space="preserve"> and</w:t>
      </w:r>
      <w:r w:rsidRPr="008C1D05">
        <w:rPr>
          <w:sz w:val="22"/>
          <w:szCs w:val="22"/>
        </w:rPr>
        <w:t xml:space="preserve"> an Opposition to Informal Objection (Opposition)</w:t>
      </w:r>
      <w:r w:rsidRPr="008C1D05" w:rsidR="00977F72">
        <w:rPr>
          <w:sz w:val="22"/>
          <w:szCs w:val="22"/>
        </w:rPr>
        <w:t xml:space="preserve"> filed on</w:t>
      </w:r>
      <w:r w:rsidRPr="008C1D05" w:rsidR="004B6DB9">
        <w:rPr>
          <w:sz w:val="22"/>
          <w:szCs w:val="22"/>
        </w:rPr>
        <w:t xml:space="preserve"> August 25, 2022</w:t>
      </w:r>
      <w:r w:rsidRPr="008C1D05" w:rsidR="00360145">
        <w:rPr>
          <w:sz w:val="22"/>
          <w:szCs w:val="22"/>
        </w:rPr>
        <w:t>,</w:t>
      </w:r>
      <w:r w:rsidRPr="008C1D05" w:rsidR="004B6DB9">
        <w:rPr>
          <w:sz w:val="22"/>
          <w:szCs w:val="22"/>
        </w:rPr>
        <w:t xml:space="preserve"> by </w:t>
      </w:r>
      <w:r w:rsidRPr="008C1D05" w:rsidR="007177D1">
        <w:rPr>
          <w:sz w:val="22"/>
          <w:szCs w:val="22"/>
        </w:rPr>
        <w:t>the Applicants</w:t>
      </w:r>
      <w:r w:rsidRPr="008C1D05" w:rsidR="005025D2">
        <w:rPr>
          <w:sz w:val="22"/>
          <w:szCs w:val="22"/>
        </w:rPr>
        <w:t>.</w:t>
      </w:r>
      <w:r>
        <w:rPr>
          <w:rStyle w:val="FootnoteReference"/>
          <w:sz w:val="22"/>
          <w:szCs w:val="22"/>
        </w:rPr>
        <w:footnoteReference w:id="4"/>
      </w:r>
      <w:r w:rsidRPr="008C1D05" w:rsidR="00360145">
        <w:rPr>
          <w:sz w:val="22"/>
          <w:szCs w:val="22"/>
        </w:rPr>
        <w:t xml:space="preserve">  </w:t>
      </w:r>
      <w:r w:rsidRPr="008C1D05">
        <w:rPr>
          <w:sz w:val="22"/>
          <w:szCs w:val="22"/>
        </w:rPr>
        <w:t>For the reasons set forth below, we dismiss and in the alternative deny the Objection, and we grant the Application</w:t>
      </w:r>
      <w:r w:rsidRPr="008C1D05" w:rsidR="004736D2">
        <w:rPr>
          <w:sz w:val="22"/>
          <w:szCs w:val="22"/>
        </w:rPr>
        <w:t>s.</w:t>
      </w:r>
    </w:p>
    <w:p w:rsidR="008962A6" w:rsidRPr="008C1D05" w:rsidP="008962A6" w14:paraId="2AF614C2" w14:textId="61E0ECFF">
      <w:pPr>
        <w:spacing w:after="240"/>
        <w:ind w:firstLine="720"/>
        <w:rPr>
          <w:sz w:val="22"/>
          <w:szCs w:val="22"/>
        </w:rPr>
      </w:pPr>
      <w:r w:rsidRPr="008C1D05">
        <w:rPr>
          <w:b/>
          <w:sz w:val="22"/>
          <w:szCs w:val="22"/>
        </w:rPr>
        <w:t>Background.</w:t>
      </w:r>
      <w:r w:rsidRPr="008C1D05">
        <w:rPr>
          <w:sz w:val="22"/>
          <w:szCs w:val="22"/>
        </w:rPr>
        <w:t xml:space="preserve">  </w:t>
      </w:r>
      <w:r w:rsidRPr="008C1D05" w:rsidR="00DA6415">
        <w:rPr>
          <w:sz w:val="22"/>
          <w:szCs w:val="22"/>
        </w:rPr>
        <w:t xml:space="preserve">On </w:t>
      </w:r>
      <w:r w:rsidRPr="008C1D05" w:rsidR="00D209EC">
        <w:rPr>
          <w:sz w:val="22"/>
          <w:szCs w:val="22"/>
        </w:rPr>
        <w:t xml:space="preserve">July 8, 2022, </w:t>
      </w:r>
      <w:r w:rsidRPr="008C1D05" w:rsidR="00675341">
        <w:rPr>
          <w:sz w:val="22"/>
          <w:szCs w:val="22"/>
        </w:rPr>
        <w:t>the Applicants</w:t>
      </w:r>
      <w:r w:rsidRPr="008C1D05" w:rsidR="00DA6415">
        <w:rPr>
          <w:sz w:val="22"/>
          <w:szCs w:val="22"/>
        </w:rPr>
        <w:t xml:space="preserve"> filed the Applications</w:t>
      </w:r>
      <w:r w:rsidRPr="008C1D05" w:rsidR="00487BC3">
        <w:rPr>
          <w:sz w:val="22"/>
          <w:szCs w:val="22"/>
        </w:rPr>
        <w:t>.</w:t>
      </w:r>
      <w:r>
        <w:rPr>
          <w:rStyle w:val="FootnoteReference"/>
          <w:sz w:val="22"/>
          <w:szCs w:val="22"/>
        </w:rPr>
        <w:footnoteReference w:id="5"/>
      </w:r>
      <w:r w:rsidRPr="008C1D05" w:rsidR="00487BC3">
        <w:rPr>
          <w:sz w:val="22"/>
          <w:szCs w:val="22"/>
        </w:rPr>
        <w:t xml:space="preserve">  </w:t>
      </w:r>
      <w:r w:rsidR="006713A5">
        <w:rPr>
          <w:sz w:val="22"/>
          <w:szCs w:val="22"/>
        </w:rPr>
        <w:t xml:space="preserve">In the Objection, </w:t>
      </w:r>
      <w:r w:rsidRPr="008C1D05" w:rsidR="007A764B">
        <w:rPr>
          <w:sz w:val="22"/>
          <w:szCs w:val="22"/>
        </w:rPr>
        <w:t>Dr. Roig</w:t>
      </w:r>
      <w:r w:rsidR="004A4588">
        <w:rPr>
          <w:sz w:val="22"/>
          <w:szCs w:val="22"/>
        </w:rPr>
        <w:t xml:space="preserve">, who states that he is a listener of </w:t>
      </w:r>
      <w:r w:rsidR="00DF08A6">
        <w:rPr>
          <w:sz w:val="22"/>
          <w:szCs w:val="22"/>
        </w:rPr>
        <w:t xml:space="preserve">URSGI stations </w:t>
      </w:r>
      <w:r w:rsidR="005C7B7D">
        <w:rPr>
          <w:sz w:val="22"/>
          <w:szCs w:val="22"/>
        </w:rPr>
        <w:t>WAQI(AM) and WQBA(AM) in Miami, Florida,</w:t>
      </w:r>
      <w:r w:rsidRPr="008C1D05" w:rsidR="007A764B">
        <w:rPr>
          <w:sz w:val="22"/>
          <w:szCs w:val="22"/>
        </w:rPr>
        <w:t xml:space="preserve"> </w:t>
      </w:r>
      <w:r w:rsidR="00812FCA">
        <w:rPr>
          <w:sz w:val="22"/>
          <w:szCs w:val="22"/>
        </w:rPr>
        <w:t>notes</w:t>
      </w:r>
      <w:r w:rsidR="00717B30">
        <w:rPr>
          <w:sz w:val="22"/>
          <w:szCs w:val="22"/>
        </w:rPr>
        <w:t xml:space="preserve"> </w:t>
      </w:r>
      <w:r w:rsidR="00322020">
        <w:rPr>
          <w:sz w:val="22"/>
          <w:szCs w:val="22"/>
        </w:rPr>
        <w:t xml:space="preserve">that the </w:t>
      </w:r>
      <w:r w:rsidR="00717B30">
        <w:rPr>
          <w:sz w:val="22"/>
          <w:szCs w:val="22"/>
        </w:rPr>
        <w:t xml:space="preserve">asset purchase agreement (APA) </w:t>
      </w:r>
      <w:r w:rsidR="00A07A02">
        <w:rPr>
          <w:sz w:val="22"/>
          <w:szCs w:val="22"/>
        </w:rPr>
        <w:t xml:space="preserve">governing this transaction </w:t>
      </w:r>
      <w:r w:rsidR="00812FCA">
        <w:rPr>
          <w:sz w:val="22"/>
          <w:szCs w:val="22"/>
        </w:rPr>
        <w:t>stat</w:t>
      </w:r>
      <w:r w:rsidR="00A07A02">
        <w:rPr>
          <w:sz w:val="22"/>
          <w:szCs w:val="22"/>
        </w:rPr>
        <w:t>es</w:t>
      </w:r>
      <w:r w:rsidR="00717B30">
        <w:rPr>
          <w:sz w:val="22"/>
          <w:szCs w:val="22"/>
        </w:rPr>
        <w:t xml:space="preserve"> that</w:t>
      </w:r>
      <w:r w:rsidR="004B7782">
        <w:rPr>
          <w:sz w:val="22"/>
          <w:szCs w:val="22"/>
        </w:rPr>
        <w:t xml:space="preserve"> </w:t>
      </w:r>
      <w:r w:rsidRPr="008C1D05" w:rsidR="001006E6">
        <w:rPr>
          <w:sz w:val="22"/>
          <w:szCs w:val="22"/>
        </w:rPr>
        <w:t xml:space="preserve">the </w:t>
      </w:r>
      <w:r w:rsidR="004B7782">
        <w:rPr>
          <w:sz w:val="22"/>
          <w:szCs w:val="22"/>
        </w:rPr>
        <w:t>parties will execute</w:t>
      </w:r>
      <w:r w:rsidR="005029B3">
        <w:rPr>
          <w:sz w:val="22"/>
          <w:szCs w:val="22"/>
        </w:rPr>
        <w:t xml:space="preserve"> at closing</w:t>
      </w:r>
      <w:r w:rsidRPr="008C1D05" w:rsidR="001006E6">
        <w:rPr>
          <w:sz w:val="22"/>
          <w:szCs w:val="22"/>
        </w:rPr>
        <w:t xml:space="preserve"> </w:t>
      </w:r>
      <w:r w:rsidRPr="008C1D05" w:rsidR="002A3ECA">
        <w:rPr>
          <w:sz w:val="22"/>
          <w:szCs w:val="22"/>
        </w:rPr>
        <w:t xml:space="preserve">one or more </w:t>
      </w:r>
      <w:r w:rsidRPr="008C1D05" w:rsidR="009C1AA3">
        <w:rPr>
          <w:sz w:val="22"/>
          <w:szCs w:val="22"/>
        </w:rPr>
        <w:t>local marketing agreements (LMA)</w:t>
      </w:r>
      <w:r w:rsidRPr="008C1D05" w:rsidR="009B1514">
        <w:rPr>
          <w:sz w:val="22"/>
          <w:szCs w:val="22"/>
        </w:rPr>
        <w:t xml:space="preserve">, which </w:t>
      </w:r>
      <w:r w:rsidR="00E5198C">
        <w:rPr>
          <w:sz w:val="22"/>
          <w:szCs w:val="22"/>
        </w:rPr>
        <w:t>he</w:t>
      </w:r>
      <w:r w:rsidRPr="008C1D05" w:rsidR="009B1514">
        <w:rPr>
          <w:sz w:val="22"/>
          <w:szCs w:val="22"/>
        </w:rPr>
        <w:t xml:space="preserve"> states is “non-standard” compared to pre-closing LMAs.</w:t>
      </w:r>
      <w:r>
        <w:rPr>
          <w:rStyle w:val="FootnoteReference"/>
          <w:sz w:val="22"/>
          <w:szCs w:val="22"/>
        </w:rPr>
        <w:footnoteReference w:id="6"/>
      </w:r>
      <w:r w:rsidRPr="008C1D05" w:rsidR="00AD4329">
        <w:rPr>
          <w:sz w:val="22"/>
          <w:szCs w:val="22"/>
        </w:rPr>
        <w:t xml:space="preserve">  </w:t>
      </w:r>
      <w:r w:rsidR="00131453">
        <w:rPr>
          <w:sz w:val="22"/>
          <w:szCs w:val="22"/>
        </w:rPr>
        <w:t xml:space="preserve">Dr. Roig </w:t>
      </w:r>
      <w:r w:rsidR="00EF450D">
        <w:rPr>
          <w:sz w:val="22"/>
          <w:szCs w:val="22"/>
        </w:rPr>
        <w:t xml:space="preserve">also raises a concern </w:t>
      </w:r>
      <w:r w:rsidR="00131453">
        <w:rPr>
          <w:sz w:val="22"/>
          <w:szCs w:val="22"/>
        </w:rPr>
        <w:t xml:space="preserve">that the APA requires </w:t>
      </w:r>
      <w:r w:rsidR="001910CA">
        <w:rPr>
          <w:sz w:val="22"/>
          <w:szCs w:val="22"/>
        </w:rPr>
        <w:t xml:space="preserve">that the parties negotiate </w:t>
      </w:r>
      <w:r w:rsidR="00101320">
        <w:rPr>
          <w:sz w:val="22"/>
          <w:szCs w:val="22"/>
        </w:rPr>
        <w:t>one or more local programming license agreements (</w:t>
      </w:r>
      <w:r w:rsidR="003F2CF5">
        <w:rPr>
          <w:sz w:val="22"/>
          <w:szCs w:val="22"/>
        </w:rPr>
        <w:t>Programming Agreements)</w:t>
      </w:r>
      <w:r w:rsidR="007142FD">
        <w:rPr>
          <w:sz w:val="22"/>
          <w:szCs w:val="22"/>
        </w:rPr>
        <w:t>, pursuant to which Univision</w:t>
      </w:r>
      <w:r w:rsidR="0097480C">
        <w:rPr>
          <w:sz w:val="22"/>
          <w:szCs w:val="22"/>
        </w:rPr>
        <w:t xml:space="preserve"> and its affiliates will </w:t>
      </w:r>
      <w:r w:rsidR="00BF031E">
        <w:rPr>
          <w:sz w:val="22"/>
          <w:szCs w:val="22"/>
        </w:rPr>
        <w:t xml:space="preserve">provide </w:t>
      </w:r>
      <w:r w:rsidR="0097480C">
        <w:rPr>
          <w:sz w:val="22"/>
          <w:szCs w:val="22"/>
        </w:rPr>
        <w:t>certain programming and content to LMN</w:t>
      </w:r>
      <w:r w:rsidR="00EF450D">
        <w:rPr>
          <w:sz w:val="22"/>
          <w:szCs w:val="22"/>
        </w:rPr>
        <w:t xml:space="preserve"> after LMN acquires the stations</w:t>
      </w:r>
      <w:r w:rsidR="008567AC">
        <w:rPr>
          <w:sz w:val="22"/>
          <w:szCs w:val="22"/>
        </w:rPr>
        <w:t>.</w:t>
      </w:r>
      <w:r>
        <w:rPr>
          <w:rStyle w:val="FootnoteReference"/>
          <w:sz w:val="22"/>
          <w:szCs w:val="22"/>
        </w:rPr>
        <w:footnoteReference w:id="7"/>
      </w:r>
      <w:r w:rsidR="008567AC">
        <w:rPr>
          <w:sz w:val="22"/>
          <w:szCs w:val="22"/>
        </w:rPr>
        <w:t xml:space="preserve">  </w:t>
      </w:r>
      <w:r w:rsidRPr="008C1D05" w:rsidR="00AD4329">
        <w:rPr>
          <w:sz w:val="22"/>
          <w:szCs w:val="22"/>
        </w:rPr>
        <w:t xml:space="preserve">Dr. Roig </w:t>
      </w:r>
      <w:r w:rsidR="00217C33">
        <w:rPr>
          <w:sz w:val="22"/>
          <w:szCs w:val="22"/>
        </w:rPr>
        <w:t>argues</w:t>
      </w:r>
      <w:r w:rsidRPr="008C1D05" w:rsidR="005970B6">
        <w:rPr>
          <w:sz w:val="22"/>
          <w:szCs w:val="22"/>
        </w:rPr>
        <w:t xml:space="preserve"> th</w:t>
      </w:r>
      <w:r w:rsidR="005B51B6">
        <w:rPr>
          <w:sz w:val="22"/>
          <w:szCs w:val="22"/>
        </w:rPr>
        <w:t>os</w:t>
      </w:r>
      <w:r w:rsidRPr="008C1D05" w:rsidR="005970B6">
        <w:rPr>
          <w:sz w:val="22"/>
          <w:szCs w:val="22"/>
        </w:rPr>
        <w:t xml:space="preserve">e </w:t>
      </w:r>
      <w:r w:rsidR="005B51B6">
        <w:rPr>
          <w:sz w:val="22"/>
          <w:szCs w:val="22"/>
        </w:rPr>
        <w:t xml:space="preserve">aspects of the </w:t>
      </w:r>
      <w:r w:rsidRPr="008C1D05" w:rsidR="005970B6">
        <w:rPr>
          <w:sz w:val="22"/>
          <w:szCs w:val="22"/>
        </w:rPr>
        <w:t xml:space="preserve">transaction </w:t>
      </w:r>
      <w:r w:rsidR="00217C33">
        <w:rPr>
          <w:sz w:val="22"/>
          <w:szCs w:val="22"/>
        </w:rPr>
        <w:t xml:space="preserve">do not </w:t>
      </w:r>
      <w:r w:rsidRPr="008C1D05" w:rsidR="005970B6">
        <w:rPr>
          <w:sz w:val="22"/>
          <w:szCs w:val="22"/>
        </w:rPr>
        <w:t>comport with the Commission’s Reversionary Interest Rule</w:t>
      </w:r>
      <w:r w:rsidRPr="008C1D05" w:rsidR="00DA24E6">
        <w:rPr>
          <w:sz w:val="22"/>
          <w:szCs w:val="22"/>
        </w:rPr>
        <w:t>.</w:t>
      </w:r>
      <w:r>
        <w:rPr>
          <w:rStyle w:val="FootnoteReference"/>
          <w:sz w:val="22"/>
          <w:szCs w:val="22"/>
        </w:rPr>
        <w:footnoteReference w:id="8"/>
      </w:r>
      <w:r w:rsidRPr="008C1D05" w:rsidR="00D61216">
        <w:rPr>
          <w:sz w:val="22"/>
          <w:szCs w:val="22"/>
        </w:rPr>
        <w:t xml:space="preserve">  </w:t>
      </w:r>
      <w:r w:rsidR="00CB3849">
        <w:rPr>
          <w:sz w:val="22"/>
          <w:szCs w:val="22"/>
        </w:rPr>
        <w:t>He</w:t>
      </w:r>
      <w:r w:rsidR="00E76463">
        <w:rPr>
          <w:sz w:val="22"/>
          <w:szCs w:val="22"/>
        </w:rPr>
        <w:t xml:space="preserve"> also </w:t>
      </w:r>
      <w:r w:rsidR="00315FA1">
        <w:rPr>
          <w:sz w:val="22"/>
          <w:szCs w:val="22"/>
        </w:rPr>
        <w:t>contends that</w:t>
      </w:r>
      <w:r w:rsidR="00A86253">
        <w:rPr>
          <w:sz w:val="22"/>
          <w:szCs w:val="22"/>
        </w:rPr>
        <w:t xml:space="preserve"> certain station assets and contracts</w:t>
      </w:r>
      <w:r w:rsidR="00F50320">
        <w:rPr>
          <w:sz w:val="22"/>
          <w:szCs w:val="22"/>
        </w:rPr>
        <w:t xml:space="preserve"> would not be conveyed to LMN</w:t>
      </w:r>
      <w:r w:rsidR="001949E5">
        <w:rPr>
          <w:sz w:val="22"/>
          <w:szCs w:val="22"/>
        </w:rPr>
        <w:t xml:space="preserve"> in the transaction and that the LMA(s) and Programming Agreement(s) will “substitute for true asset ownership and operation by LMN.”</w:t>
      </w:r>
      <w:r>
        <w:rPr>
          <w:rStyle w:val="FootnoteReference"/>
          <w:sz w:val="22"/>
          <w:szCs w:val="22"/>
        </w:rPr>
        <w:footnoteReference w:id="9"/>
      </w:r>
      <w:r w:rsidR="001949E5">
        <w:rPr>
          <w:sz w:val="22"/>
          <w:szCs w:val="22"/>
        </w:rPr>
        <w:t xml:space="preserve">  </w:t>
      </w:r>
      <w:r w:rsidR="00566D5A">
        <w:rPr>
          <w:sz w:val="22"/>
          <w:szCs w:val="22"/>
        </w:rPr>
        <w:t>Finally</w:t>
      </w:r>
      <w:r w:rsidR="00A50542">
        <w:rPr>
          <w:sz w:val="22"/>
          <w:szCs w:val="22"/>
        </w:rPr>
        <w:t xml:space="preserve">, </w:t>
      </w:r>
      <w:r w:rsidRPr="008C1D05" w:rsidR="00B9673A">
        <w:rPr>
          <w:sz w:val="22"/>
          <w:szCs w:val="22"/>
        </w:rPr>
        <w:t xml:space="preserve">Dr. Roig </w:t>
      </w:r>
      <w:r w:rsidR="00566D5A">
        <w:rPr>
          <w:sz w:val="22"/>
          <w:szCs w:val="22"/>
        </w:rPr>
        <w:t xml:space="preserve">expresses concern about </w:t>
      </w:r>
      <w:r w:rsidR="008D0E65">
        <w:rPr>
          <w:sz w:val="22"/>
          <w:szCs w:val="22"/>
        </w:rPr>
        <w:t>a</w:t>
      </w:r>
      <w:r w:rsidRPr="008C1D05" w:rsidR="00B9673A">
        <w:rPr>
          <w:sz w:val="22"/>
          <w:szCs w:val="22"/>
        </w:rPr>
        <w:t xml:space="preserve"> warrant </w:t>
      </w:r>
      <w:r w:rsidR="00566D5A">
        <w:rPr>
          <w:sz w:val="22"/>
          <w:szCs w:val="22"/>
        </w:rPr>
        <w:t xml:space="preserve">LMN will issue at closing </w:t>
      </w:r>
      <w:r w:rsidRPr="008C1D05" w:rsidR="00B9673A">
        <w:rPr>
          <w:sz w:val="22"/>
          <w:szCs w:val="22"/>
        </w:rPr>
        <w:t xml:space="preserve">to </w:t>
      </w:r>
      <w:r w:rsidR="00E97F4D">
        <w:rPr>
          <w:sz w:val="22"/>
          <w:szCs w:val="22"/>
        </w:rPr>
        <w:t xml:space="preserve">a lender, </w:t>
      </w:r>
      <w:r w:rsidRPr="008C1D05" w:rsidR="00B9673A">
        <w:rPr>
          <w:sz w:val="22"/>
          <w:szCs w:val="22"/>
        </w:rPr>
        <w:t>Lakestar</w:t>
      </w:r>
      <w:r w:rsidRPr="008C1D05" w:rsidR="00B9673A">
        <w:rPr>
          <w:sz w:val="22"/>
          <w:szCs w:val="22"/>
        </w:rPr>
        <w:t xml:space="preserve"> Finance LLC (</w:t>
      </w:r>
      <w:r w:rsidRPr="008C1D05" w:rsidR="00B9673A">
        <w:rPr>
          <w:sz w:val="22"/>
          <w:szCs w:val="22"/>
        </w:rPr>
        <w:t>Lakestar</w:t>
      </w:r>
      <w:r w:rsidRPr="008C1D05" w:rsidR="00B9673A">
        <w:rPr>
          <w:sz w:val="22"/>
          <w:szCs w:val="22"/>
        </w:rPr>
        <w:t>)</w:t>
      </w:r>
      <w:r w:rsidR="00E97F4D">
        <w:rPr>
          <w:sz w:val="22"/>
          <w:szCs w:val="22"/>
        </w:rPr>
        <w:t>,</w:t>
      </w:r>
      <w:r w:rsidRPr="008C1D05" w:rsidR="00B9673A">
        <w:rPr>
          <w:sz w:val="22"/>
          <w:szCs w:val="22"/>
        </w:rPr>
        <w:t xml:space="preserve"> </w:t>
      </w:r>
      <w:r w:rsidR="00E97F4D">
        <w:rPr>
          <w:sz w:val="22"/>
          <w:szCs w:val="22"/>
        </w:rPr>
        <w:t xml:space="preserve">granting </w:t>
      </w:r>
      <w:r w:rsidR="00663286">
        <w:rPr>
          <w:sz w:val="22"/>
          <w:szCs w:val="22"/>
        </w:rPr>
        <w:t>it</w:t>
      </w:r>
      <w:r w:rsidR="00E97F4D">
        <w:rPr>
          <w:sz w:val="22"/>
          <w:szCs w:val="22"/>
        </w:rPr>
        <w:t xml:space="preserve"> an equity stake of up to 49%</w:t>
      </w:r>
      <w:r w:rsidR="00663286">
        <w:rPr>
          <w:sz w:val="22"/>
          <w:szCs w:val="22"/>
        </w:rPr>
        <w:t xml:space="preserve"> in LMN</w:t>
      </w:r>
      <w:r w:rsidR="00566D5A">
        <w:rPr>
          <w:sz w:val="22"/>
          <w:szCs w:val="22"/>
        </w:rPr>
        <w:t>.</w:t>
      </w:r>
      <w:r>
        <w:rPr>
          <w:rStyle w:val="FootnoteReference"/>
          <w:sz w:val="22"/>
          <w:szCs w:val="22"/>
        </w:rPr>
        <w:footnoteReference w:id="10"/>
      </w:r>
      <w:r w:rsidR="00B9673A">
        <w:rPr>
          <w:sz w:val="22"/>
          <w:szCs w:val="22"/>
        </w:rPr>
        <w:t xml:space="preserve">  </w:t>
      </w:r>
      <w:r w:rsidRPr="008C1D05" w:rsidR="00031996">
        <w:rPr>
          <w:sz w:val="22"/>
          <w:szCs w:val="22"/>
        </w:rPr>
        <w:t xml:space="preserve">Dr. Roig </w:t>
      </w:r>
      <w:r w:rsidRPr="008C1D05" w:rsidR="008A68AF">
        <w:rPr>
          <w:sz w:val="22"/>
          <w:szCs w:val="22"/>
        </w:rPr>
        <w:t>asserts that</w:t>
      </w:r>
      <w:r w:rsidRPr="008C1D05" w:rsidR="00C4238A">
        <w:rPr>
          <w:sz w:val="22"/>
          <w:szCs w:val="22"/>
        </w:rPr>
        <w:t xml:space="preserve"> </w:t>
      </w:r>
      <w:r w:rsidR="005D60B6">
        <w:rPr>
          <w:sz w:val="22"/>
          <w:szCs w:val="22"/>
        </w:rPr>
        <w:t xml:space="preserve">the </w:t>
      </w:r>
      <w:r w:rsidR="005E3704">
        <w:rPr>
          <w:sz w:val="22"/>
          <w:szCs w:val="22"/>
        </w:rPr>
        <w:t xml:space="preserve">Applications </w:t>
      </w:r>
      <w:r w:rsidR="00EC5407">
        <w:rPr>
          <w:sz w:val="22"/>
          <w:szCs w:val="22"/>
        </w:rPr>
        <w:t xml:space="preserve">should be amended </w:t>
      </w:r>
      <w:r w:rsidR="005E3704">
        <w:rPr>
          <w:sz w:val="22"/>
          <w:szCs w:val="22"/>
        </w:rPr>
        <w:t>to</w:t>
      </w:r>
      <w:r w:rsidRPr="008C1D05" w:rsidR="00C4238A">
        <w:rPr>
          <w:sz w:val="22"/>
          <w:szCs w:val="22"/>
        </w:rPr>
        <w:t xml:space="preserve"> includ</w:t>
      </w:r>
      <w:r w:rsidR="005E3704">
        <w:rPr>
          <w:sz w:val="22"/>
          <w:szCs w:val="22"/>
        </w:rPr>
        <w:t>e</w:t>
      </w:r>
      <w:r w:rsidRPr="008C1D05" w:rsidR="008A68AF">
        <w:rPr>
          <w:sz w:val="22"/>
          <w:szCs w:val="22"/>
        </w:rPr>
        <w:t xml:space="preserve"> </w:t>
      </w:r>
      <w:r w:rsidRPr="008C1D05" w:rsidR="008A68AF">
        <w:rPr>
          <w:sz w:val="22"/>
          <w:szCs w:val="22"/>
        </w:rPr>
        <w:t xml:space="preserve">the </w:t>
      </w:r>
      <w:r w:rsidRPr="008C1D05" w:rsidR="00C4238A">
        <w:rPr>
          <w:sz w:val="22"/>
          <w:szCs w:val="22"/>
        </w:rPr>
        <w:t xml:space="preserve">LMA and </w:t>
      </w:r>
      <w:r w:rsidR="005E3704">
        <w:rPr>
          <w:sz w:val="22"/>
          <w:szCs w:val="22"/>
        </w:rPr>
        <w:t>P</w:t>
      </w:r>
      <w:r w:rsidRPr="008C1D05" w:rsidR="007C263D">
        <w:rPr>
          <w:sz w:val="22"/>
          <w:szCs w:val="22"/>
        </w:rPr>
        <w:t xml:space="preserve">rogramming </w:t>
      </w:r>
      <w:r w:rsidR="005E3704">
        <w:rPr>
          <w:sz w:val="22"/>
          <w:szCs w:val="22"/>
        </w:rPr>
        <w:t>A</w:t>
      </w:r>
      <w:r w:rsidRPr="008C1D05" w:rsidR="007C263D">
        <w:rPr>
          <w:sz w:val="22"/>
          <w:szCs w:val="22"/>
        </w:rPr>
        <w:t>greement exhibits</w:t>
      </w:r>
      <w:r w:rsidRPr="008C1D05" w:rsidR="00FD2F54">
        <w:rPr>
          <w:sz w:val="22"/>
          <w:szCs w:val="22"/>
        </w:rPr>
        <w:t>,</w:t>
      </w:r>
      <w:r w:rsidR="005E3704">
        <w:rPr>
          <w:sz w:val="22"/>
          <w:szCs w:val="22"/>
        </w:rPr>
        <w:t xml:space="preserve"> </w:t>
      </w:r>
      <w:r w:rsidR="00A752C2">
        <w:rPr>
          <w:sz w:val="22"/>
          <w:szCs w:val="22"/>
        </w:rPr>
        <w:t xml:space="preserve">the </w:t>
      </w:r>
      <w:r w:rsidR="00CE196F">
        <w:rPr>
          <w:sz w:val="22"/>
          <w:szCs w:val="22"/>
        </w:rPr>
        <w:t>schedules of included and excluded assets,</w:t>
      </w:r>
      <w:r w:rsidR="00A47323">
        <w:rPr>
          <w:sz w:val="22"/>
          <w:szCs w:val="22"/>
        </w:rPr>
        <w:t xml:space="preserve"> and the warrant</w:t>
      </w:r>
      <w:r w:rsidRPr="008C1D05" w:rsidR="007C263D">
        <w:rPr>
          <w:sz w:val="22"/>
          <w:szCs w:val="22"/>
        </w:rPr>
        <w:t xml:space="preserve"> in order for the Commission to assess whether</w:t>
      </w:r>
      <w:r w:rsidR="008F6835">
        <w:rPr>
          <w:sz w:val="22"/>
          <w:szCs w:val="22"/>
        </w:rPr>
        <w:t xml:space="preserve"> grant of the Applications would serve</w:t>
      </w:r>
      <w:r w:rsidRPr="008C1D05" w:rsidR="007C263D">
        <w:rPr>
          <w:sz w:val="22"/>
          <w:szCs w:val="22"/>
        </w:rPr>
        <w:t xml:space="preserve"> </w:t>
      </w:r>
      <w:r w:rsidRPr="008C1D05" w:rsidR="006D5690">
        <w:rPr>
          <w:sz w:val="22"/>
          <w:szCs w:val="22"/>
        </w:rPr>
        <w:t>the public interest</w:t>
      </w:r>
      <w:r w:rsidRPr="008C1D05" w:rsidR="007C263D">
        <w:rPr>
          <w:sz w:val="22"/>
          <w:szCs w:val="22"/>
        </w:rPr>
        <w:t>.</w:t>
      </w:r>
      <w:r>
        <w:rPr>
          <w:rStyle w:val="FootnoteReference"/>
          <w:sz w:val="22"/>
          <w:szCs w:val="22"/>
        </w:rPr>
        <w:footnoteReference w:id="11"/>
      </w:r>
    </w:p>
    <w:p w:rsidR="00DA5D22" w:rsidRPr="008C1D05" w:rsidP="00033FA0" w14:paraId="739D2E30" w14:textId="08A17995">
      <w:pPr>
        <w:spacing w:after="240"/>
        <w:ind w:firstLine="720"/>
        <w:rPr>
          <w:sz w:val="22"/>
          <w:szCs w:val="22"/>
        </w:rPr>
      </w:pPr>
      <w:r>
        <w:rPr>
          <w:sz w:val="22"/>
          <w:szCs w:val="22"/>
        </w:rPr>
        <w:t>T</w:t>
      </w:r>
      <w:r w:rsidRPr="008C1D05">
        <w:rPr>
          <w:sz w:val="22"/>
          <w:szCs w:val="22"/>
        </w:rPr>
        <w:t xml:space="preserve">he Applicants </w:t>
      </w:r>
      <w:r>
        <w:rPr>
          <w:sz w:val="22"/>
          <w:szCs w:val="22"/>
        </w:rPr>
        <w:t>respond</w:t>
      </w:r>
      <w:r w:rsidRPr="008C1D05">
        <w:rPr>
          <w:sz w:val="22"/>
          <w:szCs w:val="22"/>
        </w:rPr>
        <w:t xml:space="preserve"> </w:t>
      </w:r>
      <w:r w:rsidRPr="008C1D05">
        <w:rPr>
          <w:sz w:val="22"/>
          <w:szCs w:val="22"/>
        </w:rPr>
        <w:t>that the Reversionary Interest Rule “is inapplicable here” because Univision will not “retain any right of reversion, or any future right regarding the stations whatsoever.”</w:t>
      </w:r>
      <w:r>
        <w:rPr>
          <w:rStyle w:val="FootnoteReference"/>
          <w:sz w:val="22"/>
          <w:szCs w:val="22"/>
        </w:rPr>
        <w:footnoteReference w:id="12"/>
      </w:r>
      <w:r w:rsidRPr="008C1D05">
        <w:rPr>
          <w:sz w:val="22"/>
          <w:szCs w:val="22"/>
        </w:rPr>
        <w:t xml:space="preserve">  The Applicants state that Commission precedent allows </w:t>
      </w:r>
      <w:r w:rsidRPr="008C1D05" w:rsidR="00FC69FF">
        <w:rPr>
          <w:sz w:val="22"/>
          <w:szCs w:val="22"/>
        </w:rPr>
        <w:t>the</w:t>
      </w:r>
      <w:r w:rsidRPr="008C1D05">
        <w:rPr>
          <w:sz w:val="22"/>
          <w:szCs w:val="22"/>
        </w:rPr>
        <w:t xml:space="preserve"> execut</w:t>
      </w:r>
      <w:r w:rsidRPr="008C1D05" w:rsidR="00FC69FF">
        <w:rPr>
          <w:sz w:val="22"/>
          <w:szCs w:val="22"/>
        </w:rPr>
        <w:t>ion of</w:t>
      </w:r>
      <w:r w:rsidRPr="008C1D05">
        <w:rPr>
          <w:sz w:val="22"/>
          <w:szCs w:val="22"/>
        </w:rPr>
        <w:t xml:space="preserve"> </w:t>
      </w:r>
      <w:r w:rsidRPr="008C1D05" w:rsidR="00060D86">
        <w:rPr>
          <w:sz w:val="22"/>
          <w:szCs w:val="22"/>
        </w:rPr>
        <w:t xml:space="preserve">one or more </w:t>
      </w:r>
      <w:r w:rsidRPr="008C1D05">
        <w:rPr>
          <w:sz w:val="22"/>
          <w:szCs w:val="22"/>
        </w:rPr>
        <w:t>LMAs</w:t>
      </w:r>
      <w:r w:rsidRPr="008C1D05" w:rsidR="00AD24BC">
        <w:rPr>
          <w:sz w:val="22"/>
          <w:szCs w:val="22"/>
        </w:rPr>
        <w:t xml:space="preserve"> betwee</w:t>
      </w:r>
      <w:r w:rsidRPr="008C1D05" w:rsidR="00717F6C">
        <w:rPr>
          <w:sz w:val="22"/>
          <w:szCs w:val="22"/>
        </w:rPr>
        <w:t>n</w:t>
      </w:r>
      <w:r w:rsidRPr="008C1D05" w:rsidR="0072126C">
        <w:rPr>
          <w:sz w:val="22"/>
          <w:szCs w:val="22"/>
        </w:rPr>
        <w:t xml:space="preserve"> the </w:t>
      </w:r>
      <w:r w:rsidRPr="008C1D05" w:rsidR="006C3F95">
        <w:rPr>
          <w:sz w:val="22"/>
          <w:szCs w:val="22"/>
        </w:rPr>
        <w:t>assignee</w:t>
      </w:r>
      <w:r w:rsidRPr="008C1D05" w:rsidR="00D375B8">
        <w:rPr>
          <w:sz w:val="22"/>
          <w:szCs w:val="22"/>
        </w:rPr>
        <w:t xml:space="preserve"> and seller</w:t>
      </w:r>
      <w:r w:rsidRPr="008C1D05" w:rsidR="0072126C">
        <w:rPr>
          <w:sz w:val="22"/>
          <w:szCs w:val="22"/>
        </w:rPr>
        <w:t xml:space="preserve"> of</w:t>
      </w:r>
      <w:r w:rsidRPr="008C1D05" w:rsidR="006C3F95">
        <w:rPr>
          <w:sz w:val="22"/>
          <w:szCs w:val="22"/>
        </w:rPr>
        <w:t xml:space="preserve"> a</w:t>
      </w:r>
      <w:r w:rsidRPr="008C1D05" w:rsidR="0072126C">
        <w:rPr>
          <w:sz w:val="22"/>
          <w:szCs w:val="22"/>
        </w:rPr>
        <w:t xml:space="preserve"> </w:t>
      </w:r>
      <w:r w:rsidRPr="008C1D05" w:rsidR="00D375B8">
        <w:rPr>
          <w:sz w:val="22"/>
          <w:szCs w:val="22"/>
        </w:rPr>
        <w:t xml:space="preserve">broadcast </w:t>
      </w:r>
      <w:r w:rsidRPr="008C1D05" w:rsidR="0072126C">
        <w:rPr>
          <w:sz w:val="22"/>
          <w:szCs w:val="22"/>
        </w:rPr>
        <w:t>station</w:t>
      </w:r>
      <w:r w:rsidRPr="008C1D05" w:rsidR="006C3F95">
        <w:rPr>
          <w:sz w:val="22"/>
          <w:szCs w:val="22"/>
        </w:rPr>
        <w:t xml:space="preserve"> upon or after consummation of </w:t>
      </w:r>
      <w:r w:rsidRPr="008C1D05" w:rsidR="00EB043B">
        <w:rPr>
          <w:sz w:val="22"/>
          <w:szCs w:val="22"/>
        </w:rPr>
        <w:t>a Commission-approved</w:t>
      </w:r>
      <w:r w:rsidRPr="008C1D05" w:rsidR="006C3F95">
        <w:rPr>
          <w:sz w:val="22"/>
          <w:szCs w:val="22"/>
        </w:rPr>
        <w:t xml:space="preserve"> assignment</w:t>
      </w:r>
      <w:r w:rsidRPr="008C1D05">
        <w:rPr>
          <w:sz w:val="22"/>
          <w:szCs w:val="22"/>
        </w:rPr>
        <w:t>.</w:t>
      </w:r>
      <w:r>
        <w:rPr>
          <w:rStyle w:val="FootnoteReference"/>
          <w:sz w:val="22"/>
          <w:szCs w:val="22"/>
        </w:rPr>
        <w:footnoteReference w:id="13"/>
      </w:r>
      <w:r w:rsidRPr="008C1D05">
        <w:rPr>
          <w:sz w:val="22"/>
          <w:szCs w:val="22"/>
        </w:rPr>
        <w:t xml:space="preserve">  The</w:t>
      </w:r>
      <w:r w:rsidRPr="008C1D05" w:rsidR="00483B6B">
        <w:rPr>
          <w:sz w:val="22"/>
          <w:szCs w:val="22"/>
        </w:rPr>
        <w:t xml:space="preserve"> Applicants</w:t>
      </w:r>
      <w:r w:rsidRPr="008C1D05">
        <w:rPr>
          <w:sz w:val="22"/>
          <w:szCs w:val="22"/>
        </w:rPr>
        <w:t xml:space="preserve"> also state </w:t>
      </w:r>
      <w:r w:rsidRPr="008C1D05" w:rsidR="00483B6B">
        <w:rPr>
          <w:sz w:val="22"/>
          <w:szCs w:val="22"/>
        </w:rPr>
        <w:t xml:space="preserve">that </w:t>
      </w:r>
      <w:r w:rsidRPr="008C1D05">
        <w:rPr>
          <w:sz w:val="22"/>
          <w:szCs w:val="22"/>
        </w:rPr>
        <w:t>LMN expects the LMA</w:t>
      </w:r>
      <w:r w:rsidRPr="008C1D05" w:rsidR="0057164A">
        <w:rPr>
          <w:sz w:val="22"/>
          <w:szCs w:val="22"/>
        </w:rPr>
        <w:t>(</w:t>
      </w:r>
      <w:r w:rsidRPr="008C1D05">
        <w:rPr>
          <w:sz w:val="22"/>
          <w:szCs w:val="22"/>
        </w:rPr>
        <w:t>s</w:t>
      </w:r>
      <w:r w:rsidRPr="008C1D05" w:rsidR="0057164A">
        <w:rPr>
          <w:sz w:val="22"/>
          <w:szCs w:val="22"/>
        </w:rPr>
        <w:t>)</w:t>
      </w:r>
      <w:r w:rsidRPr="008C1D05">
        <w:rPr>
          <w:sz w:val="22"/>
          <w:szCs w:val="22"/>
        </w:rPr>
        <w:t xml:space="preserve"> to be in place for no longer than one year, and that the</w:t>
      </w:r>
      <w:r w:rsidRPr="008C1D05" w:rsidR="00D15955">
        <w:rPr>
          <w:sz w:val="22"/>
          <w:szCs w:val="22"/>
        </w:rPr>
        <w:t xml:space="preserve"> stations with an</w:t>
      </w:r>
      <w:r w:rsidRPr="008C1D05">
        <w:rPr>
          <w:sz w:val="22"/>
          <w:szCs w:val="22"/>
        </w:rPr>
        <w:t xml:space="preserve"> LMA would be subject at all times to LMN’s ultimate control.</w:t>
      </w:r>
      <w:r>
        <w:rPr>
          <w:rStyle w:val="FootnoteReference"/>
          <w:sz w:val="22"/>
          <w:szCs w:val="22"/>
        </w:rPr>
        <w:footnoteReference w:id="14"/>
      </w:r>
      <w:r w:rsidRPr="008C1D05">
        <w:rPr>
          <w:sz w:val="22"/>
          <w:szCs w:val="22"/>
        </w:rPr>
        <w:t xml:space="preserve">  </w:t>
      </w:r>
      <w:r w:rsidR="00041EAA">
        <w:rPr>
          <w:sz w:val="22"/>
          <w:szCs w:val="22"/>
        </w:rPr>
        <w:t xml:space="preserve">The Applicants </w:t>
      </w:r>
      <w:r w:rsidR="00DA7927">
        <w:rPr>
          <w:sz w:val="22"/>
          <w:szCs w:val="22"/>
        </w:rPr>
        <w:t>contend</w:t>
      </w:r>
      <w:r w:rsidR="00041EAA">
        <w:rPr>
          <w:sz w:val="22"/>
          <w:szCs w:val="22"/>
        </w:rPr>
        <w:t xml:space="preserve"> they excluded</w:t>
      </w:r>
      <w:r w:rsidRPr="008C1D05">
        <w:rPr>
          <w:sz w:val="22"/>
          <w:szCs w:val="22"/>
        </w:rPr>
        <w:t xml:space="preserve"> exhibits</w:t>
      </w:r>
      <w:r w:rsidRPr="008C1D05" w:rsidR="00691E25">
        <w:rPr>
          <w:sz w:val="22"/>
          <w:szCs w:val="22"/>
        </w:rPr>
        <w:t xml:space="preserve"> and schedules</w:t>
      </w:r>
      <w:r w:rsidRPr="008C1D05">
        <w:rPr>
          <w:sz w:val="22"/>
          <w:szCs w:val="22"/>
        </w:rPr>
        <w:t xml:space="preserve"> from the APA, consistent with Commission precedent, </w:t>
      </w:r>
      <w:r w:rsidR="001E1180">
        <w:rPr>
          <w:sz w:val="22"/>
          <w:szCs w:val="22"/>
        </w:rPr>
        <w:t>“</w:t>
      </w:r>
      <w:r w:rsidRPr="008C1D05">
        <w:rPr>
          <w:sz w:val="22"/>
          <w:szCs w:val="22"/>
        </w:rPr>
        <w:t>because they contain confidential or proprietary information, are not germane to the Commission’s evaluation of the application, or, in the case of the local marketing agreement and warrants referenced in the Objection, have not been signed and will not be signed until closing.”</w:t>
      </w:r>
      <w:r>
        <w:rPr>
          <w:rStyle w:val="FootnoteReference"/>
          <w:sz w:val="22"/>
          <w:szCs w:val="22"/>
        </w:rPr>
        <w:footnoteReference w:id="15"/>
      </w:r>
      <w:r w:rsidRPr="008C1D05">
        <w:rPr>
          <w:sz w:val="22"/>
          <w:szCs w:val="22"/>
        </w:rPr>
        <w:t xml:space="preserve">  The Applicants also </w:t>
      </w:r>
      <w:r w:rsidRPr="008C1D05" w:rsidR="00A75AF3">
        <w:rPr>
          <w:sz w:val="22"/>
          <w:szCs w:val="22"/>
        </w:rPr>
        <w:t>assert</w:t>
      </w:r>
      <w:r w:rsidRPr="008C1D05">
        <w:rPr>
          <w:sz w:val="22"/>
          <w:szCs w:val="22"/>
        </w:rPr>
        <w:t xml:space="preserve"> that the Objection should be dismissed as procedurally defective.</w:t>
      </w:r>
      <w:r>
        <w:rPr>
          <w:rStyle w:val="FootnoteReference"/>
          <w:sz w:val="22"/>
          <w:szCs w:val="22"/>
        </w:rPr>
        <w:footnoteReference w:id="16"/>
      </w:r>
      <w:r w:rsidRPr="008C1D05">
        <w:rPr>
          <w:sz w:val="22"/>
          <w:szCs w:val="22"/>
        </w:rPr>
        <w:t xml:space="preserve">  </w:t>
      </w:r>
    </w:p>
    <w:p w:rsidR="00D35151" w:rsidRPr="008C1D05" w:rsidP="00733A7B" w14:paraId="534F920F" w14:textId="4E989DFF">
      <w:pPr>
        <w:spacing w:after="240"/>
        <w:ind w:firstLine="720"/>
        <w:rPr>
          <w:b/>
          <w:sz w:val="22"/>
          <w:szCs w:val="22"/>
        </w:rPr>
      </w:pPr>
      <w:r w:rsidRPr="008C1D05">
        <w:rPr>
          <w:b/>
          <w:sz w:val="22"/>
          <w:szCs w:val="22"/>
        </w:rPr>
        <w:t xml:space="preserve">Discussion.  </w:t>
      </w:r>
      <w:r w:rsidRPr="008C1D05" w:rsidR="00403AC0">
        <w:rPr>
          <w:bCs/>
          <w:sz w:val="22"/>
          <w:szCs w:val="22"/>
          <w:u w:val="single"/>
        </w:rPr>
        <w:t>Procedural Issues</w:t>
      </w:r>
      <w:r w:rsidRPr="008C1D05" w:rsidR="00403AC0">
        <w:rPr>
          <w:bCs/>
          <w:sz w:val="22"/>
          <w:szCs w:val="22"/>
        </w:rPr>
        <w:t xml:space="preserve">.  </w:t>
      </w:r>
      <w:r w:rsidRPr="008C1D05" w:rsidR="007B22BC">
        <w:rPr>
          <w:bCs/>
          <w:sz w:val="22"/>
          <w:szCs w:val="22"/>
        </w:rPr>
        <w:t xml:space="preserve">Section 310(d) of the </w:t>
      </w:r>
      <w:r w:rsidR="007B22BC">
        <w:rPr>
          <w:bCs/>
          <w:sz w:val="22"/>
          <w:szCs w:val="22"/>
        </w:rPr>
        <w:t xml:space="preserve">Communications </w:t>
      </w:r>
      <w:r w:rsidRPr="008C1D05" w:rsidR="007B22BC">
        <w:rPr>
          <w:bCs/>
          <w:sz w:val="22"/>
          <w:szCs w:val="22"/>
        </w:rPr>
        <w:t>Act</w:t>
      </w:r>
      <w:r w:rsidR="007B22BC">
        <w:rPr>
          <w:bCs/>
          <w:sz w:val="22"/>
          <w:szCs w:val="22"/>
        </w:rPr>
        <w:t xml:space="preserve"> of 1934, as amended</w:t>
      </w:r>
      <w:r w:rsidR="00547BFD">
        <w:rPr>
          <w:bCs/>
          <w:sz w:val="22"/>
          <w:szCs w:val="22"/>
        </w:rPr>
        <w:t xml:space="preserve"> (Act),</w:t>
      </w:r>
      <w:r>
        <w:rPr>
          <w:rStyle w:val="FootnoteReference"/>
          <w:bCs/>
          <w:sz w:val="22"/>
          <w:szCs w:val="22"/>
        </w:rPr>
        <w:footnoteReference w:id="17"/>
      </w:r>
      <w:r w:rsidRPr="008C1D05" w:rsidR="007B22BC">
        <w:rPr>
          <w:bCs/>
          <w:sz w:val="22"/>
          <w:szCs w:val="22"/>
        </w:rPr>
        <w:t xml:space="preserve"> requires the Commission to de</w:t>
      </w:r>
      <w:r w:rsidR="00547BFD">
        <w:rPr>
          <w:bCs/>
          <w:sz w:val="22"/>
          <w:szCs w:val="22"/>
        </w:rPr>
        <w:t>termine</w:t>
      </w:r>
      <w:r w:rsidRPr="008C1D05" w:rsidR="007B22BC">
        <w:rPr>
          <w:bCs/>
          <w:sz w:val="22"/>
          <w:szCs w:val="22"/>
        </w:rPr>
        <w:t xml:space="preserve"> whether the proposed assignment or transfer of a broadcast license is in the public interest.  </w:t>
      </w:r>
      <w:r w:rsidRPr="008C1D05" w:rsidR="008806E9">
        <w:rPr>
          <w:bCs/>
          <w:sz w:val="22"/>
          <w:szCs w:val="22"/>
        </w:rPr>
        <w:t>Section 309(d)(1) of the</w:t>
      </w:r>
      <w:r w:rsidRPr="008C1D05" w:rsidR="00FB7E4D">
        <w:rPr>
          <w:bCs/>
          <w:sz w:val="22"/>
          <w:szCs w:val="22"/>
        </w:rPr>
        <w:t xml:space="preserve"> </w:t>
      </w:r>
      <w:r w:rsidRPr="008C1D05" w:rsidR="003315BA">
        <w:rPr>
          <w:bCs/>
          <w:sz w:val="22"/>
          <w:szCs w:val="22"/>
        </w:rPr>
        <w:t>Act</w:t>
      </w:r>
      <w:r w:rsidRPr="008C1D05" w:rsidR="008806E9">
        <w:rPr>
          <w:bCs/>
          <w:sz w:val="22"/>
          <w:szCs w:val="22"/>
        </w:rPr>
        <w:t xml:space="preserve"> </w:t>
      </w:r>
      <w:r w:rsidR="00547BFD">
        <w:rPr>
          <w:bCs/>
          <w:sz w:val="22"/>
          <w:szCs w:val="22"/>
        </w:rPr>
        <w:t>states that</w:t>
      </w:r>
      <w:r w:rsidRPr="008C1D05" w:rsidR="00547BFD">
        <w:rPr>
          <w:bCs/>
          <w:sz w:val="22"/>
          <w:szCs w:val="22"/>
        </w:rPr>
        <w:t xml:space="preserve"> </w:t>
      </w:r>
      <w:r w:rsidRPr="008C1D05" w:rsidR="008806E9">
        <w:rPr>
          <w:bCs/>
          <w:sz w:val="22"/>
          <w:szCs w:val="22"/>
        </w:rPr>
        <w:t xml:space="preserve">any party in interest </w:t>
      </w:r>
      <w:r w:rsidR="00547BFD">
        <w:rPr>
          <w:bCs/>
          <w:sz w:val="22"/>
          <w:szCs w:val="22"/>
        </w:rPr>
        <w:t>may</w:t>
      </w:r>
      <w:r w:rsidRPr="008C1D05" w:rsidR="00547BFD">
        <w:rPr>
          <w:bCs/>
          <w:sz w:val="22"/>
          <w:szCs w:val="22"/>
        </w:rPr>
        <w:t xml:space="preserve"> </w:t>
      </w:r>
      <w:r w:rsidRPr="008C1D05" w:rsidR="008806E9">
        <w:rPr>
          <w:bCs/>
          <w:sz w:val="22"/>
          <w:szCs w:val="22"/>
        </w:rPr>
        <w:t xml:space="preserve">file a petition to deny </w:t>
      </w:r>
      <w:r w:rsidR="00547BFD">
        <w:rPr>
          <w:bCs/>
          <w:sz w:val="22"/>
          <w:szCs w:val="22"/>
        </w:rPr>
        <w:t>certain</w:t>
      </w:r>
      <w:r w:rsidRPr="008C1D05" w:rsidR="00547BFD">
        <w:rPr>
          <w:bCs/>
          <w:sz w:val="22"/>
          <w:szCs w:val="22"/>
        </w:rPr>
        <w:t xml:space="preserve"> </w:t>
      </w:r>
      <w:r w:rsidRPr="008C1D05" w:rsidR="008806E9">
        <w:rPr>
          <w:bCs/>
          <w:sz w:val="22"/>
          <w:szCs w:val="22"/>
        </w:rPr>
        <w:t>application</w:t>
      </w:r>
      <w:r w:rsidR="00547BFD">
        <w:rPr>
          <w:bCs/>
          <w:sz w:val="22"/>
          <w:szCs w:val="22"/>
        </w:rPr>
        <w:t>s, including non pro forma assignment applications such as the ones currently before us</w:t>
      </w:r>
      <w:r w:rsidR="001B559F">
        <w:rPr>
          <w:bCs/>
          <w:sz w:val="22"/>
          <w:szCs w:val="22"/>
        </w:rPr>
        <w:t>.</w:t>
      </w:r>
      <w:r>
        <w:rPr>
          <w:rStyle w:val="FootnoteReference"/>
          <w:bCs/>
          <w:sz w:val="22"/>
          <w:szCs w:val="22"/>
        </w:rPr>
        <w:footnoteReference w:id="18"/>
      </w:r>
      <w:r w:rsidRPr="008C1D05" w:rsidR="008806E9">
        <w:rPr>
          <w:bCs/>
          <w:sz w:val="22"/>
          <w:szCs w:val="22"/>
        </w:rPr>
        <w:t xml:space="preserve">  </w:t>
      </w:r>
      <w:r w:rsidR="001B559F">
        <w:rPr>
          <w:bCs/>
          <w:sz w:val="22"/>
          <w:szCs w:val="22"/>
        </w:rPr>
        <w:t xml:space="preserve">A </w:t>
      </w:r>
      <w:r w:rsidRPr="008C1D05" w:rsidR="008806E9">
        <w:rPr>
          <w:bCs/>
          <w:sz w:val="22"/>
          <w:szCs w:val="22"/>
        </w:rPr>
        <w:t>petition</w:t>
      </w:r>
      <w:r w:rsidR="001B559F">
        <w:rPr>
          <w:bCs/>
          <w:sz w:val="22"/>
          <w:szCs w:val="22"/>
        </w:rPr>
        <w:t xml:space="preserve"> to deny must</w:t>
      </w:r>
      <w:r w:rsidRPr="008C1D05" w:rsidR="008806E9">
        <w:rPr>
          <w:bCs/>
          <w:sz w:val="22"/>
          <w:szCs w:val="22"/>
        </w:rPr>
        <w:t xml:space="preserve"> “contain specific allegations of fact sufficient to show that the petitioner is a party in interest and that a grant of the application would be </w:t>
      </w:r>
      <w:r w:rsidRPr="008C1D05" w:rsidR="008806E9">
        <w:rPr>
          <w:bCs/>
          <w:i/>
          <w:iCs/>
          <w:sz w:val="22"/>
          <w:szCs w:val="22"/>
        </w:rPr>
        <w:t>prima facie</w:t>
      </w:r>
      <w:r w:rsidRPr="008C1D05" w:rsidR="008806E9">
        <w:rPr>
          <w:bCs/>
          <w:sz w:val="22"/>
          <w:szCs w:val="22"/>
        </w:rPr>
        <w:t xml:space="preserve"> inconsistent with [the public interest].”</w:t>
      </w:r>
      <w:r>
        <w:rPr>
          <w:rStyle w:val="FootnoteReference"/>
          <w:bCs/>
          <w:sz w:val="22"/>
          <w:szCs w:val="22"/>
        </w:rPr>
        <w:footnoteReference w:id="19"/>
      </w:r>
      <w:r w:rsidRPr="008C1D05" w:rsidR="008806E9">
        <w:rPr>
          <w:bCs/>
          <w:sz w:val="22"/>
          <w:szCs w:val="22"/>
        </w:rPr>
        <w:t xml:space="preserve">  The allegations of fact, except for those of which official notice may be taken, must be supported by an affidavit or declaration under penalty of perjury of someone with personal knowledge of the facts alleged.</w:t>
      </w:r>
      <w:r>
        <w:rPr>
          <w:rStyle w:val="FootnoteReference"/>
          <w:bCs/>
          <w:sz w:val="22"/>
          <w:szCs w:val="22"/>
        </w:rPr>
        <w:footnoteReference w:id="20"/>
      </w:r>
      <w:r w:rsidRPr="008C1D05" w:rsidR="002F5CB6">
        <w:rPr>
          <w:bCs/>
          <w:sz w:val="22"/>
          <w:szCs w:val="22"/>
        </w:rPr>
        <w:t xml:space="preserve">  </w:t>
      </w:r>
      <w:r w:rsidRPr="008C1D05" w:rsidR="008806E9">
        <w:rPr>
          <w:bCs/>
          <w:sz w:val="22"/>
          <w:szCs w:val="22"/>
        </w:rPr>
        <w:t xml:space="preserve">Here, </w:t>
      </w:r>
      <w:r w:rsidRPr="008C1D05" w:rsidR="00470F23">
        <w:rPr>
          <w:bCs/>
          <w:sz w:val="22"/>
          <w:szCs w:val="22"/>
        </w:rPr>
        <w:t xml:space="preserve">Dr. </w:t>
      </w:r>
      <w:r w:rsidRPr="008C1D05" w:rsidR="00EE29EC">
        <w:rPr>
          <w:bCs/>
          <w:sz w:val="22"/>
          <w:szCs w:val="22"/>
        </w:rPr>
        <w:t>Roig</w:t>
      </w:r>
      <w:r w:rsidRPr="008C1D05" w:rsidR="008806E9">
        <w:rPr>
          <w:bCs/>
          <w:sz w:val="22"/>
          <w:szCs w:val="22"/>
        </w:rPr>
        <w:t xml:space="preserve"> </w:t>
      </w:r>
      <w:r w:rsidR="001B559F">
        <w:rPr>
          <w:bCs/>
          <w:sz w:val="22"/>
          <w:szCs w:val="22"/>
        </w:rPr>
        <w:t>has</w:t>
      </w:r>
      <w:r w:rsidRPr="008C1D05" w:rsidR="008806E9">
        <w:rPr>
          <w:bCs/>
          <w:sz w:val="22"/>
          <w:szCs w:val="22"/>
        </w:rPr>
        <w:t xml:space="preserve"> not provide</w:t>
      </w:r>
      <w:r w:rsidR="001B559F">
        <w:rPr>
          <w:bCs/>
          <w:sz w:val="22"/>
          <w:szCs w:val="22"/>
        </w:rPr>
        <w:t>d</w:t>
      </w:r>
      <w:r w:rsidRPr="008C1D05" w:rsidR="008806E9">
        <w:rPr>
          <w:bCs/>
          <w:sz w:val="22"/>
          <w:szCs w:val="22"/>
        </w:rPr>
        <w:t xml:space="preserve"> an affidavit to support the allegations raised in </w:t>
      </w:r>
      <w:r w:rsidRPr="008C1D05" w:rsidR="00EE29EC">
        <w:rPr>
          <w:bCs/>
          <w:sz w:val="22"/>
          <w:szCs w:val="22"/>
        </w:rPr>
        <w:t>his</w:t>
      </w:r>
      <w:r w:rsidRPr="008C1D05" w:rsidR="008806E9">
        <w:rPr>
          <w:bCs/>
          <w:sz w:val="22"/>
          <w:szCs w:val="22"/>
        </w:rPr>
        <w:t xml:space="preserve"> pleading</w:t>
      </w:r>
      <w:r w:rsidRPr="008C1D05" w:rsidR="0000345F">
        <w:rPr>
          <w:bCs/>
          <w:sz w:val="22"/>
          <w:szCs w:val="22"/>
        </w:rPr>
        <w:t xml:space="preserve">, </w:t>
      </w:r>
      <w:r w:rsidR="009F0787">
        <w:rPr>
          <w:bCs/>
          <w:sz w:val="22"/>
          <w:szCs w:val="22"/>
        </w:rPr>
        <w:t xml:space="preserve">and </w:t>
      </w:r>
      <w:r w:rsidR="003213F3">
        <w:rPr>
          <w:bCs/>
          <w:sz w:val="22"/>
          <w:szCs w:val="22"/>
        </w:rPr>
        <w:t>he</w:t>
      </w:r>
      <w:r w:rsidRPr="008C1D05" w:rsidR="00806515">
        <w:rPr>
          <w:bCs/>
          <w:sz w:val="22"/>
          <w:szCs w:val="22"/>
        </w:rPr>
        <w:t xml:space="preserve"> faile</w:t>
      </w:r>
      <w:r w:rsidR="003213F3">
        <w:rPr>
          <w:bCs/>
          <w:sz w:val="22"/>
          <w:szCs w:val="22"/>
        </w:rPr>
        <w:t>d</w:t>
      </w:r>
      <w:r w:rsidRPr="008C1D05" w:rsidR="00806515">
        <w:rPr>
          <w:bCs/>
          <w:sz w:val="22"/>
          <w:szCs w:val="22"/>
        </w:rPr>
        <w:t xml:space="preserve"> to properly serve the pleading on </w:t>
      </w:r>
      <w:r w:rsidRPr="008C1D05" w:rsidR="0012211F">
        <w:rPr>
          <w:bCs/>
          <w:sz w:val="22"/>
          <w:szCs w:val="22"/>
        </w:rPr>
        <w:t xml:space="preserve">the </w:t>
      </w:r>
      <w:r w:rsidRPr="008C1D05" w:rsidR="006A5A89">
        <w:rPr>
          <w:bCs/>
          <w:sz w:val="22"/>
          <w:szCs w:val="22"/>
        </w:rPr>
        <w:t>A</w:t>
      </w:r>
      <w:r w:rsidRPr="008C1D05" w:rsidR="0012211F">
        <w:rPr>
          <w:bCs/>
          <w:sz w:val="22"/>
          <w:szCs w:val="22"/>
        </w:rPr>
        <w:t>pplica</w:t>
      </w:r>
      <w:r w:rsidR="009260B8">
        <w:rPr>
          <w:bCs/>
          <w:sz w:val="22"/>
          <w:szCs w:val="22"/>
        </w:rPr>
        <w:t>n</w:t>
      </w:r>
      <w:r w:rsidRPr="008C1D05" w:rsidR="0012211F">
        <w:rPr>
          <w:bCs/>
          <w:sz w:val="22"/>
          <w:szCs w:val="22"/>
        </w:rPr>
        <w:t>t</w:t>
      </w:r>
      <w:r w:rsidRPr="008C1D05" w:rsidR="006A5A89">
        <w:rPr>
          <w:bCs/>
          <w:sz w:val="22"/>
          <w:szCs w:val="22"/>
        </w:rPr>
        <w:t>s</w:t>
      </w:r>
      <w:r w:rsidRPr="008C1D05" w:rsidR="0012211F">
        <w:rPr>
          <w:bCs/>
          <w:sz w:val="22"/>
          <w:szCs w:val="22"/>
        </w:rPr>
        <w:t xml:space="preserve"> </w:t>
      </w:r>
      <w:r w:rsidR="00170613">
        <w:rPr>
          <w:bCs/>
          <w:sz w:val="22"/>
          <w:szCs w:val="22"/>
        </w:rPr>
        <w:t>as required by</w:t>
      </w:r>
      <w:r w:rsidRPr="008C1D05" w:rsidR="00A32480">
        <w:rPr>
          <w:bCs/>
          <w:sz w:val="22"/>
          <w:szCs w:val="22"/>
        </w:rPr>
        <w:t xml:space="preserve"> </w:t>
      </w:r>
      <w:r w:rsidRPr="008C1D05" w:rsidR="007C403C">
        <w:rPr>
          <w:bCs/>
          <w:sz w:val="22"/>
          <w:szCs w:val="22"/>
        </w:rPr>
        <w:t>s</w:t>
      </w:r>
      <w:r w:rsidRPr="008C1D05" w:rsidR="0000067B">
        <w:rPr>
          <w:bCs/>
          <w:sz w:val="22"/>
          <w:szCs w:val="22"/>
        </w:rPr>
        <w:t>ection 309(d)(1) of the Act</w:t>
      </w:r>
      <w:r w:rsidRPr="008C1D05" w:rsidR="00824A76">
        <w:rPr>
          <w:bCs/>
          <w:sz w:val="22"/>
          <w:szCs w:val="22"/>
        </w:rPr>
        <w:t xml:space="preserve"> and </w:t>
      </w:r>
      <w:r w:rsidRPr="008C1D05" w:rsidR="007C403C">
        <w:rPr>
          <w:bCs/>
          <w:sz w:val="22"/>
          <w:szCs w:val="22"/>
        </w:rPr>
        <w:t>s</w:t>
      </w:r>
      <w:r w:rsidRPr="008C1D05" w:rsidR="00496F77">
        <w:rPr>
          <w:bCs/>
          <w:sz w:val="22"/>
          <w:szCs w:val="22"/>
        </w:rPr>
        <w:t>ection 1.47</w:t>
      </w:r>
      <w:r w:rsidRPr="008C1D05" w:rsidR="005F3A25">
        <w:rPr>
          <w:bCs/>
          <w:sz w:val="22"/>
          <w:szCs w:val="22"/>
        </w:rPr>
        <w:t xml:space="preserve"> of the Commission’s </w:t>
      </w:r>
      <w:r w:rsidR="00170613">
        <w:rPr>
          <w:bCs/>
          <w:sz w:val="22"/>
          <w:szCs w:val="22"/>
        </w:rPr>
        <w:t>r</w:t>
      </w:r>
      <w:r w:rsidRPr="008C1D05" w:rsidR="005F3A25">
        <w:rPr>
          <w:bCs/>
          <w:sz w:val="22"/>
          <w:szCs w:val="22"/>
        </w:rPr>
        <w:t>ules.</w:t>
      </w:r>
      <w:r>
        <w:rPr>
          <w:rStyle w:val="FootnoteReference"/>
          <w:bCs/>
          <w:sz w:val="22"/>
          <w:szCs w:val="22"/>
        </w:rPr>
        <w:footnoteReference w:id="21"/>
      </w:r>
      <w:r w:rsidRPr="008C1D05" w:rsidR="007432A0">
        <w:rPr>
          <w:bCs/>
          <w:sz w:val="22"/>
          <w:szCs w:val="22"/>
        </w:rPr>
        <w:t xml:space="preserve"> </w:t>
      </w:r>
      <w:r w:rsidRPr="008C1D05" w:rsidR="008806E9">
        <w:rPr>
          <w:bCs/>
          <w:sz w:val="22"/>
          <w:szCs w:val="22"/>
        </w:rPr>
        <w:t xml:space="preserve"> Therefore, we find that the pleading is a procedurally defective petition to deny and dismiss it as such.</w:t>
      </w:r>
      <w:r>
        <w:rPr>
          <w:rStyle w:val="FootnoteReference"/>
          <w:bCs/>
          <w:sz w:val="22"/>
          <w:szCs w:val="22"/>
        </w:rPr>
        <w:footnoteReference w:id="22"/>
      </w:r>
      <w:r w:rsidRPr="008C1D05" w:rsidR="00256067">
        <w:rPr>
          <w:bCs/>
          <w:sz w:val="22"/>
          <w:szCs w:val="22"/>
        </w:rPr>
        <w:t xml:space="preserve">  </w:t>
      </w:r>
      <w:r w:rsidR="00CB674C">
        <w:rPr>
          <w:bCs/>
          <w:sz w:val="22"/>
          <w:szCs w:val="22"/>
        </w:rPr>
        <w:t>Consistent with Commission practice, we instead</w:t>
      </w:r>
      <w:r w:rsidR="00940F09">
        <w:rPr>
          <w:bCs/>
          <w:sz w:val="22"/>
          <w:szCs w:val="22"/>
        </w:rPr>
        <w:t xml:space="preserve"> </w:t>
      </w:r>
      <w:r w:rsidRPr="008C1D05" w:rsidR="008806E9">
        <w:rPr>
          <w:bCs/>
          <w:sz w:val="22"/>
          <w:szCs w:val="22"/>
        </w:rPr>
        <w:t>consider the pleading as an informal objection pursuant to section 73.3587 of the rules</w:t>
      </w:r>
      <w:r>
        <w:rPr>
          <w:rStyle w:val="FootnoteReference"/>
          <w:bCs/>
          <w:sz w:val="22"/>
          <w:szCs w:val="22"/>
        </w:rPr>
        <w:footnoteReference w:id="23"/>
      </w:r>
      <w:r w:rsidRPr="008C1D05" w:rsidR="008806E9">
        <w:rPr>
          <w:bCs/>
          <w:sz w:val="22"/>
          <w:szCs w:val="22"/>
        </w:rPr>
        <w:t xml:space="preserve"> and </w:t>
      </w:r>
      <w:r w:rsidR="0065027E">
        <w:rPr>
          <w:bCs/>
          <w:sz w:val="22"/>
          <w:szCs w:val="22"/>
        </w:rPr>
        <w:t xml:space="preserve">alternatively </w:t>
      </w:r>
      <w:r w:rsidRPr="008C1D05" w:rsidR="008806E9">
        <w:rPr>
          <w:bCs/>
          <w:sz w:val="22"/>
          <w:szCs w:val="22"/>
        </w:rPr>
        <w:t>deny it on the merits for the reasons discussed below.</w:t>
      </w:r>
    </w:p>
    <w:p w:rsidR="0014560D" w:rsidRPr="008C1D05" w:rsidP="00773772" w14:paraId="07016620" w14:textId="52783535">
      <w:pPr>
        <w:tabs>
          <w:tab w:val="left" w:pos="0"/>
        </w:tabs>
        <w:suppressAutoHyphens/>
        <w:spacing w:after="240"/>
        <w:rPr>
          <w:bCs/>
          <w:i/>
          <w:iCs/>
          <w:sz w:val="22"/>
          <w:szCs w:val="22"/>
        </w:rPr>
      </w:pPr>
      <w:r w:rsidRPr="008C1D05">
        <w:rPr>
          <w:bCs/>
          <w:sz w:val="22"/>
          <w:szCs w:val="22"/>
        </w:rPr>
        <w:tab/>
      </w:r>
      <w:r w:rsidRPr="008C1D05">
        <w:rPr>
          <w:bCs/>
          <w:sz w:val="22"/>
          <w:szCs w:val="22"/>
          <w:u w:val="single"/>
        </w:rPr>
        <w:t>Substantive Issues</w:t>
      </w:r>
      <w:r w:rsidRPr="008C1D05">
        <w:rPr>
          <w:bCs/>
          <w:sz w:val="22"/>
          <w:szCs w:val="22"/>
        </w:rPr>
        <w:t>.</w:t>
      </w:r>
      <w:r w:rsidRPr="008C1D05" w:rsidR="00A71197">
        <w:rPr>
          <w:bCs/>
          <w:sz w:val="22"/>
          <w:szCs w:val="22"/>
        </w:rPr>
        <w:t xml:space="preserve">  Like petitions to deny, informal objections must provide properly supported allegations of fact that, if true, would establish a substantial and material question of fact that grant of the application would be </w:t>
      </w:r>
      <w:r w:rsidRPr="008C1D05" w:rsidR="00A71197">
        <w:rPr>
          <w:bCs/>
          <w:i/>
          <w:iCs/>
          <w:sz w:val="22"/>
          <w:szCs w:val="22"/>
        </w:rPr>
        <w:t xml:space="preserve">prima facie </w:t>
      </w:r>
      <w:r w:rsidRPr="008C1D05" w:rsidR="00A71197">
        <w:rPr>
          <w:bCs/>
          <w:sz w:val="22"/>
          <w:szCs w:val="22"/>
        </w:rPr>
        <w:t>inconsistent with the Act.</w:t>
      </w:r>
      <w:r>
        <w:rPr>
          <w:rStyle w:val="FootnoteReference"/>
          <w:bCs/>
          <w:sz w:val="22"/>
          <w:szCs w:val="22"/>
        </w:rPr>
        <w:footnoteReference w:id="24"/>
      </w:r>
      <w:r w:rsidRPr="008C1D05" w:rsidR="00A71197">
        <w:rPr>
          <w:bCs/>
          <w:sz w:val="22"/>
          <w:szCs w:val="22"/>
        </w:rPr>
        <w:t xml:space="preserve">  We find that </w:t>
      </w:r>
      <w:r w:rsidRPr="008C1D05" w:rsidR="0065001B">
        <w:rPr>
          <w:bCs/>
          <w:sz w:val="22"/>
          <w:szCs w:val="22"/>
        </w:rPr>
        <w:t>the Objection</w:t>
      </w:r>
      <w:r w:rsidRPr="008C1D05" w:rsidR="00A71197">
        <w:rPr>
          <w:bCs/>
          <w:sz w:val="22"/>
          <w:szCs w:val="22"/>
        </w:rPr>
        <w:t xml:space="preserve"> has failed to meet this burden.</w:t>
      </w:r>
    </w:p>
    <w:p w:rsidR="00B55413" w:rsidRPr="008C1D05" w:rsidP="00773772" w14:paraId="6B1D0730" w14:textId="42C5DEF1">
      <w:pPr>
        <w:tabs>
          <w:tab w:val="left" w:pos="0"/>
        </w:tabs>
        <w:suppressAutoHyphens/>
        <w:spacing w:after="240"/>
        <w:rPr>
          <w:bCs/>
          <w:sz w:val="22"/>
          <w:szCs w:val="22"/>
        </w:rPr>
      </w:pPr>
      <w:r w:rsidRPr="008C1D05">
        <w:rPr>
          <w:bCs/>
          <w:i/>
          <w:iCs/>
          <w:sz w:val="22"/>
          <w:szCs w:val="22"/>
        </w:rPr>
        <w:tab/>
      </w:r>
      <w:r w:rsidRPr="008C1D05" w:rsidR="0014560D">
        <w:rPr>
          <w:bCs/>
          <w:i/>
          <w:iCs/>
          <w:sz w:val="22"/>
          <w:szCs w:val="22"/>
        </w:rPr>
        <w:t>Reversionary Interest Rule</w:t>
      </w:r>
      <w:r w:rsidRPr="008C1D05" w:rsidR="00726FC3">
        <w:rPr>
          <w:bCs/>
          <w:sz w:val="22"/>
          <w:szCs w:val="22"/>
        </w:rPr>
        <w:t xml:space="preserve">.  </w:t>
      </w:r>
      <w:r w:rsidRPr="008C1D05" w:rsidR="00361576">
        <w:rPr>
          <w:bCs/>
          <w:sz w:val="22"/>
          <w:szCs w:val="22"/>
        </w:rPr>
        <w:t>It is well established that LMAs</w:t>
      </w:r>
      <w:r w:rsidRPr="008C1D05" w:rsidR="00F95E1E">
        <w:rPr>
          <w:bCs/>
          <w:sz w:val="22"/>
          <w:szCs w:val="22"/>
        </w:rPr>
        <w:t xml:space="preserve"> </w:t>
      </w:r>
      <w:r w:rsidR="00B673A6">
        <w:rPr>
          <w:bCs/>
          <w:sz w:val="22"/>
          <w:szCs w:val="22"/>
        </w:rPr>
        <w:t xml:space="preserve">generally </w:t>
      </w:r>
      <w:r w:rsidRPr="008C1D05" w:rsidR="00361576">
        <w:rPr>
          <w:bCs/>
          <w:sz w:val="22"/>
          <w:szCs w:val="22"/>
        </w:rPr>
        <w:t xml:space="preserve">are </w:t>
      </w:r>
      <w:r w:rsidR="002533E7">
        <w:rPr>
          <w:bCs/>
          <w:sz w:val="22"/>
          <w:szCs w:val="22"/>
        </w:rPr>
        <w:t>permissible</w:t>
      </w:r>
      <w:r w:rsidRPr="008C1D05" w:rsidR="00361576">
        <w:rPr>
          <w:bCs/>
          <w:sz w:val="22"/>
          <w:szCs w:val="22"/>
        </w:rPr>
        <w:t>, so long as the</w:t>
      </w:r>
      <w:r w:rsidR="002533E7">
        <w:rPr>
          <w:bCs/>
          <w:sz w:val="22"/>
          <w:szCs w:val="22"/>
        </w:rPr>
        <w:t>y are consistent with the Commission’s multiple</w:t>
      </w:r>
      <w:r w:rsidRPr="008C1D05" w:rsidR="00361576">
        <w:rPr>
          <w:bCs/>
          <w:sz w:val="22"/>
          <w:szCs w:val="22"/>
        </w:rPr>
        <w:t xml:space="preserve"> ownership rules</w:t>
      </w:r>
      <w:r>
        <w:rPr>
          <w:rStyle w:val="FootnoteReference"/>
          <w:bCs/>
          <w:sz w:val="22"/>
          <w:szCs w:val="22"/>
        </w:rPr>
        <w:footnoteReference w:id="25"/>
      </w:r>
      <w:r w:rsidRPr="008C1D05" w:rsidR="00361576">
        <w:rPr>
          <w:bCs/>
          <w:sz w:val="22"/>
          <w:szCs w:val="22"/>
        </w:rPr>
        <w:t xml:space="preserve"> and the participating licensee maintains ultimate control over its facilities</w:t>
      </w:r>
      <w:r w:rsidRPr="008C1D05" w:rsidR="00F95E1E">
        <w:rPr>
          <w:bCs/>
          <w:sz w:val="22"/>
          <w:szCs w:val="22"/>
        </w:rPr>
        <w:t>.</w:t>
      </w:r>
      <w:r>
        <w:rPr>
          <w:rStyle w:val="FootnoteReference"/>
          <w:bCs/>
          <w:sz w:val="22"/>
          <w:szCs w:val="22"/>
        </w:rPr>
        <w:footnoteReference w:id="26"/>
      </w:r>
      <w:r w:rsidRPr="008C1D05" w:rsidR="004F4275">
        <w:rPr>
          <w:bCs/>
          <w:sz w:val="22"/>
          <w:szCs w:val="22"/>
        </w:rPr>
        <w:t xml:space="preserve">  Former licensees are not prevented from entering into such agreements</w:t>
      </w:r>
      <w:r w:rsidRPr="008C1D05" w:rsidR="00D978F8">
        <w:rPr>
          <w:bCs/>
          <w:sz w:val="22"/>
          <w:szCs w:val="22"/>
        </w:rPr>
        <w:t xml:space="preserve"> subsequent to the sale of a station</w:t>
      </w:r>
      <w:r w:rsidRPr="008C1D05" w:rsidR="004F4275">
        <w:rPr>
          <w:bCs/>
          <w:sz w:val="22"/>
          <w:szCs w:val="22"/>
        </w:rPr>
        <w:t>.</w:t>
      </w:r>
      <w:r>
        <w:rPr>
          <w:rStyle w:val="FootnoteReference"/>
          <w:bCs/>
          <w:sz w:val="22"/>
          <w:szCs w:val="22"/>
        </w:rPr>
        <w:footnoteReference w:id="27"/>
      </w:r>
      <w:r w:rsidRPr="008C1D05" w:rsidR="00F95E1E">
        <w:rPr>
          <w:bCs/>
          <w:sz w:val="22"/>
          <w:szCs w:val="22"/>
        </w:rPr>
        <w:t xml:space="preserve">  </w:t>
      </w:r>
      <w:r w:rsidR="009E1CB4">
        <w:rPr>
          <w:bCs/>
          <w:sz w:val="22"/>
          <w:szCs w:val="22"/>
        </w:rPr>
        <w:t>Unlike the current situation, if</w:t>
      </w:r>
      <w:r w:rsidR="00502097">
        <w:rPr>
          <w:bCs/>
          <w:sz w:val="22"/>
          <w:szCs w:val="22"/>
        </w:rPr>
        <w:t xml:space="preserve"> </w:t>
      </w:r>
      <w:r w:rsidR="00D70B02">
        <w:rPr>
          <w:bCs/>
          <w:sz w:val="22"/>
          <w:szCs w:val="22"/>
        </w:rPr>
        <w:t>an LMA is</w:t>
      </w:r>
      <w:r w:rsidR="00502097">
        <w:rPr>
          <w:bCs/>
          <w:sz w:val="22"/>
          <w:szCs w:val="22"/>
        </w:rPr>
        <w:t xml:space="preserve"> either a condition of, or consideration for, </w:t>
      </w:r>
      <w:r w:rsidR="00D70B02">
        <w:rPr>
          <w:bCs/>
          <w:sz w:val="22"/>
          <w:szCs w:val="22"/>
        </w:rPr>
        <w:t>a</w:t>
      </w:r>
      <w:r w:rsidR="00502097">
        <w:rPr>
          <w:bCs/>
          <w:sz w:val="22"/>
          <w:szCs w:val="22"/>
        </w:rPr>
        <w:t xml:space="preserve"> proposed transaction, </w:t>
      </w:r>
      <w:r w:rsidR="00D70B02">
        <w:rPr>
          <w:bCs/>
          <w:sz w:val="22"/>
          <w:szCs w:val="22"/>
        </w:rPr>
        <w:t>the LMA</w:t>
      </w:r>
      <w:r w:rsidR="00502097">
        <w:rPr>
          <w:bCs/>
          <w:sz w:val="22"/>
          <w:szCs w:val="22"/>
        </w:rPr>
        <w:t xml:space="preserve"> would violate the plain language of the Reversionary Interest Rule.</w:t>
      </w:r>
      <w:r>
        <w:rPr>
          <w:rStyle w:val="FootnoteReference"/>
          <w:bCs/>
          <w:sz w:val="22"/>
          <w:szCs w:val="22"/>
        </w:rPr>
        <w:footnoteReference w:id="28"/>
      </w:r>
      <w:r w:rsidR="008C61F5">
        <w:rPr>
          <w:bCs/>
          <w:sz w:val="22"/>
          <w:szCs w:val="22"/>
        </w:rPr>
        <w:t xml:space="preserve">  </w:t>
      </w:r>
      <w:r w:rsidR="00AB27D0">
        <w:rPr>
          <w:bCs/>
          <w:sz w:val="22"/>
          <w:szCs w:val="22"/>
        </w:rPr>
        <w:t>Although</w:t>
      </w:r>
      <w:r w:rsidR="00034C2F">
        <w:rPr>
          <w:bCs/>
          <w:sz w:val="22"/>
          <w:szCs w:val="22"/>
        </w:rPr>
        <w:t xml:space="preserve"> the APA </w:t>
      </w:r>
      <w:r w:rsidR="00465D88">
        <w:rPr>
          <w:bCs/>
          <w:sz w:val="22"/>
          <w:szCs w:val="22"/>
        </w:rPr>
        <w:t xml:space="preserve">expressly requires as a condition of the sale that LMN shall have delivered or caused to be delivered to Univision the LMAs duly executed by LMN, unless </w:t>
      </w:r>
      <w:r w:rsidR="00456A8F">
        <w:rPr>
          <w:bCs/>
          <w:sz w:val="22"/>
          <w:szCs w:val="22"/>
        </w:rPr>
        <w:t>Univision waives the condition in writing</w:t>
      </w:r>
      <w:r w:rsidR="00671736">
        <w:rPr>
          <w:bCs/>
          <w:sz w:val="22"/>
          <w:szCs w:val="22"/>
        </w:rPr>
        <w:t>,</w:t>
      </w:r>
      <w:r>
        <w:rPr>
          <w:rStyle w:val="FootnoteReference"/>
          <w:bCs/>
          <w:sz w:val="22"/>
          <w:szCs w:val="22"/>
        </w:rPr>
        <w:footnoteReference w:id="29"/>
      </w:r>
      <w:r w:rsidR="00456A8F">
        <w:rPr>
          <w:bCs/>
          <w:sz w:val="22"/>
          <w:szCs w:val="22"/>
        </w:rPr>
        <w:t xml:space="preserve"> </w:t>
      </w:r>
      <w:r w:rsidR="00495697">
        <w:rPr>
          <w:bCs/>
          <w:sz w:val="22"/>
          <w:szCs w:val="22"/>
        </w:rPr>
        <w:t xml:space="preserve">the Applicants amended the Applications on October 27, 2022, to </w:t>
      </w:r>
      <w:r w:rsidR="009A2507">
        <w:rPr>
          <w:bCs/>
          <w:sz w:val="22"/>
          <w:szCs w:val="22"/>
        </w:rPr>
        <w:t xml:space="preserve">include </w:t>
      </w:r>
      <w:r w:rsidR="00495697">
        <w:rPr>
          <w:bCs/>
          <w:sz w:val="22"/>
          <w:szCs w:val="22"/>
        </w:rPr>
        <w:t xml:space="preserve">a joint certification that Univision </w:t>
      </w:r>
      <w:r w:rsidR="00B73AEB">
        <w:rPr>
          <w:bCs/>
          <w:sz w:val="22"/>
          <w:szCs w:val="22"/>
        </w:rPr>
        <w:t xml:space="preserve">has waived the closing condition that required LMN to </w:t>
      </w:r>
      <w:r w:rsidR="009A2507">
        <w:rPr>
          <w:bCs/>
          <w:sz w:val="22"/>
          <w:szCs w:val="22"/>
        </w:rPr>
        <w:t>enter into an</w:t>
      </w:r>
      <w:r w:rsidR="00B73AEB">
        <w:rPr>
          <w:bCs/>
          <w:sz w:val="22"/>
          <w:szCs w:val="22"/>
        </w:rPr>
        <w:t xml:space="preserve"> LMA.</w:t>
      </w:r>
      <w:r>
        <w:rPr>
          <w:rStyle w:val="FootnoteReference"/>
          <w:bCs/>
          <w:sz w:val="22"/>
          <w:szCs w:val="22"/>
        </w:rPr>
        <w:footnoteReference w:id="30"/>
      </w:r>
      <w:r w:rsidR="00B73AEB">
        <w:rPr>
          <w:bCs/>
          <w:sz w:val="22"/>
          <w:szCs w:val="22"/>
        </w:rPr>
        <w:t xml:space="preserve">  </w:t>
      </w:r>
      <w:r w:rsidR="00694D63">
        <w:rPr>
          <w:bCs/>
          <w:sz w:val="22"/>
          <w:szCs w:val="22"/>
        </w:rPr>
        <w:t xml:space="preserve">We find nothing in the record that raises a substantial and material question regarding the accuracy of the joint certification.  </w:t>
      </w:r>
      <w:r w:rsidR="00834856">
        <w:rPr>
          <w:bCs/>
          <w:sz w:val="22"/>
          <w:szCs w:val="22"/>
        </w:rPr>
        <w:t xml:space="preserve">Relying on the joint certification, we find that </w:t>
      </w:r>
      <w:r w:rsidR="00834856">
        <w:rPr>
          <w:bCs/>
          <w:sz w:val="22"/>
          <w:szCs w:val="22"/>
        </w:rPr>
        <w:t>the proposed transaction does not implicate the Reversionary Interest Rule and that further consideration of this issue is unwarranted.</w:t>
      </w:r>
    </w:p>
    <w:p w:rsidR="00D371D8" w:rsidRPr="008C1D05" w:rsidP="0068045A" w14:paraId="4C054BE5" w14:textId="31BE2BF0">
      <w:pPr>
        <w:tabs>
          <w:tab w:val="left" w:pos="0"/>
        </w:tabs>
        <w:suppressAutoHyphens/>
        <w:spacing w:after="240"/>
        <w:rPr>
          <w:bCs/>
          <w:sz w:val="22"/>
          <w:szCs w:val="22"/>
        </w:rPr>
      </w:pPr>
      <w:r w:rsidRPr="008C1D05">
        <w:rPr>
          <w:bCs/>
          <w:sz w:val="22"/>
          <w:szCs w:val="22"/>
        </w:rPr>
        <w:tab/>
      </w:r>
      <w:r w:rsidRPr="008C1D05" w:rsidR="0014560D">
        <w:rPr>
          <w:bCs/>
          <w:i/>
          <w:iCs/>
          <w:sz w:val="22"/>
          <w:szCs w:val="22"/>
        </w:rPr>
        <w:t xml:space="preserve">Omitted </w:t>
      </w:r>
      <w:r w:rsidR="00AB2843">
        <w:rPr>
          <w:bCs/>
          <w:i/>
          <w:iCs/>
          <w:sz w:val="22"/>
          <w:szCs w:val="22"/>
        </w:rPr>
        <w:t xml:space="preserve">APA </w:t>
      </w:r>
      <w:r w:rsidR="00F73D1B">
        <w:rPr>
          <w:bCs/>
          <w:i/>
          <w:iCs/>
          <w:sz w:val="22"/>
          <w:szCs w:val="22"/>
        </w:rPr>
        <w:t>Exhibits and Schedules</w:t>
      </w:r>
      <w:r w:rsidRPr="008C1D05" w:rsidR="00E41FAD">
        <w:rPr>
          <w:bCs/>
          <w:sz w:val="22"/>
          <w:szCs w:val="22"/>
        </w:rPr>
        <w:t>.</w:t>
      </w:r>
      <w:r w:rsidRPr="008C1D05" w:rsidR="0022560B">
        <w:rPr>
          <w:bCs/>
          <w:sz w:val="22"/>
          <w:szCs w:val="22"/>
        </w:rPr>
        <w:t xml:space="preserve">  </w:t>
      </w:r>
      <w:r w:rsidRPr="008C1D05" w:rsidR="00DF7DE1">
        <w:rPr>
          <w:bCs/>
          <w:sz w:val="22"/>
          <w:szCs w:val="22"/>
        </w:rPr>
        <w:t xml:space="preserve">We </w:t>
      </w:r>
      <w:r w:rsidR="009A6D4C">
        <w:rPr>
          <w:bCs/>
          <w:sz w:val="22"/>
          <w:szCs w:val="22"/>
        </w:rPr>
        <w:t xml:space="preserve">also </w:t>
      </w:r>
      <w:r w:rsidRPr="008C1D05" w:rsidR="00DF7DE1">
        <w:rPr>
          <w:bCs/>
          <w:sz w:val="22"/>
          <w:szCs w:val="22"/>
        </w:rPr>
        <w:t>find</w:t>
      </w:r>
      <w:r w:rsidR="00E96B88">
        <w:rPr>
          <w:bCs/>
          <w:sz w:val="22"/>
          <w:szCs w:val="22"/>
        </w:rPr>
        <w:t xml:space="preserve"> that Dr. Roig</w:t>
      </w:r>
      <w:r w:rsidR="00225E7A">
        <w:rPr>
          <w:bCs/>
          <w:sz w:val="22"/>
          <w:szCs w:val="22"/>
        </w:rPr>
        <w:t xml:space="preserve"> has not demonstrated that the Applicants improperly excluded from the Applications exhibits and schedules to the APA.  </w:t>
      </w:r>
      <w:r w:rsidR="00D43BCC">
        <w:rPr>
          <w:bCs/>
          <w:sz w:val="22"/>
          <w:szCs w:val="22"/>
        </w:rPr>
        <w:t>The Commission has recognized the longstanding staff practice of accepting assignment and transfer of control applications containing sales contracts that omit schedules and exhibits that contain proprietary information or are not material to our review of a particular transaction.</w:t>
      </w:r>
      <w:r>
        <w:rPr>
          <w:rStyle w:val="FootnoteReference"/>
          <w:bCs/>
          <w:sz w:val="22"/>
          <w:szCs w:val="22"/>
        </w:rPr>
        <w:footnoteReference w:id="31"/>
      </w:r>
      <w:r w:rsidR="00D43BCC">
        <w:rPr>
          <w:bCs/>
          <w:sz w:val="22"/>
          <w:szCs w:val="22"/>
        </w:rPr>
        <w:t xml:space="preserve">  </w:t>
      </w:r>
      <w:r w:rsidR="00337100">
        <w:rPr>
          <w:bCs/>
          <w:sz w:val="22"/>
          <w:szCs w:val="22"/>
        </w:rPr>
        <w:t xml:space="preserve">Consistent with the Commission’s directive in </w:t>
      </w:r>
      <w:r w:rsidR="00337100">
        <w:rPr>
          <w:bCs/>
          <w:i/>
          <w:iCs/>
          <w:sz w:val="22"/>
          <w:szCs w:val="22"/>
        </w:rPr>
        <w:t>LUJ, Inc.</w:t>
      </w:r>
      <w:r w:rsidRPr="008C1D05" w:rsidR="00DF7DE1">
        <w:rPr>
          <w:bCs/>
          <w:sz w:val="22"/>
          <w:szCs w:val="22"/>
        </w:rPr>
        <w:t>,</w:t>
      </w:r>
      <w:r>
        <w:rPr>
          <w:rStyle w:val="FootnoteReference"/>
          <w:bCs/>
          <w:sz w:val="22"/>
          <w:szCs w:val="22"/>
        </w:rPr>
        <w:footnoteReference w:id="32"/>
      </w:r>
      <w:r w:rsidRPr="008C1D05" w:rsidR="00DF7DE1">
        <w:rPr>
          <w:bCs/>
          <w:sz w:val="22"/>
          <w:szCs w:val="22"/>
        </w:rPr>
        <w:t xml:space="preserve"> </w:t>
      </w:r>
      <w:r w:rsidR="00337100">
        <w:rPr>
          <w:bCs/>
          <w:sz w:val="22"/>
          <w:szCs w:val="22"/>
        </w:rPr>
        <w:t>each</w:t>
      </w:r>
      <w:r w:rsidRPr="008C1D05" w:rsidR="00DF7DE1">
        <w:rPr>
          <w:bCs/>
          <w:sz w:val="22"/>
          <w:szCs w:val="22"/>
        </w:rPr>
        <w:t xml:space="preserve"> Applicant </w:t>
      </w:r>
      <w:r w:rsidR="00337100">
        <w:rPr>
          <w:bCs/>
          <w:sz w:val="22"/>
          <w:szCs w:val="22"/>
        </w:rPr>
        <w:t>responded “No” to the relevant certification item on the Applications</w:t>
      </w:r>
      <w:r w:rsidR="00F054BB">
        <w:rPr>
          <w:bCs/>
          <w:sz w:val="22"/>
          <w:szCs w:val="22"/>
        </w:rPr>
        <w:t xml:space="preserve"> and submitted an attachment describing each</w:t>
      </w:r>
      <w:r w:rsidRPr="008C1D05" w:rsidR="00DF7DE1">
        <w:rPr>
          <w:bCs/>
          <w:sz w:val="22"/>
          <w:szCs w:val="22"/>
        </w:rPr>
        <w:t xml:space="preserve"> </w:t>
      </w:r>
      <w:r w:rsidR="00F054BB">
        <w:rPr>
          <w:bCs/>
          <w:sz w:val="22"/>
          <w:szCs w:val="22"/>
        </w:rPr>
        <w:t>of</w:t>
      </w:r>
      <w:r w:rsidRPr="008C1D05" w:rsidR="00DF7DE1">
        <w:rPr>
          <w:bCs/>
          <w:sz w:val="22"/>
          <w:szCs w:val="22"/>
        </w:rPr>
        <w:t xml:space="preserve"> </w:t>
      </w:r>
      <w:r w:rsidRPr="008C1D05" w:rsidR="009B3192">
        <w:rPr>
          <w:bCs/>
          <w:sz w:val="22"/>
          <w:szCs w:val="22"/>
        </w:rPr>
        <w:t xml:space="preserve">the omitted </w:t>
      </w:r>
      <w:r w:rsidR="00F054BB">
        <w:rPr>
          <w:bCs/>
          <w:sz w:val="22"/>
          <w:szCs w:val="22"/>
        </w:rPr>
        <w:t>do</w:t>
      </w:r>
      <w:r w:rsidR="00EA67FB">
        <w:rPr>
          <w:bCs/>
          <w:sz w:val="22"/>
          <w:szCs w:val="22"/>
        </w:rPr>
        <w:t>cuments, explaining the basis for omitting them</w:t>
      </w:r>
      <w:r w:rsidR="001A4760">
        <w:rPr>
          <w:bCs/>
          <w:sz w:val="22"/>
          <w:szCs w:val="22"/>
        </w:rPr>
        <w:t>, and offering to provide them to the Commission upon request</w:t>
      </w:r>
      <w:r w:rsidRPr="008C1D05" w:rsidR="009B3192">
        <w:rPr>
          <w:bCs/>
          <w:sz w:val="22"/>
          <w:szCs w:val="22"/>
        </w:rPr>
        <w:t>.</w:t>
      </w:r>
      <w:r>
        <w:rPr>
          <w:rStyle w:val="FootnoteReference"/>
          <w:bCs/>
          <w:sz w:val="22"/>
          <w:szCs w:val="22"/>
        </w:rPr>
        <w:footnoteReference w:id="33"/>
      </w:r>
      <w:r w:rsidRPr="008C1D05" w:rsidR="00AD4C02">
        <w:rPr>
          <w:bCs/>
          <w:sz w:val="22"/>
          <w:szCs w:val="22"/>
        </w:rPr>
        <w:t xml:space="preserve">  </w:t>
      </w:r>
      <w:r w:rsidRPr="008C1D05" w:rsidR="007F60AB">
        <w:rPr>
          <w:bCs/>
          <w:sz w:val="22"/>
          <w:szCs w:val="22"/>
        </w:rPr>
        <w:t xml:space="preserve">Regarding the warrant, the Applicants have stated that the warrant is not signed, </w:t>
      </w:r>
      <w:r w:rsidRPr="008C1D05" w:rsidR="007F60AB">
        <w:rPr>
          <w:bCs/>
          <w:sz w:val="22"/>
          <w:szCs w:val="22"/>
        </w:rPr>
        <w:t>Lakestar</w:t>
      </w:r>
      <w:r w:rsidRPr="008C1D05" w:rsidR="007F60AB">
        <w:rPr>
          <w:bCs/>
          <w:sz w:val="22"/>
          <w:szCs w:val="22"/>
        </w:rPr>
        <w:t xml:space="preserve"> does not have a cognizable interest in LMN, and LMN and </w:t>
      </w:r>
      <w:r w:rsidRPr="008C1D05" w:rsidR="007F60AB">
        <w:rPr>
          <w:bCs/>
          <w:sz w:val="22"/>
          <w:szCs w:val="22"/>
        </w:rPr>
        <w:t>Lakestar</w:t>
      </w:r>
      <w:r w:rsidRPr="008C1D05" w:rsidR="007F60AB">
        <w:rPr>
          <w:bCs/>
          <w:sz w:val="22"/>
          <w:szCs w:val="22"/>
        </w:rPr>
        <w:t xml:space="preserve"> will seek Commission approval regarding the warrant “if and as required by law.”</w:t>
      </w:r>
      <w:r>
        <w:rPr>
          <w:rStyle w:val="FootnoteReference"/>
          <w:bCs/>
          <w:sz w:val="22"/>
          <w:szCs w:val="22"/>
        </w:rPr>
        <w:footnoteReference w:id="34"/>
      </w:r>
      <w:r w:rsidRPr="008C1D05" w:rsidR="007F60AB">
        <w:rPr>
          <w:bCs/>
          <w:sz w:val="22"/>
          <w:szCs w:val="22"/>
        </w:rPr>
        <w:t xml:space="preserve">  </w:t>
      </w:r>
      <w:r w:rsidR="00782194">
        <w:rPr>
          <w:bCs/>
          <w:sz w:val="22"/>
          <w:szCs w:val="22"/>
        </w:rPr>
        <w:t>Accordingly</w:t>
      </w:r>
      <w:r w:rsidR="001447C6">
        <w:rPr>
          <w:bCs/>
          <w:sz w:val="22"/>
          <w:szCs w:val="22"/>
        </w:rPr>
        <w:t xml:space="preserve">, </w:t>
      </w:r>
      <w:r w:rsidR="00C710EB">
        <w:rPr>
          <w:bCs/>
          <w:sz w:val="22"/>
          <w:szCs w:val="22"/>
        </w:rPr>
        <w:t>we find tha</w:t>
      </w:r>
      <w:r w:rsidR="007F60AB">
        <w:rPr>
          <w:bCs/>
          <w:sz w:val="22"/>
          <w:szCs w:val="22"/>
        </w:rPr>
        <w:t>t</w:t>
      </w:r>
      <w:r w:rsidR="00C710EB">
        <w:rPr>
          <w:bCs/>
          <w:sz w:val="22"/>
          <w:szCs w:val="22"/>
        </w:rPr>
        <w:t xml:space="preserve"> the Applicants have satisfactorily complied with the Commission’s policy regarding the submission of sales contracts with assignment and transfer applications</w:t>
      </w:r>
      <w:r w:rsidRPr="008C1D05" w:rsidR="00AD4C02">
        <w:rPr>
          <w:bCs/>
          <w:sz w:val="22"/>
          <w:szCs w:val="22"/>
        </w:rPr>
        <w:t>.</w:t>
      </w:r>
    </w:p>
    <w:p w:rsidR="00DE7B14" w:rsidRPr="008C1D05" w:rsidP="007043CF" w14:paraId="671C4C62" w14:textId="05EB1611">
      <w:pPr>
        <w:tabs>
          <w:tab w:val="left" w:pos="0"/>
        </w:tabs>
        <w:suppressAutoHyphens/>
        <w:spacing w:after="240"/>
        <w:rPr>
          <w:b/>
          <w:sz w:val="22"/>
          <w:szCs w:val="22"/>
        </w:rPr>
      </w:pPr>
      <w:r w:rsidRPr="008C1D05">
        <w:rPr>
          <w:sz w:val="22"/>
          <w:szCs w:val="22"/>
        </w:rPr>
        <w:tab/>
      </w:r>
      <w:r w:rsidRPr="008C1D05">
        <w:rPr>
          <w:b/>
          <w:sz w:val="22"/>
          <w:szCs w:val="22"/>
        </w:rPr>
        <w:t>Conclusion</w:t>
      </w:r>
      <w:r w:rsidR="004108EC">
        <w:rPr>
          <w:b/>
          <w:sz w:val="22"/>
          <w:szCs w:val="22"/>
        </w:rPr>
        <w:t>s/Actions</w:t>
      </w:r>
      <w:r w:rsidRPr="008C1D05">
        <w:rPr>
          <w:b/>
          <w:sz w:val="22"/>
          <w:szCs w:val="22"/>
        </w:rPr>
        <w:t xml:space="preserve">.  </w:t>
      </w:r>
      <w:r w:rsidRPr="008C1D05">
        <w:rPr>
          <w:sz w:val="22"/>
          <w:szCs w:val="22"/>
        </w:rPr>
        <w:t xml:space="preserve">We have reviewed the Applications and find that Univision is qualified to assign, and LMN is qualified to hold, the licenses for the Stations.  We find that the Objection fails to provide </w:t>
      </w:r>
      <w:bookmarkStart w:id="5" w:name="_Hlk114732553"/>
      <w:r w:rsidRPr="008C1D05">
        <w:rPr>
          <w:sz w:val="22"/>
          <w:szCs w:val="22"/>
        </w:rPr>
        <w:t xml:space="preserve">properly supported allegations of fact to make a </w:t>
      </w:r>
      <w:r w:rsidRPr="008C1D05">
        <w:rPr>
          <w:i/>
          <w:iCs/>
          <w:sz w:val="22"/>
          <w:szCs w:val="22"/>
        </w:rPr>
        <w:t xml:space="preserve">prima facie </w:t>
      </w:r>
      <w:r w:rsidRPr="008C1D05">
        <w:rPr>
          <w:sz w:val="22"/>
          <w:szCs w:val="22"/>
        </w:rPr>
        <w:t>case that grant of the Applications would violate the Act</w:t>
      </w:r>
      <w:bookmarkEnd w:id="5"/>
      <w:r w:rsidRPr="008C1D05">
        <w:rPr>
          <w:sz w:val="22"/>
          <w:szCs w:val="22"/>
        </w:rPr>
        <w:t xml:space="preserve"> </w:t>
      </w:r>
      <w:r w:rsidR="00E26041">
        <w:rPr>
          <w:sz w:val="22"/>
          <w:szCs w:val="22"/>
        </w:rPr>
        <w:t xml:space="preserve">or </w:t>
      </w:r>
      <w:r w:rsidRPr="008C1D05">
        <w:rPr>
          <w:sz w:val="22"/>
          <w:szCs w:val="22"/>
        </w:rPr>
        <w:t xml:space="preserve">the Commission’s rules, or </w:t>
      </w:r>
      <w:r w:rsidR="00E26041">
        <w:rPr>
          <w:sz w:val="22"/>
          <w:szCs w:val="22"/>
        </w:rPr>
        <w:t>that the proposed assignment is not in</w:t>
      </w:r>
      <w:r w:rsidR="002B58FC">
        <w:rPr>
          <w:sz w:val="22"/>
          <w:szCs w:val="22"/>
        </w:rPr>
        <w:t xml:space="preserve"> </w:t>
      </w:r>
      <w:r w:rsidRPr="008C1D05">
        <w:rPr>
          <w:sz w:val="22"/>
          <w:szCs w:val="22"/>
        </w:rPr>
        <w:t>the public interest.</w:t>
      </w:r>
      <w:r w:rsidRPr="008C1D05" w:rsidR="00E92443">
        <w:rPr>
          <w:sz w:val="22"/>
          <w:szCs w:val="22"/>
        </w:rPr>
        <w:t xml:space="preserve">  </w:t>
      </w:r>
      <w:r w:rsidRPr="008C1D05">
        <w:rPr>
          <w:sz w:val="22"/>
          <w:szCs w:val="22"/>
        </w:rPr>
        <w:t xml:space="preserve">Therefore, we deny the Objection and grant the Applications. </w:t>
      </w:r>
    </w:p>
    <w:p w:rsidR="00FC336E" w:rsidRPr="008C1D05" w:rsidP="007043CF" w14:paraId="0C7D364C" w14:textId="51CE2692">
      <w:pPr>
        <w:tabs>
          <w:tab w:val="left" w:pos="0"/>
        </w:tabs>
        <w:suppressAutoHyphens/>
        <w:spacing w:after="240"/>
        <w:rPr>
          <w:bCs/>
          <w:sz w:val="22"/>
          <w:szCs w:val="22"/>
        </w:rPr>
      </w:pPr>
      <w:r w:rsidRPr="008C1D05">
        <w:rPr>
          <w:bCs/>
          <w:sz w:val="22"/>
          <w:szCs w:val="22"/>
        </w:rPr>
        <w:tab/>
      </w:r>
      <w:r w:rsidRPr="008C1D05" w:rsidR="002D573E">
        <w:rPr>
          <w:bCs/>
          <w:sz w:val="22"/>
          <w:szCs w:val="22"/>
        </w:rPr>
        <w:t xml:space="preserve">Accordingly, </w:t>
      </w:r>
      <w:r w:rsidRPr="008C1D05">
        <w:rPr>
          <w:bCs/>
          <w:sz w:val="22"/>
          <w:szCs w:val="22"/>
        </w:rPr>
        <w:t xml:space="preserve">IT IS ORDERED that the petition to deny filed by </w:t>
      </w:r>
      <w:r w:rsidRPr="008C1D05" w:rsidR="001C6A24">
        <w:rPr>
          <w:bCs/>
          <w:sz w:val="22"/>
          <w:szCs w:val="22"/>
        </w:rPr>
        <w:t>Dr. Pedro Roig</w:t>
      </w:r>
      <w:r w:rsidRPr="008C1D05">
        <w:rPr>
          <w:bCs/>
          <w:sz w:val="22"/>
          <w:szCs w:val="22"/>
        </w:rPr>
        <w:t xml:space="preserve"> on </w:t>
      </w:r>
      <w:r w:rsidRPr="008C1D05" w:rsidR="004804C3">
        <w:rPr>
          <w:bCs/>
          <w:sz w:val="22"/>
          <w:szCs w:val="22"/>
        </w:rPr>
        <w:t>August 11, 2022</w:t>
      </w:r>
      <w:r w:rsidRPr="008C1D05">
        <w:rPr>
          <w:bCs/>
          <w:sz w:val="22"/>
          <w:szCs w:val="22"/>
        </w:rPr>
        <w:t xml:space="preserve">, </w:t>
      </w:r>
      <w:r w:rsidR="005E5D00">
        <w:rPr>
          <w:bCs/>
          <w:sz w:val="22"/>
          <w:szCs w:val="22"/>
        </w:rPr>
        <w:t xml:space="preserve">(Pleading File Nos. </w:t>
      </w:r>
      <w:r w:rsidRPr="005E5D00" w:rsidR="005E5D00">
        <w:rPr>
          <w:bCs/>
          <w:sz w:val="22"/>
          <w:szCs w:val="22"/>
        </w:rPr>
        <w:t>0000197439, 0000197442, and 0000197444</w:t>
      </w:r>
      <w:r w:rsidR="005E5D00">
        <w:rPr>
          <w:bCs/>
          <w:sz w:val="22"/>
          <w:szCs w:val="22"/>
        </w:rPr>
        <w:t xml:space="preserve">) </w:t>
      </w:r>
      <w:r w:rsidRPr="008C1D05">
        <w:rPr>
          <w:bCs/>
          <w:sz w:val="22"/>
          <w:szCs w:val="22"/>
        </w:rPr>
        <w:t>IS DISMISSED as procedurally defective and alternatively DENIED on the merits as an informal objection.</w:t>
      </w:r>
    </w:p>
    <w:p w:rsidR="00515D05" w:rsidRPr="008C1D05" w:rsidP="00255B77" w14:paraId="0D065FDF" w14:textId="5D71BDFA">
      <w:pPr>
        <w:keepNext/>
        <w:tabs>
          <w:tab w:val="left" w:pos="0"/>
        </w:tabs>
        <w:suppressAutoHyphens/>
        <w:spacing w:after="240"/>
        <w:rPr>
          <w:bCs/>
          <w:sz w:val="22"/>
          <w:szCs w:val="22"/>
        </w:rPr>
      </w:pPr>
      <w:r w:rsidRPr="008C1D05">
        <w:rPr>
          <w:bCs/>
          <w:sz w:val="22"/>
          <w:szCs w:val="22"/>
        </w:rPr>
        <w:tab/>
      </w:r>
      <w:r w:rsidRPr="008C1D05" w:rsidR="000254DC">
        <w:rPr>
          <w:bCs/>
          <w:sz w:val="22"/>
          <w:szCs w:val="22"/>
        </w:rPr>
        <w:t>IT IS FURTHER ORDERED, that the amended applications</w:t>
      </w:r>
      <w:r w:rsidR="00815218">
        <w:rPr>
          <w:bCs/>
          <w:sz w:val="22"/>
          <w:szCs w:val="22"/>
        </w:rPr>
        <w:t>, listed</w:t>
      </w:r>
      <w:r w:rsidRPr="008C1D05" w:rsidR="000254DC">
        <w:rPr>
          <w:bCs/>
          <w:sz w:val="22"/>
          <w:szCs w:val="22"/>
        </w:rPr>
        <w:t xml:space="preserve"> in </w:t>
      </w:r>
      <w:r w:rsidR="00815218">
        <w:rPr>
          <w:bCs/>
          <w:sz w:val="22"/>
          <w:szCs w:val="22"/>
        </w:rPr>
        <w:t>the Attachment,</w:t>
      </w:r>
      <w:r w:rsidRPr="008C1D05" w:rsidR="000254DC">
        <w:rPr>
          <w:bCs/>
          <w:sz w:val="22"/>
          <w:szCs w:val="22"/>
        </w:rPr>
        <w:t xml:space="preserve"> for consent to </w:t>
      </w:r>
      <w:r w:rsidR="00FE1862">
        <w:rPr>
          <w:bCs/>
          <w:sz w:val="22"/>
          <w:szCs w:val="22"/>
        </w:rPr>
        <w:t xml:space="preserve">the </w:t>
      </w:r>
      <w:r w:rsidRPr="008C1D05" w:rsidR="000254DC">
        <w:rPr>
          <w:bCs/>
          <w:sz w:val="22"/>
          <w:szCs w:val="22"/>
        </w:rPr>
        <w:t>assign</w:t>
      </w:r>
      <w:r w:rsidR="00FE1862">
        <w:rPr>
          <w:bCs/>
          <w:sz w:val="22"/>
          <w:szCs w:val="22"/>
        </w:rPr>
        <w:t>ment</w:t>
      </w:r>
      <w:r w:rsidRPr="008C1D05" w:rsidR="000254DC">
        <w:rPr>
          <w:bCs/>
          <w:sz w:val="22"/>
          <w:szCs w:val="22"/>
        </w:rPr>
        <w:t xml:space="preserve"> </w:t>
      </w:r>
      <w:r w:rsidR="00FE1862">
        <w:rPr>
          <w:bCs/>
          <w:sz w:val="22"/>
          <w:szCs w:val="22"/>
        </w:rPr>
        <w:t>of</w:t>
      </w:r>
      <w:r w:rsidRPr="008C1D05" w:rsidR="00FE1862">
        <w:rPr>
          <w:bCs/>
          <w:sz w:val="22"/>
          <w:szCs w:val="22"/>
        </w:rPr>
        <w:t xml:space="preserve"> </w:t>
      </w:r>
      <w:r w:rsidRPr="008C1D05" w:rsidR="000254DC">
        <w:rPr>
          <w:bCs/>
          <w:sz w:val="22"/>
          <w:szCs w:val="22"/>
        </w:rPr>
        <w:t xml:space="preserve">licenses </w:t>
      </w:r>
      <w:r w:rsidR="00FE1862">
        <w:rPr>
          <w:bCs/>
          <w:sz w:val="22"/>
          <w:szCs w:val="22"/>
        </w:rPr>
        <w:t>from</w:t>
      </w:r>
      <w:r w:rsidRPr="008C1D05" w:rsidR="000254DC">
        <w:rPr>
          <w:bCs/>
          <w:sz w:val="22"/>
          <w:szCs w:val="22"/>
        </w:rPr>
        <w:t xml:space="preserve"> Univision Radio Stations Group, Inc., </w:t>
      </w:r>
      <w:r w:rsidRPr="008C1D05" w:rsidR="005E5D00">
        <w:rPr>
          <w:bCs/>
          <w:sz w:val="22"/>
          <w:szCs w:val="22"/>
        </w:rPr>
        <w:t>Tichenor License Corporation</w:t>
      </w:r>
      <w:r w:rsidR="005E5D00">
        <w:rPr>
          <w:bCs/>
          <w:sz w:val="22"/>
          <w:szCs w:val="22"/>
        </w:rPr>
        <w:t>, and</w:t>
      </w:r>
      <w:r w:rsidRPr="008C1D05" w:rsidR="005E5D00">
        <w:rPr>
          <w:bCs/>
          <w:sz w:val="22"/>
          <w:szCs w:val="22"/>
        </w:rPr>
        <w:t xml:space="preserve"> </w:t>
      </w:r>
      <w:r w:rsidRPr="008C1D05" w:rsidR="000254DC">
        <w:rPr>
          <w:bCs/>
          <w:sz w:val="22"/>
          <w:szCs w:val="22"/>
        </w:rPr>
        <w:t xml:space="preserve">Univision Radio San Francisco, Inc., </w:t>
      </w:r>
      <w:r w:rsidRPr="008C1D05" w:rsidR="00ED5E5B">
        <w:rPr>
          <w:bCs/>
          <w:sz w:val="22"/>
          <w:szCs w:val="22"/>
        </w:rPr>
        <w:t xml:space="preserve">to </w:t>
      </w:r>
      <w:r w:rsidRPr="008C1D05" w:rsidR="00ED5E5B">
        <w:rPr>
          <w:sz w:val="22"/>
          <w:szCs w:val="22"/>
        </w:rPr>
        <w:t>Latino Media Network, LLC</w:t>
      </w:r>
      <w:r w:rsidR="005E5D00">
        <w:rPr>
          <w:sz w:val="22"/>
          <w:szCs w:val="22"/>
        </w:rPr>
        <w:t>,</w:t>
      </w:r>
      <w:r w:rsidRPr="008C1D05" w:rsidR="000254DC">
        <w:rPr>
          <w:bCs/>
          <w:sz w:val="22"/>
          <w:szCs w:val="22"/>
        </w:rPr>
        <w:t xml:space="preserve"> ARE</w:t>
      </w:r>
      <w:r w:rsidRPr="008C1D05">
        <w:rPr>
          <w:bCs/>
          <w:sz w:val="22"/>
          <w:szCs w:val="22"/>
        </w:rPr>
        <w:t xml:space="preserve"> </w:t>
      </w:r>
      <w:r w:rsidRPr="008C1D05" w:rsidR="000254DC">
        <w:rPr>
          <w:bCs/>
          <w:sz w:val="22"/>
          <w:szCs w:val="22"/>
        </w:rPr>
        <w:t>GRANTED.</w:t>
      </w:r>
    </w:p>
    <w:p w:rsidR="007043CF" w:rsidRPr="008C1D05" w:rsidP="00255B77" w14:paraId="79621950" w14:textId="77777777">
      <w:pPr>
        <w:keepNext/>
        <w:tabs>
          <w:tab w:val="left" w:pos="270"/>
        </w:tabs>
        <w:spacing w:after="480"/>
        <w:rPr>
          <w:color w:val="000000"/>
          <w:sz w:val="22"/>
          <w:szCs w:val="22"/>
        </w:rPr>
      </w:pP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t>Sincerely,</w:t>
      </w:r>
    </w:p>
    <w:p w:rsidR="007043CF" w:rsidRPr="008C1D05" w:rsidP="00255B77" w14:paraId="43721CAE" w14:textId="77777777">
      <w:pPr>
        <w:keepNext/>
        <w:tabs>
          <w:tab w:val="left" w:pos="0"/>
          <w:tab w:val="left" w:pos="270"/>
        </w:tabs>
        <w:suppressAutoHyphens/>
        <w:rPr>
          <w:sz w:val="22"/>
          <w:szCs w:val="22"/>
        </w:rPr>
      </w:pP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r>
      <w:r w:rsidRPr="008C1D05">
        <w:rPr>
          <w:color w:val="000000"/>
          <w:sz w:val="22"/>
          <w:szCs w:val="22"/>
        </w:rPr>
        <w:tab/>
        <w:t>Albert Shuldiner</w:t>
      </w:r>
    </w:p>
    <w:p w:rsidR="007043CF" w:rsidRPr="008C1D05" w:rsidP="00255B77" w14:paraId="0BC31A8D" w14:textId="77777777">
      <w:pPr>
        <w:keepNext/>
        <w:tabs>
          <w:tab w:val="left" w:pos="0"/>
        </w:tabs>
        <w:suppressAutoHyphens/>
        <w:rPr>
          <w:sz w:val="22"/>
          <w:szCs w:val="22"/>
        </w:rPr>
      </w:pPr>
      <w:r w:rsidRPr="008C1D05">
        <w:rPr>
          <w:sz w:val="22"/>
          <w:szCs w:val="22"/>
        </w:rPr>
        <w:tab/>
      </w:r>
      <w:r w:rsidRPr="008C1D05">
        <w:rPr>
          <w:sz w:val="22"/>
          <w:szCs w:val="22"/>
        </w:rPr>
        <w:tab/>
      </w:r>
      <w:r w:rsidRPr="008C1D05">
        <w:rPr>
          <w:sz w:val="22"/>
          <w:szCs w:val="22"/>
        </w:rPr>
        <w:tab/>
      </w:r>
      <w:r w:rsidRPr="008C1D05">
        <w:rPr>
          <w:sz w:val="22"/>
          <w:szCs w:val="22"/>
        </w:rPr>
        <w:tab/>
      </w:r>
      <w:r w:rsidRPr="008C1D05">
        <w:rPr>
          <w:sz w:val="22"/>
          <w:szCs w:val="22"/>
        </w:rPr>
        <w:tab/>
      </w:r>
      <w:r w:rsidRPr="008C1D05">
        <w:rPr>
          <w:sz w:val="22"/>
          <w:szCs w:val="22"/>
        </w:rPr>
        <w:tab/>
      </w:r>
      <w:r w:rsidRPr="008C1D05">
        <w:rPr>
          <w:sz w:val="22"/>
          <w:szCs w:val="22"/>
        </w:rPr>
        <w:tab/>
        <w:t>Chief, Audio Division</w:t>
      </w:r>
    </w:p>
    <w:p w:rsidR="008C3FDA" w:rsidP="008C3FDA" w14:paraId="5D877970" w14:textId="77777777">
      <w:pPr>
        <w:tabs>
          <w:tab w:val="left" w:pos="0"/>
        </w:tabs>
        <w:suppressAutoHyphens/>
        <w:spacing w:after="240"/>
        <w:rPr>
          <w:sz w:val="22"/>
          <w:szCs w:val="22"/>
        </w:rPr>
        <w:sectPr>
          <w:footerReference w:type="default" r:id="rId10"/>
          <w:headerReference w:type="first" r:id="rId11"/>
          <w:footerReference w:type="first" r:id="rId12"/>
          <w:pgSz w:w="12240" w:h="15840" w:code="1"/>
          <w:pgMar w:top="1987" w:right="1440" w:bottom="1440" w:left="1440" w:header="720" w:footer="720" w:gutter="0"/>
          <w:cols w:space="720"/>
          <w:titlePg/>
        </w:sectPr>
      </w:pPr>
      <w:r w:rsidRPr="008C1D05">
        <w:rPr>
          <w:sz w:val="22"/>
          <w:szCs w:val="22"/>
        </w:rPr>
        <w:tab/>
      </w:r>
      <w:r w:rsidRPr="008C1D05">
        <w:rPr>
          <w:sz w:val="22"/>
          <w:szCs w:val="22"/>
        </w:rPr>
        <w:tab/>
      </w:r>
      <w:r w:rsidRPr="008C1D05">
        <w:rPr>
          <w:sz w:val="22"/>
          <w:szCs w:val="22"/>
        </w:rPr>
        <w:tab/>
      </w:r>
      <w:r w:rsidRPr="008C1D05">
        <w:rPr>
          <w:sz w:val="22"/>
          <w:szCs w:val="22"/>
        </w:rPr>
        <w:tab/>
      </w:r>
      <w:r w:rsidRPr="008C1D05">
        <w:rPr>
          <w:sz w:val="22"/>
          <w:szCs w:val="22"/>
        </w:rPr>
        <w:tab/>
      </w:r>
      <w:r w:rsidRPr="008C1D05">
        <w:rPr>
          <w:sz w:val="22"/>
          <w:szCs w:val="22"/>
        </w:rPr>
        <w:tab/>
      </w:r>
      <w:r w:rsidRPr="008C1D05">
        <w:rPr>
          <w:sz w:val="22"/>
          <w:szCs w:val="22"/>
        </w:rPr>
        <w:tab/>
        <w:t>Media Bureau</w:t>
      </w:r>
    </w:p>
    <w:p w:rsidR="00891212" w:rsidRPr="008C1D05" w:rsidP="00255B77" w14:paraId="14600211" w14:textId="1D4F80D4">
      <w:pPr>
        <w:tabs>
          <w:tab w:val="left" w:pos="0"/>
        </w:tabs>
        <w:suppressAutoHyphens/>
        <w:jc w:val="center"/>
        <w:rPr>
          <w:b/>
          <w:color w:val="020100"/>
          <w:spacing w:val="-10"/>
          <w:sz w:val="22"/>
          <w:szCs w:val="22"/>
        </w:rPr>
      </w:pPr>
      <w:r>
        <w:rPr>
          <w:b/>
          <w:color w:val="020100"/>
          <w:spacing w:val="-10"/>
          <w:sz w:val="22"/>
          <w:szCs w:val="22"/>
        </w:rPr>
        <w:t>ATTACHMENT</w:t>
      </w:r>
    </w:p>
    <w:p w:rsidR="00773DF9" w:rsidP="00255B77" w14:paraId="45630771" w14:textId="04441D48">
      <w:pPr>
        <w:spacing w:before="119" w:after="4"/>
        <w:ind w:left="2160" w:right="2160"/>
        <w:jc w:val="center"/>
        <w:rPr>
          <w:b/>
          <w:sz w:val="22"/>
          <w:szCs w:val="22"/>
        </w:rPr>
      </w:pPr>
      <w:r>
        <w:rPr>
          <w:b/>
          <w:sz w:val="22"/>
          <w:szCs w:val="22"/>
        </w:rPr>
        <w:t>Stations Subject to the Assignment Applications</w:t>
      </w:r>
    </w:p>
    <w:p w:rsidR="00773DF9" w:rsidRPr="008C1D05" w:rsidP="00891212" w14:paraId="69CD9BB1" w14:textId="77777777">
      <w:pPr>
        <w:spacing w:before="119" w:after="4"/>
        <w:ind w:left="2751" w:right="2750"/>
        <w:jc w:val="center"/>
        <w:rPr>
          <w:b/>
          <w:sz w:val="22"/>
          <w:szCs w:val="22"/>
        </w:rPr>
      </w:pPr>
    </w:p>
    <w:tbl>
      <w:tblPr>
        <w:tblW w:w="9378" w:type="dxa"/>
        <w:tblInd w:w="110" w:type="dxa"/>
        <w:tblBorders>
          <w:top w:val="single" w:sz="4" w:space="0" w:color="020100"/>
          <w:left w:val="single" w:sz="4" w:space="0" w:color="020100"/>
          <w:bottom w:val="single" w:sz="4" w:space="0" w:color="020100"/>
          <w:right w:val="single" w:sz="4" w:space="0" w:color="020100"/>
          <w:insideH w:val="single" w:sz="4" w:space="0" w:color="020100"/>
          <w:insideV w:val="single" w:sz="4" w:space="0" w:color="020100"/>
        </w:tblBorders>
        <w:tblLayout w:type="fixed"/>
        <w:tblCellMar>
          <w:left w:w="0" w:type="dxa"/>
          <w:right w:w="0" w:type="dxa"/>
        </w:tblCellMar>
        <w:tblLook w:val="01E0"/>
      </w:tblPr>
      <w:tblGrid>
        <w:gridCol w:w="1366"/>
        <w:gridCol w:w="900"/>
        <w:gridCol w:w="1440"/>
        <w:gridCol w:w="1620"/>
        <w:gridCol w:w="2429"/>
        <w:gridCol w:w="1623"/>
      </w:tblGrid>
      <w:tr w14:paraId="3743BCE1" w14:textId="77777777" w:rsidTr="00003ED9">
        <w:tblPrEx>
          <w:tblW w:w="9378" w:type="dxa"/>
          <w:tblInd w:w="110" w:type="dxa"/>
          <w:tblBorders>
            <w:top w:val="single" w:sz="4" w:space="0" w:color="020100"/>
            <w:left w:val="single" w:sz="4" w:space="0" w:color="020100"/>
            <w:bottom w:val="single" w:sz="4" w:space="0" w:color="020100"/>
            <w:right w:val="single" w:sz="4" w:space="0" w:color="020100"/>
            <w:insideH w:val="single" w:sz="4" w:space="0" w:color="020100"/>
            <w:insideV w:val="single" w:sz="4" w:space="0" w:color="020100"/>
          </w:tblBorders>
          <w:tblLayout w:type="fixed"/>
          <w:tblCellMar>
            <w:left w:w="0" w:type="dxa"/>
            <w:right w:w="0" w:type="dxa"/>
          </w:tblCellMar>
          <w:tblLook w:val="01E0"/>
        </w:tblPrEx>
        <w:trPr>
          <w:trHeight w:val="539"/>
        </w:trPr>
        <w:tc>
          <w:tcPr>
            <w:tcW w:w="1366" w:type="dxa"/>
          </w:tcPr>
          <w:p w:rsidR="00891212" w:rsidRPr="008C1D05" w:rsidP="001A7A7C" w14:paraId="423BFD66" w14:textId="77777777">
            <w:pPr>
              <w:pStyle w:val="TableParagraph"/>
              <w:spacing w:before="8"/>
              <w:rPr>
                <w:b/>
              </w:rPr>
            </w:pPr>
          </w:p>
          <w:p w:rsidR="00891212" w:rsidRPr="008C1D05" w:rsidP="001A7A7C" w14:paraId="127506E0" w14:textId="77777777">
            <w:pPr>
              <w:pStyle w:val="TableParagraph"/>
              <w:spacing w:line="236" w:lineRule="exact"/>
              <w:ind w:left="107"/>
              <w:rPr>
                <w:b/>
              </w:rPr>
            </w:pPr>
            <w:r w:rsidRPr="008C1D05">
              <w:rPr>
                <w:b/>
                <w:color w:val="020100"/>
                <w:spacing w:val="-2"/>
              </w:rPr>
              <w:t>Station</w:t>
            </w:r>
          </w:p>
        </w:tc>
        <w:tc>
          <w:tcPr>
            <w:tcW w:w="900" w:type="dxa"/>
          </w:tcPr>
          <w:p w:rsidR="00891212" w:rsidRPr="008C1D05" w:rsidP="001A7A7C" w14:paraId="2E958A88" w14:textId="77777777">
            <w:pPr>
              <w:pStyle w:val="TableParagraph"/>
              <w:spacing w:before="15" w:line="252" w:lineRule="exact"/>
              <w:ind w:left="105" w:right="383"/>
              <w:rPr>
                <w:b/>
              </w:rPr>
            </w:pPr>
            <w:r w:rsidRPr="008C1D05">
              <w:rPr>
                <w:b/>
                <w:color w:val="020100"/>
                <w:spacing w:val="-4"/>
              </w:rPr>
              <w:t xml:space="preserve">Fac. </w:t>
            </w:r>
            <w:r w:rsidRPr="008C1D05">
              <w:rPr>
                <w:b/>
                <w:color w:val="020100"/>
                <w:spacing w:val="-6"/>
              </w:rPr>
              <w:t>ID</w:t>
            </w:r>
          </w:p>
        </w:tc>
        <w:tc>
          <w:tcPr>
            <w:tcW w:w="1440" w:type="dxa"/>
          </w:tcPr>
          <w:p w:rsidR="00891212" w:rsidRPr="008C1D05" w:rsidP="001A7A7C" w14:paraId="39F03E00" w14:textId="77777777">
            <w:pPr>
              <w:pStyle w:val="TableParagraph"/>
              <w:spacing w:before="8"/>
              <w:rPr>
                <w:b/>
              </w:rPr>
            </w:pPr>
          </w:p>
          <w:p w:rsidR="00891212" w:rsidRPr="008C1D05" w:rsidP="001A7A7C" w14:paraId="5087617D" w14:textId="77777777">
            <w:pPr>
              <w:pStyle w:val="TableParagraph"/>
              <w:spacing w:line="236" w:lineRule="exact"/>
              <w:ind w:left="105"/>
              <w:rPr>
                <w:b/>
              </w:rPr>
            </w:pPr>
            <w:r w:rsidRPr="008C1D05">
              <w:rPr>
                <w:b/>
                <w:color w:val="020100"/>
                <w:spacing w:val="-2"/>
              </w:rPr>
              <w:t>Community</w:t>
            </w:r>
          </w:p>
        </w:tc>
        <w:tc>
          <w:tcPr>
            <w:tcW w:w="1620" w:type="dxa"/>
          </w:tcPr>
          <w:p w:rsidR="00694CF6" w:rsidRPr="008C1D05" w:rsidP="001A7A7C" w14:paraId="28C7A922" w14:textId="77777777">
            <w:pPr>
              <w:pStyle w:val="TableParagraph"/>
              <w:spacing w:before="15" w:line="252" w:lineRule="exact"/>
              <w:ind w:left="105"/>
              <w:rPr>
                <w:b/>
                <w:color w:val="020100"/>
                <w:spacing w:val="-2"/>
              </w:rPr>
            </w:pPr>
          </w:p>
          <w:p w:rsidR="00891212" w:rsidRPr="008C1D05" w:rsidP="001A7A7C" w14:paraId="74B3C9EE" w14:textId="6112C976">
            <w:pPr>
              <w:pStyle w:val="TableParagraph"/>
              <w:spacing w:before="15" w:line="252" w:lineRule="exact"/>
              <w:ind w:left="105"/>
              <w:rPr>
                <w:b/>
              </w:rPr>
            </w:pPr>
            <w:r w:rsidRPr="008C1D05">
              <w:rPr>
                <w:b/>
                <w:color w:val="020100"/>
                <w:spacing w:val="-2"/>
              </w:rPr>
              <w:t>Assignor</w:t>
            </w:r>
          </w:p>
        </w:tc>
        <w:tc>
          <w:tcPr>
            <w:tcW w:w="2429" w:type="dxa"/>
          </w:tcPr>
          <w:p w:rsidR="00891212" w:rsidRPr="008C1D05" w:rsidP="001A7A7C" w14:paraId="3056A147" w14:textId="77777777">
            <w:pPr>
              <w:pStyle w:val="TableParagraph"/>
              <w:spacing w:before="8"/>
              <w:rPr>
                <w:b/>
              </w:rPr>
            </w:pPr>
          </w:p>
          <w:p w:rsidR="00891212" w:rsidRPr="008C1D05" w:rsidP="001A7A7C" w14:paraId="0675F757" w14:textId="0A1BA197">
            <w:pPr>
              <w:pStyle w:val="TableParagraph"/>
              <w:spacing w:line="236" w:lineRule="exact"/>
              <w:ind w:left="105"/>
              <w:rPr>
                <w:b/>
              </w:rPr>
            </w:pPr>
            <w:r w:rsidRPr="008C1D05">
              <w:rPr>
                <w:b/>
                <w:color w:val="020100"/>
              </w:rPr>
              <w:t>Assignee</w:t>
            </w:r>
          </w:p>
        </w:tc>
        <w:tc>
          <w:tcPr>
            <w:tcW w:w="1623" w:type="dxa"/>
          </w:tcPr>
          <w:p w:rsidR="00891212" w:rsidRPr="008C1D05" w:rsidP="001A7A7C" w14:paraId="769E7036" w14:textId="77777777">
            <w:pPr>
              <w:pStyle w:val="TableParagraph"/>
              <w:spacing w:before="15" w:line="252" w:lineRule="exact"/>
              <w:ind w:left="107"/>
              <w:rPr>
                <w:b/>
              </w:rPr>
            </w:pPr>
            <w:r w:rsidRPr="008C1D05">
              <w:rPr>
                <w:b/>
                <w:color w:val="020100"/>
                <w:spacing w:val="-2"/>
              </w:rPr>
              <w:t>Application Number</w:t>
            </w:r>
          </w:p>
        </w:tc>
      </w:tr>
      <w:tr w14:paraId="05FAFE5C" w14:textId="77777777" w:rsidTr="00003ED9">
        <w:tblPrEx>
          <w:tblW w:w="9378" w:type="dxa"/>
          <w:tblInd w:w="110" w:type="dxa"/>
          <w:tblLayout w:type="fixed"/>
          <w:tblCellMar>
            <w:left w:w="0" w:type="dxa"/>
            <w:right w:w="0" w:type="dxa"/>
          </w:tblCellMar>
          <w:tblLook w:val="01E0"/>
        </w:tblPrEx>
        <w:trPr>
          <w:trHeight w:val="757"/>
        </w:trPr>
        <w:tc>
          <w:tcPr>
            <w:tcW w:w="1366" w:type="dxa"/>
          </w:tcPr>
          <w:p w:rsidR="007F4D44" w:rsidRPr="008C1D05" w:rsidP="007F4D44" w14:paraId="19D41722" w14:textId="4702C4BC">
            <w:pPr>
              <w:pStyle w:val="TableParagraph"/>
              <w:spacing w:line="238" w:lineRule="exact"/>
              <w:ind w:left="107"/>
            </w:pPr>
            <w:r w:rsidRPr="008C1D05">
              <w:t>KTNQ(AM)</w:t>
            </w:r>
          </w:p>
        </w:tc>
        <w:tc>
          <w:tcPr>
            <w:tcW w:w="900" w:type="dxa"/>
          </w:tcPr>
          <w:p w:rsidR="007F4D44" w:rsidRPr="008C1D05" w:rsidP="007F4D44" w14:paraId="092349C0" w14:textId="7431BD72">
            <w:pPr>
              <w:pStyle w:val="TableParagraph"/>
              <w:spacing w:line="238" w:lineRule="exact"/>
              <w:ind w:right="96"/>
              <w:jc w:val="right"/>
            </w:pPr>
            <w:r w:rsidRPr="008C1D05">
              <w:t>35673</w:t>
            </w:r>
          </w:p>
        </w:tc>
        <w:tc>
          <w:tcPr>
            <w:tcW w:w="1440" w:type="dxa"/>
          </w:tcPr>
          <w:p w:rsidR="007F4D44" w:rsidRPr="008C1D05" w:rsidP="007F4D44" w14:paraId="089E3368" w14:textId="2CC2FCD0">
            <w:pPr>
              <w:pStyle w:val="TableParagraph"/>
              <w:spacing w:line="238" w:lineRule="exact"/>
              <w:ind w:left="105"/>
            </w:pPr>
            <w:r w:rsidRPr="008C1D05">
              <w:t>Los Angeles, CA</w:t>
            </w:r>
          </w:p>
        </w:tc>
        <w:tc>
          <w:tcPr>
            <w:tcW w:w="1620" w:type="dxa"/>
          </w:tcPr>
          <w:p w:rsidR="007F4D44" w:rsidRPr="008C1D05" w:rsidP="007F4D44" w14:paraId="3B7F0291" w14:textId="5B764DD1">
            <w:pPr>
              <w:pStyle w:val="TableParagraph"/>
              <w:spacing w:line="238" w:lineRule="exact"/>
              <w:ind w:left="105"/>
            </w:pPr>
            <w:r w:rsidRPr="008C1D05">
              <w:t>Univision Radio Stations Group, Inc.</w:t>
            </w:r>
          </w:p>
        </w:tc>
        <w:tc>
          <w:tcPr>
            <w:tcW w:w="2429" w:type="dxa"/>
          </w:tcPr>
          <w:p w:rsidR="007F4D44" w:rsidRPr="008C1D05" w:rsidP="007F4D44" w14:paraId="11D25004" w14:textId="60BF40C6">
            <w:pPr>
              <w:pStyle w:val="TableParagraph"/>
              <w:spacing w:line="238" w:lineRule="exact"/>
              <w:ind w:left="105"/>
            </w:pPr>
            <w:r w:rsidRPr="008C1D05">
              <w:t>Latino Media Network, LLC</w:t>
            </w:r>
          </w:p>
        </w:tc>
        <w:tc>
          <w:tcPr>
            <w:tcW w:w="1623" w:type="dxa"/>
          </w:tcPr>
          <w:p w:rsidR="007F4D44" w:rsidRPr="008C1D05" w:rsidP="007F4D44" w14:paraId="5D46F392" w14:textId="6CE5BD95">
            <w:pPr>
              <w:pStyle w:val="TableParagraph"/>
              <w:spacing w:line="250" w:lineRule="atLeast"/>
              <w:ind w:left="107"/>
            </w:pPr>
            <w:r w:rsidRPr="008C1D05">
              <w:t>0000194638</w:t>
            </w:r>
          </w:p>
        </w:tc>
      </w:tr>
      <w:tr w14:paraId="1D18B66E" w14:textId="77777777" w:rsidTr="00003ED9">
        <w:tblPrEx>
          <w:tblW w:w="9378" w:type="dxa"/>
          <w:tblInd w:w="110" w:type="dxa"/>
          <w:tblLayout w:type="fixed"/>
          <w:tblCellMar>
            <w:left w:w="0" w:type="dxa"/>
            <w:right w:w="0" w:type="dxa"/>
          </w:tblCellMar>
          <w:tblLook w:val="01E0"/>
        </w:tblPrEx>
        <w:trPr>
          <w:trHeight w:val="760"/>
        </w:trPr>
        <w:tc>
          <w:tcPr>
            <w:tcW w:w="1366" w:type="dxa"/>
          </w:tcPr>
          <w:p w:rsidR="00CB5C9A" w:rsidRPr="008C1D05" w:rsidP="00CB5C9A" w14:paraId="0AFC5378" w14:textId="2A457720">
            <w:pPr>
              <w:pStyle w:val="TableParagraph"/>
              <w:spacing w:line="240" w:lineRule="exact"/>
              <w:ind w:left="107"/>
            </w:pPr>
            <w:r w:rsidRPr="008C1D05">
              <w:t>KLSQ(AM)</w:t>
            </w:r>
          </w:p>
        </w:tc>
        <w:tc>
          <w:tcPr>
            <w:tcW w:w="900" w:type="dxa"/>
          </w:tcPr>
          <w:p w:rsidR="00CB5C9A" w:rsidRPr="008C1D05" w:rsidP="00CB5C9A" w14:paraId="5FF2BFF5" w14:textId="535E7F9E">
            <w:pPr>
              <w:pStyle w:val="TableParagraph"/>
              <w:spacing w:line="240" w:lineRule="exact"/>
              <w:ind w:right="96"/>
              <w:jc w:val="right"/>
            </w:pPr>
            <w:r w:rsidRPr="008C1D05">
              <w:t>36694</w:t>
            </w:r>
          </w:p>
        </w:tc>
        <w:tc>
          <w:tcPr>
            <w:tcW w:w="1440" w:type="dxa"/>
          </w:tcPr>
          <w:p w:rsidR="00CB5C9A" w:rsidRPr="008C1D05" w:rsidP="00CB5C9A" w14:paraId="67A79A6E" w14:textId="6FA7D6CC">
            <w:pPr>
              <w:pStyle w:val="TableParagraph"/>
              <w:spacing w:line="252" w:lineRule="exact"/>
              <w:ind w:left="105" w:right="329"/>
            </w:pPr>
            <w:r w:rsidRPr="008C1D05">
              <w:t>Whitney, NV</w:t>
            </w:r>
          </w:p>
        </w:tc>
        <w:tc>
          <w:tcPr>
            <w:tcW w:w="1620" w:type="dxa"/>
          </w:tcPr>
          <w:p w:rsidR="00CB5C9A" w:rsidRPr="008C1D05" w:rsidP="00CB5C9A" w14:paraId="358C0DF6" w14:textId="6F0FE939">
            <w:pPr>
              <w:pStyle w:val="TableParagraph"/>
              <w:spacing w:line="240" w:lineRule="exact"/>
              <w:ind w:left="105"/>
            </w:pPr>
            <w:r w:rsidRPr="008C1D05">
              <w:t>Univision Radio Stations Group, Inc.</w:t>
            </w:r>
          </w:p>
        </w:tc>
        <w:tc>
          <w:tcPr>
            <w:tcW w:w="2429" w:type="dxa"/>
          </w:tcPr>
          <w:p w:rsidR="00CB5C9A" w:rsidRPr="008C1D05" w:rsidP="00CB5C9A" w14:paraId="7D6AFAA0" w14:textId="50731203">
            <w:pPr>
              <w:pStyle w:val="TableParagraph"/>
              <w:spacing w:line="236" w:lineRule="exact"/>
              <w:ind w:left="105"/>
            </w:pPr>
            <w:r w:rsidRPr="008C1D05">
              <w:t>Latino Media Network, LLC</w:t>
            </w:r>
          </w:p>
        </w:tc>
        <w:tc>
          <w:tcPr>
            <w:tcW w:w="1623" w:type="dxa"/>
          </w:tcPr>
          <w:p w:rsidR="00CB5C9A" w:rsidRPr="008C1D05" w:rsidP="00CB5C9A" w14:paraId="6E03A689" w14:textId="6645E666">
            <w:pPr>
              <w:pStyle w:val="TableParagraph"/>
              <w:spacing w:line="252" w:lineRule="exact"/>
              <w:ind w:left="107"/>
            </w:pPr>
            <w:r w:rsidRPr="008C1D05">
              <w:t>0000194639</w:t>
            </w:r>
          </w:p>
        </w:tc>
      </w:tr>
      <w:tr w14:paraId="471DFB74" w14:textId="77777777" w:rsidTr="00003ED9">
        <w:tblPrEx>
          <w:tblW w:w="9378" w:type="dxa"/>
          <w:tblInd w:w="110" w:type="dxa"/>
          <w:tblLayout w:type="fixed"/>
          <w:tblCellMar>
            <w:left w:w="0" w:type="dxa"/>
            <w:right w:w="0" w:type="dxa"/>
          </w:tblCellMar>
          <w:tblLook w:val="01E0"/>
        </w:tblPrEx>
        <w:trPr>
          <w:trHeight w:val="758"/>
        </w:trPr>
        <w:tc>
          <w:tcPr>
            <w:tcW w:w="1366" w:type="dxa"/>
          </w:tcPr>
          <w:p w:rsidR="00CB5C9A" w:rsidRPr="008C1D05" w:rsidP="00CB5C9A" w14:paraId="471BDFE1" w14:textId="58D41076">
            <w:pPr>
              <w:pStyle w:val="TableParagraph"/>
              <w:spacing w:line="238" w:lineRule="exact"/>
              <w:ind w:left="107"/>
            </w:pPr>
            <w:r w:rsidRPr="008C1D05">
              <w:t>KOND(FM)</w:t>
            </w:r>
          </w:p>
        </w:tc>
        <w:tc>
          <w:tcPr>
            <w:tcW w:w="900" w:type="dxa"/>
          </w:tcPr>
          <w:p w:rsidR="00CB5C9A" w:rsidRPr="008C1D05" w:rsidP="00CB5C9A" w14:paraId="6F23C259" w14:textId="714D0F5B">
            <w:pPr>
              <w:pStyle w:val="TableParagraph"/>
              <w:spacing w:line="238" w:lineRule="exact"/>
              <w:ind w:right="96"/>
              <w:jc w:val="right"/>
            </w:pPr>
            <w:r w:rsidRPr="008C1D05">
              <w:t>26266</w:t>
            </w:r>
          </w:p>
        </w:tc>
        <w:tc>
          <w:tcPr>
            <w:tcW w:w="1440" w:type="dxa"/>
          </w:tcPr>
          <w:p w:rsidR="00CB5C9A" w:rsidRPr="008C1D05" w:rsidP="00CB5C9A" w14:paraId="3F1DDF0F" w14:textId="6424E074">
            <w:pPr>
              <w:pStyle w:val="TableParagraph"/>
              <w:spacing w:line="238" w:lineRule="exact"/>
              <w:ind w:left="105"/>
            </w:pPr>
            <w:r w:rsidRPr="008C1D05">
              <w:t>Hanford, CA</w:t>
            </w:r>
          </w:p>
        </w:tc>
        <w:tc>
          <w:tcPr>
            <w:tcW w:w="1620" w:type="dxa"/>
          </w:tcPr>
          <w:p w:rsidR="00CB5C9A" w:rsidRPr="008C1D05" w:rsidP="00CB5C9A" w14:paraId="1508B310" w14:textId="512D03E9">
            <w:pPr>
              <w:pStyle w:val="TableParagraph"/>
              <w:spacing w:line="238" w:lineRule="exact"/>
              <w:ind w:left="105"/>
            </w:pPr>
            <w:r w:rsidRPr="008C1D05">
              <w:t>Univision Radio Stations Group, Inc.</w:t>
            </w:r>
          </w:p>
        </w:tc>
        <w:tc>
          <w:tcPr>
            <w:tcW w:w="2429" w:type="dxa"/>
          </w:tcPr>
          <w:p w:rsidR="00CB5C9A" w:rsidRPr="008C1D05" w:rsidP="00CB5C9A" w14:paraId="2ACCA27A" w14:textId="46FBF243">
            <w:pPr>
              <w:pStyle w:val="TableParagraph"/>
              <w:spacing w:line="238" w:lineRule="exact"/>
              <w:ind w:left="105"/>
            </w:pPr>
            <w:r w:rsidRPr="008C1D05">
              <w:t>Latino Media Network, LLC</w:t>
            </w:r>
          </w:p>
        </w:tc>
        <w:tc>
          <w:tcPr>
            <w:tcW w:w="1623" w:type="dxa"/>
          </w:tcPr>
          <w:p w:rsidR="00CB5C9A" w:rsidRPr="008C1D05" w:rsidP="00CB5C9A" w14:paraId="205A6694" w14:textId="3A2B2E93">
            <w:pPr>
              <w:pStyle w:val="TableParagraph"/>
              <w:spacing w:line="250" w:lineRule="atLeast"/>
              <w:ind w:left="107"/>
            </w:pPr>
            <w:r w:rsidRPr="008C1D05">
              <w:t>0000194640</w:t>
            </w:r>
          </w:p>
        </w:tc>
      </w:tr>
      <w:tr w14:paraId="0F680146" w14:textId="77777777" w:rsidTr="00003ED9">
        <w:tblPrEx>
          <w:tblW w:w="9378" w:type="dxa"/>
          <w:tblInd w:w="110" w:type="dxa"/>
          <w:tblLayout w:type="fixed"/>
          <w:tblCellMar>
            <w:left w:w="0" w:type="dxa"/>
            <w:right w:w="0" w:type="dxa"/>
          </w:tblCellMar>
          <w:tblLook w:val="01E0"/>
        </w:tblPrEx>
        <w:trPr>
          <w:trHeight w:val="757"/>
        </w:trPr>
        <w:tc>
          <w:tcPr>
            <w:tcW w:w="1366" w:type="dxa"/>
          </w:tcPr>
          <w:p w:rsidR="00CB5C9A" w:rsidRPr="008C1D05" w:rsidP="00CB5C9A" w14:paraId="4E5C68DD" w14:textId="5EB52E3F">
            <w:pPr>
              <w:pStyle w:val="TableParagraph"/>
              <w:spacing w:line="238" w:lineRule="exact"/>
              <w:ind w:left="107"/>
            </w:pPr>
            <w:r w:rsidRPr="008C1D05">
              <w:t>WRTO(AM)</w:t>
            </w:r>
          </w:p>
        </w:tc>
        <w:tc>
          <w:tcPr>
            <w:tcW w:w="900" w:type="dxa"/>
          </w:tcPr>
          <w:p w:rsidR="00CB5C9A" w:rsidRPr="008C1D05" w:rsidP="00CB5C9A" w14:paraId="018E1E7B" w14:textId="6BB3C84F">
            <w:pPr>
              <w:pStyle w:val="TableParagraph"/>
              <w:spacing w:line="238" w:lineRule="exact"/>
              <w:ind w:right="96"/>
              <w:jc w:val="right"/>
            </w:pPr>
            <w:r w:rsidRPr="008C1D05">
              <w:t>11196</w:t>
            </w:r>
          </w:p>
        </w:tc>
        <w:tc>
          <w:tcPr>
            <w:tcW w:w="1440" w:type="dxa"/>
          </w:tcPr>
          <w:p w:rsidR="00CB5C9A" w:rsidRPr="008C1D05" w:rsidP="00CB5C9A" w14:paraId="1B6EDB77" w14:textId="63C37905">
            <w:pPr>
              <w:pStyle w:val="TableParagraph"/>
              <w:spacing w:line="250" w:lineRule="atLeast"/>
              <w:ind w:left="105" w:right="194"/>
            </w:pPr>
            <w:r w:rsidRPr="008C1D05">
              <w:t>Chicago, IL</w:t>
            </w:r>
          </w:p>
        </w:tc>
        <w:tc>
          <w:tcPr>
            <w:tcW w:w="1620" w:type="dxa"/>
          </w:tcPr>
          <w:p w:rsidR="00CB5C9A" w:rsidRPr="008C1D05" w:rsidP="00CB5C9A" w14:paraId="36E0F14C" w14:textId="2D6CAA5C">
            <w:pPr>
              <w:pStyle w:val="TableParagraph"/>
              <w:spacing w:line="238" w:lineRule="exact"/>
              <w:ind w:left="105"/>
            </w:pPr>
            <w:r w:rsidRPr="008C1D05">
              <w:t>Univision Radio Stations Group, Inc.</w:t>
            </w:r>
          </w:p>
        </w:tc>
        <w:tc>
          <w:tcPr>
            <w:tcW w:w="2429" w:type="dxa"/>
          </w:tcPr>
          <w:p w:rsidR="00CB5C9A" w:rsidRPr="008C1D05" w:rsidP="00CB5C9A" w14:paraId="04E8DF6B" w14:textId="3CD0664F">
            <w:pPr>
              <w:pStyle w:val="TableParagraph"/>
              <w:spacing w:line="238" w:lineRule="exact"/>
              <w:ind w:left="105"/>
            </w:pPr>
            <w:r w:rsidRPr="008C1D05">
              <w:t>Latino Media Network, LLC</w:t>
            </w:r>
          </w:p>
        </w:tc>
        <w:tc>
          <w:tcPr>
            <w:tcW w:w="1623" w:type="dxa"/>
          </w:tcPr>
          <w:p w:rsidR="00CB5C9A" w:rsidRPr="008C1D05" w:rsidP="00CB5C9A" w14:paraId="5F09A0BB" w14:textId="50EF0600">
            <w:pPr>
              <w:pStyle w:val="TableParagraph"/>
              <w:spacing w:line="250" w:lineRule="atLeast"/>
              <w:ind w:left="107"/>
            </w:pPr>
            <w:r w:rsidRPr="008C1D05">
              <w:t>0000194641</w:t>
            </w:r>
          </w:p>
        </w:tc>
      </w:tr>
      <w:tr w14:paraId="2F902203" w14:textId="77777777" w:rsidTr="00003ED9">
        <w:tblPrEx>
          <w:tblW w:w="9378" w:type="dxa"/>
          <w:tblInd w:w="110" w:type="dxa"/>
          <w:tblLayout w:type="fixed"/>
          <w:tblCellMar>
            <w:left w:w="0" w:type="dxa"/>
            <w:right w:w="0" w:type="dxa"/>
          </w:tblCellMar>
          <w:tblLook w:val="01E0"/>
        </w:tblPrEx>
        <w:trPr>
          <w:trHeight w:val="539"/>
        </w:trPr>
        <w:tc>
          <w:tcPr>
            <w:tcW w:w="1366" w:type="dxa"/>
          </w:tcPr>
          <w:p w:rsidR="00CB5C9A" w:rsidRPr="008C1D05" w:rsidP="00CB5C9A" w14:paraId="068BD327" w14:textId="01BA1234">
            <w:pPr>
              <w:pStyle w:val="TableParagraph"/>
              <w:spacing w:line="238" w:lineRule="exact"/>
              <w:ind w:left="107"/>
            </w:pPr>
            <w:r w:rsidRPr="008C1D05">
              <w:t>KLLE(FM)</w:t>
            </w:r>
          </w:p>
        </w:tc>
        <w:tc>
          <w:tcPr>
            <w:tcW w:w="900" w:type="dxa"/>
          </w:tcPr>
          <w:p w:rsidR="00CB5C9A" w:rsidRPr="008C1D05" w:rsidP="00CB5C9A" w14:paraId="7C759CB9" w14:textId="2FF56E69">
            <w:pPr>
              <w:pStyle w:val="TableParagraph"/>
              <w:spacing w:line="238" w:lineRule="exact"/>
              <w:ind w:right="96"/>
              <w:jc w:val="right"/>
            </w:pPr>
            <w:r w:rsidRPr="008C1D05">
              <w:t>31716</w:t>
            </w:r>
          </w:p>
        </w:tc>
        <w:tc>
          <w:tcPr>
            <w:tcW w:w="1440" w:type="dxa"/>
          </w:tcPr>
          <w:p w:rsidR="00CB5C9A" w:rsidRPr="008C1D05" w:rsidP="00CB5C9A" w14:paraId="470A6170" w14:textId="57C39EAB">
            <w:pPr>
              <w:pStyle w:val="TableParagraph"/>
              <w:spacing w:before="15" w:line="252" w:lineRule="exact"/>
              <w:ind w:left="105" w:right="469"/>
            </w:pPr>
            <w:r w:rsidRPr="008C1D05">
              <w:t>North Fork, CA</w:t>
            </w:r>
          </w:p>
        </w:tc>
        <w:tc>
          <w:tcPr>
            <w:tcW w:w="1620" w:type="dxa"/>
          </w:tcPr>
          <w:p w:rsidR="00CB5C9A" w:rsidRPr="008C1D05" w:rsidP="00CB5C9A" w14:paraId="7448E5D1" w14:textId="00C890BA">
            <w:pPr>
              <w:pStyle w:val="TableParagraph"/>
              <w:spacing w:before="15" w:line="252" w:lineRule="exact"/>
              <w:ind w:left="105" w:right="118"/>
            </w:pPr>
            <w:r w:rsidRPr="008C1D05">
              <w:t>Univision Radio Stations Group, Inc.</w:t>
            </w:r>
          </w:p>
        </w:tc>
        <w:tc>
          <w:tcPr>
            <w:tcW w:w="2429" w:type="dxa"/>
          </w:tcPr>
          <w:p w:rsidR="00CB5C9A" w:rsidRPr="008C1D05" w:rsidP="00CB5C9A" w14:paraId="2BA584DA" w14:textId="2964DDF4">
            <w:pPr>
              <w:pStyle w:val="TableParagraph"/>
              <w:spacing w:before="15" w:line="252" w:lineRule="exact"/>
              <w:ind w:left="105" w:right="174"/>
            </w:pPr>
            <w:r w:rsidRPr="008C1D05">
              <w:t>Latino Media Network, LLC</w:t>
            </w:r>
          </w:p>
        </w:tc>
        <w:tc>
          <w:tcPr>
            <w:tcW w:w="1623" w:type="dxa"/>
          </w:tcPr>
          <w:p w:rsidR="00CB5C9A" w:rsidRPr="008C1D05" w:rsidP="00CB5C9A" w14:paraId="07E677D7" w14:textId="225EAEEA">
            <w:pPr>
              <w:pStyle w:val="TableParagraph"/>
              <w:spacing w:before="15" w:line="252" w:lineRule="exact"/>
              <w:ind w:left="107"/>
            </w:pPr>
            <w:r w:rsidRPr="008C1D05">
              <w:t>0000194642</w:t>
            </w:r>
          </w:p>
        </w:tc>
      </w:tr>
      <w:tr w14:paraId="723A9CF8" w14:textId="77777777" w:rsidTr="00003ED9">
        <w:tblPrEx>
          <w:tblW w:w="9378" w:type="dxa"/>
          <w:tblInd w:w="110" w:type="dxa"/>
          <w:tblLayout w:type="fixed"/>
          <w:tblCellMar>
            <w:left w:w="0" w:type="dxa"/>
            <w:right w:w="0" w:type="dxa"/>
          </w:tblCellMar>
          <w:tblLook w:val="01E0"/>
        </w:tblPrEx>
        <w:trPr>
          <w:trHeight w:val="801"/>
        </w:trPr>
        <w:tc>
          <w:tcPr>
            <w:tcW w:w="1366" w:type="dxa"/>
          </w:tcPr>
          <w:p w:rsidR="00CB5C9A" w:rsidRPr="008C1D05" w:rsidP="00CB5C9A" w14:paraId="61C24824" w14:textId="0ED631CE">
            <w:pPr>
              <w:pStyle w:val="TableParagraph"/>
              <w:spacing w:line="238" w:lineRule="exact"/>
              <w:ind w:left="107"/>
            </w:pPr>
            <w:r w:rsidRPr="008C1D05">
              <w:t>KRGT</w:t>
            </w:r>
            <w:r w:rsidRPr="008C1D05" w:rsidR="007864AF">
              <w:t>(FM)</w:t>
            </w:r>
          </w:p>
        </w:tc>
        <w:tc>
          <w:tcPr>
            <w:tcW w:w="900" w:type="dxa"/>
          </w:tcPr>
          <w:p w:rsidR="00CB5C9A" w:rsidRPr="008C1D05" w:rsidP="00CB5C9A" w14:paraId="63B71373" w14:textId="0D83D7ED">
            <w:pPr>
              <w:pStyle w:val="TableParagraph"/>
              <w:spacing w:line="238" w:lineRule="exact"/>
              <w:ind w:right="96"/>
              <w:jc w:val="right"/>
            </w:pPr>
            <w:r w:rsidRPr="008C1D05">
              <w:t>11614</w:t>
            </w:r>
          </w:p>
        </w:tc>
        <w:tc>
          <w:tcPr>
            <w:tcW w:w="1440" w:type="dxa"/>
          </w:tcPr>
          <w:p w:rsidR="00CB5C9A" w:rsidRPr="008C1D05" w:rsidP="00CB5C9A" w14:paraId="3B7D3AA2" w14:textId="094B5C9A">
            <w:pPr>
              <w:pStyle w:val="TableParagraph"/>
              <w:spacing w:line="238" w:lineRule="exact"/>
              <w:ind w:left="105"/>
            </w:pPr>
            <w:r w:rsidRPr="008C1D05">
              <w:t>Sunrise Manor, NV</w:t>
            </w:r>
          </w:p>
        </w:tc>
        <w:tc>
          <w:tcPr>
            <w:tcW w:w="1620" w:type="dxa"/>
          </w:tcPr>
          <w:p w:rsidR="00CB5C9A" w:rsidRPr="008C1D05" w:rsidP="00CB5C9A" w14:paraId="6AB2049F" w14:textId="23BF48A4">
            <w:pPr>
              <w:pStyle w:val="TableParagraph"/>
              <w:spacing w:line="238" w:lineRule="exact"/>
              <w:ind w:left="105"/>
            </w:pPr>
            <w:r w:rsidRPr="008C1D05">
              <w:t>Univision Radio Stations Group, Inc.</w:t>
            </w:r>
          </w:p>
        </w:tc>
        <w:tc>
          <w:tcPr>
            <w:tcW w:w="2429" w:type="dxa"/>
          </w:tcPr>
          <w:p w:rsidR="00CB5C9A" w:rsidRPr="008C1D05" w:rsidP="00CB5C9A" w14:paraId="1D6422FE" w14:textId="7C527CFD">
            <w:pPr>
              <w:pStyle w:val="TableParagraph"/>
              <w:spacing w:line="250" w:lineRule="atLeast"/>
              <w:ind w:left="105" w:right="174"/>
            </w:pPr>
            <w:r w:rsidRPr="008C1D05">
              <w:t>Latino Media Network, LLC</w:t>
            </w:r>
          </w:p>
        </w:tc>
        <w:tc>
          <w:tcPr>
            <w:tcW w:w="1623" w:type="dxa"/>
          </w:tcPr>
          <w:p w:rsidR="00CB5C9A" w:rsidRPr="008C1D05" w:rsidP="00CB5C9A" w14:paraId="650E575E" w14:textId="09C07ACB">
            <w:pPr>
              <w:pStyle w:val="TableParagraph"/>
              <w:spacing w:line="250" w:lineRule="atLeast"/>
              <w:ind w:left="107"/>
            </w:pPr>
            <w:r w:rsidRPr="008C1D05">
              <w:t>0000194643</w:t>
            </w:r>
          </w:p>
        </w:tc>
      </w:tr>
      <w:tr w14:paraId="62C3DF18" w14:textId="77777777" w:rsidTr="00003ED9">
        <w:tblPrEx>
          <w:tblW w:w="9378" w:type="dxa"/>
          <w:tblInd w:w="110" w:type="dxa"/>
          <w:tblLayout w:type="fixed"/>
          <w:tblCellMar>
            <w:left w:w="0" w:type="dxa"/>
            <w:right w:w="0" w:type="dxa"/>
          </w:tblCellMar>
          <w:tblLook w:val="01E0"/>
        </w:tblPrEx>
        <w:trPr>
          <w:trHeight w:val="757"/>
        </w:trPr>
        <w:tc>
          <w:tcPr>
            <w:tcW w:w="1366" w:type="dxa"/>
          </w:tcPr>
          <w:p w:rsidR="00CB5C9A" w:rsidRPr="008C1D05" w:rsidP="00CB5C9A" w14:paraId="4FFF8AF2" w14:textId="4954DA8F">
            <w:pPr>
              <w:pStyle w:val="TableParagraph"/>
              <w:spacing w:line="238" w:lineRule="exact"/>
              <w:ind w:left="107"/>
            </w:pPr>
            <w:r w:rsidRPr="008C1D05">
              <w:t>WADO</w:t>
            </w:r>
            <w:r w:rsidRPr="008C1D05" w:rsidR="007864AF">
              <w:t>(AM)</w:t>
            </w:r>
          </w:p>
        </w:tc>
        <w:tc>
          <w:tcPr>
            <w:tcW w:w="900" w:type="dxa"/>
          </w:tcPr>
          <w:p w:rsidR="00CB5C9A" w:rsidRPr="008C1D05" w:rsidP="00CB5C9A" w14:paraId="269EFEC3" w14:textId="673605C5">
            <w:pPr>
              <w:pStyle w:val="TableParagraph"/>
              <w:spacing w:line="238" w:lineRule="exact"/>
              <w:ind w:right="96"/>
              <w:jc w:val="right"/>
            </w:pPr>
            <w:r w:rsidRPr="008C1D05">
              <w:t>70684</w:t>
            </w:r>
          </w:p>
        </w:tc>
        <w:tc>
          <w:tcPr>
            <w:tcW w:w="1440" w:type="dxa"/>
          </w:tcPr>
          <w:p w:rsidR="00CB5C9A" w:rsidRPr="008C1D05" w:rsidP="00CB5C9A" w14:paraId="77087627" w14:textId="02E37AF4">
            <w:pPr>
              <w:pStyle w:val="TableParagraph"/>
              <w:spacing w:line="238" w:lineRule="exact"/>
              <w:ind w:left="105"/>
            </w:pPr>
            <w:r w:rsidRPr="008C1D05">
              <w:t>New York, NY</w:t>
            </w:r>
          </w:p>
        </w:tc>
        <w:tc>
          <w:tcPr>
            <w:tcW w:w="1620" w:type="dxa"/>
          </w:tcPr>
          <w:p w:rsidR="00CB5C9A" w:rsidRPr="008C1D05" w:rsidP="00CB5C9A" w14:paraId="7AEBB615" w14:textId="230BA991">
            <w:pPr>
              <w:pStyle w:val="TableParagraph"/>
              <w:spacing w:line="252" w:lineRule="exact"/>
              <w:ind w:left="105"/>
            </w:pPr>
            <w:r w:rsidRPr="008C1D05">
              <w:t>Univision Radio Stations Group, Inc.</w:t>
            </w:r>
          </w:p>
        </w:tc>
        <w:tc>
          <w:tcPr>
            <w:tcW w:w="2429" w:type="dxa"/>
          </w:tcPr>
          <w:p w:rsidR="00CB5C9A" w:rsidRPr="008C1D05" w:rsidP="00CB5C9A" w14:paraId="29E39E16" w14:textId="1174DD58">
            <w:pPr>
              <w:pStyle w:val="TableParagraph"/>
              <w:spacing w:line="252" w:lineRule="exact"/>
              <w:ind w:left="105" w:right="174"/>
            </w:pPr>
            <w:r w:rsidRPr="008C1D05">
              <w:t>Latino Media Network, LLC</w:t>
            </w:r>
          </w:p>
        </w:tc>
        <w:tc>
          <w:tcPr>
            <w:tcW w:w="1623" w:type="dxa"/>
          </w:tcPr>
          <w:p w:rsidR="00CB5C9A" w:rsidRPr="008C1D05" w:rsidP="00CB5C9A" w14:paraId="26CB5D37" w14:textId="59EB3112">
            <w:pPr>
              <w:pStyle w:val="TableParagraph"/>
              <w:spacing w:line="252" w:lineRule="exact"/>
              <w:ind w:left="107"/>
            </w:pPr>
            <w:r w:rsidRPr="008C1D05">
              <w:t>0000194644</w:t>
            </w:r>
          </w:p>
        </w:tc>
      </w:tr>
      <w:tr w14:paraId="75D30683" w14:textId="77777777" w:rsidTr="00003ED9">
        <w:tblPrEx>
          <w:tblW w:w="9378" w:type="dxa"/>
          <w:tblInd w:w="110" w:type="dxa"/>
          <w:tblLayout w:type="fixed"/>
          <w:tblCellMar>
            <w:left w:w="0" w:type="dxa"/>
            <w:right w:w="0" w:type="dxa"/>
          </w:tblCellMar>
          <w:tblLook w:val="01E0"/>
        </w:tblPrEx>
        <w:trPr>
          <w:trHeight w:val="760"/>
        </w:trPr>
        <w:tc>
          <w:tcPr>
            <w:tcW w:w="1366" w:type="dxa"/>
          </w:tcPr>
          <w:p w:rsidR="004171AC" w:rsidRPr="008C1D05" w:rsidP="004171AC" w14:paraId="24DF7B0A" w14:textId="46C61045">
            <w:pPr>
              <w:pStyle w:val="TableParagraph"/>
              <w:spacing w:line="240" w:lineRule="exact"/>
              <w:ind w:left="107"/>
            </w:pPr>
            <w:r w:rsidRPr="008C1D05">
              <w:t>KRDA</w:t>
            </w:r>
            <w:r w:rsidRPr="008C1D05" w:rsidR="007864AF">
              <w:t>(FM)</w:t>
            </w:r>
          </w:p>
        </w:tc>
        <w:tc>
          <w:tcPr>
            <w:tcW w:w="900" w:type="dxa"/>
          </w:tcPr>
          <w:p w:rsidR="004171AC" w:rsidRPr="008C1D05" w:rsidP="004171AC" w14:paraId="7C21C317" w14:textId="6D76731A">
            <w:pPr>
              <w:pStyle w:val="TableParagraph"/>
              <w:spacing w:line="240" w:lineRule="exact"/>
              <w:ind w:right="96"/>
              <w:jc w:val="right"/>
            </w:pPr>
            <w:r w:rsidRPr="008C1D05">
              <w:t>39567</w:t>
            </w:r>
          </w:p>
        </w:tc>
        <w:tc>
          <w:tcPr>
            <w:tcW w:w="1440" w:type="dxa"/>
          </w:tcPr>
          <w:p w:rsidR="004171AC" w:rsidRPr="008C1D05" w:rsidP="004171AC" w14:paraId="4D726EED" w14:textId="04CA80C5">
            <w:pPr>
              <w:pStyle w:val="TableParagraph"/>
              <w:spacing w:line="240" w:lineRule="exact"/>
              <w:ind w:left="105"/>
            </w:pPr>
            <w:r w:rsidRPr="008C1D05">
              <w:t>Clovis, CA</w:t>
            </w:r>
          </w:p>
        </w:tc>
        <w:tc>
          <w:tcPr>
            <w:tcW w:w="1620" w:type="dxa"/>
          </w:tcPr>
          <w:p w:rsidR="004171AC" w:rsidRPr="008C1D05" w:rsidP="004171AC" w14:paraId="3A166BC4" w14:textId="6B92CFDC">
            <w:pPr>
              <w:pStyle w:val="TableParagraph"/>
              <w:spacing w:line="252" w:lineRule="exact"/>
              <w:ind w:left="105"/>
            </w:pPr>
            <w:r w:rsidRPr="008C1D05">
              <w:t>Univision Radio Stations Group, Inc.</w:t>
            </w:r>
          </w:p>
        </w:tc>
        <w:tc>
          <w:tcPr>
            <w:tcW w:w="2429" w:type="dxa"/>
          </w:tcPr>
          <w:p w:rsidR="004171AC" w:rsidRPr="008C1D05" w:rsidP="004171AC" w14:paraId="38DC2D8B" w14:textId="7A3D0F79">
            <w:pPr>
              <w:pStyle w:val="TableParagraph"/>
              <w:spacing w:line="252" w:lineRule="exact"/>
              <w:ind w:left="105" w:right="174"/>
            </w:pPr>
            <w:r w:rsidRPr="008C1D05">
              <w:t>Latino Media Network, LLC</w:t>
            </w:r>
          </w:p>
        </w:tc>
        <w:tc>
          <w:tcPr>
            <w:tcW w:w="1623" w:type="dxa"/>
          </w:tcPr>
          <w:p w:rsidR="004171AC" w:rsidRPr="008C1D05" w:rsidP="004171AC" w14:paraId="3A1FECFA" w14:textId="567437BD">
            <w:pPr>
              <w:pStyle w:val="TableParagraph"/>
              <w:spacing w:line="252" w:lineRule="exact"/>
              <w:ind w:left="107"/>
            </w:pPr>
            <w:r w:rsidRPr="008C1D05">
              <w:t>0000194645</w:t>
            </w:r>
          </w:p>
        </w:tc>
      </w:tr>
      <w:tr w14:paraId="7D409756" w14:textId="77777777" w:rsidTr="00003ED9">
        <w:tblPrEx>
          <w:tblW w:w="9378" w:type="dxa"/>
          <w:tblInd w:w="110" w:type="dxa"/>
          <w:tblLayout w:type="fixed"/>
          <w:tblCellMar>
            <w:left w:w="0" w:type="dxa"/>
            <w:right w:w="0" w:type="dxa"/>
          </w:tblCellMar>
          <w:tblLook w:val="01E0"/>
        </w:tblPrEx>
        <w:trPr>
          <w:trHeight w:val="758"/>
        </w:trPr>
        <w:tc>
          <w:tcPr>
            <w:tcW w:w="1366" w:type="dxa"/>
          </w:tcPr>
          <w:p w:rsidR="004171AC" w:rsidRPr="008C1D05" w:rsidP="004171AC" w14:paraId="5209D246" w14:textId="34EF80F6">
            <w:pPr>
              <w:pStyle w:val="TableParagraph"/>
              <w:spacing w:line="238" w:lineRule="exact"/>
              <w:ind w:left="107"/>
            </w:pPr>
            <w:r w:rsidRPr="008C1D05">
              <w:t>KISF</w:t>
            </w:r>
            <w:r w:rsidRPr="008C1D05" w:rsidR="007864AF">
              <w:t>(FM)</w:t>
            </w:r>
          </w:p>
        </w:tc>
        <w:tc>
          <w:tcPr>
            <w:tcW w:w="900" w:type="dxa"/>
          </w:tcPr>
          <w:p w:rsidR="004171AC" w:rsidRPr="008C1D05" w:rsidP="004171AC" w14:paraId="7AE00815" w14:textId="78B97337">
            <w:pPr>
              <w:pStyle w:val="TableParagraph"/>
              <w:spacing w:line="238" w:lineRule="exact"/>
              <w:ind w:right="96"/>
              <w:jc w:val="right"/>
            </w:pPr>
            <w:r w:rsidRPr="008C1D05">
              <w:t>28893</w:t>
            </w:r>
          </w:p>
        </w:tc>
        <w:tc>
          <w:tcPr>
            <w:tcW w:w="1440" w:type="dxa"/>
          </w:tcPr>
          <w:p w:rsidR="004171AC" w:rsidRPr="008C1D05" w:rsidP="004171AC" w14:paraId="2A73B770" w14:textId="41CBD1A1">
            <w:pPr>
              <w:pStyle w:val="TableParagraph"/>
              <w:spacing w:line="250" w:lineRule="atLeast"/>
              <w:ind w:left="105" w:right="194"/>
            </w:pPr>
            <w:r w:rsidRPr="008C1D05">
              <w:t>Las Vegas, NV</w:t>
            </w:r>
          </w:p>
        </w:tc>
        <w:tc>
          <w:tcPr>
            <w:tcW w:w="1620" w:type="dxa"/>
          </w:tcPr>
          <w:p w:rsidR="004171AC" w:rsidRPr="008C1D05" w:rsidP="004171AC" w14:paraId="26AD184E" w14:textId="188FF019">
            <w:pPr>
              <w:pStyle w:val="TableParagraph"/>
              <w:spacing w:line="238" w:lineRule="exact"/>
              <w:ind w:left="105"/>
            </w:pPr>
            <w:r w:rsidRPr="008C1D05">
              <w:t>Univision Radio Stations Group, Inc.</w:t>
            </w:r>
          </w:p>
        </w:tc>
        <w:tc>
          <w:tcPr>
            <w:tcW w:w="2429" w:type="dxa"/>
          </w:tcPr>
          <w:p w:rsidR="004171AC" w:rsidRPr="008C1D05" w:rsidP="004171AC" w14:paraId="2323032F" w14:textId="64FAA28E">
            <w:pPr>
              <w:pStyle w:val="TableParagraph"/>
              <w:spacing w:line="250" w:lineRule="atLeast"/>
              <w:ind w:left="105" w:right="174"/>
            </w:pPr>
            <w:r w:rsidRPr="008C1D05">
              <w:t>Latino Media Network, LLC</w:t>
            </w:r>
          </w:p>
        </w:tc>
        <w:tc>
          <w:tcPr>
            <w:tcW w:w="1623" w:type="dxa"/>
          </w:tcPr>
          <w:p w:rsidR="004171AC" w:rsidRPr="008C1D05" w:rsidP="004171AC" w14:paraId="0EE834DC" w14:textId="4FAC9649">
            <w:pPr>
              <w:pStyle w:val="TableParagraph"/>
              <w:spacing w:line="250" w:lineRule="atLeast"/>
              <w:ind w:left="107"/>
            </w:pPr>
            <w:r w:rsidRPr="008C1D05">
              <w:t>0000194646</w:t>
            </w:r>
          </w:p>
        </w:tc>
      </w:tr>
      <w:tr w14:paraId="397387EE" w14:textId="77777777" w:rsidTr="00003ED9">
        <w:tblPrEx>
          <w:tblW w:w="9378" w:type="dxa"/>
          <w:tblInd w:w="110" w:type="dxa"/>
          <w:tblLayout w:type="fixed"/>
          <w:tblCellMar>
            <w:left w:w="0" w:type="dxa"/>
            <w:right w:w="0" w:type="dxa"/>
          </w:tblCellMar>
          <w:tblLook w:val="01E0"/>
        </w:tblPrEx>
        <w:trPr>
          <w:trHeight w:val="760"/>
        </w:trPr>
        <w:tc>
          <w:tcPr>
            <w:tcW w:w="1366" w:type="dxa"/>
          </w:tcPr>
          <w:p w:rsidR="004171AC" w:rsidRPr="008C1D05" w:rsidP="004171AC" w14:paraId="0F22EE17" w14:textId="5D13E90E">
            <w:pPr>
              <w:pStyle w:val="TableParagraph"/>
              <w:spacing w:line="240" w:lineRule="exact"/>
              <w:ind w:left="107"/>
            </w:pPr>
            <w:r w:rsidRPr="008C1D05">
              <w:t>WAQI</w:t>
            </w:r>
            <w:r w:rsidRPr="008C1D05" w:rsidR="007864AF">
              <w:t>(AM)</w:t>
            </w:r>
          </w:p>
        </w:tc>
        <w:tc>
          <w:tcPr>
            <w:tcW w:w="900" w:type="dxa"/>
          </w:tcPr>
          <w:p w:rsidR="004171AC" w:rsidRPr="008C1D05" w:rsidP="004171AC" w14:paraId="76C64D5B" w14:textId="7FAC60CB">
            <w:pPr>
              <w:pStyle w:val="TableParagraph"/>
              <w:spacing w:line="240" w:lineRule="exact"/>
              <w:ind w:right="96"/>
              <w:jc w:val="right"/>
            </w:pPr>
            <w:r w:rsidRPr="008C1D05">
              <w:t>37254</w:t>
            </w:r>
          </w:p>
        </w:tc>
        <w:tc>
          <w:tcPr>
            <w:tcW w:w="1440" w:type="dxa"/>
          </w:tcPr>
          <w:p w:rsidR="004171AC" w:rsidRPr="008C1D05" w:rsidP="004171AC" w14:paraId="04D1D8E2" w14:textId="414D0C51">
            <w:pPr>
              <w:pStyle w:val="TableParagraph"/>
              <w:spacing w:line="252" w:lineRule="exact"/>
              <w:ind w:left="105" w:right="194"/>
            </w:pPr>
            <w:r w:rsidRPr="008C1D05">
              <w:t>Miami, FL</w:t>
            </w:r>
          </w:p>
        </w:tc>
        <w:tc>
          <w:tcPr>
            <w:tcW w:w="1620" w:type="dxa"/>
          </w:tcPr>
          <w:p w:rsidR="004171AC" w:rsidRPr="008C1D05" w:rsidP="004171AC" w14:paraId="443848A2" w14:textId="233DE149">
            <w:pPr>
              <w:pStyle w:val="TableParagraph"/>
              <w:spacing w:line="252" w:lineRule="exact"/>
              <w:ind w:left="105"/>
            </w:pPr>
            <w:r w:rsidRPr="008C1D05">
              <w:t>Univision Radio Stations Group, Inc.</w:t>
            </w:r>
          </w:p>
        </w:tc>
        <w:tc>
          <w:tcPr>
            <w:tcW w:w="2429" w:type="dxa"/>
          </w:tcPr>
          <w:p w:rsidR="004171AC" w:rsidRPr="008C1D05" w:rsidP="004171AC" w14:paraId="4F1E728D" w14:textId="17F8686A">
            <w:pPr>
              <w:pStyle w:val="TableParagraph"/>
              <w:spacing w:line="252" w:lineRule="exact"/>
              <w:ind w:left="105" w:right="174"/>
            </w:pPr>
            <w:r w:rsidRPr="008C1D05">
              <w:t>Latino Media Network, LLC</w:t>
            </w:r>
          </w:p>
        </w:tc>
        <w:tc>
          <w:tcPr>
            <w:tcW w:w="1623" w:type="dxa"/>
          </w:tcPr>
          <w:p w:rsidR="004171AC" w:rsidRPr="008C1D05" w:rsidP="004171AC" w14:paraId="26EEFD2E" w14:textId="0EFDF938">
            <w:pPr>
              <w:pStyle w:val="TableParagraph"/>
              <w:spacing w:line="252" w:lineRule="exact"/>
              <w:ind w:left="107"/>
            </w:pPr>
            <w:r w:rsidRPr="008C1D05">
              <w:t>0000194647</w:t>
            </w:r>
          </w:p>
        </w:tc>
      </w:tr>
      <w:tr w14:paraId="16E013CA" w14:textId="77777777" w:rsidTr="00003ED9">
        <w:tblPrEx>
          <w:tblW w:w="9378" w:type="dxa"/>
          <w:tblInd w:w="110" w:type="dxa"/>
          <w:tblLayout w:type="fixed"/>
          <w:tblCellMar>
            <w:left w:w="0" w:type="dxa"/>
            <w:right w:w="0" w:type="dxa"/>
          </w:tblCellMar>
          <w:tblLook w:val="01E0"/>
        </w:tblPrEx>
        <w:trPr>
          <w:trHeight w:val="760"/>
        </w:trPr>
        <w:tc>
          <w:tcPr>
            <w:tcW w:w="1366" w:type="dxa"/>
          </w:tcPr>
          <w:p w:rsidR="00CB1EC7" w:rsidRPr="008C1D05" w:rsidP="00CB1EC7" w14:paraId="2F68AB0C" w14:textId="70E2EBC2">
            <w:pPr>
              <w:pStyle w:val="TableParagraph"/>
              <w:spacing w:line="240" w:lineRule="exact"/>
              <w:ind w:left="107"/>
            </w:pPr>
            <w:r w:rsidRPr="008C1D05">
              <w:t>WQBA</w:t>
            </w:r>
            <w:r w:rsidRPr="008C1D05" w:rsidR="007864AF">
              <w:t>(AM)</w:t>
            </w:r>
          </w:p>
        </w:tc>
        <w:tc>
          <w:tcPr>
            <w:tcW w:w="900" w:type="dxa"/>
          </w:tcPr>
          <w:p w:rsidR="00CB1EC7" w:rsidRPr="008C1D05" w:rsidP="00CB1EC7" w14:paraId="5D76BA55" w14:textId="36646E29">
            <w:pPr>
              <w:pStyle w:val="TableParagraph"/>
              <w:spacing w:line="240" w:lineRule="exact"/>
              <w:ind w:right="96"/>
              <w:jc w:val="right"/>
            </w:pPr>
            <w:r w:rsidRPr="008C1D05">
              <w:t>73912</w:t>
            </w:r>
          </w:p>
        </w:tc>
        <w:tc>
          <w:tcPr>
            <w:tcW w:w="1440" w:type="dxa"/>
          </w:tcPr>
          <w:p w:rsidR="00CB1EC7" w:rsidRPr="008C1D05" w:rsidP="00CB1EC7" w14:paraId="2ED739F4" w14:textId="45E2EEBD">
            <w:pPr>
              <w:pStyle w:val="TableParagraph"/>
              <w:spacing w:line="252" w:lineRule="exact"/>
              <w:ind w:left="105" w:right="194"/>
            </w:pPr>
            <w:r w:rsidRPr="008C1D05">
              <w:t>Miami, FL</w:t>
            </w:r>
          </w:p>
        </w:tc>
        <w:tc>
          <w:tcPr>
            <w:tcW w:w="1620" w:type="dxa"/>
          </w:tcPr>
          <w:p w:rsidR="00CB1EC7" w:rsidRPr="008C1D05" w:rsidP="00CB1EC7" w14:paraId="11D70EC6" w14:textId="2DEDAC51">
            <w:pPr>
              <w:pStyle w:val="TableParagraph"/>
              <w:spacing w:line="252" w:lineRule="exact"/>
              <w:ind w:left="105"/>
            </w:pPr>
            <w:r w:rsidRPr="008C1D05">
              <w:t>Univision Radio Stations Group, Inc.</w:t>
            </w:r>
          </w:p>
        </w:tc>
        <w:tc>
          <w:tcPr>
            <w:tcW w:w="2429" w:type="dxa"/>
          </w:tcPr>
          <w:p w:rsidR="00CB1EC7" w:rsidRPr="008C1D05" w:rsidP="00CB1EC7" w14:paraId="025E8033" w14:textId="11F8693C">
            <w:pPr>
              <w:pStyle w:val="TableParagraph"/>
              <w:spacing w:line="252" w:lineRule="exact"/>
              <w:ind w:left="105" w:right="174"/>
            </w:pPr>
            <w:r w:rsidRPr="008C1D05">
              <w:t>Latino Media Network, LLC</w:t>
            </w:r>
          </w:p>
        </w:tc>
        <w:tc>
          <w:tcPr>
            <w:tcW w:w="1623" w:type="dxa"/>
          </w:tcPr>
          <w:p w:rsidR="00CB1EC7" w:rsidRPr="008C1D05" w:rsidP="00CB1EC7" w14:paraId="7E68D5D4" w14:textId="01E9D30E">
            <w:pPr>
              <w:pStyle w:val="TableParagraph"/>
              <w:spacing w:line="252" w:lineRule="exact"/>
              <w:ind w:left="107"/>
            </w:pPr>
            <w:r w:rsidRPr="008C1D05">
              <w:t>0000194648</w:t>
            </w:r>
          </w:p>
        </w:tc>
      </w:tr>
      <w:tr w14:paraId="1B7501EC" w14:textId="77777777" w:rsidTr="00003ED9">
        <w:tblPrEx>
          <w:tblW w:w="9378" w:type="dxa"/>
          <w:tblInd w:w="110" w:type="dxa"/>
          <w:tblLayout w:type="fixed"/>
          <w:tblCellMar>
            <w:left w:w="0" w:type="dxa"/>
            <w:right w:w="0" w:type="dxa"/>
          </w:tblCellMar>
          <w:tblLook w:val="01E0"/>
        </w:tblPrEx>
        <w:trPr>
          <w:trHeight w:val="760"/>
        </w:trPr>
        <w:tc>
          <w:tcPr>
            <w:tcW w:w="1366" w:type="dxa"/>
          </w:tcPr>
          <w:p w:rsidR="00003ED9" w:rsidRPr="008C1D05" w:rsidP="00003ED9" w14:paraId="47C3DECC" w14:textId="1F6D3AA1">
            <w:pPr>
              <w:pStyle w:val="TableParagraph"/>
              <w:spacing w:line="240" w:lineRule="exact"/>
              <w:ind w:left="107"/>
            </w:pPr>
            <w:r w:rsidRPr="008C1D05">
              <w:t>KLAT(AM)</w:t>
            </w:r>
          </w:p>
        </w:tc>
        <w:tc>
          <w:tcPr>
            <w:tcW w:w="900" w:type="dxa"/>
          </w:tcPr>
          <w:p w:rsidR="00003ED9" w:rsidRPr="008C1D05" w:rsidP="00003ED9" w14:paraId="40470C8E" w14:textId="3C6EEE48">
            <w:pPr>
              <w:pStyle w:val="TableParagraph"/>
              <w:spacing w:line="240" w:lineRule="exact"/>
              <w:ind w:right="96"/>
              <w:jc w:val="right"/>
            </w:pPr>
            <w:r w:rsidRPr="008C1D05">
              <w:t>67063</w:t>
            </w:r>
          </w:p>
        </w:tc>
        <w:tc>
          <w:tcPr>
            <w:tcW w:w="1440" w:type="dxa"/>
          </w:tcPr>
          <w:p w:rsidR="00003ED9" w:rsidRPr="008C1D05" w:rsidP="00003ED9" w14:paraId="00B97244" w14:textId="06B8180D">
            <w:pPr>
              <w:pStyle w:val="TableParagraph"/>
              <w:spacing w:line="252" w:lineRule="exact"/>
              <w:ind w:left="105" w:right="194"/>
            </w:pPr>
            <w:r w:rsidRPr="008C1D05">
              <w:t>Houston, TX</w:t>
            </w:r>
          </w:p>
        </w:tc>
        <w:tc>
          <w:tcPr>
            <w:tcW w:w="1620" w:type="dxa"/>
          </w:tcPr>
          <w:p w:rsidR="00003ED9" w:rsidRPr="008C1D05" w:rsidP="00003ED9" w14:paraId="65614389" w14:textId="5F7F60AB">
            <w:pPr>
              <w:pStyle w:val="TableParagraph"/>
              <w:spacing w:line="252" w:lineRule="exact"/>
              <w:ind w:left="105"/>
            </w:pPr>
            <w:r w:rsidRPr="008C1D05">
              <w:t>Tichenor License Corporation</w:t>
            </w:r>
          </w:p>
        </w:tc>
        <w:tc>
          <w:tcPr>
            <w:tcW w:w="2429" w:type="dxa"/>
          </w:tcPr>
          <w:p w:rsidR="00003ED9" w:rsidRPr="008C1D05" w:rsidP="00003ED9" w14:paraId="5F68DEBF" w14:textId="34AC77EF">
            <w:pPr>
              <w:pStyle w:val="TableParagraph"/>
              <w:spacing w:line="252" w:lineRule="exact"/>
              <w:ind w:left="105" w:right="174"/>
            </w:pPr>
            <w:r w:rsidRPr="008C1D05">
              <w:t>Latino Media Network, LLC</w:t>
            </w:r>
          </w:p>
        </w:tc>
        <w:tc>
          <w:tcPr>
            <w:tcW w:w="1623" w:type="dxa"/>
          </w:tcPr>
          <w:p w:rsidR="00003ED9" w:rsidRPr="008C1D05" w:rsidP="00003ED9" w14:paraId="553633FB" w14:textId="5781D04F">
            <w:pPr>
              <w:pStyle w:val="TableParagraph"/>
              <w:spacing w:line="252" w:lineRule="exact"/>
              <w:ind w:left="107"/>
            </w:pPr>
            <w:r w:rsidRPr="008C1D05">
              <w:t>0000194656</w:t>
            </w:r>
          </w:p>
        </w:tc>
      </w:tr>
      <w:tr w14:paraId="646307E0" w14:textId="77777777" w:rsidTr="00003ED9">
        <w:tblPrEx>
          <w:tblW w:w="9378" w:type="dxa"/>
          <w:tblInd w:w="110" w:type="dxa"/>
          <w:tblLayout w:type="fixed"/>
          <w:tblCellMar>
            <w:left w:w="0" w:type="dxa"/>
            <w:right w:w="0" w:type="dxa"/>
          </w:tblCellMar>
          <w:tblLook w:val="01E0"/>
        </w:tblPrEx>
        <w:trPr>
          <w:trHeight w:val="760"/>
        </w:trPr>
        <w:tc>
          <w:tcPr>
            <w:tcW w:w="1366" w:type="dxa"/>
          </w:tcPr>
          <w:p w:rsidR="00003ED9" w:rsidRPr="008C1D05" w:rsidP="00003ED9" w14:paraId="27272B3F" w14:textId="2A21414A">
            <w:pPr>
              <w:pStyle w:val="TableParagraph"/>
              <w:spacing w:line="240" w:lineRule="exact"/>
              <w:ind w:left="107"/>
            </w:pPr>
            <w:r w:rsidRPr="008C1D05">
              <w:t>KGBT(AM)</w:t>
            </w:r>
          </w:p>
        </w:tc>
        <w:tc>
          <w:tcPr>
            <w:tcW w:w="900" w:type="dxa"/>
          </w:tcPr>
          <w:p w:rsidR="00003ED9" w:rsidRPr="008C1D05" w:rsidP="00003ED9" w14:paraId="24B2C6A9" w14:textId="58D27E83">
            <w:pPr>
              <w:pStyle w:val="TableParagraph"/>
              <w:spacing w:line="240" w:lineRule="exact"/>
              <w:ind w:right="96"/>
              <w:jc w:val="right"/>
            </w:pPr>
            <w:r w:rsidRPr="008C1D05">
              <w:t>67067</w:t>
            </w:r>
          </w:p>
        </w:tc>
        <w:tc>
          <w:tcPr>
            <w:tcW w:w="1440" w:type="dxa"/>
          </w:tcPr>
          <w:p w:rsidR="00003ED9" w:rsidRPr="008C1D05" w:rsidP="00003ED9" w14:paraId="797C12C3" w14:textId="1E4C3E22">
            <w:pPr>
              <w:pStyle w:val="TableParagraph"/>
              <w:spacing w:line="252" w:lineRule="exact"/>
              <w:ind w:left="105" w:right="194"/>
            </w:pPr>
            <w:r w:rsidRPr="008C1D05">
              <w:t>Harlingen, TX</w:t>
            </w:r>
          </w:p>
        </w:tc>
        <w:tc>
          <w:tcPr>
            <w:tcW w:w="1620" w:type="dxa"/>
          </w:tcPr>
          <w:p w:rsidR="00003ED9" w:rsidRPr="008C1D05" w:rsidP="00003ED9" w14:paraId="27E8CD16" w14:textId="6DF87052">
            <w:pPr>
              <w:pStyle w:val="TableParagraph"/>
              <w:spacing w:line="252" w:lineRule="exact"/>
              <w:ind w:left="105"/>
            </w:pPr>
            <w:r w:rsidRPr="008C1D05">
              <w:t>Tichenor License Corporation</w:t>
            </w:r>
          </w:p>
        </w:tc>
        <w:tc>
          <w:tcPr>
            <w:tcW w:w="2429" w:type="dxa"/>
          </w:tcPr>
          <w:p w:rsidR="00003ED9" w:rsidRPr="008C1D05" w:rsidP="00003ED9" w14:paraId="29107D6A" w14:textId="6EF9EF0D">
            <w:pPr>
              <w:pStyle w:val="TableParagraph"/>
              <w:spacing w:line="252" w:lineRule="exact"/>
              <w:ind w:left="105" w:right="174"/>
            </w:pPr>
            <w:r w:rsidRPr="008C1D05">
              <w:t>Latino Media Network, LLC</w:t>
            </w:r>
          </w:p>
        </w:tc>
        <w:tc>
          <w:tcPr>
            <w:tcW w:w="1623" w:type="dxa"/>
          </w:tcPr>
          <w:p w:rsidR="00003ED9" w:rsidRPr="008C1D05" w:rsidP="00003ED9" w14:paraId="78A81CBA" w14:textId="0554A9E8">
            <w:pPr>
              <w:pStyle w:val="TableParagraph"/>
              <w:spacing w:line="252" w:lineRule="exact"/>
              <w:ind w:left="107"/>
            </w:pPr>
            <w:r w:rsidRPr="008C1D05">
              <w:t>0000194657</w:t>
            </w:r>
          </w:p>
        </w:tc>
      </w:tr>
      <w:tr w14:paraId="552274CF" w14:textId="77777777" w:rsidTr="00003ED9">
        <w:tblPrEx>
          <w:tblW w:w="9378" w:type="dxa"/>
          <w:tblInd w:w="110" w:type="dxa"/>
          <w:tblLayout w:type="fixed"/>
          <w:tblCellMar>
            <w:left w:w="0" w:type="dxa"/>
            <w:right w:w="0" w:type="dxa"/>
          </w:tblCellMar>
          <w:tblLook w:val="01E0"/>
        </w:tblPrEx>
        <w:trPr>
          <w:trHeight w:val="760"/>
        </w:trPr>
        <w:tc>
          <w:tcPr>
            <w:tcW w:w="1366" w:type="dxa"/>
          </w:tcPr>
          <w:p w:rsidR="00003ED9" w:rsidRPr="008C1D05" w:rsidP="00003ED9" w14:paraId="1984EB7D" w14:textId="1C06D737">
            <w:pPr>
              <w:pStyle w:val="TableParagraph"/>
              <w:spacing w:line="240" w:lineRule="exact"/>
              <w:ind w:left="107"/>
            </w:pPr>
            <w:r w:rsidRPr="008C1D05">
              <w:t>KXTN(AM)</w:t>
            </w:r>
          </w:p>
        </w:tc>
        <w:tc>
          <w:tcPr>
            <w:tcW w:w="900" w:type="dxa"/>
          </w:tcPr>
          <w:p w:rsidR="00003ED9" w:rsidRPr="008C1D05" w:rsidP="00003ED9" w14:paraId="1B4AE497" w14:textId="4D7B19B8">
            <w:pPr>
              <w:pStyle w:val="TableParagraph"/>
              <w:spacing w:line="240" w:lineRule="exact"/>
              <w:ind w:right="96"/>
              <w:jc w:val="right"/>
            </w:pPr>
            <w:r w:rsidRPr="008C1D05">
              <w:t>67069</w:t>
            </w:r>
          </w:p>
        </w:tc>
        <w:tc>
          <w:tcPr>
            <w:tcW w:w="1440" w:type="dxa"/>
          </w:tcPr>
          <w:p w:rsidR="00003ED9" w:rsidRPr="008C1D05" w:rsidP="00003ED9" w14:paraId="233047F4" w14:textId="06967F4A">
            <w:pPr>
              <w:pStyle w:val="TableParagraph"/>
              <w:spacing w:line="252" w:lineRule="exact"/>
              <w:ind w:left="105" w:right="194"/>
            </w:pPr>
            <w:r w:rsidRPr="008C1D05">
              <w:t>San Antonio, TX</w:t>
            </w:r>
          </w:p>
        </w:tc>
        <w:tc>
          <w:tcPr>
            <w:tcW w:w="1620" w:type="dxa"/>
          </w:tcPr>
          <w:p w:rsidR="00003ED9" w:rsidRPr="008C1D05" w:rsidP="00003ED9" w14:paraId="0E451FFB" w14:textId="569DEC62">
            <w:pPr>
              <w:pStyle w:val="TableParagraph"/>
              <w:spacing w:line="252" w:lineRule="exact"/>
              <w:ind w:left="105"/>
            </w:pPr>
            <w:r w:rsidRPr="008C1D05">
              <w:t>Tichenor License Corporation</w:t>
            </w:r>
          </w:p>
        </w:tc>
        <w:tc>
          <w:tcPr>
            <w:tcW w:w="2429" w:type="dxa"/>
          </w:tcPr>
          <w:p w:rsidR="00003ED9" w:rsidRPr="008C1D05" w:rsidP="00003ED9" w14:paraId="0CE8867A" w14:textId="038255C7">
            <w:pPr>
              <w:pStyle w:val="TableParagraph"/>
              <w:spacing w:line="252" w:lineRule="exact"/>
              <w:ind w:left="105" w:right="174"/>
            </w:pPr>
            <w:r w:rsidRPr="008C1D05">
              <w:t>Latino Media Network, LLC</w:t>
            </w:r>
          </w:p>
        </w:tc>
        <w:tc>
          <w:tcPr>
            <w:tcW w:w="1623" w:type="dxa"/>
          </w:tcPr>
          <w:p w:rsidR="00003ED9" w:rsidRPr="008C1D05" w:rsidP="00003ED9" w14:paraId="4F7BA2D4" w14:textId="3A217588">
            <w:pPr>
              <w:pStyle w:val="TableParagraph"/>
              <w:spacing w:line="252" w:lineRule="exact"/>
              <w:ind w:left="107"/>
            </w:pPr>
            <w:r w:rsidRPr="008C1D05">
              <w:t>0000194658</w:t>
            </w:r>
          </w:p>
        </w:tc>
      </w:tr>
      <w:tr w14:paraId="3CE418BF" w14:textId="77777777" w:rsidTr="00003ED9">
        <w:tblPrEx>
          <w:tblW w:w="9378" w:type="dxa"/>
          <w:tblInd w:w="110" w:type="dxa"/>
          <w:tblLayout w:type="fixed"/>
          <w:tblCellMar>
            <w:left w:w="0" w:type="dxa"/>
            <w:right w:w="0" w:type="dxa"/>
          </w:tblCellMar>
          <w:tblLook w:val="01E0"/>
        </w:tblPrEx>
        <w:trPr>
          <w:trHeight w:val="760"/>
        </w:trPr>
        <w:tc>
          <w:tcPr>
            <w:tcW w:w="1366" w:type="dxa"/>
          </w:tcPr>
          <w:p w:rsidR="00003ED9" w:rsidRPr="008C1D05" w:rsidP="00003ED9" w14:paraId="36DDC6AA" w14:textId="30A6ABC3">
            <w:pPr>
              <w:pStyle w:val="TableParagraph"/>
              <w:spacing w:line="240" w:lineRule="exact"/>
              <w:ind w:left="107"/>
            </w:pPr>
            <w:r w:rsidRPr="008C1D05">
              <w:t>KBTQ(FM)</w:t>
            </w:r>
          </w:p>
        </w:tc>
        <w:tc>
          <w:tcPr>
            <w:tcW w:w="900" w:type="dxa"/>
          </w:tcPr>
          <w:p w:rsidR="00003ED9" w:rsidRPr="008C1D05" w:rsidP="00003ED9" w14:paraId="751B3FDF" w14:textId="05182B04">
            <w:pPr>
              <w:pStyle w:val="TableParagraph"/>
              <w:spacing w:line="240" w:lineRule="exact"/>
              <w:ind w:right="96"/>
              <w:jc w:val="right"/>
            </w:pPr>
            <w:r w:rsidRPr="008C1D05">
              <w:t>67072</w:t>
            </w:r>
          </w:p>
        </w:tc>
        <w:tc>
          <w:tcPr>
            <w:tcW w:w="1440" w:type="dxa"/>
          </w:tcPr>
          <w:p w:rsidR="00003ED9" w:rsidRPr="008C1D05" w:rsidP="00003ED9" w14:paraId="316E3F3B" w14:textId="0B36DD65">
            <w:pPr>
              <w:pStyle w:val="TableParagraph"/>
              <w:spacing w:line="252" w:lineRule="exact"/>
              <w:ind w:left="105" w:right="194"/>
            </w:pPr>
            <w:r w:rsidRPr="008C1D05">
              <w:t>Harlingen, TX</w:t>
            </w:r>
          </w:p>
        </w:tc>
        <w:tc>
          <w:tcPr>
            <w:tcW w:w="1620" w:type="dxa"/>
          </w:tcPr>
          <w:p w:rsidR="00003ED9" w:rsidRPr="008C1D05" w:rsidP="00003ED9" w14:paraId="6D7C7F97" w14:textId="52D83439">
            <w:pPr>
              <w:pStyle w:val="TableParagraph"/>
              <w:spacing w:line="252" w:lineRule="exact"/>
              <w:ind w:left="105"/>
            </w:pPr>
            <w:r w:rsidRPr="008C1D05">
              <w:t>Tichenor License Corporation</w:t>
            </w:r>
          </w:p>
        </w:tc>
        <w:tc>
          <w:tcPr>
            <w:tcW w:w="2429" w:type="dxa"/>
          </w:tcPr>
          <w:p w:rsidR="00003ED9" w:rsidRPr="008C1D05" w:rsidP="00003ED9" w14:paraId="5C37B6CB" w14:textId="4B5841F4">
            <w:pPr>
              <w:pStyle w:val="TableParagraph"/>
              <w:spacing w:line="252" w:lineRule="exact"/>
              <w:ind w:left="105" w:right="174"/>
            </w:pPr>
            <w:r w:rsidRPr="008C1D05">
              <w:t>Latino Media Network, LLC</w:t>
            </w:r>
          </w:p>
        </w:tc>
        <w:tc>
          <w:tcPr>
            <w:tcW w:w="1623" w:type="dxa"/>
          </w:tcPr>
          <w:p w:rsidR="00003ED9" w:rsidRPr="008C1D05" w:rsidP="00003ED9" w14:paraId="606C7C29" w14:textId="13E6FFEA">
            <w:pPr>
              <w:pStyle w:val="TableParagraph"/>
              <w:spacing w:line="252" w:lineRule="exact"/>
              <w:ind w:left="107"/>
            </w:pPr>
            <w:r w:rsidRPr="008C1D05">
              <w:t>0000194659</w:t>
            </w:r>
          </w:p>
        </w:tc>
      </w:tr>
      <w:tr w14:paraId="5115A783" w14:textId="77777777" w:rsidTr="00003ED9">
        <w:tblPrEx>
          <w:tblW w:w="9378" w:type="dxa"/>
          <w:tblInd w:w="110" w:type="dxa"/>
          <w:tblLayout w:type="fixed"/>
          <w:tblCellMar>
            <w:left w:w="0" w:type="dxa"/>
            <w:right w:w="0" w:type="dxa"/>
          </w:tblCellMar>
          <w:tblLook w:val="01E0"/>
        </w:tblPrEx>
        <w:trPr>
          <w:trHeight w:val="760"/>
        </w:trPr>
        <w:tc>
          <w:tcPr>
            <w:tcW w:w="1366" w:type="dxa"/>
          </w:tcPr>
          <w:p w:rsidR="00003ED9" w:rsidRPr="008C1D05" w:rsidP="00003ED9" w14:paraId="06FD40BC" w14:textId="1FF4786B">
            <w:pPr>
              <w:pStyle w:val="TableParagraph"/>
              <w:spacing w:line="240" w:lineRule="exact"/>
              <w:ind w:left="107"/>
            </w:pPr>
            <w:r w:rsidRPr="008C1D05">
              <w:t>KGBT-FM</w:t>
            </w:r>
          </w:p>
        </w:tc>
        <w:tc>
          <w:tcPr>
            <w:tcW w:w="900" w:type="dxa"/>
          </w:tcPr>
          <w:p w:rsidR="00003ED9" w:rsidRPr="008C1D05" w:rsidP="00003ED9" w14:paraId="3CA91A01" w14:textId="00BC747F">
            <w:pPr>
              <w:pStyle w:val="TableParagraph"/>
              <w:spacing w:line="240" w:lineRule="exact"/>
              <w:ind w:right="96"/>
              <w:jc w:val="right"/>
            </w:pPr>
            <w:r w:rsidRPr="008C1D05">
              <w:t>6662</w:t>
            </w:r>
          </w:p>
        </w:tc>
        <w:tc>
          <w:tcPr>
            <w:tcW w:w="1440" w:type="dxa"/>
          </w:tcPr>
          <w:p w:rsidR="00003ED9" w:rsidRPr="008C1D05" w:rsidP="00003ED9" w14:paraId="3E576A8F" w14:textId="58CDD486">
            <w:pPr>
              <w:pStyle w:val="TableParagraph"/>
              <w:spacing w:line="252" w:lineRule="exact"/>
              <w:ind w:left="105" w:right="194"/>
            </w:pPr>
            <w:r w:rsidRPr="008C1D05">
              <w:t>McAllen, TX</w:t>
            </w:r>
          </w:p>
        </w:tc>
        <w:tc>
          <w:tcPr>
            <w:tcW w:w="1620" w:type="dxa"/>
          </w:tcPr>
          <w:p w:rsidR="00003ED9" w:rsidRPr="008C1D05" w:rsidP="00003ED9" w14:paraId="3A9FD3C1" w14:textId="6B5EEED9">
            <w:pPr>
              <w:pStyle w:val="TableParagraph"/>
              <w:spacing w:line="252" w:lineRule="exact"/>
              <w:ind w:left="105"/>
            </w:pPr>
            <w:r w:rsidRPr="008C1D05">
              <w:t>Tichenor License Corporation</w:t>
            </w:r>
          </w:p>
        </w:tc>
        <w:tc>
          <w:tcPr>
            <w:tcW w:w="2429" w:type="dxa"/>
          </w:tcPr>
          <w:p w:rsidR="00003ED9" w:rsidRPr="008C1D05" w:rsidP="00003ED9" w14:paraId="208B6ADB" w14:textId="33FDDBCA">
            <w:pPr>
              <w:pStyle w:val="TableParagraph"/>
              <w:spacing w:line="252" w:lineRule="exact"/>
              <w:ind w:left="105" w:right="174"/>
            </w:pPr>
            <w:r w:rsidRPr="008C1D05">
              <w:t>Latino Media Network, LLC</w:t>
            </w:r>
          </w:p>
        </w:tc>
        <w:tc>
          <w:tcPr>
            <w:tcW w:w="1623" w:type="dxa"/>
          </w:tcPr>
          <w:p w:rsidR="00003ED9" w:rsidRPr="008C1D05" w:rsidP="00003ED9" w14:paraId="1F8F21F0" w14:textId="2CE5B006">
            <w:pPr>
              <w:pStyle w:val="TableParagraph"/>
              <w:spacing w:line="252" w:lineRule="exact"/>
              <w:ind w:left="107"/>
            </w:pPr>
            <w:r w:rsidRPr="008C1D05">
              <w:t>0000194660</w:t>
            </w:r>
          </w:p>
        </w:tc>
      </w:tr>
      <w:tr w14:paraId="36E3FF65" w14:textId="77777777" w:rsidTr="00003ED9">
        <w:tblPrEx>
          <w:tblW w:w="9378" w:type="dxa"/>
          <w:tblInd w:w="110" w:type="dxa"/>
          <w:tblLayout w:type="fixed"/>
          <w:tblCellMar>
            <w:left w:w="0" w:type="dxa"/>
            <w:right w:w="0" w:type="dxa"/>
          </w:tblCellMar>
          <w:tblLook w:val="01E0"/>
        </w:tblPrEx>
        <w:trPr>
          <w:trHeight w:val="760"/>
        </w:trPr>
        <w:tc>
          <w:tcPr>
            <w:tcW w:w="1366" w:type="dxa"/>
          </w:tcPr>
          <w:p w:rsidR="00CB1EC7" w:rsidRPr="008C1D05" w:rsidP="00CB1EC7" w14:paraId="41364441" w14:textId="2460DFF4">
            <w:pPr>
              <w:pStyle w:val="TableParagraph"/>
              <w:spacing w:line="240" w:lineRule="exact"/>
              <w:ind w:left="107"/>
            </w:pPr>
            <w:r w:rsidRPr="008C1D05">
              <w:t>KFLC</w:t>
            </w:r>
            <w:r w:rsidRPr="008C1D05" w:rsidR="000A522C">
              <w:t>(AM)</w:t>
            </w:r>
          </w:p>
        </w:tc>
        <w:tc>
          <w:tcPr>
            <w:tcW w:w="900" w:type="dxa"/>
          </w:tcPr>
          <w:p w:rsidR="00CB1EC7" w:rsidRPr="008C1D05" w:rsidP="00CB1EC7" w14:paraId="59E54B73" w14:textId="3005AE8A">
            <w:pPr>
              <w:pStyle w:val="TableParagraph"/>
              <w:spacing w:line="240" w:lineRule="exact"/>
              <w:ind w:right="96"/>
              <w:jc w:val="right"/>
            </w:pPr>
            <w:r w:rsidRPr="008C1D05">
              <w:t>34298</w:t>
            </w:r>
          </w:p>
        </w:tc>
        <w:tc>
          <w:tcPr>
            <w:tcW w:w="1440" w:type="dxa"/>
          </w:tcPr>
          <w:p w:rsidR="00CB1EC7" w:rsidRPr="008C1D05" w:rsidP="00CB1EC7" w14:paraId="4C8C72D0" w14:textId="6505B93F">
            <w:pPr>
              <w:pStyle w:val="TableParagraph"/>
              <w:spacing w:line="252" w:lineRule="exact"/>
              <w:ind w:left="105" w:right="194"/>
            </w:pPr>
            <w:r w:rsidRPr="008C1D05">
              <w:t>Benbrook, TX</w:t>
            </w:r>
          </w:p>
        </w:tc>
        <w:tc>
          <w:tcPr>
            <w:tcW w:w="1620" w:type="dxa"/>
          </w:tcPr>
          <w:p w:rsidR="00CB1EC7" w:rsidRPr="008C1D05" w:rsidP="00CB1EC7" w14:paraId="431D6EF4" w14:textId="27A08546">
            <w:pPr>
              <w:pStyle w:val="TableParagraph"/>
              <w:spacing w:line="252" w:lineRule="exact"/>
              <w:ind w:left="105"/>
            </w:pPr>
            <w:r w:rsidRPr="008C1D05">
              <w:t>Univision Radio San Francisco, Inc.</w:t>
            </w:r>
          </w:p>
        </w:tc>
        <w:tc>
          <w:tcPr>
            <w:tcW w:w="2429" w:type="dxa"/>
          </w:tcPr>
          <w:p w:rsidR="00CB1EC7" w:rsidRPr="008C1D05" w:rsidP="00CB1EC7" w14:paraId="5B3654DD" w14:textId="54258AAC">
            <w:pPr>
              <w:pStyle w:val="TableParagraph"/>
              <w:spacing w:line="252" w:lineRule="exact"/>
              <w:ind w:left="105" w:right="174"/>
            </w:pPr>
            <w:r w:rsidRPr="008C1D05">
              <w:t>Latino Media Network, LLC</w:t>
            </w:r>
          </w:p>
        </w:tc>
        <w:tc>
          <w:tcPr>
            <w:tcW w:w="1623" w:type="dxa"/>
          </w:tcPr>
          <w:p w:rsidR="00CB1EC7" w:rsidRPr="008C1D05" w:rsidP="00CB1EC7" w14:paraId="4E629466" w14:textId="3F45C3D3">
            <w:pPr>
              <w:pStyle w:val="TableParagraph"/>
              <w:spacing w:line="252" w:lineRule="exact"/>
              <w:ind w:left="107"/>
            </w:pPr>
            <w:r w:rsidRPr="008C1D05">
              <w:t>0000194661</w:t>
            </w:r>
          </w:p>
        </w:tc>
      </w:tr>
      <w:tr w14:paraId="26F5DFBA" w14:textId="77777777" w:rsidTr="00003ED9">
        <w:tblPrEx>
          <w:tblW w:w="9378" w:type="dxa"/>
          <w:tblInd w:w="110" w:type="dxa"/>
          <w:tblLayout w:type="fixed"/>
          <w:tblCellMar>
            <w:left w:w="0" w:type="dxa"/>
            <w:right w:w="0" w:type="dxa"/>
          </w:tblCellMar>
          <w:tblLook w:val="01E0"/>
        </w:tblPrEx>
        <w:trPr>
          <w:trHeight w:val="760"/>
        </w:trPr>
        <w:tc>
          <w:tcPr>
            <w:tcW w:w="1366" w:type="dxa"/>
          </w:tcPr>
          <w:p w:rsidR="00CB1EC7" w:rsidRPr="008C1D05" w:rsidP="00CB1EC7" w14:paraId="39B4DDEA" w14:textId="0DAFAFAB">
            <w:pPr>
              <w:pStyle w:val="TableParagraph"/>
              <w:spacing w:line="240" w:lineRule="exact"/>
              <w:ind w:left="107"/>
            </w:pPr>
            <w:r w:rsidRPr="008C1D05">
              <w:t>KFZO</w:t>
            </w:r>
            <w:r w:rsidRPr="008C1D05" w:rsidR="000A522C">
              <w:t>(FM)</w:t>
            </w:r>
          </w:p>
        </w:tc>
        <w:tc>
          <w:tcPr>
            <w:tcW w:w="900" w:type="dxa"/>
          </w:tcPr>
          <w:p w:rsidR="00CB1EC7" w:rsidRPr="008C1D05" w:rsidP="00CB1EC7" w14:paraId="6AB22BFA" w14:textId="3C7EACDB">
            <w:pPr>
              <w:pStyle w:val="TableParagraph"/>
              <w:spacing w:line="240" w:lineRule="exact"/>
              <w:ind w:right="96"/>
              <w:jc w:val="right"/>
            </w:pPr>
            <w:r w:rsidRPr="008C1D05">
              <w:t xml:space="preserve">     7040</w:t>
            </w:r>
          </w:p>
        </w:tc>
        <w:tc>
          <w:tcPr>
            <w:tcW w:w="1440" w:type="dxa"/>
          </w:tcPr>
          <w:p w:rsidR="00CB1EC7" w:rsidRPr="008C1D05" w:rsidP="00CB1EC7" w14:paraId="504E0B15" w14:textId="554BD4ED">
            <w:pPr>
              <w:pStyle w:val="TableParagraph"/>
              <w:spacing w:line="252" w:lineRule="exact"/>
              <w:ind w:left="105" w:right="194"/>
            </w:pPr>
            <w:r w:rsidRPr="008C1D05">
              <w:t>Denton, TX</w:t>
            </w:r>
          </w:p>
        </w:tc>
        <w:tc>
          <w:tcPr>
            <w:tcW w:w="1620" w:type="dxa"/>
          </w:tcPr>
          <w:p w:rsidR="00CB1EC7" w:rsidRPr="008C1D05" w:rsidP="00CB1EC7" w14:paraId="5D0C08BB" w14:textId="19EB0CB6">
            <w:pPr>
              <w:pStyle w:val="TableParagraph"/>
              <w:spacing w:line="252" w:lineRule="exact"/>
              <w:ind w:left="105"/>
            </w:pPr>
            <w:r w:rsidRPr="008C1D05">
              <w:t>Univision Radio San Francisco, Inc.</w:t>
            </w:r>
          </w:p>
        </w:tc>
        <w:tc>
          <w:tcPr>
            <w:tcW w:w="2429" w:type="dxa"/>
          </w:tcPr>
          <w:p w:rsidR="00CB1EC7" w:rsidRPr="008C1D05" w:rsidP="00CB1EC7" w14:paraId="31B7E18D" w14:textId="695373DD">
            <w:pPr>
              <w:pStyle w:val="TableParagraph"/>
              <w:spacing w:line="252" w:lineRule="exact"/>
              <w:ind w:left="105" w:right="174"/>
            </w:pPr>
            <w:r w:rsidRPr="008C1D05">
              <w:t>Latino Media Network, LLC</w:t>
            </w:r>
          </w:p>
        </w:tc>
        <w:tc>
          <w:tcPr>
            <w:tcW w:w="1623" w:type="dxa"/>
          </w:tcPr>
          <w:p w:rsidR="00CB1EC7" w:rsidRPr="008C1D05" w:rsidP="00CB1EC7" w14:paraId="76549C1C" w14:textId="608EC40C">
            <w:pPr>
              <w:pStyle w:val="TableParagraph"/>
              <w:spacing w:line="252" w:lineRule="exact"/>
              <w:ind w:left="107"/>
            </w:pPr>
            <w:r w:rsidRPr="008C1D05">
              <w:t>0000194662</w:t>
            </w:r>
          </w:p>
        </w:tc>
      </w:tr>
    </w:tbl>
    <w:p w:rsidR="00891212" w:rsidRPr="008C1D05" w:rsidP="00891212" w14:paraId="6063397C" w14:textId="77777777">
      <w:pPr>
        <w:spacing w:line="252" w:lineRule="exact"/>
        <w:rPr>
          <w:sz w:val="22"/>
          <w:szCs w:val="22"/>
        </w:rPr>
      </w:pPr>
    </w:p>
    <w:p w:rsidR="00E2082D" w:rsidRPr="008C1D05" w:rsidP="007043CF" w14:paraId="5A2216A7" w14:textId="68CBDB48">
      <w:pPr>
        <w:tabs>
          <w:tab w:val="left" w:pos="0"/>
        </w:tabs>
        <w:suppressAutoHyphens/>
        <w:spacing w:after="240"/>
        <w:rPr>
          <w:sz w:val="22"/>
          <w:szCs w:val="22"/>
        </w:rPr>
      </w:pPr>
    </w:p>
    <w:sectPr w:rsidSect="00255B77">
      <w:headerReference w:type="first" r:id="rId13"/>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D5" w14:paraId="0A8F42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939D5" w14:paraId="646E4D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D5" w14:paraId="2706236C" w14:textId="3189B270">
    <w:pPr>
      <w:pStyle w:val="Footer"/>
      <w:jc w:val="center"/>
    </w:pPr>
  </w:p>
  <w:p w:rsidR="00D939D5" w14:paraId="2F173D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E38" w14:paraId="119620BE" w14:textId="77777777">
      <w:r>
        <w:separator/>
      </w:r>
    </w:p>
  </w:footnote>
  <w:footnote w:type="continuationSeparator" w:id="1">
    <w:p w:rsidR="003F7E38" w14:paraId="1C3883DC" w14:textId="77777777">
      <w:r>
        <w:continuationSeparator/>
      </w:r>
    </w:p>
  </w:footnote>
  <w:footnote w:id="2">
    <w:p w:rsidR="000B4ABB" w:rsidRPr="008C1D05" w:rsidP="0054173C" w14:paraId="3FC841B3" w14:textId="22906F1A">
      <w:pPr>
        <w:pStyle w:val="FootnoteText"/>
      </w:pPr>
      <w:r w:rsidRPr="008C1D05">
        <w:rPr>
          <w:rStyle w:val="FootnoteReference"/>
        </w:rPr>
        <w:footnoteRef/>
      </w:r>
      <w:r w:rsidRPr="008C1D05">
        <w:t xml:space="preserve"> </w:t>
      </w:r>
      <w:r w:rsidRPr="008C1D05" w:rsidR="00335022">
        <w:t xml:space="preserve">A complete list of the </w:t>
      </w:r>
      <w:r w:rsidR="00E26041">
        <w:t>stations that are the subject of the proposed transaction and the associated application file numbers</w:t>
      </w:r>
      <w:r w:rsidRPr="008C1D05" w:rsidR="00335022">
        <w:t xml:space="preserve"> is </w:t>
      </w:r>
      <w:r w:rsidR="00E26041">
        <w:t>provided</w:t>
      </w:r>
      <w:r w:rsidRPr="008C1D05" w:rsidR="00E26041">
        <w:t xml:space="preserve"> </w:t>
      </w:r>
      <w:r w:rsidRPr="008C1D05" w:rsidR="00335022">
        <w:t xml:space="preserve">in </w:t>
      </w:r>
      <w:r w:rsidR="002B58FC">
        <w:t>the</w:t>
      </w:r>
      <w:r w:rsidRPr="008C1D05" w:rsidR="002B58FC">
        <w:t xml:space="preserve"> </w:t>
      </w:r>
      <w:r w:rsidRPr="008C1D05" w:rsidR="00335022">
        <w:t>A</w:t>
      </w:r>
      <w:r w:rsidR="002B58FC">
        <w:t>ttachment</w:t>
      </w:r>
      <w:r w:rsidRPr="008C1D05" w:rsidR="00335022">
        <w:t>.</w:t>
      </w:r>
      <w:r w:rsidRPr="008C1D05" w:rsidR="00667105">
        <w:t xml:space="preserve">  </w:t>
      </w:r>
    </w:p>
  </w:footnote>
  <w:footnote w:id="3">
    <w:p w:rsidR="00F52B00" w:rsidRPr="008C1D05" w:rsidP="0054173C" w14:paraId="28311C75" w14:textId="095B0401">
      <w:pPr>
        <w:pStyle w:val="FootnoteText"/>
      </w:pPr>
      <w:r w:rsidRPr="008C1D05">
        <w:rPr>
          <w:rStyle w:val="FootnoteReference"/>
        </w:rPr>
        <w:footnoteRef/>
      </w:r>
      <w:r w:rsidRPr="008C1D05">
        <w:t xml:space="preserve"> </w:t>
      </w:r>
      <w:r w:rsidRPr="008C1D05" w:rsidR="00051B25">
        <w:t xml:space="preserve">Petition to Deny, </w:t>
      </w:r>
      <w:r w:rsidRPr="008C1D05" w:rsidR="00BE2A99">
        <w:t xml:space="preserve">Pleading </w:t>
      </w:r>
      <w:r w:rsidRPr="008C1D05">
        <w:t>File No</w:t>
      </w:r>
      <w:r w:rsidRPr="008C1D05" w:rsidR="003966CB">
        <w:t>s</w:t>
      </w:r>
      <w:r w:rsidRPr="008C1D05">
        <w:t xml:space="preserve">. </w:t>
      </w:r>
      <w:r w:rsidRPr="008C1D05" w:rsidR="00B15A08">
        <w:t xml:space="preserve">0000197439, </w:t>
      </w:r>
      <w:r w:rsidRPr="008C1D05" w:rsidR="007D37C8">
        <w:t>0000197442,</w:t>
      </w:r>
      <w:r w:rsidRPr="008C1D05" w:rsidR="00B15A08">
        <w:t xml:space="preserve"> and</w:t>
      </w:r>
      <w:r w:rsidRPr="008C1D05" w:rsidR="007D37C8">
        <w:t xml:space="preserve"> </w:t>
      </w:r>
      <w:r w:rsidRPr="008C1D05">
        <w:t>0000197444</w:t>
      </w:r>
      <w:r w:rsidRPr="008C1D05" w:rsidR="00051B25">
        <w:t xml:space="preserve"> (filed Aug. 11, 2022)</w:t>
      </w:r>
      <w:r w:rsidR="00FB3911">
        <w:t xml:space="preserve"> (Objection)</w:t>
      </w:r>
      <w:r w:rsidRPr="008C1D05" w:rsidR="00B15A08">
        <w:t>.</w:t>
      </w:r>
    </w:p>
  </w:footnote>
  <w:footnote w:id="4">
    <w:p w:rsidR="009D71B9" w:rsidRPr="007C4AFD" w:rsidP="0054173C" w14:paraId="238B669F" w14:textId="3985867C">
      <w:pPr>
        <w:pStyle w:val="FootnoteText"/>
      </w:pPr>
      <w:r w:rsidRPr="008C1D05">
        <w:rPr>
          <w:rStyle w:val="FootnoteReference"/>
        </w:rPr>
        <w:footnoteRef/>
      </w:r>
      <w:r w:rsidRPr="008C1D05">
        <w:t xml:space="preserve"> </w:t>
      </w:r>
      <w:r w:rsidRPr="008C1D05" w:rsidR="00051B25">
        <w:t xml:space="preserve">Opposition to Informal Objection, </w:t>
      </w:r>
      <w:r w:rsidRPr="008C1D05" w:rsidR="00BE2A99">
        <w:t>Pleading File No</w:t>
      </w:r>
      <w:r w:rsidRPr="008C1D05" w:rsidR="003B2157">
        <w:t>s</w:t>
      </w:r>
      <w:r w:rsidRPr="008C1D05" w:rsidR="00BE2A99">
        <w:t xml:space="preserve">. </w:t>
      </w:r>
      <w:r w:rsidRPr="008C1D05" w:rsidR="003B2157">
        <w:t>0000198306,</w:t>
      </w:r>
      <w:r w:rsidRPr="008C1D05" w:rsidR="00A16044">
        <w:t xml:space="preserve"> 0000198307, and</w:t>
      </w:r>
      <w:r w:rsidRPr="008C1D05" w:rsidR="003B2157">
        <w:t xml:space="preserve"> </w:t>
      </w:r>
      <w:r w:rsidRPr="008C1D05" w:rsidR="004818CD">
        <w:t>0000198308</w:t>
      </w:r>
      <w:r w:rsidRPr="008C1D05" w:rsidR="00051B25">
        <w:t xml:space="preserve"> (filed Aug. 25, 2022)</w:t>
      </w:r>
      <w:r w:rsidR="00FB3911">
        <w:t xml:space="preserve"> (Opposition</w:t>
      </w:r>
      <w:r w:rsidRPr="007C4AFD" w:rsidR="00FB3911">
        <w:t>)</w:t>
      </w:r>
      <w:r w:rsidRPr="007C4AFD" w:rsidR="00BE2A99">
        <w:t>.</w:t>
      </w:r>
      <w:r w:rsidRPr="007C4AFD" w:rsidR="007C4AFD">
        <w:t xml:space="preserve">  </w:t>
      </w:r>
      <w:r w:rsidRPr="00431EFB" w:rsidR="007C4AFD">
        <w:t xml:space="preserve">In addition, we received letters from each of the following stating their general support of the proposed assignment:  Senators Ben Ray </w:t>
      </w:r>
      <w:r w:rsidRPr="00431EFB" w:rsidR="007C4AFD">
        <w:t>Luján</w:t>
      </w:r>
      <w:r w:rsidRPr="00431EFB" w:rsidR="007C4AFD">
        <w:t>, Robert Menendez, and Alex Padilla, Representative Jimmy Gomez, members of the Congressional Hispanic Caucus, the U.S. Hispanic Chamber of Commerce, and Alianza Center, Inc.</w:t>
      </w:r>
      <w:r w:rsidRPr="007C4AFD" w:rsidR="007C4AFD">
        <w:t xml:space="preserve"> </w:t>
      </w:r>
      <w:r w:rsidR="005A7DCE">
        <w:t xml:space="preserve"> </w:t>
      </w:r>
      <w:r w:rsidRPr="007C4AFD" w:rsidR="007C4AFD">
        <w:t xml:space="preserve">The Congressional Hispanic Caucus letter was signed by Representatives Darren Soto, Nanette Diaz Barragan, Tony Cárdenas, Adriano Espaillat, Ruben Gallego, Jesús G. “Chuy” García, Joaquin Castro, Linda T. Sánchez, Raúl M. Grijalva, Ritchie Torres, Juan Vargas, Michael F.Q. San Nicolas, and Senator Catherine Cortez Masto.  </w:t>
      </w:r>
      <w:r w:rsidR="006E18A4">
        <w:t xml:space="preserve">These letters have been uploaded to LMS, our licensing database, and associated with the Applications.  </w:t>
      </w:r>
      <w:r w:rsidRPr="00255B77" w:rsidR="003B7AB9">
        <w:t>We also received letters from several Members of Congress before the Applications were filed.  Specifically, we received a June 8, 2022, letter from Senators Marco Rubio, Rick Scott, and Tom Cotton, and Representatives Carlos Giménez, María Elvira Salazar, and Mario Díaz-Balart, and a June 27, 2022, letter from Representatives Raul Ruiz, M.D., Darren Soto, Nanette Diaz Barragan, Tony Cárdenas, Adriano Espaillat, Ruben Gallego, Teresa Leger Fernandez, Jesús G. “Chuy” García, Joaquin Castro, Lori Trahan, and Linda T. Sánchez.  Because there were no applications pending at the time</w:t>
      </w:r>
      <w:r w:rsidR="00B02154">
        <w:t xml:space="preserve"> the Commission received them</w:t>
      </w:r>
      <w:r w:rsidRPr="00255B77" w:rsidR="003B7AB9">
        <w:t xml:space="preserve">, these letters </w:t>
      </w:r>
      <w:r w:rsidR="006E18A4">
        <w:t>were not associated</w:t>
      </w:r>
      <w:r w:rsidRPr="00255B77" w:rsidR="003B7AB9">
        <w:t xml:space="preserve"> with the </w:t>
      </w:r>
      <w:r w:rsidR="006E18A4">
        <w:t>Applications</w:t>
      </w:r>
      <w:r w:rsidRPr="00255B77" w:rsidR="003B7AB9">
        <w:t>.</w:t>
      </w:r>
    </w:p>
  </w:footnote>
  <w:footnote w:id="5">
    <w:p w:rsidR="000D6E23" w:rsidRPr="008C1D05" w:rsidP="0054173C" w14:paraId="30FEE533" w14:textId="0B8D072C">
      <w:pPr>
        <w:pStyle w:val="FootnoteText"/>
      </w:pPr>
      <w:r w:rsidRPr="008C1D05">
        <w:rPr>
          <w:rStyle w:val="FootnoteReference"/>
        </w:rPr>
        <w:footnoteRef/>
      </w:r>
      <w:r w:rsidRPr="008C1D05">
        <w:t xml:space="preserve"> </w:t>
      </w:r>
      <w:r w:rsidRPr="008C1D05">
        <w:rPr>
          <w:i/>
          <w:iCs/>
        </w:rPr>
        <w:t>See Actions</w:t>
      </w:r>
      <w:r w:rsidRPr="008C1D05">
        <w:t>, Public Notice, Report No.</w:t>
      </w:r>
      <w:r w:rsidRPr="008C1D05" w:rsidR="007F087B">
        <w:t xml:space="preserve"> PN-1-220712-01</w:t>
      </w:r>
      <w:r w:rsidRPr="008C1D05" w:rsidR="00984668">
        <w:t>, at 1</w:t>
      </w:r>
      <w:r w:rsidRPr="008C1D05" w:rsidR="00C32CEC">
        <w:t>-2, 4-12</w:t>
      </w:r>
      <w:r w:rsidRPr="008C1D05">
        <w:t xml:space="preserve"> (</w:t>
      </w:r>
      <w:r w:rsidR="00FB3911">
        <w:t xml:space="preserve">MB </w:t>
      </w:r>
      <w:r w:rsidRPr="008C1D05">
        <w:t>Jul</w:t>
      </w:r>
      <w:r w:rsidRPr="008C1D05" w:rsidR="00634548">
        <w:t>y</w:t>
      </w:r>
      <w:r w:rsidRPr="008C1D05">
        <w:t xml:space="preserve"> </w:t>
      </w:r>
      <w:r w:rsidRPr="008C1D05" w:rsidR="002B595E">
        <w:t>12</w:t>
      </w:r>
      <w:r w:rsidRPr="008C1D05">
        <w:t>, 2022).</w:t>
      </w:r>
      <w:r w:rsidR="005E5D00">
        <w:t xml:space="preserve">  </w:t>
      </w:r>
      <w:r w:rsidRPr="008C1D05" w:rsidR="005E5D00">
        <w:t>The Applica</w:t>
      </w:r>
      <w:r w:rsidR="005E5D00">
        <w:t>n</w:t>
      </w:r>
      <w:r w:rsidRPr="008C1D05" w:rsidR="005E5D00">
        <w:t>t</w:t>
      </w:r>
      <w:r w:rsidR="005A743D">
        <w:t>s</w:t>
      </w:r>
      <w:r w:rsidRPr="008C1D05" w:rsidR="005E5D00">
        <w:t xml:space="preserve"> amended </w:t>
      </w:r>
      <w:r w:rsidR="005E5D00">
        <w:t xml:space="preserve">the Applications </w:t>
      </w:r>
      <w:r w:rsidRPr="008C1D05" w:rsidR="005E5D00">
        <w:t xml:space="preserve">on July 15, 2022, to, </w:t>
      </w:r>
      <w:r w:rsidRPr="008C1D05" w:rsidR="005E5D00">
        <w:rPr>
          <w:i/>
          <w:iCs/>
        </w:rPr>
        <w:t>inter alia</w:t>
      </w:r>
      <w:r w:rsidRPr="008C1D05" w:rsidR="005E5D00">
        <w:t xml:space="preserve">, </w:t>
      </w:r>
      <w:r w:rsidR="005E5D00">
        <w:t>reflect that the Applications excluded certain schedules and exhibits to the sales</w:t>
      </w:r>
      <w:r w:rsidRPr="008C1D05" w:rsidR="005E5D00">
        <w:t xml:space="preserve"> agreement for the station</w:t>
      </w:r>
      <w:r w:rsidR="005E5D00">
        <w:t xml:space="preserve">s and that the public interest statement was prepared and submitted by LMN. </w:t>
      </w:r>
      <w:r w:rsidR="005E5D00">
        <w:rPr>
          <w:i/>
          <w:iCs/>
        </w:rPr>
        <w:t>See, e.g.</w:t>
      </w:r>
      <w:r w:rsidR="005E5D00">
        <w:t xml:space="preserve">, Application File No. </w:t>
      </w:r>
      <w:r w:rsidRPr="008C3FDA" w:rsidR="005E5D00">
        <w:t>0000194638</w:t>
      </w:r>
      <w:r w:rsidR="005E5D00">
        <w:t>, Attach., Purpose of Amendment.</w:t>
      </w:r>
      <w:r w:rsidRPr="008C1D05">
        <w:t xml:space="preserve">  </w:t>
      </w:r>
    </w:p>
  </w:footnote>
  <w:footnote w:id="6">
    <w:p w:rsidR="00131E36" w:rsidRPr="008C1D05" w:rsidP="0054173C" w14:paraId="4D55A09C" w14:textId="074072DA">
      <w:pPr>
        <w:pStyle w:val="FootnoteText"/>
      </w:pPr>
      <w:r w:rsidRPr="008C1D05">
        <w:rPr>
          <w:rStyle w:val="FootnoteReference"/>
        </w:rPr>
        <w:footnoteRef/>
      </w:r>
      <w:r w:rsidRPr="008C1D05">
        <w:t xml:space="preserve"> </w:t>
      </w:r>
      <w:r w:rsidR="004175C9">
        <w:t xml:space="preserve">Objection </w:t>
      </w:r>
      <w:r w:rsidRPr="008C1D05">
        <w:t>at 2.</w:t>
      </w:r>
    </w:p>
  </w:footnote>
  <w:footnote w:id="7">
    <w:p w:rsidR="00FB3911" w:rsidRPr="00FB3911" w:rsidP="0054173C" w14:paraId="4A423977" w14:textId="0986FEDF">
      <w:pPr>
        <w:pStyle w:val="FootnoteText"/>
      </w:pPr>
      <w:r>
        <w:rPr>
          <w:rStyle w:val="FootnoteReference"/>
        </w:rPr>
        <w:footnoteRef/>
      </w:r>
      <w:r>
        <w:t xml:space="preserve"> </w:t>
      </w:r>
      <w:r>
        <w:rPr>
          <w:i/>
          <w:iCs/>
        </w:rPr>
        <w:t>Id.</w:t>
      </w:r>
      <w:r>
        <w:t xml:space="preserve"> at 2-3.</w:t>
      </w:r>
    </w:p>
  </w:footnote>
  <w:footnote w:id="8">
    <w:p w:rsidR="005970B6" w:rsidRPr="008C1D05" w:rsidP="0054173C" w14:paraId="680043C7" w14:textId="3303A146">
      <w:pPr>
        <w:pStyle w:val="FootnoteText"/>
      </w:pPr>
      <w:r w:rsidRPr="008C1D05">
        <w:rPr>
          <w:rStyle w:val="FootnoteReference"/>
        </w:rPr>
        <w:footnoteRef/>
      </w:r>
      <w:r w:rsidRPr="008C1D05">
        <w:t xml:space="preserve"> </w:t>
      </w:r>
      <w:r w:rsidR="00FB3911">
        <w:rPr>
          <w:i/>
          <w:iCs/>
        </w:rPr>
        <w:t>Id.</w:t>
      </w:r>
      <w:r w:rsidRPr="008C1D05">
        <w:t xml:space="preserve"> at 3</w:t>
      </w:r>
      <w:r w:rsidRPr="008C1D05" w:rsidR="007B7EA1">
        <w:t xml:space="preserve">; </w:t>
      </w:r>
      <w:r w:rsidRPr="008C1D05" w:rsidR="000C4A25">
        <w:rPr>
          <w:i/>
          <w:iCs/>
        </w:rPr>
        <w:t xml:space="preserve">see </w:t>
      </w:r>
      <w:r w:rsidRPr="008C1D05" w:rsidR="007B7EA1">
        <w:t>47 C.F.R.</w:t>
      </w:r>
      <w:r w:rsidRPr="008C1D05" w:rsidR="00FD07FC">
        <w:t xml:space="preserve"> §</w:t>
      </w:r>
      <w:r w:rsidRPr="008C1D05" w:rsidR="007B7EA1">
        <w:t xml:space="preserve"> 73.1150(a)</w:t>
      </w:r>
      <w:r w:rsidRPr="008C1D05">
        <w:t>.</w:t>
      </w:r>
    </w:p>
  </w:footnote>
  <w:footnote w:id="9">
    <w:p w:rsidR="00FB3911" w:rsidP="0054173C" w14:paraId="789B7E4E" w14:textId="0C2515B2">
      <w:pPr>
        <w:pStyle w:val="FootnoteText"/>
      </w:pPr>
      <w:r>
        <w:rPr>
          <w:rStyle w:val="FootnoteReference"/>
        </w:rPr>
        <w:footnoteRef/>
      </w:r>
      <w:r>
        <w:t xml:space="preserve"> Objection at 3.</w:t>
      </w:r>
    </w:p>
  </w:footnote>
  <w:footnote w:id="10">
    <w:p w:rsidR="00B9673A" w:rsidRPr="00FB557A" w:rsidP="0054173C" w14:paraId="12A01087" w14:textId="35D30A57">
      <w:pPr>
        <w:pStyle w:val="FootnoteText"/>
      </w:pPr>
      <w:r w:rsidRPr="008C1D05">
        <w:rPr>
          <w:rStyle w:val="FootnoteReference"/>
        </w:rPr>
        <w:footnoteRef/>
      </w:r>
      <w:r w:rsidRPr="008C1D05">
        <w:t xml:space="preserve"> </w:t>
      </w:r>
      <w:r w:rsidR="00FB3911">
        <w:rPr>
          <w:i/>
          <w:iCs/>
        </w:rPr>
        <w:t>Id.</w:t>
      </w:r>
      <w:r w:rsidRPr="008C1D05">
        <w:t xml:space="preserve"> at 4.</w:t>
      </w:r>
      <w:r w:rsidR="00FB3911">
        <w:t xml:space="preserve">  </w:t>
      </w:r>
      <w:r w:rsidRPr="008C1D05" w:rsidR="00FB3911">
        <w:t xml:space="preserve">The </w:t>
      </w:r>
      <w:r w:rsidR="00FB3911">
        <w:t>Applicants</w:t>
      </w:r>
      <w:r w:rsidRPr="008C1D05" w:rsidR="00FB3911">
        <w:t xml:space="preserve"> state that “Lakestar . . . has extended debt financing to LMN, and at Closing, LMN will issue Lakestar a warrant granting Lakestar a minority equity stake, up to but not in excess of 49%, only if exercised.  Lakestar and its affiliates do not have any cognizable interests in LMN.  LMN and Lakestar will seek FCC approval, if and as required by applicable law.” </w:t>
      </w:r>
      <w:r w:rsidR="00E44375">
        <w:rPr>
          <w:i/>
          <w:iCs/>
        </w:rPr>
        <w:t>See, e.g.</w:t>
      </w:r>
      <w:r w:rsidR="00E44375">
        <w:t xml:space="preserve">, </w:t>
      </w:r>
      <w:r w:rsidRPr="008C1D05" w:rsidR="00FB3911">
        <w:t>Application</w:t>
      </w:r>
      <w:r w:rsidR="00E44375">
        <w:t xml:space="preserve"> File No. 0000194638,</w:t>
      </w:r>
      <w:r w:rsidRPr="008C1D05" w:rsidR="00FB3911">
        <w:t xml:space="preserve"> Attach., Assignee Ownership Interests.</w:t>
      </w:r>
      <w:r w:rsidR="00FB3911">
        <w:t xml:space="preserve">  As discussed below, the Applicants amended the Applications </w:t>
      </w:r>
      <w:r w:rsidRPr="00FB3911" w:rsidR="00FB3911">
        <w:t xml:space="preserve">on October 31, 2022, to </w:t>
      </w:r>
      <w:r w:rsidR="00FB557A">
        <w:t>reflect that</w:t>
      </w:r>
      <w:r w:rsidRPr="00FB3911" w:rsidR="00FB3911">
        <w:t xml:space="preserve"> </w:t>
      </w:r>
      <w:r w:rsidR="00FB557A">
        <w:t xml:space="preserve">Lakestar’s minority interest in LMN, if exercised, shall not exceed 19.9%.  </w:t>
      </w:r>
      <w:r w:rsidR="00FB557A">
        <w:rPr>
          <w:i/>
          <w:iCs/>
        </w:rPr>
        <w:t xml:space="preserve">See infra </w:t>
      </w:r>
      <w:r w:rsidR="00FB557A">
        <w:t>page 5.</w:t>
      </w:r>
    </w:p>
  </w:footnote>
  <w:footnote w:id="11">
    <w:p w:rsidR="007C263D" w:rsidRPr="008C1D05" w:rsidP="0054173C" w14:paraId="0B3E5F75" w14:textId="2D4ED1CC">
      <w:pPr>
        <w:pStyle w:val="FootnoteText"/>
      </w:pPr>
      <w:r w:rsidRPr="008C1D05">
        <w:rPr>
          <w:rStyle w:val="FootnoteReference"/>
        </w:rPr>
        <w:footnoteRef/>
      </w:r>
      <w:r w:rsidRPr="008C1D05">
        <w:t xml:space="preserve"> Objection</w:t>
      </w:r>
      <w:r w:rsidRPr="008C1D05" w:rsidR="008E61CF">
        <w:t xml:space="preserve"> at 3</w:t>
      </w:r>
      <w:r w:rsidR="00FB557A">
        <w:t>-4</w:t>
      </w:r>
      <w:r w:rsidRPr="008C1D05">
        <w:t>.</w:t>
      </w:r>
    </w:p>
  </w:footnote>
  <w:footnote w:id="12">
    <w:p w:rsidR="00DA5D22" w:rsidRPr="008C1D05" w:rsidP="0054173C" w14:paraId="7001DE7F" w14:textId="77777777">
      <w:pPr>
        <w:pStyle w:val="FootnoteText"/>
      </w:pPr>
      <w:r w:rsidRPr="008C1D05">
        <w:rPr>
          <w:rStyle w:val="FootnoteReference"/>
        </w:rPr>
        <w:footnoteRef/>
      </w:r>
      <w:r w:rsidRPr="008C1D05">
        <w:t xml:space="preserve"> Opposition at 1-2.</w:t>
      </w:r>
    </w:p>
  </w:footnote>
  <w:footnote w:id="13">
    <w:p w:rsidR="00DA5D22" w:rsidRPr="008C1D05" w:rsidP="0054173C" w14:paraId="12C1A01B" w14:textId="43D35102">
      <w:pPr>
        <w:pStyle w:val="FootnoteText"/>
      </w:pPr>
      <w:r w:rsidRPr="008C1D05">
        <w:rPr>
          <w:rStyle w:val="FootnoteReference"/>
        </w:rPr>
        <w:footnoteRef/>
      </w:r>
      <w:r w:rsidRPr="008C1D05">
        <w:t xml:space="preserve"> </w:t>
      </w:r>
      <w:r w:rsidR="00FB557A">
        <w:rPr>
          <w:i/>
          <w:iCs/>
        </w:rPr>
        <w:t>Id.</w:t>
      </w:r>
      <w:r w:rsidRPr="008C1D05">
        <w:t xml:space="preserve"> at 2.</w:t>
      </w:r>
    </w:p>
  </w:footnote>
  <w:footnote w:id="14">
    <w:p w:rsidR="00DA5D22" w:rsidRPr="008C1D05" w:rsidP="0054173C" w14:paraId="2927E9ED" w14:textId="1CD781A9">
      <w:pPr>
        <w:pStyle w:val="FootnoteText"/>
      </w:pPr>
      <w:r w:rsidRPr="008C1D05">
        <w:rPr>
          <w:rStyle w:val="FootnoteReference"/>
        </w:rPr>
        <w:footnoteRef/>
      </w:r>
      <w:r w:rsidRPr="008C1D05">
        <w:t xml:space="preserve"> </w:t>
      </w:r>
      <w:r w:rsidR="00FB557A">
        <w:rPr>
          <w:i/>
          <w:iCs/>
        </w:rPr>
        <w:t>Id.</w:t>
      </w:r>
      <w:r w:rsidRPr="008C1D05">
        <w:t xml:space="preserve"> at 3</w:t>
      </w:r>
      <w:r w:rsidRPr="008C1D05" w:rsidR="00D15955">
        <w:t>-4</w:t>
      </w:r>
      <w:r w:rsidRPr="008C1D05">
        <w:t>.</w:t>
      </w:r>
    </w:p>
  </w:footnote>
  <w:footnote w:id="15">
    <w:p w:rsidR="00DA5D22" w:rsidRPr="008C1D05" w:rsidP="0054173C" w14:paraId="7B45F2D3" w14:textId="1295F242">
      <w:pPr>
        <w:pStyle w:val="FootnoteText"/>
      </w:pPr>
      <w:r w:rsidRPr="008C1D05">
        <w:rPr>
          <w:rStyle w:val="FootnoteReference"/>
        </w:rPr>
        <w:footnoteRef/>
      </w:r>
      <w:r w:rsidRPr="008C1D05">
        <w:t xml:space="preserve"> </w:t>
      </w:r>
      <w:r w:rsidR="00FB557A">
        <w:rPr>
          <w:i/>
          <w:iCs/>
        </w:rPr>
        <w:t>Id.</w:t>
      </w:r>
      <w:r w:rsidRPr="008C1D05">
        <w:t xml:space="preserve"> at 5.</w:t>
      </w:r>
    </w:p>
  </w:footnote>
  <w:footnote w:id="16">
    <w:p w:rsidR="00DA5D22" w:rsidRPr="00FB557A" w:rsidP="0054173C" w14:paraId="45817EAA" w14:textId="6A1785AE">
      <w:pPr>
        <w:pStyle w:val="FootnoteText"/>
      </w:pPr>
      <w:r w:rsidRPr="008C1D05">
        <w:rPr>
          <w:rStyle w:val="FootnoteReference"/>
        </w:rPr>
        <w:footnoteRef/>
      </w:r>
      <w:r w:rsidRPr="008C1D05">
        <w:t xml:space="preserve"> </w:t>
      </w:r>
      <w:r w:rsidR="00FB557A">
        <w:rPr>
          <w:i/>
          <w:iCs/>
        </w:rPr>
        <w:t>Id.</w:t>
      </w:r>
      <w:r w:rsidRPr="008C1D05">
        <w:t xml:space="preserve"> at 5-7.</w:t>
      </w:r>
      <w:r w:rsidR="00DD4AD7">
        <w:t xml:space="preserve">  </w:t>
      </w:r>
      <w:r w:rsidRPr="00DD4AD7" w:rsidR="00DD4AD7">
        <w:t xml:space="preserve">After filing the Opposition, the Applicants amended the Applications on October 7, 2022, to clarify </w:t>
      </w:r>
      <w:r w:rsidR="00E411F3">
        <w:t xml:space="preserve">that </w:t>
      </w:r>
      <w:r w:rsidRPr="00DD4AD7" w:rsidR="00DD4AD7">
        <w:t xml:space="preserve">the geographic scope of the </w:t>
      </w:r>
      <w:r w:rsidR="00E411F3">
        <w:t xml:space="preserve">APA’s </w:t>
      </w:r>
      <w:r w:rsidRPr="00DD4AD7" w:rsidR="00DD4AD7">
        <w:t xml:space="preserve">non-compete covenant </w:t>
      </w:r>
      <w:r w:rsidR="00E411F3">
        <w:t xml:space="preserve">is consistent with Commission precedent </w:t>
      </w:r>
      <w:r w:rsidRPr="00DD4AD7" w:rsidR="00DD4AD7">
        <w:t xml:space="preserve">and to confirm submission of the required Model Equal Employment Opportunity Program Reports by LMN.  </w:t>
      </w:r>
      <w:r w:rsidR="00C21318">
        <w:t>T</w:t>
      </w:r>
      <w:r w:rsidR="00160BF0">
        <w:t xml:space="preserve">he Applicants amended the Applications again on </w:t>
      </w:r>
      <w:r w:rsidR="007C07CA">
        <w:t>October 27</w:t>
      </w:r>
      <w:r w:rsidR="007A692C">
        <w:t>, 2022,</w:t>
      </w:r>
      <w:r w:rsidR="007C07CA">
        <w:t xml:space="preserve"> and</w:t>
      </w:r>
      <w:r w:rsidR="005E5EEC">
        <w:t xml:space="preserve"> October</w:t>
      </w:r>
      <w:r w:rsidR="007C07CA">
        <w:t xml:space="preserve"> 31</w:t>
      </w:r>
      <w:r w:rsidR="00CC0259">
        <w:t>, 2022,</w:t>
      </w:r>
      <w:r w:rsidR="007C07CA">
        <w:t xml:space="preserve"> to </w:t>
      </w:r>
      <w:r w:rsidR="00C21318">
        <w:t>resolve</w:t>
      </w:r>
      <w:r w:rsidR="007C07CA">
        <w:t xml:space="preserve"> other issues</w:t>
      </w:r>
      <w:r w:rsidR="00C21318">
        <w:t>, as discussed further below</w:t>
      </w:r>
      <w:r w:rsidRPr="00DD4AD7" w:rsidR="00DD4AD7">
        <w:t>.</w:t>
      </w:r>
      <w:r w:rsidR="007B22BC">
        <w:t xml:space="preserve">  </w:t>
      </w:r>
      <w:r w:rsidR="00FB557A">
        <w:rPr>
          <w:i/>
          <w:iCs/>
        </w:rPr>
        <w:t xml:space="preserve">See infra </w:t>
      </w:r>
      <w:r w:rsidR="00FB557A">
        <w:t>pages 4-5.</w:t>
      </w:r>
    </w:p>
  </w:footnote>
  <w:footnote w:id="17">
    <w:p w:rsidR="007B22BC" w:rsidRPr="008C1D05" w:rsidP="0054173C" w14:paraId="68D3F271" w14:textId="77777777">
      <w:pPr>
        <w:pStyle w:val="FootnoteText"/>
      </w:pPr>
      <w:r w:rsidRPr="008C1D05">
        <w:rPr>
          <w:rStyle w:val="FootnoteReference"/>
        </w:rPr>
        <w:footnoteRef/>
      </w:r>
      <w:r w:rsidRPr="008C1D05">
        <w:t xml:space="preserve"> 47 U.S.C. § 310(d).  </w:t>
      </w:r>
    </w:p>
  </w:footnote>
  <w:footnote w:id="18">
    <w:p w:rsidR="003013A8" w:rsidRPr="003013A8" w:rsidP="0054173C" w14:paraId="7C327FB7" w14:textId="7A3D47CB">
      <w:pPr>
        <w:pStyle w:val="FootnoteText"/>
      </w:pPr>
      <w:r>
        <w:rPr>
          <w:rStyle w:val="FootnoteReference"/>
        </w:rPr>
        <w:footnoteRef/>
      </w:r>
      <w:r>
        <w:t xml:space="preserve"> </w:t>
      </w:r>
      <w:r>
        <w:rPr>
          <w:i/>
          <w:iCs/>
        </w:rPr>
        <w:t>Id.</w:t>
      </w:r>
      <w:r>
        <w:t xml:space="preserve"> </w:t>
      </w:r>
      <w:r w:rsidRPr="008C1D05">
        <w:t>§ 309(d)(1)</w:t>
      </w:r>
      <w:r>
        <w:t>.</w:t>
      </w:r>
    </w:p>
  </w:footnote>
  <w:footnote w:id="19">
    <w:p w:rsidR="008806E9" w:rsidRPr="008C1D05" w:rsidP="0054173C" w14:paraId="085EA0A4" w14:textId="0B2A0DE4">
      <w:pPr>
        <w:pStyle w:val="FootnoteText"/>
      </w:pPr>
      <w:r w:rsidRPr="008C1D05">
        <w:rPr>
          <w:rStyle w:val="FootnoteReference"/>
        </w:rPr>
        <w:footnoteRef/>
      </w:r>
      <w:r w:rsidRPr="008C1D05">
        <w:t xml:space="preserve"> </w:t>
      </w:r>
      <w:r w:rsidR="003013A8">
        <w:rPr>
          <w:i/>
          <w:iCs/>
        </w:rPr>
        <w:t>Id.</w:t>
      </w:r>
      <w:r w:rsidRPr="008C1D05">
        <w:t xml:space="preserve">  </w:t>
      </w:r>
    </w:p>
  </w:footnote>
  <w:footnote w:id="20">
    <w:p w:rsidR="00C91344" w:rsidRPr="008C1D05" w:rsidP="0054173C" w14:paraId="3BFA41AC" w14:textId="6763979A">
      <w:pPr>
        <w:pStyle w:val="FootnoteText"/>
      </w:pPr>
      <w:r w:rsidRPr="008C1D05">
        <w:rPr>
          <w:rStyle w:val="FootnoteReference"/>
        </w:rPr>
        <w:footnoteRef/>
      </w:r>
      <w:r w:rsidRPr="008C1D05">
        <w:t xml:space="preserve"> </w:t>
      </w:r>
      <w:r w:rsidRPr="00EE14D4" w:rsidR="003013A8">
        <w:rPr>
          <w:i/>
          <w:iCs/>
        </w:rPr>
        <w:t>Id.</w:t>
      </w:r>
      <w:r w:rsidRPr="008C1D05" w:rsidR="00475DB6">
        <w:t xml:space="preserve">  </w:t>
      </w:r>
    </w:p>
  </w:footnote>
  <w:footnote w:id="21">
    <w:p w:rsidR="009134FC" w:rsidRPr="008C1D05" w:rsidP="0054173C" w14:paraId="6133798D" w14:textId="255078DC">
      <w:pPr>
        <w:pStyle w:val="FootnoteText"/>
      </w:pPr>
      <w:r w:rsidRPr="008C1D05">
        <w:rPr>
          <w:rStyle w:val="FootnoteReference"/>
        </w:rPr>
        <w:footnoteRef/>
      </w:r>
      <w:r w:rsidRPr="008C1D05">
        <w:t xml:space="preserve"> </w:t>
      </w:r>
      <w:r w:rsidR="003013A8">
        <w:rPr>
          <w:i/>
          <w:iCs/>
        </w:rPr>
        <w:t>Id.</w:t>
      </w:r>
      <w:r w:rsidR="003013A8">
        <w:t xml:space="preserve">; </w:t>
      </w:r>
      <w:r w:rsidRPr="008C1D05" w:rsidR="00665082">
        <w:t>47 CFR § 1.47.</w:t>
      </w:r>
    </w:p>
  </w:footnote>
  <w:footnote w:id="22">
    <w:p w:rsidR="003013A8" w:rsidP="0054173C" w14:paraId="2B016562" w14:textId="2E232F0B">
      <w:pPr>
        <w:pStyle w:val="FootnoteText"/>
      </w:pPr>
      <w:r>
        <w:rPr>
          <w:rStyle w:val="FootnoteReference"/>
        </w:rPr>
        <w:footnoteRef/>
      </w:r>
      <w:r>
        <w:t xml:space="preserve"> 47 CFR § 73.3584(e).</w:t>
      </w:r>
    </w:p>
  </w:footnote>
  <w:footnote w:id="23">
    <w:p w:rsidR="00256067" w:rsidRPr="008C1D05" w:rsidP="0054173C" w14:paraId="56BD2AFF" w14:textId="72BBDC7D">
      <w:pPr>
        <w:pStyle w:val="FootnoteText"/>
      </w:pPr>
      <w:r w:rsidRPr="008C1D05">
        <w:rPr>
          <w:rStyle w:val="FootnoteReference"/>
        </w:rPr>
        <w:footnoteRef/>
      </w:r>
      <w:r w:rsidRPr="008C1D05">
        <w:t xml:space="preserve"> </w:t>
      </w:r>
      <w:r w:rsidR="003013A8">
        <w:rPr>
          <w:i/>
          <w:iCs/>
        </w:rPr>
        <w:t>Id.</w:t>
      </w:r>
      <w:r w:rsidRPr="008C1D05" w:rsidR="001E2CE8">
        <w:t xml:space="preserve"> § 73.3587; </w:t>
      </w:r>
      <w:r w:rsidRPr="008C1D05" w:rsidR="001E2CE8">
        <w:rPr>
          <w:i/>
          <w:iCs/>
        </w:rPr>
        <w:t>Geraldine R. Miller</w:t>
      </w:r>
      <w:r w:rsidRPr="008C1D05" w:rsidR="001E2CE8">
        <w:t xml:space="preserve">, 24 FCC Rcd 11814, 11815 (MB 2009).  </w:t>
      </w:r>
    </w:p>
  </w:footnote>
  <w:footnote w:id="24">
    <w:p w:rsidR="00A71197" w:rsidRPr="008C1D05" w:rsidP="0054173C" w14:paraId="54E81EBB" w14:textId="33699B56">
      <w:pPr>
        <w:pStyle w:val="FootnoteText"/>
      </w:pPr>
      <w:r w:rsidRPr="008C1D05">
        <w:rPr>
          <w:rStyle w:val="FootnoteReference"/>
        </w:rPr>
        <w:footnoteRef/>
      </w:r>
      <w:r w:rsidRPr="008C1D05">
        <w:t xml:space="preserve"> </w:t>
      </w:r>
      <w:r w:rsidRPr="008C1D05">
        <w:rPr>
          <w:i/>
          <w:iCs/>
        </w:rPr>
        <w:t>See Area Christian Television, Inc.</w:t>
      </w:r>
      <w:r w:rsidRPr="008C1D05">
        <w:t>, Memorandum Opinion and Order, 60 RR 2d 862, 864</w:t>
      </w:r>
      <w:r w:rsidRPr="008C1D05" w:rsidR="00AA0104">
        <w:t>, para. 6</w:t>
      </w:r>
      <w:r w:rsidRPr="008C1D05">
        <w:t xml:space="preserve"> (1986) (informal objections, like petitions to deny, must contain adequate and specific factual allegations sufficient to warrant the relief requested).  </w:t>
      </w:r>
    </w:p>
  </w:footnote>
  <w:footnote w:id="25">
    <w:p w:rsidR="00431EFB" w:rsidP="0054173C" w14:paraId="2A88D462" w14:textId="1AF1D605">
      <w:pPr>
        <w:pStyle w:val="FootnoteText"/>
      </w:pPr>
      <w:r>
        <w:rPr>
          <w:rStyle w:val="FootnoteReference"/>
        </w:rPr>
        <w:footnoteRef/>
      </w:r>
      <w:r>
        <w:t xml:space="preserve"> 47 CFR § 73.3555.</w:t>
      </w:r>
    </w:p>
  </w:footnote>
  <w:footnote w:id="26">
    <w:p w:rsidR="00361576" w:rsidRPr="008C1D05" w:rsidP="0054173C" w14:paraId="6B75B185" w14:textId="52D631E1">
      <w:pPr>
        <w:pStyle w:val="FootnoteText"/>
      </w:pPr>
      <w:r w:rsidRPr="008C1D05">
        <w:rPr>
          <w:rStyle w:val="FootnoteReference"/>
        </w:rPr>
        <w:footnoteRef/>
      </w:r>
      <w:r w:rsidRPr="008C1D05">
        <w:t xml:space="preserve"> </w:t>
      </w:r>
      <w:r w:rsidRPr="00255B77">
        <w:rPr>
          <w:i/>
          <w:iCs/>
        </w:rPr>
        <w:t>2002 Biennial Regulatory Review</w:t>
      </w:r>
      <w:r w:rsidRPr="008C1D05">
        <w:t>, Report and Order and Notice of Proposed Rule Making, 18 FCC Rcd 13620, 13743 (2003) (subsequent history omitted).</w:t>
      </w:r>
    </w:p>
  </w:footnote>
  <w:footnote w:id="27">
    <w:p w:rsidR="004F4275" w:rsidRPr="008C1D05" w:rsidP="0054173C" w14:paraId="43BBE661" w14:textId="5BA54293">
      <w:pPr>
        <w:pStyle w:val="FootnoteText"/>
      </w:pPr>
      <w:r w:rsidRPr="008C1D05">
        <w:rPr>
          <w:rStyle w:val="FootnoteReference"/>
        </w:rPr>
        <w:footnoteRef/>
      </w:r>
      <w:r w:rsidRPr="008C1D05">
        <w:t xml:space="preserve"> </w:t>
      </w:r>
      <w:r w:rsidRPr="008C1D05">
        <w:rPr>
          <w:i/>
          <w:iCs/>
        </w:rPr>
        <w:t>Kidd Communications v. FCC</w:t>
      </w:r>
      <w:r w:rsidRPr="008C1D05">
        <w:t>, 427 F.3d 1, 7 n.3 (D.C. Cir. 2005).</w:t>
      </w:r>
      <w:r w:rsidR="0046281C">
        <w:t xml:space="preserve">  </w:t>
      </w:r>
      <w:r w:rsidRPr="008C1D05" w:rsidR="0046281C">
        <w:t>The licensee maintains control when it holds ultimate responsibility for essential station matters such as programming, personnel, and finances</w:t>
      </w:r>
      <w:r w:rsidRPr="00255B77" w:rsidR="0046281C">
        <w:rPr>
          <w:i/>
          <w:iCs/>
        </w:rPr>
        <w:t>.</w:t>
      </w:r>
      <w:r w:rsidRPr="00255B77" w:rsidR="0046281C">
        <w:rPr>
          <w:bCs/>
          <w:i/>
          <w:iCs/>
          <w:sz w:val="22"/>
          <w:szCs w:val="22"/>
        </w:rPr>
        <w:t xml:space="preserve">  </w:t>
      </w:r>
      <w:r w:rsidRPr="00255B77" w:rsidR="0046281C">
        <w:rPr>
          <w:i/>
          <w:iCs/>
        </w:rPr>
        <w:t>Asheville Educational Association, Inc.</w:t>
      </w:r>
      <w:r w:rsidRPr="008C1D05" w:rsidR="0046281C">
        <w:t>, Order, 30 FCC Rcd</w:t>
      </w:r>
      <w:r w:rsidR="0029772E">
        <w:t xml:space="preserve"> </w:t>
      </w:r>
      <w:r w:rsidRPr="008C1D05" w:rsidR="0046281C">
        <w:t xml:space="preserve">11483, 11486 (2015); </w:t>
      </w:r>
      <w:r w:rsidRPr="00255B77" w:rsidR="0046281C">
        <w:rPr>
          <w:i/>
          <w:iCs/>
        </w:rPr>
        <w:t>Solar Broadcasting Co., Inc.</w:t>
      </w:r>
      <w:r w:rsidRPr="008C1D05" w:rsidR="0046281C">
        <w:t>, Memorandum Opinion and Order, 17 FCC Rcd 5467, 5486 (2002)</w:t>
      </w:r>
      <w:r w:rsidR="00DD4F83">
        <w:t xml:space="preserve"> (</w:t>
      </w:r>
      <w:r w:rsidRPr="00A82AFC" w:rsidR="00DD4F83">
        <w:rPr>
          <w:i/>
          <w:iCs/>
        </w:rPr>
        <w:t>Solar Broadcasting</w:t>
      </w:r>
      <w:r w:rsidR="00DD4F83">
        <w:t>)</w:t>
      </w:r>
      <w:r w:rsidRPr="008C1D05" w:rsidR="0046281C">
        <w:t xml:space="preserve">; </w:t>
      </w:r>
      <w:r w:rsidRPr="00255B77" w:rsidR="0046281C">
        <w:rPr>
          <w:i/>
          <w:iCs/>
        </w:rPr>
        <w:t>Radio Moultrie, Inc.</w:t>
      </w:r>
      <w:r w:rsidRPr="008C1D05" w:rsidR="0046281C">
        <w:t>, Order to Show Cause and Notice of Opportunity for Hearing, 17 FCC Rcd 24304, 24306-07 (2002).</w:t>
      </w:r>
      <w:r w:rsidR="00937F16">
        <w:t xml:space="preserve">  </w:t>
      </w:r>
      <w:r w:rsidRPr="00937F16" w:rsidR="00937F16">
        <w:t xml:space="preserve">Licensees are permitted under section 310(d) of the Act to delegate day-to-day operations relating to those three areas, as long as they continue to set the policies guiding those operations. </w:t>
      </w:r>
      <w:r w:rsidR="00937F16">
        <w:t xml:space="preserve"> </w:t>
      </w:r>
      <w:r w:rsidRPr="00255B77" w:rsidR="00937F16">
        <w:rPr>
          <w:i/>
          <w:iCs/>
        </w:rPr>
        <w:t>See, e.g.</w:t>
      </w:r>
      <w:r w:rsidRPr="008C1D05" w:rsidR="00937F16">
        <w:t xml:space="preserve">, </w:t>
      </w:r>
      <w:r w:rsidRPr="00EE14D4" w:rsidR="00937F16">
        <w:rPr>
          <w:i/>
          <w:iCs/>
        </w:rPr>
        <w:t>Solar Broadcasting</w:t>
      </w:r>
      <w:r w:rsidRPr="008C1D05" w:rsidR="00937F16">
        <w:t>, 17 FCC Rcd at 5486.</w:t>
      </w:r>
    </w:p>
  </w:footnote>
  <w:footnote w:id="28">
    <w:p w:rsidR="00D70B02" w:rsidP="0054173C" w14:paraId="0F0CF8CE" w14:textId="4F75D16E">
      <w:pPr>
        <w:pStyle w:val="FootnoteText"/>
      </w:pPr>
      <w:r>
        <w:rPr>
          <w:rStyle w:val="FootnoteReference"/>
        </w:rPr>
        <w:footnoteRef/>
      </w:r>
      <w:r>
        <w:t xml:space="preserve"> </w:t>
      </w:r>
      <w:r w:rsidR="00003ED9">
        <w:rPr>
          <w:i/>
          <w:iCs/>
        </w:rPr>
        <w:t>See, e.g.</w:t>
      </w:r>
      <w:r w:rsidR="00003ED9">
        <w:t>,</w:t>
      </w:r>
      <w:r w:rsidR="00CA4841">
        <w:t xml:space="preserve"> </w:t>
      </w:r>
      <w:r w:rsidR="00003ED9">
        <w:rPr>
          <w:i/>
          <w:iCs/>
        </w:rPr>
        <w:t>Nexstar Broadcasting, Inc.</w:t>
      </w:r>
      <w:r w:rsidR="00003ED9">
        <w:t>, Letter Order, 23 FCC Rcd 3528, 3538 (MB</w:t>
      </w:r>
      <w:r w:rsidR="00CA4841">
        <w:t>-VD</w:t>
      </w:r>
      <w:r w:rsidR="00003ED9">
        <w:t xml:space="preserve"> 2008)</w:t>
      </w:r>
      <w:r w:rsidR="00CA4841">
        <w:t xml:space="preserve">; </w:t>
      </w:r>
      <w:r w:rsidR="00CA4841">
        <w:rPr>
          <w:i/>
          <w:iCs/>
        </w:rPr>
        <w:t>Rocking M. Radio, Inc.</w:t>
      </w:r>
      <w:r w:rsidR="00CA4841">
        <w:t>, Letter Order, 25 FCC Rcd 1322 1328-29 (MB-AD 2010)</w:t>
      </w:r>
      <w:r w:rsidR="00003ED9">
        <w:t xml:space="preserve">. </w:t>
      </w:r>
      <w:r w:rsidR="00003ED9">
        <w:rPr>
          <w:i/>
          <w:iCs/>
        </w:rPr>
        <w:t xml:space="preserve"> </w:t>
      </w:r>
      <w:r>
        <w:t xml:space="preserve">The </w:t>
      </w:r>
      <w:r w:rsidR="003013A8">
        <w:t>Reversionary Interest R</w:t>
      </w:r>
      <w:r>
        <w:t>ule states that “[i]n transferring a broadcast station, the licensee . . . may not reserve the right to use the facilities of the station for any period whatsoever.”</w:t>
      </w:r>
      <w:r w:rsidR="003013A8">
        <w:t xml:space="preserve">  47 CFR § 73.1150(a).</w:t>
      </w:r>
    </w:p>
  </w:footnote>
  <w:footnote w:id="29">
    <w:p w:rsidR="003013A8" w:rsidRPr="00A71998" w:rsidP="0054173C" w14:paraId="4B3F3986" w14:textId="45EED874">
      <w:pPr>
        <w:pStyle w:val="FootnoteText"/>
      </w:pPr>
      <w:r>
        <w:rPr>
          <w:rStyle w:val="FootnoteReference"/>
        </w:rPr>
        <w:footnoteRef/>
      </w:r>
      <w:r>
        <w:t xml:space="preserve"> </w:t>
      </w:r>
      <w:r w:rsidR="00A71998">
        <w:rPr>
          <w:i/>
          <w:iCs/>
        </w:rPr>
        <w:t>See, e.g.</w:t>
      </w:r>
      <w:r w:rsidR="00A71998">
        <w:t>, Application File No. 0000194638, Attach., Assets Purchase Agreement §§ 7.5, 7.12, and 8.3(g) (APA).</w:t>
      </w:r>
    </w:p>
  </w:footnote>
  <w:footnote w:id="30">
    <w:p w:rsidR="00A71998" w:rsidRPr="009F21D9" w:rsidP="0054173C" w14:paraId="5B6E2E11" w14:textId="71B1E905">
      <w:pPr>
        <w:pStyle w:val="FootnoteText"/>
      </w:pPr>
      <w:r>
        <w:rPr>
          <w:rStyle w:val="FootnoteReference"/>
        </w:rPr>
        <w:footnoteRef/>
      </w:r>
      <w:r>
        <w:t xml:space="preserve"> </w:t>
      </w:r>
      <w:r>
        <w:rPr>
          <w:i/>
          <w:iCs/>
        </w:rPr>
        <w:t>See, e.g.</w:t>
      </w:r>
      <w:r>
        <w:t>, Application File No. 0000194638, Attach., Waiver of Assignee Delivery at Closing of Signed Copies of LMAs.</w:t>
      </w:r>
    </w:p>
  </w:footnote>
  <w:footnote w:id="31">
    <w:p w:rsidR="0094333B" w:rsidRPr="00353088" w:rsidP="0054173C" w14:paraId="0FF2CBDB" w14:textId="540349B2">
      <w:pPr>
        <w:pStyle w:val="FootnoteText"/>
      </w:pPr>
      <w:r>
        <w:rPr>
          <w:rStyle w:val="FootnoteReference"/>
        </w:rPr>
        <w:footnoteRef/>
      </w:r>
      <w:r>
        <w:t xml:space="preserve"> </w:t>
      </w:r>
      <w:r>
        <w:rPr>
          <w:i/>
          <w:iCs/>
        </w:rPr>
        <w:t>See, e.g.</w:t>
      </w:r>
      <w:r>
        <w:t xml:space="preserve">, </w:t>
      </w:r>
      <w:r>
        <w:rPr>
          <w:i/>
          <w:iCs/>
        </w:rPr>
        <w:t>Univision Holdings, Inc.</w:t>
      </w:r>
      <w:r>
        <w:t xml:space="preserve">, Memorandum Opinion and Order, 7 FCC Rcd 6672, </w:t>
      </w:r>
      <w:r w:rsidR="00E44375">
        <w:t xml:space="preserve">6675 </w:t>
      </w:r>
      <w:r>
        <w:t>(1992) (affirming the staff’s practice of processing broadcast sales applications without requiring</w:t>
      </w:r>
      <w:r w:rsidRPr="00353088">
        <w:t xml:space="preserve"> the filing of financial documents that might be incorporated by reference into the sales contract</w:t>
      </w:r>
      <w:r>
        <w:t>, or</w:t>
      </w:r>
      <w:r w:rsidRPr="00353088">
        <w:t xml:space="preserve"> the filing of schedules to the contract, such as inventories of realty and personalty to be sold, employment and programming contracts, or lists of accounts receivable, accounts payable or other debts to be assumed</w:t>
      </w:r>
      <w:r w:rsidR="00E44375">
        <w:t>, unless requested)</w:t>
      </w:r>
      <w:r w:rsidRPr="00353088">
        <w:t xml:space="preserve">. </w:t>
      </w:r>
      <w:r w:rsidR="0054173C">
        <w:t xml:space="preserve"> We also note that under the Commission’s precedent, </w:t>
      </w:r>
      <w:r w:rsidR="0005704F">
        <w:t>we</w:t>
      </w:r>
      <w:r w:rsidR="0054173C">
        <w:t xml:space="preserve"> can request that the omitted </w:t>
      </w:r>
      <w:r w:rsidR="000432E1">
        <w:t xml:space="preserve">schedules or </w:t>
      </w:r>
      <w:r w:rsidR="0054173C">
        <w:t xml:space="preserve">exhibits be filed if </w:t>
      </w:r>
      <w:r w:rsidR="0005704F">
        <w:t>we</w:t>
      </w:r>
      <w:r w:rsidR="0054173C">
        <w:t xml:space="preserve"> want to see them</w:t>
      </w:r>
      <w:r w:rsidR="0005704F">
        <w:t>.</w:t>
      </w:r>
    </w:p>
  </w:footnote>
  <w:footnote w:id="32">
    <w:p w:rsidR="00E44375" w:rsidRPr="00255B77" w:rsidP="0054173C" w14:paraId="16739AFF" w14:textId="1654CACD">
      <w:pPr>
        <w:pStyle w:val="FootnoteText"/>
        <w:rPr>
          <w:i/>
          <w:iCs/>
        </w:rPr>
      </w:pPr>
      <w:r>
        <w:rPr>
          <w:rStyle w:val="FootnoteReference"/>
        </w:rPr>
        <w:footnoteRef/>
      </w:r>
      <w:r>
        <w:t xml:space="preserve"> </w:t>
      </w:r>
      <w:r>
        <w:rPr>
          <w:i/>
          <w:iCs/>
        </w:rPr>
        <w:t xml:space="preserve">LUJ, Inc., </w:t>
      </w:r>
      <w:r>
        <w:t>Memorandum Opinion and Order, 17 FCC Rcd 16980 (2002).</w:t>
      </w:r>
    </w:p>
  </w:footnote>
  <w:footnote w:id="33">
    <w:p w:rsidR="00562817" w:rsidRPr="008C1D05" w:rsidP="0054173C" w14:paraId="5C786C0D" w14:textId="15C974BA">
      <w:pPr>
        <w:pStyle w:val="FootnoteText"/>
      </w:pPr>
      <w:r w:rsidRPr="008C1D05">
        <w:rPr>
          <w:rStyle w:val="FootnoteReference"/>
        </w:rPr>
        <w:footnoteRef/>
      </w:r>
      <w:r w:rsidRPr="008C1D05">
        <w:t xml:space="preserve"> </w:t>
      </w:r>
      <w:r w:rsidR="00E44375">
        <w:rPr>
          <w:i/>
          <w:iCs/>
        </w:rPr>
        <w:t>See, e.g.</w:t>
      </w:r>
      <w:r w:rsidR="00E44375">
        <w:t xml:space="preserve">, </w:t>
      </w:r>
      <w:r w:rsidRPr="008C1D05">
        <w:t xml:space="preserve">Application </w:t>
      </w:r>
      <w:r w:rsidR="00E44375">
        <w:t xml:space="preserve">File No. 0000194638, </w:t>
      </w:r>
      <w:r w:rsidRPr="008C1D05">
        <w:t xml:space="preserve">Attach., </w:t>
      </w:r>
      <w:r w:rsidR="00E44375">
        <w:t>APA Omitted Exhibits and Schedules (corrected)</w:t>
      </w:r>
      <w:r w:rsidRPr="008C1D05">
        <w:t>.</w:t>
      </w:r>
    </w:p>
  </w:footnote>
  <w:footnote w:id="34">
    <w:p w:rsidR="007F60AB" w:rsidRPr="008C1D05" w:rsidP="0054173C" w14:paraId="53982B5A" w14:textId="13771AD3">
      <w:pPr>
        <w:pStyle w:val="FootnoteText"/>
      </w:pPr>
      <w:r w:rsidRPr="008C1D05">
        <w:rPr>
          <w:rStyle w:val="FootnoteReference"/>
        </w:rPr>
        <w:footnoteRef/>
      </w:r>
      <w:r w:rsidRPr="008C1D05">
        <w:t xml:space="preserve"> Opposition at 5; </w:t>
      </w:r>
      <w:r w:rsidR="00E44375">
        <w:rPr>
          <w:i/>
          <w:iCs/>
        </w:rPr>
        <w:t>see, e.g.</w:t>
      </w:r>
      <w:r w:rsidR="00E44375">
        <w:t xml:space="preserve">, </w:t>
      </w:r>
      <w:r w:rsidRPr="008C1D05">
        <w:t>Application</w:t>
      </w:r>
      <w:r w:rsidR="00E44375">
        <w:t xml:space="preserve"> File No. 0000194638,</w:t>
      </w:r>
      <w:r w:rsidRPr="008C1D05">
        <w:t xml:space="preserve"> Attach., Assignee Ownership Interests.</w:t>
      </w:r>
      <w:r w:rsidRPr="00161EE8" w:rsidR="00161EE8">
        <w:t xml:space="preserve"> </w:t>
      </w:r>
      <w:r w:rsidR="00161EE8">
        <w:t xml:space="preserve"> T</w:t>
      </w:r>
      <w:r w:rsidRPr="00161EE8" w:rsidR="00161EE8">
        <w:t xml:space="preserve">he Applicants amended the Applications on October 31, 2022, to include a certification from LMN that it and Lakestar “amend[ed] Lakestar’s minority equity stake such that, if exercised, Lakestar’s minority equity stake in [LMN] shall be up to but not in excess of 19.9%.”  </w:t>
      </w:r>
      <w:r w:rsidR="00161EE8">
        <w:rPr>
          <w:i/>
          <w:iCs/>
        </w:rPr>
        <w:t>See, e.g.</w:t>
      </w:r>
      <w:r w:rsidR="00161EE8">
        <w:t>, Application File No. 0000194638, Attach., Warrant-Holder 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FA2" w:rsidP="00B93FA2" w14:paraId="5393F17B"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B93FA2" w:rsidP="00B93FA2" w14:paraId="6DA3CE8D" w14:textId="77777777">
    <w:pPr>
      <w:tabs>
        <w:tab w:val="center" w:pos="4680"/>
        <w:tab w:val="left" w:pos="8400"/>
      </w:tabs>
    </w:pPr>
    <w:r>
      <w:rPr>
        <w:rFonts w:ascii="CG Times (W1)" w:hAnsi="CG Times (W1)"/>
        <w:sz w:val="28"/>
      </w:rPr>
      <w:tab/>
      <w:t>Washington, D.C. 20554</w:t>
    </w:r>
    <w:r>
      <w:rPr>
        <w:rFonts w:ascii="CG Times (W1)" w:hAnsi="CG Times (W1)"/>
        <w:sz w:val="28"/>
      </w:rPr>
      <w:tab/>
    </w:r>
  </w:p>
  <w:p w:rsidR="00B93FA2" w:rsidP="00B93FA2" w14:paraId="4037F361" w14:textId="77777777">
    <w:pPr>
      <w:pStyle w:val="Header"/>
      <w:tabs>
        <w:tab w:val="clear" w:pos="4320"/>
      </w:tabs>
      <w:jc w:val="center"/>
      <w:rPr>
        <w:sz w:val="22"/>
      </w:rPr>
    </w:pPr>
  </w:p>
  <w:p w:rsidR="00B93FA2" w:rsidP="00B93FA2" w14:paraId="5E7542E3" w14:textId="01CF3B49">
    <w:pPr>
      <w:pStyle w:val="Header"/>
      <w:tabs>
        <w:tab w:val="clear" w:pos="4320"/>
      </w:tabs>
      <w:spacing w:after="240"/>
      <w:jc w:val="center"/>
    </w:pPr>
    <w:r w:rsidRPr="000A5F53">
      <w:rPr>
        <w:sz w:val="22"/>
      </w:rPr>
      <w:t>November</w:t>
    </w:r>
    <w:r w:rsidRPr="000A5F53">
      <w:rPr>
        <w:sz w:val="22"/>
      </w:rPr>
      <w:t xml:space="preserve"> </w:t>
    </w:r>
    <w:r w:rsidRPr="000A5F53" w:rsidR="000A5F53">
      <w:rPr>
        <w:sz w:val="22"/>
      </w:rPr>
      <w:t>21</w:t>
    </w:r>
    <w:r w:rsidRPr="000A5F53">
      <w:rPr>
        <w:sz w:val="22"/>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FDA" w:rsidP="00B93FA2" w14:paraId="09FD80F0" w14:textId="16D46CDB">
    <w:pPr>
      <w:pStyle w:val="Header"/>
      <w:tabs>
        <w:tab w:val="clear" w:pos="4320"/>
      </w:tabs>
      <w:spacing w:after="2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26"/>
    <w:rsid w:val="0000067B"/>
    <w:rsid w:val="00001EA9"/>
    <w:rsid w:val="0000345F"/>
    <w:rsid w:val="00003ED9"/>
    <w:rsid w:val="00007D4E"/>
    <w:rsid w:val="000118D1"/>
    <w:rsid w:val="00011F75"/>
    <w:rsid w:val="00015CFE"/>
    <w:rsid w:val="000217B9"/>
    <w:rsid w:val="00022933"/>
    <w:rsid w:val="0002338E"/>
    <w:rsid w:val="000254DC"/>
    <w:rsid w:val="000274FE"/>
    <w:rsid w:val="00031996"/>
    <w:rsid w:val="00032E33"/>
    <w:rsid w:val="00033E75"/>
    <w:rsid w:val="00033FA0"/>
    <w:rsid w:val="00034C2F"/>
    <w:rsid w:val="00034E01"/>
    <w:rsid w:val="000356DD"/>
    <w:rsid w:val="00035B6D"/>
    <w:rsid w:val="00035EA3"/>
    <w:rsid w:val="00037B9D"/>
    <w:rsid w:val="000416B1"/>
    <w:rsid w:val="00041EAA"/>
    <w:rsid w:val="00042245"/>
    <w:rsid w:val="000432E1"/>
    <w:rsid w:val="00043FE4"/>
    <w:rsid w:val="00046155"/>
    <w:rsid w:val="00051B25"/>
    <w:rsid w:val="000523CD"/>
    <w:rsid w:val="0005704F"/>
    <w:rsid w:val="0006081F"/>
    <w:rsid w:val="00060D86"/>
    <w:rsid w:val="00064C77"/>
    <w:rsid w:val="00065227"/>
    <w:rsid w:val="0006562D"/>
    <w:rsid w:val="00066B71"/>
    <w:rsid w:val="00071913"/>
    <w:rsid w:val="00072A21"/>
    <w:rsid w:val="000761DA"/>
    <w:rsid w:val="00081F6E"/>
    <w:rsid w:val="00083DB4"/>
    <w:rsid w:val="00083E34"/>
    <w:rsid w:val="00084D58"/>
    <w:rsid w:val="00090B44"/>
    <w:rsid w:val="00091435"/>
    <w:rsid w:val="000928EF"/>
    <w:rsid w:val="000965E1"/>
    <w:rsid w:val="000A363C"/>
    <w:rsid w:val="000A3DE0"/>
    <w:rsid w:val="000A522C"/>
    <w:rsid w:val="000A5B0B"/>
    <w:rsid w:val="000A5F53"/>
    <w:rsid w:val="000B1735"/>
    <w:rsid w:val="000B4ABB"/>
    <w:rsid w:val="000B7DF8"/>
    <w:rsid w:val="000C163A"/>
    <w:rsid w:val="000C3DE2"/>
    <w:rsid w:val="000C486C"/>
    <w:rsid w:val="000C4A25"/>
    <w:rsid w:val="000D2512"/>
    <w:rsid w:val="000D627E"/>
    <w:rsid w:val="000D6E23"/>
    <w:rsid w:val="000E0DFD"/>
    <w:rsid w:val="000E11E3"/>
    <w:rsid w:val="000F168E"/>
    <w:rsid w:val="000F2654"/>
    <w:rsid w:val="000F2AA8"/>
    <w:rsid w:val="000F33B8"/>
    <w:rsid w:val="000F3E2B"/>
    <w:rsid w:val="000F52F1"/>
    <w:rsid w:val="000F5465"/>
    <w:rsid w:val="001006E6"/>
    <w:rsid w:val="00100A37"/>
    <w:rsid w:val="00101320"/>
    <w:rsid w:val="00101B38"/>
    <w:rsid w:val="00102A7D"/>
    <w:rsid w:val="0010570F"/>
    <w:rsid w:val="001117E6"/>
    <w:rsid w:val="001154B6"/>
    <w:rsid w:val="0012211F"/>
    <w:rsid w:val="00123923"/>
    <w:rsid w:val="0012683B"/>
    <w:rsid w:val="00126918"/>
    <w:rsid w:val="00127698"/>
    <w:rsid w:val="00127DC9"/>
    <w:rsid w:val="00130598"/>
    <w:rsid w:val="00131453"/>
    <w:rsid w:val="00131E36"/>
    <w:rsid w:val="00132B57"/>
    <w:rsid w:val="001333F1"/>
    <w:rsid w:val="00134811"/>
    <w:rsid w:val="00134AA6"/>
    <w:rsid w:val="00135CDC"/>
    <w:rsid w:val="00137555"/>
    <w:rsid w:val="001406E4"/>
    <w:rsid w:val="001447C6"/>
    <w:rsid w:val="00144A28"/>
    <w:rsid w:val="0014560D"/>
    <w:rsid w:val="001457A8"/>
    <w:rsid w:val="00147302"/>
    <w:rsid w:val="0014784E"/>
    <w:rsid w:val="00147922"/>
    <w:rsid w:val="00152941"/>
    <w:rsid w:val="00152ED4"/>
    <w:rsid w:val="001541AA"/>
    <w:rsid w:val="00156788"/>
    <w:rsid w:val="001576CF"/>
    <w:rsid w:val="001601E6"/>
    <w:rsid w:val="00160BF0"/>
    <w:rsid w:val="00161EE8"/>
    <w:rsid w:val="00163E6C"/>
    <w:rsid w:val="00164073"/>
    <w:rsid w:val="00164375"/>
    <w:rsid w:val="00164C2D"/>
    <w:rsid w:val="001651A4"/>
    <w:rsid w:val="00170613"/>
    <w:rsid w:val="00171D9C"/>
    <w:rsid w:val="001742F4"/>
    <w:rsid w:val="00174B51"/>
    <w:rsid w:val="00174CB4"/>
    <w:rsid w:val="00182113"/>
    <w:rsid w:val="00182ACA"/>
    <w:rsid w:val="00183089"/>
    <w:rsid w:val="001854A3"/>
    <w:rsid w:val="00190829"/>
    <w:rsid w:val="001910CA"/>
    <w:rsid w:val="001949E5"/>
    <w:rsid w:val="001952BC"/>
    <w:rsid w:val="00196BC5"/>
    <w:rsid w:val="00196DA5"/>
    <w:rsid w:val="00197306"/>
    <w:rsid w:val="001977DF"/>
    <w:rsid w:val="001A0859"/>
    <w:rsid w:val="001A4760"/>
    <w:rsid w:val="001A7A7C"/>
    <w:rsid w:val="001B3AC6"/>
    <w:rsid w:val="001B4BDF"/>
    <w:rsid w:val="001B50A2"/>
    <w:rsid w:val="001B559F"/>
    <w:rsid w:val="001C1975"/>
    <w:rsid w:val="001C222F"/>
    <w:rsid w:val="001C4B68"/>
    <w:rsid w:val="001C67A0"/>
    <w:rsid w:val="001C6A24"/>
    <w:rsid w:val="001C78D8"/>
    <w:rsid w:val="001D0AF6"/>
    <w:rsid w:val="001D15D8"/>
    <w:rsid w:val="001D1B8F"/>
    <w:rsid w:val="001D24A9"/>
    <w:rsid w:val="001D29DA"/>
    <w:rsid w:val="001E0A90"/>
    <w:rsid w:val="001E1180"/>
    <w:rsid w:val="001E2CE8"/>
    <w:rsid w:val="001E3D5F"/>
    <w:rsid w:val="001E3DD3"/>
    <w:rsid w:val="001E7D4E"/>
    <w:rsid w:val="001F1CB1"/>
    <w:rsid w:val="001F2C5C"/>
    <w:rsid w:val="00200790"/>
    <w:rsid w:val="002018C0"/>
    <w:rsid w:val="00203F8E"/>
    <w:rsid w:val="00204CE3"/>
    <w:rsid w:val="002074DA"/>
    <w:rsid w:val="00215839"/>
    <w:rsid w:val="00217385"/>
    <w:rsid w:val="00217C33"/>
    <w:rsid w:val="00221970"/>
    <w:rsid w:val="0022560B"/>
    <w:rsid w:val="00225E7A"/>
    <w:rsid w:val="00227BEF"/>
    <w:rsid w:val="00230A42"/>
    <w:rsid w:val="0023416A"/>
    <w:rsid w:val="00234588"/>
    <w:rsid w:val="00236332"/>
    <w:rsid w:val="00243903"/>
    <w:rsid w:val="002447EB"/>
    <w:rsid w:val="0024559C"/>
    <w:rsid w:val="00247E89"/>
    <w:rsid w:val="0025292A"/>
    <w:rsid w:val="002533E7"/>
    <w:rsid w:val="00255B77"/>
    <w:rsid w:val="00256067"/>
    <w:rsid w:val="002571F0"/>
    <w:rsid w:val="002620F7"/>
    <w:rsid w:val="002637C5"/>
    <w:rsid w:val="0026471F"/>
    <w:rsid w:val="00264F7C"/>
    <w:rsid w:val="00266DA9"/>
    <w:rsid w:val="002715FF"/>
    <w:rsid w:val="0027174F"/>
    <w:rsid w:val="00276BE5"/>
    <w:rsid w:val="0028083C"/>
    <w:rsid w:val="00281109"/>
    <w:rsid w:val="00281FCA"/>
    <w:rsid w:val="00282A56"/>
    <w:rsid w:val="00287332"/>
    <w:rsid w:val="00290724"/>
    <w:rsid w:val="0029449D"/>
    <w:rsid w:val="0029772E"/>
    <w:rsid w:val="002A1300"/>
    <w:rsid w:val="002A3ECA"/>
    <w:rsid w:val="002A56B3"/>
    <w:rsid w:val="002A6AB8"/>
    <w:rsid w:val="002B16CC"/>
    <w:rsid w:val="002B1DF2"/>
    <w:rsid w:val="002B1FBF"/>
    <w:rsid w:val="002B3C53"/>
    <w:rsid w:val="002B54DB"/>
    <w:rsid w:val="002B58FC"/>
    <w:rsid w:val="002B595E"/>
    <w:rsid w:val="002B667A"/>
    <w:rsid w:val="002C4404"/>
    <w:rsid w:val="002C56FC"/>
    <w:rsid w:val="002D18A5"/>
    <w:rsid w:val="002D345B"/>
    <w:rsid w:val="002D573E"/>
    <w:rsid w:val="002D5E09"/>
    <w:rsid w:val="002E02C0"/>
    <w:rsid w:val="002E2C98"/>
    <w:rsid w:val="002E4C97"/>
    <w:rsid w:val="002E76B0"/>
    <w:rsid w:val="002E76BF"/>
    <w:rsid w:val="002F0E93"/>
    <w:rsid w:val="002F20B6"/>
    <w:rsid w:val="002F4171"/>
    <w:rsid w:val="002F4D0E"/>
    <w:rsid w:val="002F5CB6"/>
    <w:rsid w:val="002F681C"/>
    <w:rsid w:val="003013A8"/>
    <w:rsid w:val="00306AE2"/>
    <w:rsid w:val="00311D32"/>
    <w:rsid w:val="00314E11"/>
    <w:rsid w:val="00315FA1"/>
    <w:rsid w:val="003164B6"/>
    <w:rsid w:val="003200B9"/>
    <w:rsid w:val="003213F3"/>
    <w:rsid w:val="00322020"/>
    <w:rsid w:val="00324FF2"/>
    <w:rsid w:val="00325254"/>
    <w:rsid w:val="003260A1"/>
    <w:rsid w:val="003315BA"/>
    <w:rsid w:val="0033219A"/>
    <w:rsid w:val="00332DBD"/>
    <w:rsid w:val="00333AF4"/>
    <w:rsid w:val="00335022"/>
    <w:rsid w:val="00335CBA"/>
    <w:rsid w:val="00336740"/>
    <w:rsid w:val="00337100"/>
    <w:rsid w:val="00341BC5"/>
    <w:rsid w:val="00342D2D"/>
    <w:rsid w:val="00345900"/>
    <w:rsid w:val="00350ABD"/>
    <w:rsid w:val="00352440"/>
    <w:rsid w:val="00352BCA"/>
    <w:rsid w:val="00353088"/>
    <w:rsid w:val="00355B9B"/>
    <w:rsid w:val="003560DE"/>
    <w:rsid w:val="00360145"/>
    <w:rsid w:val="0036069E"/>
    <w:rsid w:val="003610E2"/>
    <w:rsid w:val="00361576"/>
    <w:rsid w:val="00363526"/>
    <w:rsid w:val="003658D5"/>
    <w:rsid w:val="003658E5"/>
    <w:rsid w:val="00365F76"/>
    <w:rsid w:val="00367963"/>
    <w:rsid w:val="00367DE6"/>
    <w:rsid w:val="00370180"/>
    <w:rsid w:val="00382DFD"/>
    <w:rsid w:val="0039027A"/>
    <w:rsid w:val="00392240"/>
    <w:rsid w:val="0039286D"/>
    <w:rsid w:val="00394871"/>
    <w:rsid w:val="00395C5E"/>
    <w:rsid w:val="0039624C"/>
    <w:rsid w:val="003966CB"/>
    <w:rsid w:val="003A0DA8"/>
    <w:rsid w:val="003B2157"/>
    <w:rsid w:val="003B62F8"/>
    <w:rsid w:val="003B7AB9"/>
    <w:rsid w:val="003C2B54"/>
    <w:rsid w:val="003C3816"/>
    <w:rsid w:val="003C3C10"/>
    <w:rsid w:val="003C5860"/>
    <w:rsid w:val="003C6FAC"/>
    <w:rsid w:val="003D0754"/>
    <w:rsid w:val="003D09D0"/>
    <w:rsid w:val="003D0A1F"/>
    <w:rsid w:val="003D3CBC"/>
    <w:rsid w:val="003D6571"/>
    <w:rsid w:val="003D66FC"/>
    <w:rsid w:val="003E06EA"/>
    <w:rsid w:val="003E10A8"/>
    <w:rsid w:val="003E2D1F"/>
    <w:rsid w:val="003E469A"/>
    <w:rsid w:val="003E50FB"/>
    <w:rsid w:val="003E658D"/>
    <w:rsid w:val="003F00DE"/>
    <w:rsid w:val="003F0E07"/>
    <w:rsid w:val="003F20F8"/>
    <w:rsid w:val="003F2CF5"/>
    <w:rsid w:val="003F5128"/>
    <w:rsid w:val="003F7D59"/>
    <w:rsid w:val="003F7E38"/>
    <w:rsid w:val="00403AC0"/>
    <w:rsid w:val="004040A9"/>
    <w:rsid w:val="004065E5"/>
    <w:rsid w:val="0040671B"/>
    <w:rsid w:val="004074DB"/>
    <w:rsid w:val="00410172"/>
    <w:rsid w:val="0041059F"/>
    <w:rsid w:val="004108E8"/>
    <w:rsid w:val="004108EC"/>
    <w:rsid w:val="00412FE9"/>
    <w:rsid w:val="0041322B"/>
    <w:rsid w:val="004146D2"/>
    <w:rsid w:val="00415C2A"/>
    <w:rsid w:val="00416247"/>
    <w:rsid w:val="004171AC"/>
    <w:rsid w:val="004175C9"/>
    <w:rsid w:val="00421E75"/>
    <w:rsid w:val="004228CA"/>
    <w:rsid w:val="00423703"/>
    <w:rsid w:val="00430B6F"/>
    <w:rsid w:val="00431929"/>
    <w:rsid w:val="00431EFB"/>
    <w:rsid w:val="00434A30"/>
    <w:rsid w:val="004358A2"/>
    <w:rsid w:val="00435D02"/>
    <w:rsid w:val="004418D1"/>
    <w:rsid w:val="00441CDE"/>
    <w:rsid w:val="004433EA"/>
    <w:rsid w:val="0044382C"/>
    <w:rsid w:val="0044742C"/>
    <w:rsid w:val="00450F58"/>
    <w:rsid w:val="00451621"/>
    <w:rsid w:val="00454837"/>
    <w:rsid w:val="00456A8F"/>
    <w:rsid w:val="0046281C"/>
    <w:rsid w:val="00464B88"/>
    <w:rsid w:val="00465D88"/>
    <w:rsid w:val="00467AA0"/>
    <w:rsid w:val="00470F23"/>
    <w:rsid w:val="00470FF3"/>
    <w:rsid w:val="004736D2"/>
    <w:rsid w:val="00474796"/>
    <w:rsid w:val="00474CAC"/>
    <w:rsid w:val="00475DB6"/>
    <w:rsid w:val="00476BE9"/>
    <w:rsid w:val="004804C3"/>
    <w:rsid w:val="004812E2"/>
    <w:rsid w:val="004818CD"/>
    <w:rsid w:val="00482217"/>
    <w:rsid w:val="00482AB6"/>
    <w:rsid w:val="00483214"/>
    <w:rsid w:val="00483B6B"/>
    <w:rsid w:val="0048416B"/>
    <w:rsid w:val="00484258"/>
    <w:rsid w:val="00484522"/>
    <w:rsid w:val="004858ED"/>
    <w:rsid w:val="00487BC3"/>
    <w:rsid w:val="00490DDB"/>
    <w:rsid w:val="00494EF5"/>
    <w:rsid w:val="00495697"/>
    <w:rsid w:val="00495983"/>
    <w:rsid w:val="00495C54"/>
    <w:rsid w:val="00496F77"/>
    <w:rsid w:val="004A1683"/>
    <w:rsid w:val="004A4588"/>
    <w:rsid w:val="004B0E21"/>
    <w:rsid w:val="004B4625"/>
    <w:rsid w:val="004B5831"/>
    <w:rsid w:val="004B6DB9"/>
    <w:rsid w:val="004B7782"/>
    <w:rsid w:val="004B7D29"/>
    <w:rsid w:val="004C1E8B"/>
    <w:rsid w:val="004C267F"/>
    <w:rsid w:val="004C30BF"/>
    <w:rsid w:val="004D32A8"/>
    <w:rsid w:val="004D3B53"/>
    <w:rsid w:val="004D465A"/>
    <w:rsid w:val="004D4BE2"/>
    <w:rsid w:val="004E2DF0"/>
    <w:rsid w:val="004E47B2"/>
    <w:rsid w:val="004E5006"/>
    <w:rsid w:val="004F0BEB"/>
    <w:rsid w:val="004F14B7"/>
    <w:rsid w:val="004F3176"/>
    <w:rsid w:val="004F4275"/>
    <w:rsid w:val="004F52EB"/>
    <w:rsid w:val="004F6D07"/>
    <w:rsid w:val="005000B9"/>
    <w:rsid w:val="005005C6"/>
    <w:rsid w:val="00500DE6"/>
    <w:rsid w:val="00502097"/>
    <w:rsid w:val="005025D2"/>
    <w:rsid w:val="005029B3"/>
    <w:rsid w:val="005145AB"/>
    <w:rsid w:val="00515D05"/>
    <w:rsid w:val="00517C5F"/>
    <w:rsid w:val="005201B3"/>
    <w:rsid w:val="00520FE8"/>
    <w:rsid w:val="0052796B"/>
    <w:rsid w:val="0053340A"/>
    <w:rsid w:val="0053360D"/>
    <w:rsid w:val="00534812"/>
    <w:rsid w:val="00535439"/>
    <w:rsid w:val="00536408"/>
    <w:rsid w:val="00540C86"/>
    <w:rsid w:val="0054173C"/>
    <w:rsid w:val="00543791"/>
    <w:rsid w:val="00543B76"/>
    <w:rsid w:val="005448FD"/>
    <w:rsid w:val="00547BFD"/>
    <w:rsid w:val="00550085"/>
    <w:rsid w:val="005507E9"/>
    <w:rsid w:val="005548F8"/>
    <w:rsid w:val="0055660C"/>
    <w:rsid w:val="00556D4E"/>
    <w:rsid w:val="00561C7B"/>
    <w:rsid w:val="00562817"/>
    <w:rsid w:val="00563A91"/>
    <w:rsid w:val="005641E2"/>
    <w:rsid w:val="00566D5A"/>
    <w:rsid w:val="00566EB4"/>
    <w:rsid w:val="005674D8"/>
    <w:rsid w:val="0057164A"/>
    <w:rsid w:val="005734FB"/>
    <w:rsid w:val="00573F91"/>
    <w:rsid w:val="00580C91"/>
    <w:rsid w:val="00582DC7"/>
    <w:rsid w:val="00584C92"/>
    <w:rsid w:val="00585E7F"/>
    <w:rsid w:val="00593D72"/>
    <w:rsid w:val="0059654C"/>
    <w:rsid w:val="005970B6"/>
    <w:rsid w:val="005A0C85"/>
    <w:rsid w:val="005A4904"/>
    <w:rsid w:val="005A530B"/>
    <w:rsid w:val="005A53CF"/>
    <w:rsid w:val="005A743D"/>
    <w:rsid w:val="005A788F"/>
    <w:rsid w:val="005A7DCE"/>
    <w:rsid w:val="005A7E08"/>
    <w:rsid w:val="005B03ED"/>
    <w:rsid w:val="005B3C30"/>
    <w:rsid w:val="005B51B6"/>
    <w:rsid w:val="005B64A9"/>
    <w:rsid w:val="005B76E4"/>
    <w:rsid w:val="005B7EE0"/>
    <w:rsid w:val="005C0AC4"/>
    <w:rsid w:val="005C1CBC"/>
    <w:rsid w:val="005C3390"/>
    <w:rsid w:val="005C468F"/>
    <w:rsid w:val="005C7B7D"/>
    <w:rsid w:val="005D1F0D"/>
    <w:rsid w:val="005D60B6"/>
    <w:rsid w:val="005E1D41"/>
    <w:rsid w:val="005E3704"/>
    <w:rsid w:val="005E4396"/>
    <w:rsid w:val="005E5D00"/>
    <w:rsid w:val="005E5EEC"/>
    <w:rsid w:val="005E6129"/>
    <w:rsid w:val="005E6E15"/>
    <w:rsid w:val="005F3A25"/>
    <w:rsid w:val="005F5A28"/>
    <w:rsid w:val="005F6134"/>
    <w:rsid w:val="005F7BD5"/>
    <w:rsid w:val="00606A62"/>
    <w:rsid w:val="006121A6"/>
    <w:rsid w:val="00612573"/>
    <w:rsid w:val="00612BBB"/>
    <w:rsid w:val="00614FB7"/>
    <w:rsid w:val="00616F34"/>
    <w:rsid w:val="006232DA"/>
    <w:rsid w:val="00625E1B"/>
    <w:rsid w:val="00626336"/>
    <w:rsid w:val="00626CDF"/>
    <w:rsid w:val="0062715E"/>
    <w:rsid w:val="006278A6"/>
    <w:rsid w:val="00634548"/>
    <w:rsid w:val="00637C83"/>
    <w:rsid w:val="00640E77"/>
    <w:rsid w:val="00642C70"/>
    <w:rsid w:val="006437B9"/>
    <w:rsid w:val="006440B0"/>
    <w:rsid w:val="006456A4"/>
    <w:rsid w:val="00645A53"/>
    <w:rsid w:val="00645E54"/>
    <w:rsid w:val="0065001B"/>
    <w:rsid w:val="0065027E"/>
    <w:rsid w:val="00651A58"/>
    <w:rsid w:val="00653DD8"/>
    <w:rsid w:val="006540A9"/>
    <w:rsid w:val="006540D0"/>
    <w:rsid w:val="00654D68"/>
    <w:rsid w:val="00654D7B"/>
    <w:rsid w:val="00655AA6"/>
    <w:rsid w:val="00655D85"/>
    <w:rsid w:val="00657052"/>
    <w:rsid w:val="00657750"/>
    <w:rsid w:val="00657B2F"/>
    <w:rsid w:val="00657CE1"/>
    <w:rsid w:val="0066242F"/>
    <w:rsid w:val="00663286"/>
    <w:rsid w:val="00663872"/>
    <w:rsid w:val="006642E1"/>
    <w:rsid w:val="00664F47"/>
    <w:rsid w:val="00665082"/>
    <w:rsid w:val="00665810"/>
    <w:rsid w:val="006670BD"/>
    <w:rsid w:val="00667105"/>
    <w:rsid w:val="00667FDA"/>
    <w:rsid w:val="006713A5"/>
    <w:rsid w:val="00671736"/>
    <w:rsid w:val="0067261C"/>
    <w:rsid w:val="006752B7"/>
    <w:rsid w:val="00675341"/>
    <w:rsid w:val="00675CF5"/>
    <w:rsid w:val="00676726"/>
    <w:rsid w:val="0068045A"/>
    <w:rsid w:val="006834E1"/>
    <w:rsid w:val="0068687B"/>
    <w:rsid w:val="006904FC"/>
    <w:rsid w:val="006905DD"/>
    <w:rsid w:val="00691E25"/>
    <w:rsid w:val="0069362B"/>
    <w:rsid w:val="00694CF6"/>
    <w:rsid w:val="00694D63"/>
    <w:rsid w:val="006950CC"/>
    <w:rsid w:val="006A1F73"/>
    <w:rsid w:val="006A2C09"/>
    <w:rsid w:val="006A3570"/>
    <w:rsid w:val="006A4BDB"/>
    <w:rsid w:val="006A5A89"/>
    <w:rsid w:val="006A5C59"/>
    <w:rsid w:val="006A7EA7"/>
    <w:rsid w:val="006C0232"/>
    <w:rsid w:val="006C3F95"/>
    <w:rsid w:val="006C573A"/>
    <w:rsid w:val="006C7A3A"/>
    <w:rsid w:val="006D1165"/>
    <w:rsid w:val="006D20B3"/>
    <w:rsid w:val="006D3E99"/>
    <w:rsid w:val="006D4429"/>
    <w:rsid w:val="006D5690"/>
    <w:rsid w:val="006D6750"/>
    <w:rsid w:val="006D743A"/>
    <w:rsid w:val="006E0ABD"/>
    <w:rsid w:val="006E18A4"/>
    <w:rsid w:val="006E1EB4"/>
    <w:rsid w:val="006E7728"/>
    <w:rsid w:val="006F33E7"/>
    <w:rsid w:val="006F3409"/>
    <w:rsid w:val="006F3610"/>
    <w:rsid w:val="006F4151"/>
    <w:rsid w:val="007029F8"/>
    <w:rsid w:val="0070359D"/>
    <w:rsid w:val="007043CF"/>
    <w:rsid w:val="00705BBF"/>
    <w:rsid w:val="00707D09"/>
    <w:rsid w:val="00713636"/>
    <w:rsid w:val="007142FD"/>
    <w:rsid w:val="007147D1"/>
    <w:rsid w:val="007177D1"/>
    <w:rsid w:val="00717B09"/>
    <w:rsid w:val="00717B30"/>
    <w:rsid w:val="00717F6C"/>
    <w:rsid w:val="00720478"/>
    <w:rsid w:val="00720EA2"/>
    <w:rsid w:val="007210B2"/>
    <w:rsid w:val="0072126C"/>
    <w:rsid w:val="00724B63"/>
    <w:rsid w:val="00724CA4"/>
    <w:rsid w:val="00725120"/>
    <w:rsid w:val="007254DC"/>
    <w:rsid w:val="00726C31"/>
    <w:rsid w:val="00726FC3"/>
    <w:rsid w:val="00727EFB"/>
    <w:rsid w:val="00732145"/>
    <w:rsid w:val="00733A7B"/>
    <w:rsid w:val="00734AD6"/>
    <w:rsid w:val="007400A1"/>
    <w:rsid w:val="007402B6"/>
    <w:rsid w:val="00741665"/>
    <w:rsid w:val="007432A0"/>
    <w:rsid w:val="007525C2"/>
    <w:rsid w:val="00754AE1"/>
    <w:rsid w:val="00760CC8"/>
    <w:rsid w:val="00762945"/>
    <w:rsid w:val="00764A96"/>
    <w:rsid w:val="007654FC"/>
    <w:rsid w:val="0076669A"/>
    <w:rsid w:val="00766F92"/>
    <w:rsid w:val="007727EF"/>
    <w:rsid w:val="00772991"/>
    <w:rsid w:val="00773772"/>
    <w:rsid w:val="00773DF9"/>
    <w:rsid w:val="007814B5"/>
    <w:rsid w:val="00782194"/>
    <w:rsid w:val="007864AF"/>
    <w:rsid w:val="0078669F"/>
    <w:rsid w:val="0079165F"/>
    <w:rsid w:val="00792F6B"/>
    <w:rsid w:val="0079369B"/>
    <w:rsid w:val="00793D0F"/>
    <w:rsid w:val="007A3342"/>
    <w:rsid w:val="007A5710"/>
    <w:rsid w:val="007A5BF8"/>
    <w:rsid w:val="007A65C3"/>
    <w:rsid w:val="007A692C"/>
    <w:rsid w:val="007A6EBC"/>
    <w:rsid w:val="007A764B"/>
    <w:rsid w:val="007B22BC"/>
    <w:rsid w:val="007B3BC4"/>
    <w:rsid w:val="007B460E"/>
    <w:rsid w:val="007B6214"/>
    <w:rsid w:val="007B7288"/>
    <w:rsid w:val="007B7D8D"/>
    <w:rsid w:val="007B7EA1"/>
    <w:rsid w:val="007C07CA"/>
    <w:rsid w:val="007C0AE7"/>
    <w:rsid w:val="007C2287"/>
    <w:rsid w:val="007C263D"/>
    <w:rsid w:val="007C403C"/>
    <w:rsid w:val="007C4AFD"/>
    <w:rsid w:val="007C5DC5"/>
    <w:rsid w:val="007C6CB7"/>
    <w:rsid w:val="007D253B"/>
    <w:rsid w:val="007D2B41"/>
    <w:rsid w:val="007D37C8"/>
    <w:rsid w:val="007D420B"/>
    <w:rsid w:val="007D622E"/>
    <w:rsid w:val="007D6CA3"/>
    <w:rsid w:val="007D6D7D"/>
    <w:rsid w:val="007D7EAF"/>
    <w:rsid w:val="007E0451"/>
    <w:rsid w:val="007E24B1"/>
    <w:rsid w:val="007E469E"/>
    <w:rsid w:val="007E50C3"/>
    <w:rsid w:val="007E68BF"/>
    <w:rsid w:val="007E7685"/>
    <w:rsid w:val="007E77C0"/>
    <w:rsid w:val="007F00C1"/>
    <w:rsid w:val="007F087B"/>
    <w:rsid w:val="007F2016"/>
    <w:rsid w:val="007F31C6"/>
    <w:rsid w:val="007F3358"/>
    <w:rsid w:val="007F385F"/>
    <w:rsid w:val="007F4D44"/>
    <w:rsid w:val="007F52F4"/>
    <w:rsid w:val="007F60AB"/>
    <w:rsid w:val="007F789A"/>
    <w:rsid w:val="00805964"/>
    <w:rsid w:val="00806515"/>
    <w:rsid w:val="008071E9"/>
    <w:rsid w:val="00807A78"/>
    <w:rsid w:val="008116A0"/>
    <w:rsid w:val="00812C07"/>
    <w:rsid w:val="00812FCA"/>
    <w:rsid w:val="00815218"/>
    <w:rsid w:val="00816457"/>
    <w:rsid w:val="008168B6"/>
    <w:rsid w:val="0081728E"/>
    <w:rsid w:val="008243E0"/>
    <w:rsid w:val="00824A76"/>
    <w:rsid w:val="00826DF4"/>
    <w:rsid w:val="008311FE"/>
    <w:rsid w:val="00832797"/>
    <w:rsid w:val="00833979"/>
    <w:rsid w:val="00834856"/>
    <w:rsid w:val="00835587"/>
    <w:rsid w:val="00837C09"/>
    <w:rsid w:val="00846665"/>
    <w:rsid w:val="00852566"/>
    <w:rsid w:val="00853404"/>
    <w:rsid w:val="00853C4D"/>
    <w:rsid w:val="0085542E"/>
    <w:rsid w:val="008561CD"/>
    <w:rsid w:val="008567AC"/>
    <w:rsid w:val="00856EC2"/>
    <w:rsid w:val="00857203"/>
    <w:rsid w:val="00860F31"/>
    <w:rsid w:val="008638D4"/>
    <w:rsid w:val="00867A9F"/>
    <w:rsid w:val="008769CB"/>
    <w:rsid w:val="008806E9"/>
    <w:rsid w:val="00881DA6"/>
    <w:rsid w:val="00883050"/>
    <w:rsid w:val="0088782F"/>
    <w:rsid w:val="00891212"/>
    <w:rsid w:val="0089225E"/>
    <w:rsid w:val="008936A8"/>
    <w:rsid w:val="00894ED3"/>
    <w:rsid w:val="008962A6"/>
    <w:rsid w:val="008966EA"/>
    <w:rsid w:val="008A68AF"/>
    <w:rsid w:val="008A7DDF"/>
    <w:rsid w:val="008B47E4"/>
    <w:rsid w:val="008B5109"/>
    <w:rsid w:val="008C1D05"/>
    <w:rsid w:val="008C1ED7"/>
    <w:rsid w:val="008C321C"/>
    <w:rsid w:val="008C3734"/>
    <w:rsid w:val="008C3A36"/>
    <w:rsid w:val="008C3FDA"/>
    <w:rsid w:val="008C489D"/>
    <w:rsid w:val="008C5D50"/>
    <w:rsid w:val="008C61F5"/>
    <w:rsid w:val="008C63F9"/>
    <w:rsid w:val="008C7F52"/>
    <w:rsid w:val="008D024F"/>
    <w:rsid w:val="008D0E65"/>
    <w:rsid w:val="008D148F"/>
    <w:rsid w:val="008D1AA9"/>
    <w:rsid w:val="008D3290"/>
    <w:rsid w:val="008D3E62"/>
    <w:rsid w:val="008D45A0"/>
    <w:rsid w:val="008E2291"/>
    <w:rsid w:val="008E2B96"/>
    <w:rsid w:val="008E3672"/>
    <w:rsid w:val="008E3DB3"/>
    <w:rsid w:val="008E4891"/>
    <w:rsid w:val="008E61CF"/>
    <w:rsid w:val="008E64B8"/>
    <w:rsid w:val="008E7257"/>
    <w:rsid w:val="008F02EC"/>
    <w:rsid w:val="008F301C"/>
    <w:rsid w:val="008F4841"/>
    <w:rsid w:val="008F5064"/>
    <w:rsid w:val="008F62EF"/>
    <w:rsid w:val="008F6835"/>
    <w:rsid w:val="009023B5"/>
    <w:rsid w:val="00902DF5"/>
    <w:rsid w:val="00904E2C"/>
    <w:rsid w:val="00910314"/>
    <w:rsid w:val="009124D9"/>
    <w:rsid w:val="00912F0F"/>
    <w:rsid w:val="00912FB5"/>
    <w:rsid w:val="009134FC"/>
    <w:rsid w:val="00920FCF"/>
    <w:rsid w:val="009260B8"/>
    <w:rsid w:val="009267A2"/>
    <w:rsid w:val="00931AD3"/>
    <w:rsid w:val="00935F25"/>
    <w:rsid w:val="009361D6"/>
    <w:rsid w:val="00936F29"/>
    <w:rsid w:val="00937F16"/>
    <w:rsid w:val="00940F09"/>
    <w:rsid w:val="009415FE"/>
    <w:rsid w:val="00941B7F"/>
    <w:rsid w:val="0094333B"/>
    <w:rsid w:val="00943408"/>
    <w:rsid w:val="0094349E"/>
    <w:rsid w:val="00944E7D"/>
    <w:rsid w:val="009531DA"/>
    <w:rsid w:val="0095368D"/>
    <w:rsid w:val="00953DC6"/>
    <w:rsid w:val="0095666C"/>
    <w:rsid w:val="00962EF3"/>
    <w:rsid w:val="0097034C"/>
    <w:rsid w:val="0097086C"/>
    <w:rsid w:val="00971C36"/>
    <w:rsid w:val="009723C3"/>
    <w:rsid w:val="009736DB"/>
    <w:rsid w:val="0097480C"/>
    <w:rsid w:val="00975B18"/>
    <w:rsid w:val="00977F72"/>
    <w:rsid w:val="0098266D"/>
    <w:rsid w:val="009829C0"/>
    <w:rsid w:val="00983D3E"/>
    <w:rsid w:val="00984668"/>
    <w:rsid w:val="00985D59"/>
    <w:rsid w:val="00992BA7"/>
    <w:rsid w:val="00992BF5"/>
    <w:rsid w:val="00995E10"/>
    <w:rsid w:val="009A2507"/>
    <w:rsid w:val="009A416C"/>
    <w:rsid w:val="009A6A92"/>
    <w:rsid w:val="009A6D4C"/>
    <w:rsid w:val="009B1514"/>
    <w:rsid w:val="009B3192"/>
    <w:rsid w:val="009B37A7"/>
    <w:rsid w:val="009B37C5"/>
    <w:rsid w:val="009B4129"/>
    <w:rsid w:val="009B787E"/>
    <w:rsid w:val="009C1292"/>
    <w:rsid w:val="009C14FE"/>
    <w:rsid w:val="009C1AA3"/>
    <w:rsid w:val="009C1D73"/>
    <w:rsid w:val="009C2133"/>
    <w:rsid w:val="009C352D"/>
    <w:rsid w:val="009C404F"/>
    <w:rsid w:val="009C6F45"/>
    <w:rsid w:val="009C74B6"/>
    <w:rsid w:val="009D0DF0"/>
    <w:rsid w:val="009D190B"/>
    <w:rsid w:val="009D2B0A"/>
    <w:rsid w:val="009D71B9"/>
    <w:rsid w:val="009E1CB4"/>
    <w:rsid w:val="009E309F"/>
    <w:rsid w:val="009E5773"/>
    <w:rsid w:val="009E7742"/>
    <w:rsid w:val="009F0787"/>
    <w:rsid w:val="009F116F"/>
    <w:rsid w:val="009F1EAD"/>
    <w:rsid w:val="009F21D9"/>
    <w:rsid w:val="009F69E7"/>
    <w:rsid w:val="00A011B0"/>
    <w:rsid w:val="00A02990"/>
    <w:rsid w:val="00A0392A"/>
    <w:rsid w:val="00A03A07"/>
    <w:rsid w:val="00A07A02"/>
    <w:rsid w:val="00A10B2D"/>
    <w:rsid w:val="00A12530"/>
    <w:rsid w:val="00A14813"/>
    <w:rsid w:val="00A1535D"/>
    <w:rsid w:val="00A16044"/>
    <w:rsid w:val="00A17ABD"/>
    <w:rsid w:val="00A21ECC"/>
    <w:rsid w:val="00A22C82"/>
    <w:rsid w:val="00A22DDC"/>
    <w:rsid w:val="00A23FCA"/>
    <w:rsid w:val="00A3008F"/>
    <w:rsid w:val="00A32480"/>
    <w:rsid w:val="00A32AF7"/>
    <w:rsid w:val="00A35E92"/>
    <w:rsid w:val="00A37D3F"/>
    <w:rsid w:val="00A40BD2"/>
    <w:rsid w:val="00A43F30"/>
    <w:rsid w:val="00A45901"/>
    <w:rsid w:val="00A46DFA"/>
    <w:rsid w:val="00A47323"/>
    <w:rsid w:val="00A47EC6"/>
    <w:rsid w:val="00A50542"/>
    <w:rsid w:val="00A51415"/>
    <w:rsid w:val="00A5592A"/>
    <w:rsid w:val="00A55DE1"/>
    <w:rsid w:val="00A6253B"/>
    <w:rsid w:val="00A62E20"/>
    <w:rsid w:val="00A66F0F"/>
    <w:rsid w:val="00A71197"/>
    <w:rsid w:val="00A71998"/>
    <w:rsid w:val="00A72DBB"/>
    <w:rsid w:val="00A752C2"/>
    <w:rsid w:val="00A75AF3"/>
    <w:rsid w:val="00A82825"/>
    <w:rsid w:val="00A82AFC"/>
    <w:rsid w:val="00A83DEE"/>
    <w:rsid w:val="00A844A5"/>
    <w:rsid w:val="00A854E3"/>
    <w:rsid w:val="00A8619F"/>
    <w:rsid w:val="00A86253"/>
    <w:rsid w:val="00A869FB"/>
    <w:rsid w:val="00A87FEA"/>
    <w:rsid w:val="00A9099A"/>
    <w:rsid w:val="00A964A3"/>
    <w:rsid w:val="00AA0104"/>
    <w:rsid w:val="00AA0865"/>
    <w:rsid w:val="00AA6F08"/>
    <w:rsid w:val="00AA74C8"/>
    <w:rsid w:val="00AB11F9"/>
    <w:rsid w:val="00AB148E"/>
    <w:rsid w:val="00AB2532"/>
    <w:rsid w:val="00AB27D0"/>
    <w:rsid w:val="00AB2843"/>
    <w:rsid w:val="00AB3024"/>
    <w:rsid w:val="00AB34C9"/>
    <w:rsid w:val="00AB4B26"/>
    <w:rsid w:val="00AB5042"/>
    <w:rsid w:val="00AB6C92"/>
    <w:rsid w:val="00AC16CE"/>
    <w:rsid w:val="00AC4BF2"/>
    <w:rsid w:val="00AC730A"/>
    <w:rsid w:val="00AD16C2"/>
    <w:rsid w:val="00AD24BC"/>
    <w:rsid w:val="00AD41FC"/>
    <w:rsid w:val="00AD4329"/>
    <w:rsid w:val="00AD4C02"/>
    <w:rsid w:val="00AD65C9"/>
    <w:rsid w:val="00AE2843"/>
    <w:rsid w:val="00AE3AE4"/>
    <w:rsid w:val="00AF012F"/>
    <w:rsid w:val="00AF3EF5"/>
    <w:rsid w:val="00AF4DEC"/>
    <w:rsid w:val="00B00269"/>
    <w:rsid w:val="00B01792"/>
    <w:rsid w:val="00B02154"/>
    <w:rsid w:val="00B04A14"/>
    <w:rsid w:val="00B05A0D"/>
    <w:rsid w:val="00B11EDD"/>
    <w:rsid w:val="00B15035"/>
    <w:rsid w:val="00B15A08"/>
    <w:rsid w:val="00B169DB"/>
    <w:rsid w:val="00B2045A"/>
    <w:rsid w:val="00B236FE"/>
    <w:rsid w:val="00B23792"/>
    <w:rsid w:val="00B3134B"/>
    <w:rsid w:val="00B3148C"/>
    <w:rsid w:val="00B33389"/>
    <w:rsid w:val="00B36BD0"/>
    <w:rsid w:val="00B40DE4"/>
    <w:rsid w:val="00B42297"/>
    <w:rsid w:val="00B429D1"/>
    <w:rsid w:val="00B42D59"/>
    <w:rsid w:val="00B43A7E"/>
    <w:rsid w:val="00B43C05"/>
    <w:rsid w:val="00B50CB6"/>
    <w:rsid w:val="00B51E43"/>
    <w:rsid w:val="00B531DD"/>
    <w:rsid w:val="00B5354C"/>
    <w:rsid w:val="00B54AF8"/>
    <w:rsid w:val="00B5518D"/>
    <w:rsid w:val="00B55413"/>
    <w:rsid w:val="00B57DAC"/>
    <w:rsid w:val="00B60DBE"/>
    <w:rsid w:val="00B673A6"/>
    <w:rsid w:val="00B73AEB"/>
    <w:rsid w:val="00B80231"/>
    <w:rsid w:val="00B84C54"/>
    <w:rsid w:val="00B93FA2"/>
    <w:rsid w:val="00B958B9"/>
    <w:rsid w:val="00B9673A"/>
    <w:rsid w:val="00BA1B94"/>
    <w:rsid w:val="00BA2E22"/>
    <w:rsid w:val="00BB0278"/>
    <w:rsid w:val="00BB1861"/>
    <w:rsid w:val="00BB5375"/>
    <w:rsid w:val="00BB6C37"/>
    <w:rsid w:val="00BB7A36"/>
    <w:rsid w:val="00BC1AEB"/>
    <w:rsid w:val="00BC31AD"/>
    <w:rsid w:val="00BC3902"/>
    <w:rsid w:val="00BD2CCD"/>
    <w:rsid w:val="00BD3237"/>
    <w:rsid w:val="00BD5D97"/>
    <w:rsid w:val="00BD60FA"/>
    <w:rsid w:val="00BE2A99"/>
    <w:rsid w:val="00BE4D5D"/>
    <w:rsid w:val="00BE6CFF"/>
    <w:rsid w:val="00BE7C4A"/>
    <w:rsid w:val="00BF031E"/>
    <w:rsid w:val="00BF1BB5"/>
    <w:rsid w:val="00BF77B2"/>
    <w:rsid w:val="00C00232"/>
    <w:rsid w:val="00C01338"/>
    <w:rsid w:val="00C07B81"/>
    <w:rsid w:val="00C1768A"/>
    <w:rsid w:val="00C21318"/>
    <w:rsid w:val="00C2787A"/>
    <w:rsid w:val="00C27DB8"/>
    <w:rsid w:val="00C32CEC"/>
    <w:rsid w:val="00C33B46"/>
    <w:rsid w:val="00C3680B"/>
    <w:rsid w:val="00C37318"/>
    <w:rsid w:val="00C41984"/>
    <w:rsid w:val="00C41F1E"/>
    <w:rsid w:val="00C4238A"/>
    <w:rsid w:val="00C43238"/>
    <w:rsid w:val="00C46F75"/>
    <w:rsid w:val="00C5743E"/>
    <w:rsid w:val="00C64E95"/>
    <w:rsid w:val="00C65F7D"/>
    <w:rsid w:val="00C70F68"/>
    <w:rsid w:val="00C710EB"/>
    <w:rsid w:val="00C71B8A"/>
    <w:rsid w:val="00C72146"/>
    <w:rsid w:val="00C84D89"/>
    <w:rsid w:val="00C85B08"/>
    <w:rsid w:val="00C91344"/>
    <w:rsid w:val="00C9364F"/>
    <w:rsid w:val="00C97B36"/>
    <w:rsid w:val="00CA32F9"/>
    <w:rsid w:val="00CA35FA"/>
    <w:rsid w:val="00CA3C35"/>
    <w:rsid w:val="00CA4841"/>
    <w:rsid w:val="00CA4B36"/>
    <w:rsid w:val="00CB18E3"/>
    <w:rsid w:val="00CB1EC7"/>
    <w:rsid w:val="00CB2204"/>
    <w:rsid w:val="00CB2B71"/>
    <w:rsid w:val="00CB324D"/>
    <w:rsid w:val="00CB3849"/>
    <w:rsid w:val="00CB3BE4"/>
    <w:rsid w:val="00CB5C9A"/>
    <w:rsid w:val="00CB6602"/>
    <w:rsid w:val="00CB674C"/>
    <w:rsid w:val="00CB6999"/>
    <w:rsid w:val="00CB72EE"/>
    <w:rsid w:val="00CC0259"/>
    <w:rsid w:val="00CC524D"/>
    <w:rsid w:val="00CD35B4"/>
    <w:rsid w:val="00CD451E"/>
    <w:rsid w:val="00CE196F"/>
    <w:rsid w:val="00CE1FCE"/>
    <w:rsid w:val="00CE6B2D"/>
    <w:rsid w:val="00CE6E8D"/>
    <w:rsid w:val="00CE7E11"/>
    <w:rsid w:val="00CF00E7"/>
    <w:rsid w:val="00CF1478"/>
    <w:rsid w:val="00CF1D41"/>
    <w:rsid w:val="00CF3C7E"/>
    <w:rsid w:val="00CF5795"/>
    <w:rsid w:val="00D015D0"/>
    <w:rsid w:val="00D0503F"/>
    <w:rsid w:val="00D054BF"/>
    <w:rsid w:val="00D11E69"/>
    <w:rsid w:val="00D13B55"/>
    <w:rsid w:val="00D149BF"/>
    <w:rsid w:val="00D15955"/>
    <w:rsid w:val="00D159BC"/>
    <w:rsid w:val="00D17EEB"/>
    <w:rsid w:val="00D209EC"/>
    <w:rsid w:val="00D20F39"/>
    <w:rsid w:val="00D22201"/>
    <w:rsid w:val="00D2705D"/>
    <w:rsid w:val="00D3004B"/>
    <w:rsid w:val="00D3104A"/>
    <w:rsid w:val="00D31E9B"/>
    <w:rsid w:val="00D322C8"/>
    <w:rsid w:val="00D35151"/>
    <w:rsid w:val="00D371D8"/>
    <w:rsid w:val="00D375B8"/>
    <w:rsid w:val="00D416ED"/>
    <w:rsid w:val="00D41808"/>
    <w:rsid w:val="00D43BCC"/>
    <w:rsid w:val="00D601C5"/>
    <w:rsid w:val="00D61216"/>
    <w:rsid w:val="00D6263A"/>
    <w:rsid w:val="00D665B8"/>
    <w:rsid w:val="00D70B02"/>
    <w:rsid w:val="00D752AC"/>
    <w:rsid w:val="00D76A5C"/>
    <w:rsid w:val="00D77798"/>
    <w:rsid w:val="00D81CBF"/>
    <w:rsid w:val="00D81FD7"/>
    <w:rsid w:val="00D83AD5"/>
    <w:rsid w:val="00D8595B"/>
    <w:rsid w:val="00D8599D"/>
    <w:rsid w:val="00D90282"/>
    <w:rsid w:val="00D92331"/>
    <w:rsid w:val="00D92BDE"/>
    <w:rsid w:val="00D939D5"/>
    <w:rsid w:val="00D94282"/>
    <w:rsid w:val="00D95D7B"/>
    <w:rsid w:val="00D978D0"/>
    <w:rsid w:val="00D978F8"/>
    <w:rsid w:val="00DA0188"/>
    <w:rsid w:val="00DA047B"/>
    <w:rsid w:val="00DA0A55"/>
    <w:rsid w:val="00DA1939"/>
    <w:rsid w:val="00DA24E6"/>
    <w:rsid w:val="00DA45FB"/>
    <w:rsid w:val="00DA4DE4"/>
    <w:rsid w:val="00DA5D22"/>
    <w:rsid w:val="00DA6415"/>
    <w:rsid w:val="00DA7927"/>
    <w:rsid w:val="00DB14A4"/>
    <w:rsid w:val="00DB4A18"/>
    <w:rsid w:val="00DB60AA"/>
    <w:rsid w:val="00DB7D13"/>
    <w:rsid w:val="00DC26AD"/>
    <w:rsid w:val="00DC3496"/>
    <w:rsid w:val="00DC3745"/>
    <w:rsid w:val="00DC3A24"/>
    <w:rsid w:val="00DC5ADF"/>
    <w:rsid w:val="00DC6C2E"/>
    <w:rsid w:val="00DD0745"/>
    <w:rsid w:val="00DD4AD7"/>
    <w:rsid w:val="00DD4F83"/>
    <w:rsid w:val="00DD678D"/>
    <w:rsid w:val="00DD74F2"/>
    <w:rsid w:val="00DE11BD"/>
    <w:rsid w:val="00DE53BF"/>
    <w:rsid w:val="00DE7113"/>
    <w:rsid w:val="00DE77A3"/>
    <w:rsid w:val="00DE7B14"/>
    <w:rsid w:val="00DF08A6"/>
    <w:rsid w:val="00DF420B"/>
    <w:rsid w:val="00DF62E2"/>
    <w:rsid w:val="00DF69F5"/>
    <w:rsid w:val="00DF7DE1"/>
    <w:rsid w:val="00E002CF"/>
    <w:rsid w:val="00E042C3"/>
    <w:rsid w:val="00E06D15"/>
    <w:rsid w:val="00E1480C"/>
    <w:rsid w:val="00E15A3D"/>
    <w:rsid w:val="00E2082D"/>
    <w:rsid w:val="00E208DA"/>
    <w:rsid w:val="00E225DE"/>
    <w:rsid w:val="00E23C70"/>
    <w:rsid w:val="00E24ADC"/>
    <w:rsid w:val="00E26041"/>
    <w:rsid w:val="00E264EE"/>
    <w:rsid w:val="00E3058F"/>
    <w:rsid w:val="00E35426"/>
    <w:rsid w:val="00E37D25"/>
    <w:rsid w:val="00E411F3"/>
    <w:rsid w:val="00E41FAD"/>
    <w:rsid w:val="00E42BE3"/>
    <w:rsid w:val="00E43D08"/>
    <w:rsid w:val="00E44375"/>
    <w:rsid w:val="00E446A9"/>
    <w:rsid w:val="00E51228"/>
    <w:rsid w:val="00E5143B"/>
    <w:rsid w:val="00E5198C"/>
    <w:rsid w:val="00E532C1"/>
    <w:rsid w:val="00E55248"/>
    <w:rsid w:val="00E73BDE"/>
    <w:rsid w:val="00E7597A"/>
    <w:rsid w:val="00E7634E"/>
    <w:rsid w:val="00E76463"/>
    <w:rsid w:val="00E76912"/>
    <w:rsid w:val="00E77DBB"/>
    <w:rsid w:val="00E8127F"/>
    <w:rsid w:val="00E83415"/>
    <w:rsid w:val="00E8605F"/>
    <w:rsid w:val="00E92443"/>
    <w:rsid w:val="00E96B88"/>
    <w:rsid w:val="00E97F4D"/>
    <w:rsid w:val="00EA1426"/>
    <w:rsid w:val="00EA4A54"/>
    <w:rsid w:val="00EA5816"/>
    <w:rsid w:val="00EA67FB"/>
    <w:rsid w:val="00EA7540"/>
    <w:rsid w:val="00EB043B"/>
    <w:rsid w:val="00EB0D52"/>
    <w:rsid w:val="00EB257B"/>
    <w:rsid w:val="00EB7D44"/>
    <w:rsid w:val="00EC15E3"/>
    <w:rsid w:val="00EC1A38"/>
    <w:rsid w:val="00EC4AFC"/>
    <w:rsid w:val="00EC51B6"/>
    <w:rsid w:val="00EC5407"/>
    <w:rsid w:val="00EC7627"/>
    <w:rsid w:val="00ED06FC"/>
    <w:rsid w:val="00ED1A9F"/>
    <w:rsid w:val="00ED2B3E"/>
    <w:rsid w:val="00ED5E5B"/>
    <w:rsid w:val="00EE14D4"/>
    <w:rsid w:val="00EE1813"/>
    <w:rsid w:val="00EE29EC"/>
    <w:rsid w:val="00EE350F"/>
    <w:rsid w:val="00EE3566"/>
    <w:rsid w:val="00EF2F71"/>
    <w:rsid w:val="00EF36E5"/>
    <w:rsid w:val="00EF43EE"/>
    <w:rsid w:val="00EF450D"/>
    <w:rsid w:val="00EF5016"/>
    <w:rsid w:val="00EF64D9"/>
    <w:rsid w:val="00EF64F6"/>
    <w:rsid w:val="00EF70AF"/>
    <w:rsid w:val="00F00B5C"/>
    <w:rsid w:val="00F02882"/>
    <w:rsid w:val="00F02AC3"/>
    <w:rsid w:val="00F041BF"/>
    <w:rsid w:val="00F054BB"/>
    <w:rsid w:val="00F062D9"/>
    <w:rsid w:val="00F0641A"/>
    <w:rsid w:val="00F10523"/>
    <w:rsid w:val="00F10A4E"/>
    <w:rsid w:val="00F11B40"/>
    <w:rsid w:val="00F126C7"/>
    <w:rsid w:val="00F13F6E"/>
    <w:rsid w:val="00F15F20"/>
    <w:rsid w:val="00F17A3D"/>
    <w:rsid w:val="00F22DFC"/>
    <w:rsid w:val="00F26434"/>
    <w:rsid w:val="00F30D9A"/>
    <w:rsid w:val="00F32ACD"/>
    <w:rsid w:val="00F3429B"/>
    <w:rsid w:val="00F42EA0"/>
    <w:rsid w:val="00F44EE3"/>
    <w:rsid w:val="00F50320"/>
    <w:rsid w:val="00F52B00"/>
    <w:rsid w:val="00F54340"/>
    <w:rsid w:val="00F54BF9"/>
    <w:rsid w:val="00F57781"/>
    <w:rsid w:val="00F638C4"/>
    <w:rsid w:val="00F661D7"/>
    <w:rsid w:val="00F66AAC"/>
    <w:rsid w:val="00F677D4"/>
    <w:rsid w:val="00F679F9"/>
    <w:rsid w:val="00F71894"/>
    <w:rsid w:val="00F72279"/>
    <w:rsid w:val="00F73D1B"/>
    <w:rsid w:val="00F73DF5"/>
    <w:rsid w:val="00F7432C"/>
    <w:rsid w:val="00F74FC8"/>
    <w:rsid w:val="00F76137"/>
    <w:rsid w:val="00F77CE6"/>
    <w:rsid w:val="00F820D8"/>
    <w:rsid w:val="00F83064"/>
    <w:rsid w:val="00F83C1C"/>
    <w:rsid w:val="00F86F18"/>
    <w:rsid w:val="00F87EEB"/>
    <w:rsid w:val="00F905FB"/>
    <w:rsid w:val="00F91CC2"/>
    <w:rsid w:val="00F93D55"/>
    <w:rsid w:val="00F95437"/>
    <w:rsid w:val="00F95E1E"/>
    <w:rsid w:val="00FA2576"/>
    <w:rsid w:val="00FA2B93"/>
    <w:rsid w:val="00FA2D12"/>
    <w:rsid w:val="00FA327B"/>
    <w:rsid w:val="00FA443F"/>
    <w:rsid w:val="00FA58C7"/>
    <w:rsid w:val="00FB1B4F"/>
    <w:rsid w:val="00FB230F"/>
    <w:rsid w:val="00FB3911"/>
    <w:rsid w:val="00FB557A"/>
    <w:rsid w:val="00FB75C5"/>
    <w:rsid w:val="00FB7E4D"/>
    <w:rsid w:val="00FC336E"/>
    <w:rsid w:val="00FC3513"/>
    <w:rsid w:val="00FC3910"/>
    <w:rsid w:val="00FC4418"/>
    <w:rsid w:val="00FC4CBD"/>
    <w:rsid w:val="00FC53E9"/>
    <w:rsid w:val="00FC69FF"/>
    <w:rsid w:val="00FC7209"/>
    <w:rsid w:val="00FD07FC"/>
    <w:rsid w:val="00FD2F54"/>
    <w:rsid w:val="00FD3833"/>
    <w:rsid w:val="00FD5602"/>
    <w:rsid w:val="00FD7BD1"/>
    <w:rsid w:val="00FD7CDE"/>
    <w:rsid w:val="00FE0296"/>
    <w:rsid w:val="00FE17D2"/>
    <w:rsid w:val="00FE1862"/>
    <w:rsid w:val="00FE4099"/>
    <w:rsid w:val="00FE5E72"/>
    <w:rsid w:val="00FE6867"/>
    <w:rsid w:val="00FE7EFF"/>
    <w:rsid w:val="00FF134E"/>
    <w:rsid w:val="00FF13DA"/>
    <w:rsid w:val="00FF18E0"/>
    <w:rsid w:val="00FF6733"/>
    <w:rsid w:val="00FF6D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FA5567"/>
  <w15:chartTrackingRefBased/>
  <w15:docId w15:val="{FE02E5A1-6F79-4460-919C-8B1DCA1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87B"/>
  </w:style>
  <w:style w:type="character" w:default="1" w:styleId="DefaultParagraphFont">
    <w:name w:val="Default Paragraph Font"/>
    <w:semiHidden/>
    <w:rsid w:val="006868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687B"/>
  </w:style>
  <w:style w:type="paragraph" w:styleId="Header">
    <w:name w:val="header"/>
    <w:basedOn w:val="Normal"/>
    <w:semiHidden/>
    <w:rsid w:val="0068687B"/>
    <w:pPr>
      <w:tabs>
        <w:tab w:val="center" w:pos="4320"/>
        <w:tab w:val="right" w:pos="8640"/>
      </w:tabs>
    </w:pPr>
  </w:style>
  <w:style w:type="paragraph" w:styleId="Footer">
    <w:name w:val="footer"/>
    <w:basedOn w:val="Normal"/>
    <w:link w:val="FooterChar"/>
    <w:rsid w:val="0068687B"/>
    <w:pPr>
      <w:tabs>
        <w:tab w:val="center" w:pos="4320"/>
        <w:tab w:val="right" w:pos="8640"/>
      </w:tabs>
    </w:pPr>
  </w:style>
  <w:style w:type="paragraph" w:styleId="FootnoteText">
    <w:name w:val="footnote text"/>
    <w:aliases w:val="Footnote Text Char Char Char4 Char Char,Footnote Text Char1,Footnote Text Char1 Char,Footnote Text Char4 Char1 Char Char,Footnote Text Char7 Cha,Footnote Text Char7 Char Char,Footnote Text Char7 Char Char Char Char Char"/>
    <w:basedOn w:val="Normal"/>
    <w:link w:val="FootnoteTextChar"/>
    <w:autoRedefine/>
    <w:uiPriority w:val="99"/>
    <w:rsid w:val="0054173C"/>
    <w:pPr>
      <w:widowControl w:val="0"/>
      <w:spacing w:after="120"/>
    </w:pPr>
  </w:style>
  <w:style w:type="character" w:customStyle="1" w:styleId="FootnoteTextChar">
    <w:name w:val="Footnote Text Char"/>
    <w:aliases w:val="Footnote Text Char Char Char4 Char Char Char1,Footnote Text Char1 Char Char1,Footnote Text Char1 Char1,Footnote Text Char4 Char1 Char Char Char1,Footnote Text Char7 Char Char Char Char Char Char1,Footnote Text Char7 Char Char Char1"/>
    <w:link w:val="FootnoteText"/>
    <w:uiPriority w:val="99"/>
    <w:rsid w:val="0054173C"/>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363526"/>
    <w:rPr>
      <w:rFonts w:cs="Times New Roman"/>
      <w:vertAlign w:val="superscript"/>
    </w:rPr>
  </w:style>
  <w:style w:type="paragraph" w:styleId="BodyTextIndent">
    <w:name w:val="Body Text Indent"/>
    <w:basedOn w:val="Normal"/>
    <w:link w:val="BodyTextIndentChar"/>
    <w:uiPriority w:val="99"/>
    <w:rsid w:val="00363526"/>
    <w:pPr>
      <w:tabs>
        <w:tab w:val="left" w:pos="-720"/>
      </w:tabs>
      <w:suppressAutoHyphens/>
      <w:ind w:firstLine="720"/>
    </w:pPr>
    <w:rPr>
      <w:rFonts w:ascii="CG Times" w:hAnsi="CG Times"/>
      <w:sz w:val="24"/>
    </w:rPr>
  </w:style>
  <w:style w:type="character" w:customStyle="1" w:styleId="BodyTextIndentChar">
    <w:name w:val="Body Text Indent Char"/>
    <w:link w:val="BodyTextIndent"/>
    <w:uiPriority w:val="99"/>
    <w:rsid w:val="00363526"/>
    <w:rPr>
      <w:rFonts w:ascii="CG Times" w:eastAsia="Calibri" w:hAnsi="CG Times"/>
      <w:sz w:val="24"/>
    </w:rPr>
  </w:style>
  <w:style w:type="character" w:styleId="Hyperlink">
    <w:name w:val="Hyperlink"/>
    <w:uiPriority w:val="99"/>
    <w:unhideWhenUsed/>
    <w:rsid w:val="00363526"/>
    <w:rPr>
      <w:color w:val="0563C1"/>
      <w:u w:val="single"/>
    </w:rPr>
  </w:style>
  <w:style w:type="character" w:styleId="UnresolvedMention">
    <w:name w:val="Unresolved Mention"/>
    <w:uiPriority w:val="99"/>
    <w:semiHidden/>
    <w:unhideWhenUsed/>
    <w:rsid w:val="00363526"/>
    <w:rPr>
      <w:color w:val="605E5C"/>
      <w:shd w:val="clear" w:color="auto" w:fill="E1DFDD"/>
    </w:rPr>
  </w:style>
  <w:style w:type="character" w:styleId="FollowedHyperlink">
    <w:name w:val="FollowedHyperlink"/>
    <w:uiPriority w:val="99"/>
    <w:semiHidden/>
    <w:unhideWhenUsed/>
    <w:rsid w:val="00363526"/>
    <w:rPr>
      <w:color w:val="954F72"/>
      <w:u w:val="single"/>
    </w:rPr>
  </w:style>
  <w:style w:type="paragraph" w:styleId="BalloonText">
    <w:name w:val="Balloon Text"/>
    <w:basedOn w:val="Normal"/>
    <w:link w:val="BalloonTextChar"/>
    <w:uiPriority w:val="99"/>
    <w:semiHidden/>
    <w:unhideWhenUsed/>
    <w:rsid w:val="003F5128"/>
    <w:rPr>
      <w:rFonts w:ascii="Segoe UI" w:hAnsi="Segoe UI" w:cs="Segoe UI"/>
      <w:sz w:val="18"/>
      <w:szCs w:val="18"/>
    </w:rPr>
  </w:style>
  <w:style w:type="character" w:customStyle="1" w:styleId="BalloonTextChar">
    <w:name w:val="Balloon Text Char"/>
    <w:link w:val="BalloonText"/>
    <w:uiPriority w:val="99"/>
    <w:semiHidden/>
    <w:rsid w:val="003F5128"/>
    <w:rPr>
      <w:rFonts w:ascii="Segoe UI" w:hAnsi="Segoe UI" w:cs="Segoe UI"/>
      <w:sz w:val="18"/>
      <w:szCs w:val="18"/>
    </w:rPr>
  </w:style>
  <w:style w:type="character" w:customStyle="1" w:styleId="FooterChar">
    <w:name w:val="Footer Char"/>
    <w:link w:val="Footer"/>
    <w:rsid w:val="00D939D5"/>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uiPriority w:val="99"/>
    <w:locked/>
    <w:rsid w:val="007043CF"/>
    <w:rPr>
      <w:lang w:val="en-US" w:eastAsia="en-US"/>
    </w:rPr>
  </w:style>
  <w:style w:type="paragraph" w:customStyle="1" w:styleId="TableParagraph">
    <w:name w:val="Table Paragraph"/>
    <w:basedOn w:val="Normal"/>
    <w:uiPriority w:val="1"/>
    <w:qFormat/>
    <w:rsid w:val="00E2082D"/>
    <w:pPr>
      <w:widowControl w:val="0"/>
      <w:autoSpaceDE w:val="0"/>
      <w:autoSpaceDN w:val="0"/>
    </w:pPr>
    <w:rPr>
      <w:sz w:val="22"/>
      <w:szCs w:val="22"/>
    </w:rPr>
  </w:style>
  <w:style w:type="paragraph" w:styleId="BodyText">
    <w:name w:val="Body Text"/>
    <w:basedOn w:val="Normal"/>
    <w:link w:val="BodyTextChar"/>
    <w:uiPriority w:val="99"/>
    <w:semiHidden/>
    <w:unhideWhenUsed/>
    <w:rsid w:val="00891212"/>
    <w:pPr>
      <w:spacing w:after="120"/>
    </w:pPr>
  </w:style>
  <w:style w:type="character" w:customStyle="1" w:styleId="BodyTextChar">
    <w:name w:val="Body Text Char"/>
    <w:basedOn w:val="DefaultParagraphFont"/>
    <w:link w:val="BodyText"/>
    <w:uiPriority w:val="99"/>
    <w:semiHidden/>
    <w:rsid w:val="00891212"/>
  </w:style>
  <w:style w:type="character" w:styleId="CommentReference">
    <w:name w:val="annotation reference"/>
    <w:basedOn w:val="DefaultParagraphFont"/>
    <w:uiPriority w:val="99"/>
    <w:semiHidden/>
    <w:unhideWhenUsed/>
    <w:rsid w:val="00F77CE6"/>
    <w:rPr>
      <w:sz w:val="16"/>
      <w:szCs w:val="16"/>
    </w:rPr>
  </w:style>
  <w:style w:type="paragraph" w:styleId="CommentText">
    <w:name w:val="annotation text"/>
    <w:basedOn w:val="Normal"/>
    <w:link w:val="CommentTextChar"/>
    <w:uiPriority w:val="99"/>
    <w:unhideWhenUsed/>
    <w:rsid w:val="00F77CE6"/>
  </w:style>
  <w:style w:type="character" w:customStyle="1" w:styleId="CommentTextChar">
    <w:name w:val="Comment Text Char"/>
    <w:basedOn w:val="DefaultParagraphFont"/>
    <w:link w:val="CommentText"/>
    <w:uiPriority w:val="99"/>
    <w:rsid w:val="00F77CE6"/>
  </w:style>
  <w:style w:type="paragraph" w:styleId="CommentSubject">
    <w:name w:val="annotation subject"/>
    <w:basedOn w:val="CommentText"/>
    <w:next w:val="CommentText"/>
    <w:link w:val="CommentSubjectChar"/>
    <w:uiPriority w:val="99"/>
    <w:semiHidden/>
    <w:unhideWhenUsed/>
    <w:rsid w:val="00F77CE6"/>
    <w:rPr>
      <w:b/>
      <w:bCs/>
    </w:rPr>
  </w:style>
  <w:style w:type="character" w:customStyle="1" w:styleId="CommentSubjectChar">
    <w:name w:val="Comment Subject Char"/>
    <w:basedOn w:val="CommentTextChar"/>
    <w:link w:val="CommentSubject"/>
    <w:uiPriority w:val="99"/>
    <w:semiHidden/>
    <w:rsid w:val="00F77CE6"/>
    <w:rPr>
      <w:b/>
      <w:bCs/>
    </w:rPr>
  </w:style>
  <w:style w:type="paragraph" w:styleId="Revision">
    <w:name w:val="Revision"/>
    <w:hidden/>
    <w:uiPriority w:val="99"/>
    <w:semiHidden/>
    <w:rsid w:val="008D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ontero@fhhlaw.com" TargetMode="External" /><Relationship Id="rId6" Type="http://schemas.openxmlformats.org/officeDocument/2006/relationships/hyperlink" Target="mailto:andring@fhhlaw.com" TargetMode="External" /><Relationship Id="rId7" Type="http://schemas.openxmlformats.org/officeDocument/2006/relationships/hyperlink" Target="mailto:michele.farquhar@hoganlovells.com" TargetMode="External" /><Relationship Id="rId8" Type="http://schemas.openxmlformats.org/officeDocument/2006/relationships/hyperlink" Target="mailto:warren.kessler@hoganlovells.com" TargetMode="External" /><Relationship Id="rId9" Type="http://schemas.openxmlformats.org/officeDocument/2006/relationships/hyperlink" Target="mailto:roigmdoffice@gmail.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