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72FEA" w:rsidP="00172FEA" w14:paraId="6C9D6DB5" w14:textId="77777777">
      <w:pPr>
        <w:jc w:val="center"/>
        <w:rPr>
          <w:b/>
        </w:rPr>
      </w:pPr>
      <w:r w:rsidRPr="0070224F">
        <w:rPr>
          <w:rFonts w:ascii="Times New Roman Bold" w:hAnsi="Times New Roman Bold"/>
          <w:b/>
          <w:kern w:val="0"/>
          <w:szCs w:val="22"/>
        </w:rPr>
        <w:t>Before</w:t>
      </w:r>
      <w:r>
        <w:rPr>
          <w:b/>
        </w:rPr>
        <w:t xml:space="preserve"> the</w:t>
      </w:r>
    </w:p>
    <w:p w:rsidR="00172FEA" w:rsidP="00172FEA" w14:paraId="6E86B761" w14:textId="77777777">
      <w:pPr>
        <w:pStyle w:val="StyleBoldCentered"/>
      </w:pPr>
      <w:r>
        <w:t>F</w:t>
      </w:r>
      <w:r>
        <w:rPr>
          <w:caps w:val="0"/>
        </w:rPr>
        <w:t>ederal Communications Commission</w:t>
      </w:r>
    </w:p>
    <w:p w:rsidR="00172FEA" w:rsidP="00172FEA" w14:paraId="4136038B" w14:textId="77777777">
      <w:pPr>
        <w:pStyle w:val="StyleBoldCentered"/>
      </w:pPr>
      <w:r>
        <w:rPr>
          <w:caps w:val="0"/>
        </w:rPr>
        <w:t>Washington, D.C. 20554</w:t>
      </w:r>
    </w:p>
    <w:p w:rsidR="00172FEA" w:rsidP="00172FEA" w14:paraId="5032B659" w14:textId="77777777"/>
    <w:p w:rsidR="00172FEA" w:rsidP="00172FEA" w14:paraId="448A5FC7" w14:textId="77777777"/>
    <w:tbl>
      <w:tblPr>
        <w:tblW w:w="0" w:type="auto"/>
        <w:tblLayout w:type="fixed"/>
        <w:tblLook w:val="0000"/>
      </w:tblPr>
      <w:tblGrid>
        <w:gridCol w:w="4698"/>
        <w:gridCol w:w="630"/>
        <w:gridCol w:w="4248"/>
      </w:tblGrid>
      <w:tr w14:paraId="285F0945" w14:textId="77777777" w:rsidTr="00DC48D0">
        <w:tblPrEx>
          <w:tblW w:w="0" w:type="auto"/>
          <w:tblLayout w:type="fixed"/>
          <w:tblLook w:val="0000"/>
        </w:tblPrEx>
        <w:tc>
          <w:tcPr>
            <w:tcW w:w="4698" w:type="dxa"/>
          </w:tcPr>
          <w:p w:rsidR="00172FEA" w:rsidP="00DC48D0" w14:paraId="0B894145" w14:textId="77777777">
            <w:pPr>
              <w:tabs>
                <w:tab w:val="center" w:pos="4680"/>
              </w:tabs>
              <w:suppressAutoHyphens/>
              <w:rPr>
                <w:spacing w:val="-2"/>
              </w:rPr>
            </w:pPr>
            <w:r>
              <w:rPr>
                <w:spacing w:val="-2"/>
              </w:rPr>
              <w:t>In the Matter of</w:t>
            </w:r>
          </w:p>
          <w:p w:rsidR="00172FEA" w:rsidP="00DC48D0" w14:paraId="2B999DBA" w14:textId="77777777">
            <w:pPr>
              <w:tabs>
                <w:tab w:val="center" w:pos="4680"/>
              </w:tabs>
              <w:suppressAutoHyphens/>
              <w:rPr>
                <w:spacing w:val="-2"/>
              </w:rPr>
            </w:pPr>
          </w:p>
          <w:p w:rsidR="00172FEA" w:rsidRPr="007115F7" w:rsidP="00DC48D0" w14:paraId="3F44C21C" w14:textId="77777777">
            <w:pPr>
              <w:tabs>
                <w:tab w:val="center" w:pos="4680"/>
              </w:tabs>
              <w:suppressAutoHyphens/>
              <w:rPr>
                <w:spacing w:val="-2"/>
              </w:rPr>
            </w:pPr>
            <w:r>
              <w:rPr>
                <w:spacing w:val="-2"/>
              </w:rPr>
              <w:t>Expanding Use of the 12.7-13.25 GHz Band for Mobile Broadband or Other Expanded Use</w:t>
            </w:r>
          </w:p>
        </w:tc>
        <w:tc>
          <w:tcPr>
            <w:tcW w:w="630" w:type="dxa"/>
          </w:tcPr>
          <w:p w:rsidR="00172FEA" w:rsidP="00DC48D0" w14:paraId="4BD78855" w14:textId="77777777">
            <w:pPr>
              <w:tabs>
                <w:tab w:val="center" w:pos="4680"/>
              </w:tabs>
              <w:suppressAutoHyphens/>
              <w:rPr>
                <w:b/>
                <w:spacing w:val="-2"/>
              </w:rPr>
            </w:pPr>
            <w:r>
              <w:rPr>
                <w:b/>
                <w:spacing w:val="-2"/>
              </w:rPr>
              <w:t>)</w:t>
            </w:r>
          </w:p>
          <w:p w:rsidR="00172FEA" w:rsidP="00DC48D0" w14:paraId="26960EC1" w14:textId="77777777">
            <w:pPr>
              <w:tabs>
                <w:tab w:val="center" w:pos="4680"/>
              </w:tabs>
              <w:suppressAutoHyphens/>
              <w:rPr>
                <w:b/>
                <w:spacing w:val="-2"/>
              </w:rPr>
            </w:pPr>
            <w:r>
              <w:rPr>
                <w:b/>
                <w:spacing w:val="-2"/>
              </w:rPr>
              <w:t>)</w:t>
            </w:r>
          </w:p>
          <w:p w:rsidR="00172FEA" w:rsidP="00DC48D0" w14:paraId="65C0CED6" w14:textId="77777777">
            <w:pPr>
              <w:tabs>
                <w:tab w:val="center" w:pos="4680"/>
              </w:tabs>
              <w:suppressAutoHyphens/>
              <w:rPr>
                <w:b/>
                <w:spacing w:val="-2"/>
              </w:rPr>
            </w:pPr>
            <w:r>
              <w:rPr>
                <w:b/>
                <w:spacing w:val="-2"/>
              </w:rPr>
              <w:t>)</w:t>
            </w:r>
          </w:p>
          <w:p w:rsidR="00172FEA" w:rsidRPr="001D7987" w:rsidP="00DC48D0" w14:paraId="30CBE7F2" w14:textId="77777777">
            <w:pPr>
              <w:tabs>
                <w:tab w:val="center" w:pos="4680"/>
              </w:tabs>
              <w:suppressAutoHyphens/>
              <w:rPr>
                <w:b/>
                <w:spacing w:val="-2"/>
              </w:rPr>
            </w:pPr>
            <w:r>
              <w:rPr>
                <w:b/>
                <w:spacing w:val="-2"/>
              </w:rPr>
              <w:t>)</w:t>
            </w:r>
          </w:p>
        </w:tc>
        <w:tc>
          <w:tcPr>
            <w:tcW w:w="4248" w:type="dxa"/>
          </w:tcPr>
          <w:p w:rsidR="00172FEA" w:rsidP="00DC48D0" w14:paraId="198E0097" w14:textId="77777777">
            <w:pPr>
              <w:tabs>
                <w:tab w:val="center" w:pos="4680"/>
              </w:tabs>
              <w:suppressAutoHyphens/>
              <w:rPr>
                <w:spacing w:val="-2"/>
              </w:rPr>
            </w:pPr>
          </w:p>
          <w:p w:rsidR="00172FEA" w:rsidP="00DC48D0" w14:paraId="77B953E1" w14:textId="77777777">
            <w:pPr>
              <w:pStyle w:val="TOAHeading"/>
              <w:tabs>
                <w:tab w:val="center" w:pos="4680"/>
                <w:tab w:val="clear" w:pos="9360"/>
              </w:tabs>
              <w:rPr>
                <w:spacing w:val="-2"/>
              </w:rPr>
            </w:pPr>
          </w:p>
          <w:p w:rsidR="00172FEA" w:rsidP="00DC48D0" w14:paraId="1BD3D354" w14:textId="77777777">
            <w:pPr>
              <w:tabs>
                <w:tab w:val="center" w:pos="4680"/>
              </w:tabs>
              <w:suppressAutoHyphens/>
              <w:rPr>
                <w:spacing w:val="-2"/>
              </w:rPr>
            </w:pPr>
            <w:r>
              <w:rPr>
                <w:spacing w:val="-2"/>
              </w:rPr>
              <w:t>GN Docket No. 22-352</w:t>
            </w:r>
          </w:p>
        </w:tc>
      </w:tr>
    </w:tbl>
    <w:p w:rsidR="00172FEA" w:rsidP="00172FEA" w14:paraId="60F3680B" w14:textId="77777777"/>
    <w:p w:rsidR="00172FEA" w:rsidP="00172FEA" w14:paraId="74EB4EE0" w14:textId="77777777">
      <w:pPr>
        <w:pStyle w:val="StyleBoldCentered"/>
      </w:pPr>
      <w:r>
        <w:t>Order</w:t>
      </w:r>
    </w:p>
    <w:p w:rsidR="00172FEA" w:rsidP="00172FEA" w14:paraId="023DE243" w14:textId="77777777">
      <w:pPr>
        <w:tabs>
          <w:tab w:val="left" w:pos="-720"/>
        </w:tabs>
        <w:suppressAutoHyphens/>
        <w:spacing w:line="227" w:lineRule="auto"/>
        <w:rPr>
          <w:spacing w:val="-2"/>
        </w:rPr>
      </w:pPr>
    </w:p>
    <w:p w:rsidR="00172FEA" w:rsidRPr="00196871" w:rsidP="00172FEA" w14:paraId="1B1DD39F" w14:textId="77777777">
      <w:pPr>
        <w:tabs>
          <w:tab w:val="left" w:pos="-720"/>
        </w:tabs>
        <w:suppressAutoHyphens/>
        <w:spacing w:line="227" w:lineRule="auto"/>
        <w:rPr>
          <w:b/>
          <w:bCs/>
          <w:spacing w:val="-2"/>
        </w:rPr>
      </w:pPr>
      <w:r w:rsidRPr="00196871">
        <w:rPr>
          <w:b/>
          <w:bCs/>
          <w:spacing w:val="-2"/>
        </w:rPr>
        <w:t>Extended Comment Date:</w:t>
      </w:r>
      <w:r w:rsidRPr="00196871">
        <w:rPr>
          <w:b/>
          <w:bCs/>
          <w:spacing w:val="-2"/>
        </w:rPr>
        <w:tab/>
      </w:r>
      <w:r>
        <w:rPr>
          <w:b/>
          <w:bCs/>
          <w:spacing w:val="-2"/>
        </w:rPr>
        <w:tab/>
      </w:r>
      <w:r w:rsidRPr="00196871">
        <w:rPr>
          <w:b/>
          <w:bCs/>
          <w:spacing w:val="-2"/>
        </w:rPr>
        <w:t>December 12, 2022</w:t>
      </w:r>
    </w:p>
    <w:p w:rsidR="00172FEA" w:rsidRPr="00196871" w:rsidP="00172FEA" w14:paraId="624C45D7" w14:textId="1238BB3A">
      <w:pPr>
        <w:tabs>
          <w:tab w:val="left" w:pos="-720"/>
        </w:tabs>
        <w:suppressAutoHyphens/>
        <w:spacing w:line="227" w:lineRule="auto"/>
        <w:rPr>
          <w:b/>
          <w:bCs/>
          <w:spacing w:val="-2"/>
        </w:rPr>
      </w:pPr>
      <w:r w:rsidRPr="00196871">
        <w:rPr>
          <w:b/>
          <w:bCs/>
          <w:spacing w:val="-2"/>
        </w:rPr>
        <w:t>Extended Reply Comment Date:</w:t>
      </w:r>
      <w:r w:rsidRPr="00196871">
        <w:rPr>
          <w:b/>
          <w:bCs/>
          <w:spacing w:val="-2"/>
        </w:rPr>
        <w:tab/>
        <w:t>January 10, 202</w:t>
      </w:r>
      <w:r w:rsidR="00313A4D">
        <w:rPr>
          <w:b/>
          <w:bCs/>
          <w:spacing w:val="-2"/>
        </w:rPr>
        <w:t>3</w:t>
      </w:r>
    </w:p>
    <w:p w:rsidR="00172FEA" w:rsidP="00172FEA" w14:paraId="23203A19" w14:textId="77777777">
      <w:pPr>
        <w:tabs>
          <w:tab w:val="left" w:pos="-720"/>
        </w:tabs>
        <w:suppressAutoHyphens/>
        <w:spacing w:line="227" w:lineRule="auto"/>
        <w:rPr>
          <w:spacing w:val="-2"/>
        </w:rPr>
      </w:pPr>
    </w:p>
    <w:p w:rsidR="00172FEA" w:rsidP="00172FEA" w14:paraId="2661A7A0" w14:textId="51668A8D">
      <w:pPr>
        <w:tabs>
          <w:tab w:val="left" w:pos="720"/>
          <w:tab w:val="right" w:pos="9360"/>
        </w:tabs>
        <w:suppressAutoHyphens/>
        <w:spacing w:line="227" w:lineRule="auto"/>
        <w:rPr>
          <w:spacing w:val="-2"/>
        </w:rPr>
      </w:pPr>
      <w:r>
        <w:rPr>
          <w:b/>
          <w:spacing w:val="-2"/>
        </w:rPr>
        <w:t>Adopted:  November 22, 2022</w:t>
      </w:r>
      <w:r>
        <w:rPr>
          <w:b/>
          <w:spacing w:val="-2"/>
        </w:rPr>
        <w:tab/>
        <w:t>Released:  November 22, 2022</w:t>
      </w:r>
    </w:p>
    <w:p w:rsidR="00172FEA" w:rsidP="00172FEA" w14:paraId="0B68771A" w14:textId="77777777"/>
    <w:p w:rsidR="00172FEA" w:rsidP="00172FEA" w14:paraId="41ADC8FB" w14:textId="77777777">
      <w:pPr>
        <w:rPr>
          <w:spacing w:val="-2"/>
        </w:rPr>
      </w:pPr>
      <w:r>
        <w:t xml:space="preserve">By the </w:t>
      </w:r>
      <w:r>
        <w:rPr>
          <w:spacing w:val="-2"/>
        </w:rPr>
        <w:t>Acting Chief, Wireless Telecommunications Bureau and Acting Chief, Office of Engineering and Technology:</w:t>
      </w:r>
    </w:p>
    <w:p w:rsidR="00172FEA" w:rsidP="00172FEA" w14:paraId="4304294A" w14:textId="77777777">
      <w:pPr>
        <w:rPr>
          <w:spacing w:val="-2"/>
        </w:rPr>
      </w:pPr>
    </w:p>
    <w:p w:rsidR="00172FEA" w:rsidP="00172FEA" w14:paraId="11B0C923" w14:textId="77777777">
      <w:pPr>
        <w:pStyle w:val="ParaNum"/>
      </w:pPr>
      <w:r>
        <w:t>On October 28, 2022, the Commission released a Notice of Inquiry (</w:t>
      </w:r>
      <w:r>
        <w:rPr>
          <w:i/>
          <w:iCs/>
        </w:rPr>
        <w:t>NOI</w:t>
      </w:r>
      <w:r>
        <w:t>) seeking information on the current use of the 12.7 to 13.25 GHz band (12.7 GHz band), how the Commission could encourage more efficient and intensive use of the band, and whether the band is suitable for mobile broadband or other expanded use.</w:t>
      </w:r>
      <w:r>
        <w:rPr>
          <w:rStyle w:val="FootnoteReference"/>
        </w:rPr>
        <w:footnoteReference w:id="3"/>
      </w:r>
      <w:r>
        <w:t xml:space="preserve">  The </w:t>
      </w:r>
      <w:r>
        <w:rPr>
          <w:i/>
          <w:iCs/>
        </w:rPr>
        <w:t>NOI</w:t>
      </w:r>
      <w:r>
        <w:t xml:space="preserve"> set deadlines for filing comments and reply comments of November 28, 2022, and December 27, 2022, respectively.</w:t>
      </w:r>
    </w:p>
    <w:p w:rsidR="00172FEA" w:rsidP="00172FEA" w14:paraId="4621019B" w14:textId="460C2310">
      <w:pPr>
        <w:pStyle w:val="ParaNum"/>
      </w:pPr>
      <w:r>
        <w:t xml:space="preserve">On November 21, 2022, Intelsat License LLC, </w:t>
      </w:r>
      <w:r>
        <w:t>Hispasat</w:t>
      </w:r>
      <w:r>
        <w:t xml:space="preserve"> S.A., Eutelsat S.A., SES </w:t>
      </w:r>
      <w:r>
        <w:t>Americom</w:t>
      </w:r>
      <w:r>
        <w:t xml:space="preserve">, Inc., and </w:t>
      </w:r>
      <w:r>
        <w:t>Telesat</w:t>
      </w:r>
      <w:r>
        <w:t xml:space="preserve"> (“Satellite Petitioners”) and the Open Technology Institute at New America and Public Knowledge (“OTI/PK”) filed motions for extensions of these filing deadlines.</w:t>
      </w:r>
      <w:r>
        <w:rPr>
          <w:rStyle w:val="FootnoteReference"/>
        </w:rPr>
        <w:footnoteReference w:id="4"/>
      </w:r>
      <w:r>
        <w:t xml:space="preserve">  Satellite Petitioners requested a 14-day extension, such that the comments would be due December 12, 2022, and reply comments would be due January 10, 202</w:t>
      </w:r>
      <w:r w:rsidR="00313A4D">
        <w:t>3</w:t>
      </w:r>
      <w:r>
        <w:t>.</w:t>
      </w:r>
      <w:r>
        <w:rPr>
          <w:rStyle w:val="FootnoteReference"/>
        </w:rPr>
        <w:footnoteReference w:id="5"/>
      </w:r>
      <w:r>
        <w:t xml:space="preserve">  OTI/PK requested a 21-day extension, such that the comments would be due December 19, 2022, and reply comments would be due January 17, 2023.</w:t>
      </w:r>
      <w:r>
        <w:rPr>
          <w:rStyle w:val="FootnoteReference"/>
        </w:rPr>
        <w:footnoteReference w:id="6"/>
      </w:r>
    </w:p>
    <w:p w:rsidR="00172FEA" w:rsidP="00172FEA" w14:paraId="7B47727E" w14:textId="77777777">
      <w:pPr>
        <w:pStyle w:val="ParaNum"/>
      </w:pPr>
      <w:r>
        <w:t xml:space="preserve">Satellite Petitioners and OTI/PK assert that an extension is warranted because the </w:t>
      </w:r>
      <w:r>
        <w:rPr>
          <w:i/>
          <w:iCs/>
        </w:rPr>
        <w:t>NOI</w:t>
      </w:r>
      <w:r>
        <w:t xml:space="preserve"> seeks comment on a broad scope of important issues and the deadlines fall immediately after the Thanksgiving and Christmas Federal holidays, respectively, which effectively condenses the time for meaningful response and creates challenges for companies with fewer staff resources during these periods.</w:t>
      </w:r>
      <w:r>
        <w:rPr>
          <w:rStyle w:val="FootnoteReference"/>
        </w:rPr>
        <w:footnoteReference w:id="7"/>
      </w:r>
      <w:r w:rsidRPr="00877D3A">
        <w:t xml:space="preserve"> </w:t>
      </w:r>
      <w:r>
        <w:t xml:space="preserve"> </w:t>
      </w:r>
      <w:bookmarkStart w:id="0" w:name="_Hlk120008636"/>
      <w:r>
        <w:t>In addition, Satellite Petitioners and OTI/OK state that no party will be adversely affected by this extension given the early stage of this proceeding.</w:t>
      </w:r>
      <w:r>
        <w:rPr>
          <w:rStyle w:val="FootnoteReference"/>
        </w:rPr>
        <w:footnoteReference w:id="8"/>
      </w:r>
      <w:r>
        <w:t xml:space="preserve">  </w:t>
      </w:r>
      <w:bookmarkEnd w:id="0"/>
      <w:r>
        <w:t xml:space="preserve">Satellite Petitioners further note that the </w:t>
      </w:r>
      <w:r>
        <w:rPr>
          <w:i/>
          <w:iCs/>
        </w:rPr>
        <w:t>NOI</w:t>
      </w:r>
      <w:r>
        <w:t xml:space="preserve"> </w:t>
      </w:r>
      <w:r>
        <w:t>comment and reply comment deadlines overlap with other Commission filing deadlines relevant to the Satellite Petitioners’ interests.</w:t>
      </w:r>
      <w:r>
        <w:rPr>
          <w:rStyle w:val="FootnoteReference"/>
        </w:rPr>
        <w:footnoteReference w:id="9"/>
      </w:r>
      <w:r>
        <w:t xml:space="preserve">  </w:t>
      </w:r>
    </w:p>
    <w:p w:rsidR="00172FEA" w:rsidP="00172FEA" w14:paraId="7F004E25" w14:textId="468D6926">
      <w:pPr>
        <w:pStyle w:val="ParaNum"/>
      </w:pPr>
      <w:r>
        <w:t>We grant the Motion</w:t>
      </w:r>
      <w:r w:rsidRPr="000A0FF5">
        <w:t>s</w:t>
      </w:r>
      <w:r>
        <w:t xml:space="preserve"> for Extension of Time by extending the comment and reply comment filing deadlines by 14 days.  As set forth in section 1.46</w:t>
      </w:r>
      <w:r>
        <w:rPr>
          <w:rStyle w:val="FootnoteReference"/>
        </w:rPr>
        <w:footnoteReference w:id="10"/>
      </w:r>
      <w:r>
        <w:t xml:space="preserve"> of the Commission’s rules, the Commission does not routinely grant extensions of time for filing comments in rulemaking proceedings.</w:t>
      </w:r>
      <w:r>
        <w:rPr>
          <w:rStyle w:val="FootnoteReference"/>
        </w:rPr>
        <w:footnoteReference w:id="11"/>
      </w:r>
      <w:r>
        <w:t xml:space="preserve">  In this case, however, we find good cause for granting a short extension of the comment and reply comment periods given that the existing deadlines fall immediately after Federal holidays.  We conclude that extension of the comment and reply comment deadlines to December 12, 2022, and January 10, 202</w:t>
      </w:r>
      <w:r w:rsidR="00313A4D">
        <w:t>3</w:t>
      </w:r>
      <w:r>
        <w:t xml:space="preserve">, respectively, will provide interested parties with additional time to prepare comments and reply comments that respond to the important issues raised in the </w:t>
      </w:r>
      <w:r>
        <w:rPr>
          <w:i/>
          <w:iCs/>
        </w:rPr>
        <w:t>NOI</w:t>
      </w:r>
      <w:r>
        <w:t>,</w:t>
      </w:r>
      <w:r>
        <w:rPr>
          <w:i/>
          <w:iCs/>
        </w:rPr>
        <w:t xml:space="preserve"> </w:t>
      </w:r>
      <w:r>
        <w:t>and no party will be adversely affected by this extension.</w:t>
      </w:r>
    </w:p>
    <w:p w:rsidR="00172FEA" w:rsidRPr="0013020F" w:rsidP="00172FEA" w14:paraId="49C2E3BE" w14:textId="77777777">
      <w:pPr>
        <w:pStyle w:val="ParaNum"/>
      </w:pPr>
      <w:r>
        <w:t>Accordingly, IT IS ORDERED that, pursuant to section 4(i) of the Communications Act of 1934, as amended, 47 U.S.C.</w:t>
      </w:r>
      <w:r>
        <w:rPr>
          <w:szCs w:val="22"/>
        </w:rPr>
        <w:t xml:space="preserve"> § 154(i), and Sections 0.131, 0.331, 1.45(e), and 1.46 of the Commission’s rules, 47 CFR §§ 0.131, 0.331, 1.45(e), and </w:t>
      </w:r>
      <w:r w:rsidRPr="000A0FF5">
        <w:rPr>
          <w:szCs w:val="22"/>
        </w:rPr>
        <w:t xml:space="preserve">1.46, the Motions for Extension of Time filed by </w:t>
      </w:r>
      <w:r>
        <w:t xml:space="preserve">Intelsat License LLC, </w:t>
      </w:r>
      <w:r>
        <w:t>Hispasat</w:t>
      </w:r>
      <w:r>
        <w:t xml:space="preserve"> S.A., Eutelsat S.A., SES </w:t>
      </w:r>
      <w:r>
        <w:t>Americom</w:t>
      </w:r>
      <w:r>
        <w:t xml:space="preserve">, Inc., and </w:t>
      </w:r>
      <w:r>
        <w:t>Telesat</w:t>
      </w:r>
      <w:r w:rsidRPr="000A0FF5">
        <w:rPr>
          <w:szCs w:val="22"/>
        </w:rPr>
        <w:t xml:space="preserve"> and </w:t>
      </w:r>
      <w:r>
        <w:t>Open Technology Institute at New America and Public Knowledge</w:t>
      </w:r>
      <w:r w:rsidRPr="000A0FF5">
        <w:rPr>
          <w:szCs w:val="22"/>
        </w:rPr>
        <w:t xml:space="preserve"> </w:t>
      </w:r>
      <w:r>
        <w:rPr>
          <w:szCs w:val="22"/>
        </w:rPr>
        <w:t>ARE</w:t>
      </w:r>
      <w:r w:rsidRPr="000A0FF5">
        <w:rPr>
          <w:szCs w:val="22"/>
        </w:rPr>
        <w:t xml:space="preserve"> GRANTED</w:t>
      </w:r>
      <w:r>
        <w:rPr>
          <w:szCs w:val="22"/>
        </w:rPr>
        <w:t>,</w:t>
      </w:r>
      <w:r w:rsidRPr="000A0FF5">
        <w:rPr>
          <w:szCs w:val="22"/>
        </w:rPr>
        <w:t xml:space="preserve"> to the extent indicated herein.</w:t>
      </w:r>
    </w:p>
    <w:p w:rsidR="00172FEA" w:rsidRPr="0013020F" w:rsidP="00172FEA" w14:paraId="54A7C511" w14:textId="543E798B">
      <w:pPr>
        <w:pStyle w:val="ParaNum"/>
      </w:pPr>
      <w:r>
        <w:rPr>
          <w:szCs w:val="22"/>
        </w:rPr>
        <w:t>IT IS FURTHER ORDERED that the deadlines to file comments and reply comments in this proceeding ARE EXTENDED to December 12, 2022, and January 10, 202</w:t>
      </w:r>
      <w:r w:rsidR="00313A4D">
        <w:rPr>
          <w:szCs w:val="22"/>
        </w:rPr>
        <w:t>3</w:t>
      </w:r>
      <w:r>
        <w:rPr>
          <w:szCs w:val="22"/>
        </w:rPr>
        <w:t>, respectively.</w:t>
      </w:r>
    </w:p>
    <w:p w:rsidR="00172FEA" w:rsidP="00172FEA" w14:paraId="433FFD3C" w14:textId="77777777">
      <w:pPr>
        <w:pStyle w:val="ParaNum"/>
        <w:numPr>
          <w:ilvl w:val="0"/>
          <w:numId w:val="0"/>
        </w:numPr>
        <w:spacing w:after="0"/>
        <w:ind w:left="4320"/>
        <w:rPr>
          <w:szCs w:val="22"/>
        </w:rPr>
      </w:pPr>
      <w:r>
        <w:rPr>
          <w:szCs w:val="22"/>
        </w:rPr>
        <w:t>FEDERAL COMMUNICATIONS COMMISSION</w:t>
      </w:r>
    </w:p>
    <w:p w:rsidR="00172FEA" w:rsidP="00172FEA" w14:paraId="08E2BB65" w14:textId="77777777">
      <w:pPr>
        <w:pStyle w:val="ParaNum"/>
        <w:numPr>
          <w:ilvl w:val="0"/>
          <w:numId w:val="0"/>
        </w:numPr>
        <w:spacing w:after="0"/>
        <w:ind w:left="4320"/>
      </w:pPr>
    </w:p>
    <w:p w:rsidR="00172FEA" w:rsidP="00172FEA" w14:paraId="7D3BC7F0" w14:textId="77777777">
      <w:pPr>
        <w:pStyle w:val="ParaNum"/>
        <w:numPr>
          <w:ilvl w:val="0"/>
          <w:numId w:val="0"/>
        </w:numPr>
        <w:spacing w:after="0"/>
        <w:ind w:left="4320"/>
      </w:pPr>
    </w:p>
    <w:p w:rsidR="00172FEA" w:rsidP="00172FEA" w14:paraId="79722F81" w14:textId="77777777">
      <w:pPr>
        <w:pStyle w:val="ParaNum"/>
        <w:numPr>
          <w:ilvl w:val="0"/>
          <w:numId w:val="0"/>
        </w:numPr>
        <w:spacing w:after="0"/>
        <w:ind w:left="4320"/>
      </w:pPr>
    </w:p>
    <w:p w:rsidR="00172FEA" w:rsidP="00172FEA" w14:paraId="2C9568AB" w14:textId="77777777">
      <w:pPr>
        <w:pStyle w:val="ParaNum"/>
        <w:numPr>
          <w:ilvl w:val="0"/>
          <w:numId w:val="0"/>
        </w:numPr>
        <w:spacing w:after="0"/>
        <w:ind w:left="4320"/>
      </w:pPr>
      <w:r>
        <w:t>Joel Taubenblatt</w:t>
      </w:r>
    </w:p>
    <w:p w:rsidR="00172FEA" w:rsidP="00172FEA" w14:paraId="7ADD24E2" w14:textId="77777777">
      <w:pPr>
        <w:pStyle w:val="ParaNum"/>
        <w:numPr>
          <w:ilvl w:val="0"/>
          <w:numId w:val="0"/>
        </w:numPr>
        <w:spacing w:after="0"/>
        <w:ind w:left="4320"/>
      </w:pPr>
      <w:r>
        <w:t>Acting Chief, Wireless Telecommunications Bureau</w:t>
      </w:r>
    </w:p>
    <w:p w:rsidR="00172FEA" w:rsidP="00172FEA" w14:paraId="10DCFE38" w14:textId="77777777">
      <w:pPr>
        <w:pStyle w:val="ParaNum"/>
        <w:numPr>
          <w:ilvl w:val="0"/>
          <w:numId w:val="0"/>
        </w:numPr>
        <w:spacing w:after="0"/>
        <w:ind w:left="4320"/>
      </w:pPr>
    </w:p>
    <w:p w:rsidR="00172FEA" w:rsidP="00172FEA" w14:paraId="09117799" w14:textId="77777777">
      <w:pPr>
        <w:pStyle w:val="ParaNum"/>
        <w:numPr>
          <w:ilvl w:val="0"/>
          <w:numId w:val="0"/>
        </w:numPr>
        <w:spacing w:after="0"/>
        <w:ind w:left="4320"/>
      </w:pPr>
    </w:p>
    <w:p w:rsidR="00172FEA" w:rsidP="00172FEA" w14:paraId="7E25E678" w14:textId="77777777">
      <w:pPr>
        <w:pStyle w:val="ParaNum"/>
        <w:numPr>
          <w:ilvl w:val="0"/>
          <w:numId w:val="0"/>
        </w:numPr>
        <w:spacing w:after="0"/>
        <w:ind w:left="4320"/>
      </w:pPr>
    </w:p>
    <w:p w:rsidR="00172FEA" w:rsidP="00172FEA" w14:paraId="0F078B26" w14:textId="77777777">
      <w:pPr>
        <w:pStyle w:val="ParaNum"/>
        <w:numPr>
          <w:ilvl w:val="0"/>
          <w:numId w:val="0"/>
        </w:numPr>
        <w:spacing w:after="0"/>
        <w:ind w:left="4320"/>
      </w:pPr>
      <w:r>
        <w:t>Ronald T. Repasi</w:t>
      </w:r>
    </w:p>
    <w:p w:rsidR="00172FEA" w:rsidP="00172FEA" w14:paraId="2F71E688" w14:textId="77777777">
      <w:pPr>
        <w:pStyle w:val="ParaNum"/>
        <w:numPr>
          <w:ilvl w:val="0"/>
          <w:numId w:val="0"/>
        </w:numPr>
        <w:spacing w:after="0"/>
        <w:ind w:left="4320"/>
      </w:pPr>
      <w:r>
        <w:t>Acting Chief, Office of Engineering and Technology</w:t>
      </w:r>
    </w:p>
    <w:p w:rsidR="00412FC5" w:rsidRPr="00172FEA" w:rsidP="00172FEA" w14:paraId="638070C8"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7760F5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73761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BC326A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8AE190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73F21B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2FEA" w14:paraId="517382F2" w14:textId="77777777">
      <w:r>
        <w:separator/>
      </w:r>
    </w:p>
  </w:footnote>
  <w:footnote w:type="continuationSeparator" w:id="1">
    <w:p w:rsidR="00172FEA" w:rsidP="00C721AC" w14:paraId="7E4540EE" w14:textId="77777777">
      <w:pPr>
        <w:spacing w:before="120"/>
        <w:rPr>
          <w:sz w:val="20"/>
        </w:rPr>
      </w:pPr>
      <w:r>
        <w:rPr>
          <w:sz w:val="20"/>
        </w:rPr>
        <w:t xml:space="preserve">(Continued from previous page)  </w:t>
      </w:r>
      <w:r>
        <w:rPr>
          <w:sz w:val="20"/>
        </w:rPr>
        <w:separator/>
      </w:r>
    </w:p>
  </w:footnote>
  <w:footnote w:type="continuationNotice" w:id="2">
    <w:p w:rsidR="00172FEA" w:rsidP="00C721AC" w14:paraId="3847FDBF" w14:textId="77777777">
      <w:pPr>
        <w:jc w:val="right"/>
        <w:rPr>
          <w:sz w:val="20"/>
        </w:rPr>
      </w:pPr>
      <w:r>
        <w:rPr>
          <w:sz w:val="20"/>
        </w:rPr>
        <w:t>(continued….)</w:t>
      </w:r>
    </w:p>
  </w:footnote>
  <w:footnote w:id="3">
    <w:p w:rsidR="00172FEA" w:rsidRPr="00325005" w:rsidP="00172FEA" w14:paraId="3FA5ABF3" w14:textId="77777777">
      <w:pPr>
        <w:pStyle w:val="FootnoteText"/>
      </w:pPr>
      <w:r>
        <w:rPr>
          <w:rStyle w:val="FootnoteReference"/>
        </w:rPr>
        <w:footnoteRef/>
      </w:r>
      <w:r>
        <w:t xml:space="preserve"> </w:t>
      </w:r>
      <w:r>
        <w:rPr>
          <w:i/>
          <w:iCs/>
        </w:rPr>
        <w:t>Expanding Use of the 12.7-13.25 GHz Band for Mobile Broadband or Other Expanded Use</w:t>
      </w:r>
      <w:r>
        <w:t xml:space="preserve">, GN Docket No. 22-352, Notice of Inquiry, FCC 22-80, 2022 WL 16634851 (Oct. 28, 2022).  On the same day, the Commission released an Order that accompanied the </w:t>
      </w:r>
      <w:r w:rsidRPr="00196871">
        <w:rPr>
          <w:i/>
          <w:iCs/>
        </w:rPr>
        <w:t>NOI</w:t>
      </w:r>
      <w:r>
        <w:t>.</w:t>
      </w:r>
    </w:p>
  </w:footnote>
  <w:footnote w:id="4">
    <w:p w:rsidR="00172FEA" w:rsidP="00172FEA" w14:paraId="51C25A20" w14:textId="77777777">
      <w:pPr>
        <w:pStyle w:val="FootnoteText"/>
      </w:pPr>
      <w:r>
        <w:rPr>
          <w:rStyle w:val="FootnoteReference"/>
        </w:rPr>
        <w:footnoteRef/>
      </w:r>
      <w:r>
        <w:t xml:space="preserve"> Motion of </w:t>
      </w:r>
      <w:r w:rsidRPr="00CA7116">
        <w:t xml:space="preserve">Intelsat License LLC, </w:t>
      </w:r>
      <w:r w:rsidRPr="00CA7116">
        <w:t>Hispasat</w:t>
      </w:r>
      <w:r w:rsidRPr="00CA7116">
        <w:t xml:space="preserve"> S.A., Eutelsat S.A., SES </w:t>
      </w:r>
      <w:r w:rsidRPr="00CA7116">
        <w:t>Americom</w:t>
      </w:r>
      <w:r w:rsidRPr="00CA7116">
        <w:t xml:space="preserve">, Inc., and </w:t>
      </w:r>
      <w:r w:rsidRPr="00CA7116">
        <w:t>Telesat</w:t>
      </w:r>
      <w:r>
        <w:t xml:space="preserve"> for Extension of Time, GN Docket No. 22-352 (filed Nov. 21, 2022), </w:t>
      </w:r>
      <w:hyperlink r:id="rId1" w:history="1">
        <w:r w:rsidRPr="005E4463">
          <w:rPr>
            <w:rStyle w:val="Hyperlink"/>
          </w:rPr>
          <w:t>https://www.fcc.gov/ecfs/document/1121297916131/1</w:t>
        </w:r>
      </w:hyperlink>
      <w:r>
        <w:t xml:space="preserve"> (Satellite Petitioners Motion); Motion of Open Technology Institute at New America and Public Knowledge for Extension of Time, GN Docket No. 22-352 (filed Nov. 21, 2022), </w:t>
      </w:r>
      <w:hyperlink r:id="rId2" w:history="1">
        <w:r w:rsidRPr="005E4463">
          <w:rPr>
            <w:rStyle w:val="Hyperlink"/>
          </w:rPr>
          <w:t>https://www.fcc.gov/ecfs/document/1121222133373/1</w:t>
        </w:r>
      </w:hyperlink>
      <w:r>
        <w:t xml:space="preserve"> (OTI/PK Motion).</w:t>
      </w:r>
    </w:p>
  </w:footnote>
  <w:footnote w:id="5">
    <w:p w:rsidR="00172FEA" w:rsidP="00172FEA" w14:paraId="28085717" w14:textId="77777777">
      <w:pPr>
        <w:pStyle w:val="FootnoteText"/>
      </w:pPr>
      <w:r>
        <w:rPr>
          <w:rStyle w:val="FootnoteReference"/>
        </w:rPr>
        <w:footnoteRef/>
      </w:r>
      <w:r>
        <w:t xml:space="preserve"> Satellite Petitioners Motion at 1.</w:t>
      </w:r>
    </w:p>
  </w:footnote>
  <w:footnote w:id="6">
    <w:p w:rsidR="00172FEA" w:rsidP="00172FEA" w14:paraId="6301E28C" w14:textId="77777777">
      <w:pPr>
        <w:pStyle w:val="FootnoteText"/>
      </w:pPr>
      <w:r>
        <w:rPr>
          <w:rStyle w:val="FootnoteReference"/>
        </w:rPr>
        <w:footnoteRef/>
      </w:r>
      <w:r>
        <w:t xml:space="preserve"> OTI/PK Motion at 1.</w:t>
      </w:r>
    </w:p>
  </w:footnote>
  <w:footnote w:id="7">
    <w:p w:rsidR="00172FEA" w:rsidP="00172FEA" w14:paraId="5A5D02DA" w14:textId="77777777">
      <w:pPr>
        <w:pStyle w:val="FootnoteText"/>
      </w:pPr>
      <w:r>
        <w:rPr>
          <w:rStyle w:val="FootnoteReference"/>
        </w:rPr>
        <w:footnoteRef/>
      </w:r>
      <w:r>
        <w:t xml:space="preserve"> Satellite Petitioners Motion at 1, 3-4; OTI/PK Motion at 2-3.</w:t>
      </w:r>
    </w:p>
  </w:footnote>
  <w:footnote w:id="8">
    <w:p w:rsidR="00172FEA" w:rsidP="00172FEA" w14:paraId="3D4357E9" w14:textId="77777777">
      <w:pPr>
        <w:pStyle w:val="FootnoteText"/>
      </w:pPr>
      <w:r>
        <w:rPr>
          <w:rStyle w:val="FootnoteReference"/>
        </w:rPr>
        <w:footnoteRef/>
      </w:r>
      <w:r>
        <w:t xml:space="preserve"> Satellite Petitioners Motion at 2; OTI/PK Motion at 3.</w:t>
      </w:r>
    </w:p>
  </w:footnote>
  <w:footnote w:id="9">
    <w:p w:rsidR="00172FEA" w:rsidP="00172FEA" w14:paraId="5B906301" w14:textId="77777777">
      <w:pPr>
        <w:pStyle w:val="FootnoteText"/>
      </w:pPr>
      <w:r>
        <w:rPr>
          <w:rStyle w:val="FootnoteReference"/>
        </w:rPr>
        <w:footnoteRef/>
      </w:r>
      <w:r>
        <w:t xml:space="preserve"> Satellite Petitioners Motion at 2-3.</w:t>
      </w:r>
    </w:p>
  </w:footnote>
  <w:footnote w:id="10">
    <w:p w:rsidR="00172FEA" w:rsidP="00172FEA" w14:paraId="4D3303A4" w14:textId="77777777">
      <w:pPr>
        <w:pStyle w:val="FootnoteText"/>
      </w:pPr>
      <w:r>
        <w:rPr>
          <w:rStyle w:val="FootnoteReference"/>
        </w:rPr>
        <w:footnoteRef/>
      </w:r>
      <w:r>
        <w:t xml:space="preserve"> </w:t>
      </w:r>
      <w:r w:rsidRPr="00414A9B">
        <w:t>47 CFR § 1.46.</w:t>
      </w:r>
    </w:p>
  </w:footnote>
  <w:footnote w:id="11">
    <w:p w:rsidR="00172FEA" w:rsidP="00172FEA" w14:paraId="391F8218" w14:textId="77777777">
      <w:pPr>
        <w:pStyle w:val="FootnoteText"/>
      </w:pPr>
      <w:r>
        <w:rPr>
          <w:rStyle w:val="FootnoteReference"/>
        </w:rPr>
        <w:footnoteRef/>
      </w:r>
      <w:r>
        <w:t xml:space="preserve"> </w:t>
      </w:r>
      <w:r w:rsidRPr="00727158">
        <w:t>The provisions of 47 CFR part 1, subpart C (Rulemaking Proceedings) also govern proceedings commenced by issuing a Notice of Inquiry (with exceptions not relevant).  See 47 CFR § 1.430 (Proceedings on a notice of inquiry).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A1FA1A3" w14:textId="1EB2E8F7">
    <w:pPr>
      <w:pStyle w:val="Header"/>
      <w:rPr>
        <w:b w:val="0"/>
      </w:rPr>
    </w:pPr>
    <w:r>
      <w:tab/>
      <w:t>Federal Communications Commission</w:t>
    </w:r>
    <w:r>
      <w:tab/>
    </w:r>
    <w:r w:rsidR="00172FEA">
      <w:t>DA 22-1222</w:t>
    </w:r>
  </w:p>
  <w:p w:rsidR="00D25FB5" w14:paraId="4A88AC2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841280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C145725" w14:textId="32255D4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72FEA">
      <w:rPr>
        <w:spacing w:val="-2"/>
      </w:rPr>
      <w:t>DA 22-1222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EA"/>
    <w:rsid w:val="00036039"/>
    <w:rsid w:val="00037F90"/>
    <w:rsid w:val="000875BF"/>
    <w:rsid w:val="00096D8C"/>
    <w:rsid w:val="000A0FF5"/>
    <w:rsid w:val="000C0B65"/>
    <w:rsid w:val="000E05FE"/>
    <w:rsid w:val="000E3D42"/>
    <w:rsid w:val="00122BD5"/>
    <w:rsid w:val="0013020F"/>
    <w:rsid w:val="00133F79"/>
    <w:rsid w:val="00172FEA"/>
    <w:rsid w:val="00194A66"/>
    <w:rsid w:val="00196871"/>
    <w:rsid w:val="001D6BCF"/>
    <w:rsid w:val="001D7987"/>
    <w:rsid w:val="001E01CA"/>
    <w:rsid w:val="00275CF5"/>
    <w:rsid w:val="0028301F"/>
    <w:rsid w:val="00285017"/>
    <w:rsid w:val="002A2D2E"/>
    <w:rsid w:val="002C00E8"/>
    <w:rsid w:val="00313A4D"/>
    <w:rsid w:val="00325005"/>
    <w:rsid w:val="00343749"/>
    <w:rsid w:val="003660ED"/>
    <w:rsid w:val="003B0550"/>
    <w:rsid w:val="003B694F"/>
    <w:rsid w:val="003F171C"/>
    <w:rsid w:val="00412FC5"/>
    <w:rsid w:val="00414A9B"/>
    <w:rsid w:val="00422276"/>
    <w:rsid w:val="004242F1"/>
    <w:rsid w:val="00445A00"/>
    <w:rsid w:val="00451B0F"/>
    <w:rsid w:val="004C2EE3"/>
    <w:rsid w:val="004E4A22"/>
    <w:rsid w:val="00511968"/>
    <w:rsid w:val="0055614C"/>
    <w:rsid w:val="00566D06"/>
    <w:rsid w:val="005E14C2"/>
    <w:rsid w:val="005E4463"/>
    <w:rsid w:val="00607BA5"/>
    <w:rsid w:val="0061180A"/>
    <w:rsid w:val="00626EB6"/>
    <w:rsid w:val="00655D03"/>
    <w:rsid w:val="00683388"/>
    <w:rsid w:val="00683F84"/>
    <w:rsid w:val="006A6A81"/>
    <w:rsid w:val="006F7393"/>
    <w:rsid w:val="0070224F"/>
    <w:rsid w:val="007115F7"/>
    <w:rsid w:val="00727158"/>
    <w:rsid w:val="00785689"/>
    <w:rsid w:val="0079754B"/>
    <w:rsid w:val="007A1E6D"/>
    <w:rsid w:val="007B0EB2"/>
    <w:rsid w:val="00810B6F"/>
    <w:rsid w:val="00822CE0"/>
    <w:rsid w:val="00841AB1"/>
    <w:rsid w:val="00877D3A"/>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A7116"/>
    <w:rsid w:val="00CC72B6"/>
    <w:rsid w:val="00D0218D"/>
    <w:rsid w:val="00D25FB5"/>
    <w:rsid w:val="00D44223"/>
    <w:rsid w:val="00DA2529"/>
    <w:rsid w:val="00DB130A"/>
    <w:rsid w:val="00DB2EBB"/>
    <w:rsid w:val="00DC10A1"/>
    <w:rsid w:val="00DC48D0"/>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BFB9BF"/>
  <w15:chartTrackingRefBased/>
  <w15:docId w15:val="{829BB6B1-D92A-48D4-B57F-FD51C1C8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2FE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121297916131/1" TargetMode="External" /><Relationship Id="rId2" Type="http://schemas.openxmlformats.org/officeDocument/2006/relationships/hyperlink" Target="https://www.fcc.gov/ecfs/document/1121222133373/1"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