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F4BB3" w:rsidRPr="00DF655B" w14:paraId="6551013D" w14:textId="1269BC6C">
      <w:pPr>
        <w:jc w:val="right"/>
        <w:rPr>
          <w:b/>
        </w:rPr>
      </w:pPr>
      <w:r w:rsidRPr="00942AC1">
        <w:rPr>
          <w:b/>
        </w:rPr>
        <w:t xml:space="preserve">DA </w:t>
      </w:r>
      <w:r w:rsidR="00942AC1">
        <w:rPr>
          <w:b/>
        </w:rPr>
        <w:t>22-1225</w:t>
      </w:r>
    </w:p>
    <w:p w:rsidR="00DF4BB3" w:rsidRPr="00DF655B" w14:paraId="6FA973DF" w14:textId="5734AFF8">
      <w:pPr>
        <w:spacing w:before="60"/>
        <w:jc w:val="right"/>
        <w:rPr>
          <w:b/>
        </w:rPr>
      </w:pPr>
      <w:r w:rsidRPr="00DF655B">
        <w:rPr>
          <w:b/>
        </w:rPr>
        <w:t>Released:</w:t>
      </w:r>
      <w:r w:rsidRPr="00DF655B" w:rsidR="008176B3">
        <w:rPr>
          <w:b/>
        </w:rPr>
        <w:t xml:space="preserve">  </w:t>
      </w:r>
      <w:r w:rsidRPr="00FA6540" w:rsidR="00D632F3">
        <w:rPr>
          <w:b/>
        </w:rPr>
        <w:t>Novem</w:t>
      </w:r>
      <w:r w:rsidRPr="00FA6540" w:rsidR="00677730">
        <w:rPr>
          <w:b/>
        </w:rPr>
        <w:t xml:space="preserve">ber </w:t>
      </w:r>
      <w:r w:rsidRPr="00FA6540" w:rsidR="00D632F3">
        <w:rPr>
          <w:b/>
        </w:rPr>
        <w:t>23</w:t>
      </w:r>
      <w:r w:rsidRPr="00FA6540" w:rsidR="00895AD7">
        <w:rPr>
          <w:b/>
        </w:rPr>
        <w:t>,</w:t>
      </w:r>
      <w:r w:rsidRPr="00DF655B" w:rsidR="00895AD7">
        <w:rPr>
          <w:b/>
        </w:rPr>
        <w:t xml:space="preserve"> 2022</w:t>
      </w:r>
    </w:p>
    <w:p w:rsidR="00DF4BB3" w:rsidRPr="008176B3" w14:paraId="52CF35BC" w14:textId="77777777">
      <w:pPr>
        <w:jc w:val="right"/>
      </w:pPr>
    </w:p>
    <w:p w:rsidR="00753584" w:rsidRPr="008E1BAA" w:rsidP="37502F62" w14:paraId="02338F1A" w14:textId="67E6C1B0">
      <w:pPr>
        <w:jc w:val="center"/>
        <w:rPr>
          <w:rFonts w:eastAsia="Times"/>
          <w:b/>
          <w:bCs/>
          <w:smallCaps/>
        </w:rPr>
      </w:pPr>
      <w:r w:rsidRPr="00753584">
        <w:rPr>
          <w:rFonts w:eastAsia="Times"/>
          <w:b/>
          <w:smallCaps/>
        </w:rPr>
        <w:t xml:space="preserve">PUBLIC SAFETY AND HOMELAND SECURITY BUREAU ANNOUNCES COMMENT AND REPLY COMMENT DATES FOR </w:t>
      </w:r>
      <w:r w:rsidR="00063156">
        <w:rPr>
          <w:rFonts w:eastAsia="Times"/>
          <w:b/>
          <w:smallCaps/>
        </w:rPr>
        <w:t xml:space="preserve">ALERTING SECURITY </w:t>
      </w:r>
      <w:r w:rsidRPr="00753584">
        <w:rPr>
          <w:rFonts w:eastAsia="Times"/>
          <w:b/>
          <w:smallCaps/>
        </w:rPr>
        <w:t xml:space="preserve">NOTICE OF PROPOSED RULEMAKING </w:t>
      </w:r>
    </w:p>
    <w:p w:rsidR="00DF4BB3" w:rsidRPr="008176B3" w14:paraId="1B91C5AA" w14:textId="77777777">
      <w:pPr>
        <w:jc w:val="center"/>
        <w:rPr>
          <w:rFonts w:eastAsia="Times"/>
          <w:b/>
          <w:smallCaps/>
        </w:rPr>
      </w:pPr>
    </w:p>
    <w:p w:rsidR="00DF4BB3" w:rsidRPr="008176B3" w14:paraId="4258BC23" w14:textId="259B2231">
      <w:pPr>
        <w:jc w:val="center"/>
        <w:rPr>
          <w:b/>
        </w:rPr>
      </w:pPr>
      <w:r w:rsidRPr="00C73FC6">
        <w:rPr>
          <w:b/>
        </w:rPr>
        <w:t>PS Docket Nos. 15-94, 15-91, and 22-329</w:t>
      </w:r>
      <w:bookmarkStart w:id="0" w:name="30j0zll" w:colFirst="0" w:colLast="0"/>
      <w:bookmarkEnd w:id="0"/>
    </w:p>
    <w:p w:rsidR="00DF4BB3" w:rsidRPr="008176B3" w14:paraId="61365917" w14:textId="77777777"/>
    <w:p w:rsidR="00DF4BB3" w:rsidRPr="001B5B85" w:rsidP="005D7490" w14:paraId="7D04A10B" w14:textId="143F7216">
      <w:pPr>
        <w:rPr>
          <w:b/>
        </w:rPr>
      </w:pPr>
      <w:r w:rsidRPr="005D7490">
        <w:rPr>
          <w:b/>
        </w:rPr>
        <w:t>Comments Due:  December 23, 2022</w:t>
      </w:r>
    </w:p>
    <w:p w:rsidR="00DF4BB3" w:rsidRPr="001B5B85" w14:paraId="35A30D18" w14:textId="7B34847D">
      <w:pPr>
        <w:rPr>
          <w:b/>
        </w:rPr>
      </w:pPr>
      <w:r w:rsidRPr="00466AB6">
        <w:rPr>
          <w:b/>
        </w:rPr>
        <w:t>Reply Comments Due:  January 23, 2023</w:t>
      </w:r>
    </w:p>
    <w:p w:rsidR="00DF4BB3" w:rsidRPr="008176B3" w14:paraId="4B3A335A" w14:textId="77777777"/>
    <w:p w:rsidR="00C43D21" w:rsidRPr="008757F1" w:rsidP="00BA1858" w14:paraId="12D0D12D" w14:textId="2E967474">
      <w:pPr>
        <w:spacing w:after="120"/>
        <w:rPr>
          <w:bCs/>
        </w:rPr>
      </w:pPr>
      <w:r w:rsidRPr="008176B3">
        <w:rPr>
          <w:b/>
        </w:rPr>
        <w:tab/>
      </w:r>
      <w:r w:rsidRPr="007E3A0F" w:rsidR="008757F1">
        <w:rPr>
          <w:bCs/>
        </w:rPr>
        <w:t>On October 27, 2022, the Federal Communications Commission (Commission) adopted a Notice of Proposed Rulemaking (</w:t>
      </w:r>
      <w:r w:rsidRPr="007E3A0F" w:rsidR="008757F1">
        <w:rPr>
          <w:bCs/>
          <w:i/>
          <w:iCs/>
        </w:rPr>
        <w:t>NPRM</w:t>
      </w:r>
      <w:r w:rsidRPr="007E3A0F" w:rsidR="008757F1">
        <w:rPr>
          <w:bCs/>
        </w:rPr>
        <w:t>) seeking comment on proposed</w:t>
      </w:r>
      <w:r w:rsidR="00C318C6">
        <w:rPr>
          <w:bCs/>
        </w:rPr>
        <w:t xml:space="preserve"> </w:t>
      </w:r>
      <w:r w:rsidR="001725AF">
        <w:rPr>
          <w:bCs/>
        </w:rPr>
        <w:t xml:space="preserve">rules </w:t>
      </w:r>
      <w:r w:rsidRPr="001725AF" w:rsidR="001725AF">
        <w:rPr>
          <w:bCs/>
        </w:rPr>
        <w:t xml:space="preserve">to improve the security and </w:t>
      </w:r>
      <w:r w:rsidR="00063156">
        <w:rPr>
          <w:bCs/>
        </w:rPr>
        <w:t>operational readiness</w:t>
      </w:r>
      <w:r w:rsidRPr="001725AF" w:rsidR="00063156">
        <w:rPr>
          <w:bCs/>
        </w:rPr>
        <w:t xml:space="preserve"> </w:t>
      </w:r>
      <w:r w:rsidRPr="001725AF" w:rsidR="001725AF">
        <w:rPr>
          <w:bCs/>
        </w:rPr>
        <w:t>of the Emergency Alert System, which alerts the public over television and radio, and Wireless Emergency Alerts, which reach the public on their mobile devices.</w:t>
      </w:r>
      <w:r>
        <w:rPr>
          <w:rStyle w:val="FootnoteReference"/>
          <w:bCs/>
        </w:rPr>
        <w:footnoteReference w:id="2"/>
      </w:r>
      <w:r w:rsidRPr="007E3A0F" w:rsidR="008757F1">
        <w:rPr>
          <w:bCs/>
        </w:rPr>
        <w:t xml:space="preserve"> </w:t>
      </w:r>
      <w:r w:rsidR="00EF2ED9">
        <w:rPr>
          <w:bCs/>
        </w:rPr>
        <w:t xml:space="preserve"> </w:t>
      </w:r>
    </w:p>
    <w:p w:rsidR="00FA1DAC" w:rsidP="00E87C80" w14:paraId="3235627B" w14:textId="2337F74E">
      <w:pPr>
        <w:spacing w:after="120"/>
        <w:ind w:firstLine="720"/>
        <w:rPr>
          <w:bCs/>
        </w:rPr>
      </w:pPr>
      <w:r w:rsidRPr="00525137">
        <w:rPr>
          <w:bCs/>
        </w:rPr>
        <w:t xml:space="preserve">The </w:t>
      </w:r>
      <w:r w:rsidRPr="007E3A0F">
        <w:rPr>
          <w:bCs/>
          <w:i/>
          <w:iCs/>
        </w:rPr>
        <w:t>NPRM</w:t>
      </w:r>
      <w:r w:rsidRPr="00525137">
        <w:rPr>
          <w:bCs/>
        </w:rPr>
        <w:t xml:space="preserve"> set deadlines for filing comments and reply comments at 30 and 60 days, respectively, after publication of a summary of the </w:t>
      </w:r>
      <w:r w:rsidRPr="007E3A0F">
        <w:rPr>
          <w:bCs/>
          <w:i/>
          <w:iCs/>
        </w:rPr>
        <w:t>NPRM</w:t>
      </w:r>
      <w:r w:rsidRPr="00525137">
        <w:rPr>
          <w:bCs/>
        </w:rPr>
        <w:t xml:space="preserve"> in the Federal Register.</w:t>
      </w:r>
      <w:r>
        <w:rPr>
          <w:rStyle w:val="FootnoteReference"/>
          <w:bCs/>
        </w:rPr>
        <w:footnoteReference w:id="3"/>
      </w:r>
      <w:r w:rsidR="00B5493C">
        <w:rPr>
          <w:bCs/>
        </w:rPr>
        <w:t xml:space="preserve"> </w:t>
      </w:r>
      <w:r w:rsidRPr="00525137">
        <w:rPr>
          <w:bCs/>
        </w:rPr>
        <w:t xml:space="preserve"> </w:t>
      </w:r>
      <w:r w:rsidRPr="006A1155" w:rsidR="006A1155">
        <w:rPr>
          <w:bCs/>
        </w:rPr>
        <w:t xml:space="preserve">On </w:t>
      </w:r>
      <w:r w:rsidRPr="009C1961" w:rsidR="006A1155">
        <w:rPr>
          <w:bCs/>
        </w:rPr>
        <w:t>November 23,</w:t>
      </w:r>
      <w:r w:rsidRPr="006A1155" w:rsidR="006A1155">
        <w:rPr>
          <w:bCs/>
        </w:rPr>
        <w:t xml:space="preserve"> 2022, the Office of the Federal Register published a summary of the </w:t>
      </w:r>
      <w:r w:rsidRPr="006A1155" w:rsidR="006A1155">
        <w:rPr>
          <w:bCs/>
          <w:i/>
          <w:iCs/>
        </w:rPr>
        <w:t>NPRM</w:t>
      </w:r>
      <w:r w:rsidRPr="006A1155" w:rsidR="006A1155">
        <w:rPr>
          <w:bCs/>
        </w:rPr>
        <w:t>.</w:t>
      </w:r>
      <w:r>
        <w:rPr>
          <w:bCs/>
          <w:vertAlign w:val="superscript"/>
        </w:rPr>
        <w:footnoteReference w:id="4"/>
      </w:r>
      <w:r w:rsidRPr="006A1155" w:rsidR="006A1155">
        <w:rPr>
          <w:bCs/>
        </w:rPr>
        <w:t xml:space="preserve">  Accordingly, </w:t>
      </w:r>
      <w:r w:rsidRPr="006A1155" w:rsidR="006A1155">
        <w:rPr>
          <w:bCs/>
          <w:i/>
          <w:iCs/>
        </w:rPr>
        <w:t>NPRM</w:t>
      </w:r>
      <w:r w:rsidRPr="006A1155" w:rsidR="006A1155">
        <w:rPr>
          <w:bCs/>
        </w:rPr>
        <w:t xml:space="preserve"> comments must be filed on or before </w:t>
      </w:r>
      <w:r w:rsidR="006A1155">
        <w:rPr>
          <w:bCs/>
        </w:rPr>
        <w:t>December 23</w:t>
      </w:r>
      <w:r w:rsidRPr="006A1155" w:rsidR="006A1155">
        <w:rPr>
          <w:bCs/>
        </w:rPr>
        <w:t xml:space="preserve">, </w:t>
      </w:r>
      <w:r w:rsidRPr="006A1155" w:rsidR="009C1961">
        <w:rPr>
          <w:bCs/>
        </w:rPr>
        <w:t>2022,</w:t>
      </w:r>
      <w:r w:rsidRPr="006A1155" w:rsidR="006A1155">
        <w:rPr>
          <w:bCs/>
        </w:rPr>
        <w:t xml:space="preserve"> and reply comments must be filed on or before </w:t>
      </w:r>
      <w:r w:rsidR="006A1155">
        <w:rPr>
          <w:bCs/>
        </w:rPr>
        <w:t>January 23</w:t>
      </w:r>
      <w:r w:rsidRPr="006A1155" w:rsidR="006A1155">
        <w:rPr>
          <w:bCs/>
        </w:rPr>
        <w:t>, 202</w:t>
      </w:r>
      <w:r w:rsidR="006A1155">
        <w:rPr>
          <w:bCs/>
        </w:rPr>
        <w:t>3</w:t>
      </w:r>
      <w:r w:rsidRPr="006A1155" w:rsidR="006A1155">
        <w:rPr>
          <w:bCs/>
        </w:rPr>
        <w:t xml:space="preserve">.  </w:t>
      </w:r>
      <w:r w:rsidR="00E87C80">
        <w:rPr>
          <w:bCs/>
        </w:rPr>
        <w:t>T</w:t>
      </w:r>
      <w:r w:rsidR="00C3607F">
        <w:rPr>
          <w:bCs/>
        </w:rPr>
        <w:t xml:space="preserve">he </w:t>
      </w:r>
      <w:r w:rsidRPr="00105A44" w:rsidR="00C3607F">
        <w:rPr>
          <w:bCs/>
          <w:i/>
          <w:iCs/>
        </w:rPr>
        <w:t>NPRM</w:t>
      </w:r>
      <w:r w:rsidR="00C3607F">
        <w:rPr>
          <w:bCs/>
        </w:rPr>
        <w:t xml:space="preserve"> contains the comment filing instructions.</w:t>
      </w:r>
      <w:r>
        <w:rPr>
          <w:rStyle w:val="FootnoteReference"/>
          <w:bCs/>
        </w:rPr>
        <w:footnoteReference w:id="5"/>
      </w:r>
    </w:p>
    <w:p w:rsidR="00EC08D3" w:rsidRPr="0010436E" w:rsidP="00EC08D3" w14:paraId="450FE5D2" w14:textId="504E2083">
      <w:pPr>
        <w:spacing w:after="120"/>
        <w:ind w:firstLine="720"/>
      </w:pPr>
      <w:r w:rsidRPr="006E7760">
        <w:t xml:space="preserve">For further information regarding Notice, please contact James Wiley, </w:t>
      </w:r>
      <w:r w:rsidR="00063156">
        <w:t xml:space="preserve">Deputy Chief, </w:t>
      </w:r>
      <w:r w:rsidRPr="006E7760">
        <w:t xml:space="preserve">Cybersecurity and Communications Reliability Division, Public Safety and Homeland Security Bureau, </w:t>
      </w:r>
      <w:r w:rsidR="00063156">
        <w:t xml:space="preserve">at </w:t>
      </w:r>
      <w:r w:rsidRPr="006E7760">
        <w:t xml:space="preserve">(202) 418-1678, or by email to </w:t>
      </w:r>
      <w:hyperlink r:id="rId5" w:history="1">
        <w:r w:rsidRPr="007E3A0F">
          <w:rPr>
            <w:rStyle w:val="Hyperlink"/>
            <w:color w:val="auto"/>
          </w:rPr>
          <w:t>James.Wiley@fcc.gov</w:t>
        </w:r>
      </w:hyperlink>
      <w:r w:rsidRPr="006E7760">
        <w:t>, or Steven Carpenter,</w:t>
      </w:r>
      <w:r w:rsidR="00E60BE8">
        <w:t xml:space="preserve"> </w:t>
      </w:r>
      <w:r w:rsidR="00794F17">
        <w:t xml:space="preserve">Electronics </w:t>
      </w:r>
      <w:r w:rsidR="00E60BE8">
        <w:t>Engineer,</w:t>
      </w:r>
      <w:r w:rsidRPr="006E7760">
        <w:t xml:space="preserve"> Cybersecurity and Communications Reliability Division, Public Safety and Homeland Security Bureau, </w:t>
      </w:r>
      <w:r w:rsidR="00063156">
        <w:t xml:space="preserve">at </w:t>
      </w:r>
      <w:r w:rsidRPr="006E7760">
        <w:t xml:space="preserve">(202) 418-2313, or by email to </w:t>
      </w:r>
      <w:hyperlink r:id="rId6" w:history="1">
        <w:r w:rsidRPr="007E3A0F" w:rsidR="00670777">
          <w:rPr>
            <w:rStyle w:val="Hyperlink"/>
            <w:color w:val="auto"/>
          </w:rPr>
          <w:t>Steven.Carpenter@fcc.gov</w:t>
        </w:r>
      </w:hyperlink>
      <w:r w:rsidRPr="006E7760">
        <w:t>.</w:t>
      </w:r>
      <w:r>
        <w:t xml:space="preserve"> </w:t>
      </w:r>
      <w:r w:rsidRPr="0010436E" w:rsidR="007E3A0F">
        <w:t xml:space="preserve"> </w:t>
      </w:r>
    </w:p>
    <w:p w:rsidR="00DF4BB3" w:rsidRPr="008176B3" w:rsidP="007B3042" w14:paraId="0DF07AAA" w14:textId="77777777">
      <w:pPr>
        <w:widowControl/>
        <w:jc w:val="center"/>
      </w:pPr>
      <w:r w:rsidRPr="00807793">
        <w:t>--</w:t>
      </w:r>
      <w:r w:rsidRPr="007E3A0F">
        <w:rPr>
          <w:b/>
          <w:bCs/>
        </w:rPr>
        <w:t>FCC</w:t>
      </w:r>
      <w:r w:rsidRPr="00807793">
        <w:t>--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58569CE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1486"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0DCD888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AE9CCB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7690455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847EC" w14:paraId="721C580D" w14:textId="77777777">
      <w:r>
        <w:separator/>
      </w:r>
    </w:p>
  </w:footnote>
  <w:footnote w:type="continuationSeparator" w:id="1">
    <w:p w:rsidR="00E847EC" w14:paraId="55A66DB4" w14:textId="77777777">
      <w:r>
        <w:continuationSeparator/>
      </w:r>
    </w:p>
  </w:footnote>
  <w:footnote w:id="2">
    <w:p w:rsidR="00B5493C" w:rsidP="00B356FD" w14:paraId="3C505D10" w14:textId="597976B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E60BE8" w:rsidR="00B356FD">
        <w:rPr>
          <w:i/>
          <w:iCs/>
        </w:rPr>
        <w:t>Amendment of Part 11 of the Commission’s Rules Regarding the</w:t>
      </w:r>
      <w:r w:rsidR="00B356FD">
        <w:t xml:space="preserve"> </w:t>
      </w:r>
      <w:r w:rsidRPr="007E3A0F" w:rsidR="007261E8">
        <w:rPr>
          <w:i/>
          <w:iCs/>
        </w:rPr>
        <w:t>Emergency Alert System; Wireless Emergency Alerts; Protecting the Nation’s Communications Systems from Cybersecurity Threats</w:t>
      </w:r>
      <w:r w:rsidRPr="007261E8" w:rsidR="007261E8">
        <w:t>, PS Docket Nos. 15-94, 15-91, and 22-329, Notice of Proposed Rulemaking, FCC 22-82 (Oct. 27, 2022)</w:t>
      </w:r>
      <w:r w:rsidR="00B356FD">
        <w:t xml:space="preserve"> (</w:t>
      </w:r>
      <w:r w:rsidR="00B356FD">
        <w:rPr>
          <w:i/>
          <w:iCs/>
        </w:rPr>
        <w:t>NPRM</w:t>
      </w:r>
      <w:r w:rsidR="00B356FD">
        <w:t>)</w:t>
      </w:r>
      <w:r w:rsidRPr="007261E8" w:rsidR="007261E8">
        <w:t>.</w:t>
      </w:r>
    </w:p>
  </w:footnote>
  <w:footnote w:id="3">
    <w:p w:rsidR="00E90DF9" w:rsidRPr="00E90DF9" w:rsidP="009C1961" w14:paraId="72B1901D" w14:textId="1B3BCD7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 at 1.</w:t>
      </w:r>
    </w:p>
  </w:footnote>
  <w:footnote w:id="4">
    <w:p w:rsidR="006A1155" w:rsidP="00FA6540" w14:paraId="65D5673E" w14:textId="23FBFB9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FA6540">
        <w:t>Federal Communications Commission, Emergency Alert System; Wireless Emergency Alerts; Protecting the Nation’s Communications Systems</w:t>
      </w:r>
      <w:r w:rsidR="002D445A">
        <w:t xml:space="preserve"> </w:t>
      </w:r>
      <w:r w:rsidR="00B906B7">
        <w:t>f</w:t>
      </w:r>
      <w:r w:rsidR="002D445A">
        <w:t>rom Cybersecurity Threats,</w:t>
      </w:r>
      <w:r w:rsidR="00FA6540">
        <w:t xml:space="preserve"> Proposed Rule, </w:t>
      </w:r>
      <w:r w:rsidRPr="00FA6540" w:rsidR="00FA6540">
        <w:t>87 FR 71539</w:t>
      </w:r>
      <w:r w:rsidR="00FA6540">
        <w:t xml:space="preserve"> (Nov. 23, 2023).</w:t>
      </w:r>
    </w:p>
  </w:footnote>
  <w:footnote w:id="5">
    <w:p w:rsidR="008D49D8" w:rsidRPr="008D49D8" w:rsidP="009C1961" w14:paraId="5CEC568C" w14:textId="60D2464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356FD">
        <w:rPr>
          <w:i/>
          <w:iCs/>
        </w:rPr>
        <w:t>NPRM</w:t>
      </w:r>
      <w:r w:rsidR="00D13EA5">
        <w:t xml:space="preserve"> at 23-24, paras. 52-54</w:t>
      </w:r>
      <w:r w:rsidRPr="007261E8" w:rsidR="00D13EA5">
        <w:t>.</w:t>
      </w:r>
      <w:r w:rsidR="0095766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A8FB238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05B4DC7F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3" o:spid="_x0000_s2049" style="width:468pt;height:0.95pt;margin-top:0;margin-left:0;mso-wrap-distance-bottom:0;mso-wrap-distance-left:0;mso-wrap-distance-right:0;mso-wrap-distance-top:0;mso-wrap-style:square;position:absolute;visibility:visible;v-text-anchor:top;z-index:-251657216" o:allowincell="f" fillcolor="black" stroked="f"/>
          </w:pict>
        </mc:Fallback>
      </mc:AlternateContent>
    </w:r>
  </w:p>
  <w:p w:rsidR="00DF4BB3" w14:paraId="067BB8ED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9736986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668079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FF85E2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642169A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1BA40177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2051" style="mso-wrap-distance-bottom:0;mso-wrap-distance-left:9pt;mso-wrap-distance-right:9pt;mso-wrap-distance-top:0;mso-wrap-style:square;position:absolute;visibility:visible;z-index:251664384" from="0,56.7pt" to="468pt,56.7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3znysh7" w:colFirst="0" w:colLast="0"/>
                          <w:hyperlink r:id="rId2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2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B3C678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75D21C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3znysh7" w:colFirst="0" w:colLast="0"/>
                    <w:hyperlink r:id="rId2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AE69B4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7DD8E62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26E32"/>
    <w:rsid w:val="000355CD"/>
    <w:rsid w:val="00053727"/>
    <w:rsid w:val="00056D84"/>
    <w:rsid w:val="00063156"/>
    <w:rsid w:val="00080553"/>
    <w:rsid w:val="000928B6"/>
    <w:rsid w:val="00097094"/>
    <w:rsid w:val="000A47E3"/>
    <w:rsid w:val="000B64F3"/>
    <w:rsid w:val="000C35F5"/>
    <w:rsid w:val="000C6E99"/>
    <w:rsid w:val="000E125B"/>
    <w:rsid w:val="000E541B"/>
    <w:rsid w:val="000F707B"/>
    <w:rsid w:val="001040D7"/>
    <w:rsid w:val="0010436E"/>
    <w:rsid w:val="00105A44"/>
    <w:rsid w:val="001333A2"/>
    <w:rsid w:val="00171607"/>
    <w:rsid w:val="001725AF"/>
    <w:rsid w:val="00183918"/>
    <w:rsid w:val="001A10C2"/>
    <w:rsid w:val="001B0001"/>
    <w:rsid w:val="001B5B85"/>
    <w:rsid w:val="001B65E7"/>
    <w:rsid w:val="001C0A39"/>
    <w:rsid w:val="001D55C6"/>
    <w:rsid w:val="001D6F25"/>
    <w:rsid w:val="00213D69"/>
    <w:rsid w:val="0022253A"/>
    <w:rsid w:val="0022290E"/>
    <w:rsid w:val="00224197"/>
    <w:rsid w:val="0023259D"/>
    <w:rsid w:val="00243B56"/>
    <w:rsid w:val="00251DDB"/>
    <w:rsid w:val="0025571C"/>
    <w:rsid w:val="00257DC5"/>
    <w:rsid w:val="002B5EA3"/>
    <w:rsid w:val="002C5A56"/>
    <w:rsid w:val="002D445A"/>
    <w:rsid w:val="002E02E2"/>
    <w:rsid w:val="002F2B5F"/>
    <w:rsid w:val="003012D1"/>
    <w:rsid w:val="00304E39"/>
    <w:rsid w:val="00305E6A"/>
    <w:rsid w:val="0031637B"/>
    <w:rsid w:val="00322FD9"/>
    <w:rsid w:val="00324C13"/>
    <w:rsid w:val="003271BE"/>
    <w:rsid w:val="003318DF"/>
    <w:rsid w:val="003416E4"/>
    <w:rsid w:val="00383D59"/>
    <w:rsid w:val="003C40C7"/>
    <w:rsid w:val="003C4E7E"/>
    <w:rsid w:val="003D7F1C"/>
    <w:rsid w:val="00433FB0"/>
    <w:rsid w:val="00436599"/>
    <w:rsid w:val="00444657"/>
    <w:rsid w:val="00447801"/>
    <w:rsid w:val="00453103"/>
    <w:rsid w:val="00460CF7"/>
    <w:rsid w:val="00466AB6"/>
    <w:rsid w:val="00482D1C"/>
    <w:rsid w:val="0048781B"/>
    <w:rsid w:val="004C5FEB"/>
    <w:rsid w:val="004D4303"/>
    <w:rsid w:val="004D621D"/>
    <w:rsid w:val="004D6EB4"/>
    <w:rsid w:val="004E2D6E"/>
    <w:rsid w:val="00525137"/>
    <w:rsid w:val="00525E9F"/>
    <w:rsid w:val="00533053"/>
    <w:rsid w:val="00547C07"/>
    <w:rsid w:val="00573389"/>
    <w:rsid w:val="00585FF3"/>
    <w:rsid w:val="005A5F98"/>
    <w:rsid w:val="005B5447"/>
    <w:rsid w:val="005C255F"/>
    <w:rsid w:val="005C5FAD"/>
    <w:rsid w:val="005D7490"/>
    <w:rsid w:val="005E3804"/>
    <w:rsid w:val="005E6774"/>
    <w:rsid w:val="005F6008"/>
    <w:rsid w:val="00615470"/>
    <w:rsid w:val="006163E3"/>
    <w:rsid w:val="00621427"/>
    <w:rsid w:val="00632E7B"/>
    <w:rsid w:val="00655B5C"/>
    <w:rsid w:val="00656EFF"/>
    <w:rsid w:val="00662CA4"/>
    <w:rsid w:val="00665F5E"/>
    <w:rsid w:val="00670777"/>
    <w:rsid w:val="00677730"/>
    <w:rsid w:val="006A1155"/>
    <w:rsid w:val="006C2FC9"/>
    <w:rsid w:val="006E415B"/>
    <w:rsid w:val="006E5C6D"/>
    <w:rsid w:val="006E7760"/>
    <w:rsid w:val="006E79C9"/>
    <w:rsid w:val="006F361B"/>
    <w:rsid w:val="007261E8"/>
    <w:rsid w:val="00752B8F"/>
    <w:rsid w:val="00753584"/>
    <w:rsid w:val="00755B17"/>
    <w:rsid w:val="0079494D"/>
    <w:rsid w:val="00794F17"/>
    <w:rsid w:val="007A162C"/>
    <w:rsid w:val="007B150F"/>
    <w:rsid w:val="007B3042"/>
    <w:rsid w:val="007D45E2"/>
    <w:rsid w:val="007E2E23"/>
    <w:rsid w:val="007E3A0F"/>
    <w:rsid w:val="0080618F"/>
    <w:rsid w:val="00807793"/>
    <w:rsid w:val="008077D8"/>
    <w:rsid w:val="008137D0"/>
    <w:rsid w:val="008147EF"/>
    <w:rsid w:val="008176B3"/>
    <w:rsid w:val="008217A8"/>
    <w:rsid w:val="00823300"/>
    <w:rsid w:val="00836696"/>
    <w:rsid w:val="00856E76"/>
    <w:rsid w:val="008745B5"/>
    <w:rsid w:val="008757F1"/>
    <w:rsid w:val="00880B4D"/>
    <w:rsid w:val="00882CE8"/>
    <w:rsid w:val="00883336"/>
    <w:rsid w:val="00891FCD"/>
    <w:rsid w:val="00895AD7"/>
    <w:rsid w:val="008A3673"/>
    <w:rsid w:val="008B204A"/>
    <w:rsid w:val="008B2374"/>
    <w:rsid w:val="008C07EB"/>
    <w:rsid w:val="008D13EB"/>
    <w:rsid w:val="008D34C5"/>
    <w:rsid w:val="008D49D8"/>
    <w:rsid w:val="008D533A"/>
    <w:rsid w:val="008E1BAA"/>
    <w:rsid w:val="008F0D18"/>
    <w:rsid w:val="008F5BE5"/>
    <w:rsid w:val="008F761F"/>
    <w:rsid w:val="008F7B2D"/>
    <w:rsid w:val="0091466C"/>
    <w:rsid w:val="009225FC"/>
    <w:rsid w:val="00942AC1"/>
    <w:rsid w:val="00943A5A"/>
    <w:rsid w:val="00944A84"/>
    <w:rsid w:val="00957669"/>
    <w:rsid w:val="00967100"/>
    <w:rsid w:val="009708E8"/>
    <w:rsid w:val="00970FC5"/>
    <w:rsid w:val="009770F6"/>
    <w:rsid w:val="009831FD"/>
    <w:rsid w:val="009838BC"/>
    <w:rsid w:val="009A4A12"/>
    <w:rsid w:val="009B363C"/>
    <w:rsid w:val="009C1961"/>
    <w:rsid w:val="009D11D7"/>
    <w:rsid w:val="009D626A"/>
    <w:rsid w:val="009E43FC"/>
    <w:rsid w:val="009E6D01"/>
    <w:rsid w:val="009E6E4A"/>
    <w:rsid w:val="009F08C9"/>
    <w:rsid w:val="009F1EFD"/>
    <w:rsid w:val="009F26EF"/>
    <w:rsid w:val="00A038CA"/>
    <w:rsid w:val="00A042FE"/>
    <w:rsid w:val="00A07175"/>
    <w:rsid w:val="00A259EE"/>
    <w:rsid w:val="00A30320"/>
    <w:rsid w:val="00A32CF5"/>
    <w:rsid w:val="00A35073"/>
    <w:rsid w:val="00A65704"/>
    <w:rsid w:val="00A73123"/>
    <w:rsid w:val="00A97DF1"/>
    <w:rsid w:val="00AA3003"/>
    <w:rsid w:val="00AA50B6"/>
    <w:rsid w:val="00AB6D02"/>
    <w:rsid w:val="00AE536D"/>
    <w:rsid w:val="00AF08C7"/>
    <w:rsid w:val="00AF0E60"/>
    <w:rsid w:val="00B04163"/>
    <w:rsid w:val="00B119B0"/>
    <w:rsid w:val="00B1737D"/>
    <w:rsid w:val="00B356FD"/>
    <w:rsid w:val="00B51486"/>
    <w:rsid w:val="00B5493C"/>
    <w:rsid w:val="00B56677"/>
    <w:rsid w:val="00B5741F"/>
    <w:rsid w:val="00B73339"/>
    <w:rsid w:val="00B736F6"/>
    <w:rsid w:val="00B829CE"/>
    <w:rsid w:val="00B906B7"/>
    <w:rsid w:val="00B959D0"/>
    <w:rsid w:val="00BA1858"/>
    <w:rsid w:val="00BB1CBA"/>
    <w:rsid w:val="00BB41F1"/>
    <w:rsid w:val="00BE0D92"/>
    <w:rsid w:val="00C1089C"/>
    <w:rsid w:val="00C15292"/>
    <w:rsid w:val="00C22AB5"/>
    <w:rsid w:val="00C318C6"/>
    <w:rsid w:val="00C351AC"/>
    <w:rsid w:val="00C3607F"/>
    <w:rsid w:val="00C36747"/>
    <w:rsid w:val="00C43D21"/>
    <w:rsid w:val="00C47F36"/>
    <w:rsid w:val="00C55CA5"/>
    <w:rsid w:val="00C67E27"/>
    <w:rsid w:val="00C73FC6"/>
    <w:rsid w:val="00C95220"/>
    <w:rsid w:val="00CA4375"/>
    <w:rsid w:val="00CB18A4"/>
    <w:rsid w:val="00CB1F8B"/>
    <w:rsid w:val="00CB2483"/>
    <w:rsid w:val="00CB5CE5"/>
    <w:rsid w:val="00CE5AE1"/>
    <w:rsid w:val="00CF3C0C"/>
    <w:rsid w:val="00CF69F7"/>
    <w:rsid w:val="00D008D8"/>
    <w:rsid w:val="00D113DF"/>
    <w:rsid w:val="00D13EA5"/>
    <w:rsid w:val="00D211D5"/>
    <w:rsid w:val="00D216CD"/>
    <w:rsid w:val="00D243A4"/>
    <w:rsid w:val="00D52CE2"/>
    <w:rsid w:val="00D632F3"/>
    <w:rsid w:val="00D70B5D"/>
    <w:rsid w:val="00DB2296"/>
    <w:rsid w:val="00DB2E43"/>
    <w:rsid w:val="00DC6630"/>
    <w:rsid w:val="00DD4557"/>
    <w:rsid w:val="00DD4A9C"/>
    <w:rsid w:val="00DE25FD"/>
    <w:rsid w:val="00DE310A"/>
    <w:rsid w:val="00DF4BB3"/>
    <w:rsid w:val="00DF655B"/>
    <w:rsid w:val="00E1679C"/>
    <w:rsid w:val="00E26167"/>
    <w:rsid w:val="00E33923"/>
    <w:rsid w:val="00E442BA"/>
    <w:rsid w:val="00E47F4A"/>
    <w:rsid w:val="00E50AFF"/>
    <w:rsid w:val="00E60BE8"/>
    <w:rsid w:val="00E671F1"/>
    <w:rsid w:val="00E8321D"/>
    <w:rsid w:val="00E84249"/>
    <w:rsid w:val="00E847EC"/>
    <w:rsid w:val="00E87C80"/>
    <w:rsid w:val="00E90DF9"/>
    <w:rsid w:val="00EA272C"/>
    <w:rsid w:val="00EA4212"/>
    <w:rsid w:val="00EB220A"/>
    <w:rsid w:val="00EC08D3"/>
    <w:rsid w:val="00EC6D7F"/>
    <w:rsid w:val="00EE56DD"/>
    <w:rsid w:val="00EF03A2"/>
    <w:rsid w:val="00EF080C"/>
    <w:rsid w:val="00EF2ED9"/>
    <w:rsid w:val="00F05949"/>
    <w:rsid w:val="00F13EA7"/>
    <w:rsid w:val="00F42DF1"/>
    <w:rsid w:val="00F536AF"/>
    <w:rsid w:val="00F54563"/>
    <w:rsid w:val="00F563AB"/>
    <w:rsid w:val="00F6182E"/>
    <w:rsid w:val="00F75908"/>
    <w:rsid w:val="00F75D5B"/>
    <w:rsid w:val="00F814C9"/>
    <w:rsid w:val="00F87213"/>
    <w:rsid w:val="00F911CD"/>
    <w:rsid w:val="00FA1DAC"/>
    <w:rsid w:val="00FA6540"/>
    <w:rsid w:val="00FA6809"/>
    <w:rsid w:val="00FC5F02"/>
    <w:rsid w:val="00FD1A4E"/>
    <w:rsid w:val="00FF3915"/>
    <w:rsid w:val="37502F6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4B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EC08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043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A12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D7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ames.Wiley@fcc.gov" TargetMode="External" /><Relationship Id="rId6" Type="http://schemas.openxmlformats.org/officeDocument/2006/relationships/hyperlink" Target="mailto:Steven.Carpenter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