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E0517C7" w14:textId="77777777">
      <w:pPr>
        <w:jc w:val="center"/>
        <w:rPr>
          <w:b/>
        </w:rPr>
      </w:pPr>
      <w:r w:rsidRPr="0070224F">
        <w:rPr>
          <w:rFonts w:ascii="Times New Roman Bold" w:hAnsi="Times New Roman Bold"/>
          <w:b/>
        </w:rPr>
        <w:t>Before</w:t>
      </w:r>
      <w:r>
        <w:rPr>
          <w:b/>
        </w:rPr>
        <w:t xml:space="preserve"> the</w:t>
      </w:r>
    </w:p>
    <w:p w:rsidR="00921803" w:rsidP="00921803" w14:paraId="146E04AA" w14:textId="77777777">
      <w:pPr>
        <w:pStyle w:val="StyleBoldCentered"/>
      </w:pPr>
      <w:r>
        <w:t>F</w:t>
      </w:r>
      <w:r>
        <w:rPr>
          <w:caps w:val="0"/>
        </w:rPr>
        <w:t>ederal Communications Commission</w:t>
      </w:r>
    </w:p>
    <w:p w:rsidR="004C2EE3" w:rsidP="00096D8C" w14:paraId="5BB5994A" w14:textId="77777777">
      <w:pPr>
        <w:pStyle w:val="StyleBoldCentered"/>
      </w:pPr>
      <w:r>
        <w:rPr>
          <w:caps w:val="0"/>
        </w:rPr>
        <w:t>Washington, D.C. 20554</w:t>
      </w:r>
    </w:p>
    <w:p w:rsidR="004C2EE3" w:rsidP="0070224F" w14:paraId="60C69A2D" w14:textId="77777777"/>
    <w:tbl>
      <w:tblPr>
        <w:tblW w:w="0" w:type="auto"/>
        <w:tblLayout w:type="fixed"/>
        <w:tblLook w:val="0000"/>
      </w:tblPr>
      <w:tblGrid>
        <w:gridCol w:w="4698"/>
        <w:gridCol w:w="630"/>
        <w:gridCol w:w="4248"/>
      </w:tblGrid>
      <w:tr w14:paraId="073BDE6F" w14:textId="77777777">
        <w:tblPrEx>
          <w:tblW w:w="0" w:type="auto"/>
          <w:tblLayout w:type="fixed"/>
          <w:tblLook w:val="0000"/>
        </w:tblPrEx>
        <w:tc>
          <w:tcPr>
            <w:tcW w:w="4698" w:type="dxa"/>
          </w:tcPr>
          <w:p w:rsidR="004C2EE3" w14:paraId="3E159893" w14:textId="77777777">
            <w:pPr>
              <w:tabs>
                <w:tab w:val="center" w:pos="4680"/>
              </w:tabs>
              <w:suppressAutoHyphens/>
              <w:rPr>
                <w:spacing w:val="-2"/>
              </w:rPr>
            </w:pPr>
            <w:r>
              <w:rPr>
                <w:spacing w:val="-2"/>
              </w:rPr>
              <w:t>In the Matter of</w:t>
            </w:r>
          </w:p>
          <w:p w:rsidR="004C2EE3" w14:paraId="5D8B0C47" w14:textId="77777777">
            <w:pPr>
              <w:tabs>
                <w:tab w:val="center" w:pos="4680"/>
              </w:tabs>
              <w:suppressAutoHyphens/>
              <w:rPr>
                <w:spacing w:val="-2"/>
              </w:rPr>
            </w:pPr>
          </w:p>
          <w:p w:rsidR="00E97187" w:rsidRPr="00E97187" w:rsidP="00E97187" w14:paraId="3A62E79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742FEA">
              <w:rPr>
                <w:spacing w:val="-2"/>
              </w:rPr>
              <w:t>j</w:t>
            </w:r>
            <w:r w:rsidRPr="00E97187">
              <w:rPr>
                <w:spacing w:val="-2"/>
              </w:rPr>
              <w:t>),</w:t>
            </w:r>
          </w:p>
          <w:p w:rsidR="00E97187" w:rsidRPr="00E97187" w:rsidP="00E97187" w14:paraId="7F5A9577" w14:textId="77777777">
            <w:pPr>
              <w:tabs>
                <w:tab w:val="center" w:pos="4680"/>
              </w:tabs>
              <w:suppressAutoHyphens/>
              <w:rPr>
                <w:spacing w:val="-2"/>
              </w:rPr>
            </w:pPr>
            <w:r w:rsidRPr="00E97187">
              <w:rPr>
                <w:spacing w:val="-2"/>
              </w:rPr>
              <w:t>Table of</w:t>
            </w:r>
            <w:r w:rsidR="00502F59">
              <w:rPr>
                <w:spacing w:val="-2"/>
              </w:rPr>
              <w:t xml:space="preserve"> </w:t>
            </w:r>
            <w:r w:rsidRPr="00E97187">
              <w:rPr>
                <w:spacing w:val="-2"/>
              </w:rPr>
              <w:t>Allotments,</w:t>
            </w:r>
            <w:r w:rsidR="006F4D4C">
              <w:rPr>
                <w:spacing w:val="-2"/>
              </w:rPr>
              <w:t xml:space="preserve"> Television Broadcast</w:t>
            </w:r>
          </w:p>
          <w:p w:rsidR="00E97187" w:rsidRPr="00E97187" w:rsidP="00E97187" w14:paraId="5124F6BB" w14:textId="19FA0991">
            <w:pPr>
              <w:tabs>
                <w:tab w:val="center" w:pos="4680"/>
              </w:tabs>
              <w:suppressAutoHyphens/>
              <w:rPr>
                <w:spacing w:val="-2"/>
              </w:rPr>
            </w:pPr>
            <w:r w:rsidRPr="00E97187">
              <w:rPr>
                <w:spacing w:val="-2"/>
              </w:rPr>
              <w:t>Stations</w:t>
            </w:r>
            <w:r w:rsidR="006F4D4C">
              <w:rPr>
                <w:spacing w:val="-2"/>
              </w:rPr>
              <w:t xml:space="preserve"> (</w:t>
            </w:r>
            <w:r w:rsidR="004821AB">
              <w:rPr>
                <w:spacing w:val="-2"/>
              </w:rPr>
              <w:t>Helena</w:t>
            </w:r>
            <w:r w:rsidR="006F4D4C">
              <w:rPr>
                <w:spacing w:val="-2"/>
              </w:rPr>
              <w:t xml:space="preserve">, </w:t>
            </w:r>
            <w:r w:rsidR="002159C2">
              <w:rPr>
                <w:spacing w:val="-2"/>
              </w:rPr>
              <w:t>Montana</w:t>
            </w:r>
            <w:r w:rsidR="006F4D4C">
              <w:rPr>
                <w:spacing w:val="-2"/>
              </w:rPr>
              <w:t>)</w:t>
            </w:r>
          </w:p>
          <w:p w:rsidR="004C2EE3" w:rsidRPr="007115F7" w:rsidP="00E97187" w14:paraId="121A518F" w14:textId="77777777">
            <w:pPr>
              <w:tabs>
                <w:tab w:val="center" w:pos="4680"/>
              </w:tabs>
              <w:suppressAutoHyphens/>
              <w:rPr>
                <w:spacing w:val="-2"/>
              </w:rPr>
            </w:pPr>
          </w:p>
        </w:tc>
        <w:tc>
          <w:tcPr>
            <w:tcW w:w="630" w:type="dxa"/>
          </w:tcPr>
          <w:p w:rsidR="004C2EE3" w14:paraId="16B78476" w14:textId="77777777">
            <w:pPr>
              <w:tabs>
                <w:tab w:val="center" w:pos="4680"/>
              </w:tabs>
              <w:suppressAutoHyphens/>
              <w:rPr>
                <w:b/>
                <w:spacing w:val="-2"/>
              </w:rPr>
            </w:pPr>
            <w:r>
              <w:rPr>
                <w:b/>
                <w:spacing w:val="-2"/>
              </w:rPr>
              <w:t>)</w:t>
            </w:r>
          </w:p>
          <w:p w:rsidR="004C2EE3" w14:paraId="19616E79" w14:textId="77777777">
            <w:pPr>
              <w:tabs>
                <w:tab w:val="center" w:pos="4680"/>
              </w:tabs>
              <w:suppressAutoHyphens/>
              <w:rPr>
                <w:b/>
                <w:spacing w:val="-2"/>
              </w:rPr>
            </w:pPr>
            <w:r>
              <w:rPr>
                <w:b/>
                <w:spacing w:val="-2"/>
              </w:rPr>
              <w:t>)</w:t>
            </w:r>
          </w:p>
          <w:p w:rsidR="004C2EE3" w14:paraId="49D7D5FF" w14:textId="77777777">
            <w:pPr>
              <w:tabs>
                <w:tab w:val="center" w:pos="4680"/>
              </w:tabs>
              <w:suppressAutoHyphens/>
              <w:rPr>
                <w:b/>
                <w:spacing w:val="-2"/>
              </w:rPr>
            </w:pPr>
            <w:r>
              <w:rPr>
                <w:b/>
                <w:spacing w:val="-2"/>
              </w:rPr>
              <w:t>)</w:t>
            </w:r>
          </w:p>
          <w:p w:rsidR="004C2EE3" w14:paraId="783980C2" w14:textId="77777777">
            <w:pPr>
              <w:tabs>
                <w:tab w:val="center" w:pos="4680"/>
              </w:tabs>
              <w:suppressAutoHyphens/>
              <w:rPr>
                <w:b/>
                <w:spacing w:val="-2"/>
              </w:rPr>
            </w:pPr>
            <w:r>
              <w:rPr>
                <w:b/>
                <w:spacing w:val="-2"/>
              </w:rPr>
              <w:t>)</w:t>
            </w:r>
          </w:p>
          <w:p w:rsidR="004C2EE3" w14:paraId="510D8C9C" w14:textId="77777777">
            <w:pPr>
              <w:tabs>
                <w:tab w:val="center" w:pos="4680"/>
              </w:tabs>
              <w:suppressAutoHyphens/>
              <w:rPr>
                <w:b/>
                <w:spacing w:val="-2"/>
              </w:rPr>
            </w:pPr>
            <w:r>
              <w:rPr>
                <w:b/>
                <w:spacing w:val="-2"/>
              </w:rPr>
              <w:t>)</w:t>
            </w:r>
          </w:p>
          <w:p w:rsidR="004C2EE3" w:rsidRPr="00E97187" w14:paraId="0FD81983" w14:textId="77777777">
            <w:pPr>
              <w:tabs>
                <w:tab w:val="center" w:pos="4680"/>
              </w:tabs>
              <w:suppressAutoHyphens/>
              <w:rPr>
                <w:b/>
                <w:spacing w:val="-2"/>
              </w:rPr>
            </w:pPr>
            <w:r>
              <w:rPr>
                <w:b/>
                <w:spacing w:val="-2"/>
              </w:rPr>
              <w:t>)</w:t>
            </w:r>
          </w:p>
        </w:tc>
        <w:tc>
          <w:tcPr>
            <w:tcW w:w="4248" w:type="dxa"/>
          </w:tcPr>
          <w:p w:rsidR="004C2EE3" w14:paraId="70576C16" w14:textId="77777777">
            <w:pPr>
              <w:tabs>
                <w:tab w:val="center" w:pos="4680"/>
              </w:tabs>
              <w:suppressAutoHyphens/>
              <w:rPr>
                <w:spacing w:val="-2"/>
              </w:rPr>
            </w:pPr>
          </w:p>
          <w:p w:rsidR="004C2EE3" w14:paraId="64DA7C5B" w14:textId="77777777">
            <w:pPr>
              <w:pStyle w:val="TOAHeading"/>
              <w:tabs>
                <w:tab w:val="center" w:pos="4680"/>
                <w:tab w:val="clear" w:pos="9360"/>
              </w:tabs>
              <w:rPr>
                <w:spacing w:val="-2"/>
              </w:rPr>
            </w:pPr>
          </w:p>
          <w:p w:rsidR="00E97187" w:rsidRPr="00E97187" w:rsidP="00E97187" w14:paraId="2CE18C59" w14:textId="6F9C17A7">
            <w:pPr>
              <w:pStyle w:val="TOAHeading"/>
              <w:tabs>
                <w:tab w:val="center" w:pos="4680"/>
              </w:tabs>
              <w:rPr>
                <w:spacing w:val="-2"/>
              </w:rPr>
            </w:pPr>
            <w:r w:rsidRPr="00E97187">
              <w:rPr>
                <w:spacing w:val="-2"/>
              </w:rPr>
              <w:t xml:space="preserve">MB Docket No. </w:t>
            </w:r>
            <w:r w:rsidR="004821AB">
              <w:rPr>
                <w:spacing w:val="-2"/>
              </w:rPr>
              <w:t>22-118</w:t>
            </w:r>
          </w:p>
          <w:p w:rsidR="004C2EE3" w:rsidP="00E97187" w14:paraId="63D1EB47" w14:textId="424457D9">
            <w:pPr>
              <w:tabs>
                <w:tab w:val="center" w:pos="4680"/>
              </w:tabs>
              <w:suppressAutoHyphens/>
              <w:rPr>
                <w:spacing w:val="-2"/>
              </w:rPr>
            </w:pPr>
            <w:r w:rsidRPr="00E97187">
              <w:rPr>
                <w:spacing w:val="-2"/>
              </w:rPr>
              <w:t>RM-</w:t>
            </w:r>
            <w:r w:rsidR="004821AB">
              <w:rPr>
                <w:spacing w:val="-2"/>
              </w:rPr>
              <w:t>11924</w:t>
            </w:r>
          </w:p>
        </w:tc>
      </w:tr>
    </w:tbl>
    <w:p w:rsidR="004C2EE3" w:rsidP="0070224F" w14:paraId="1ED1016C" w14:textId="77777777"/>
    <w:p w:rsidR="00E97187" w:rsidP="00E97187" w14:paraId="53304F72" w14:textId="77777777">
      <w:pPr>
        <w:pStyle w:val="StyleBoldCentered"/>
      </w:pPr>
      <w:r>
        <w:t>report and order</w:t>
      </w:r>
    </w:p>
    <w:p w:rsidR="004C2EE3" w14:paraId="7F649FA1" w14:textId="77777777">
      <w:pPr>
        <w:tabs>
          <w:tab w:val="left" w:pos="-720"/>
        </w:tabs>
        <w:suppressAutoHyphens/>
        <w:spacing w:line="227" w:lineRule="auto"/>
        <w:rPr>
          <w:spacing w:val="-2"/>
        </w:rPr>
      </w:pPr>
    </w:p>
    <w:p w:rsidR="00E97187" w:rsidP="00E97187" w14:paraId="524CCDD0"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678074CF" w14:textId="77777777">
      <w:pPr>
        <w:tabs>
          <w:tab w:val="left" w:pos="720"/>
          <w:tab w:val="right" w:pos="9360"/>
        </w:tabs>
        <w:suppressAutoHyphens/>
        <w:spacing w:line="227" w:lineRule="auto"/>
        <w:rPr>
          <w:b/>
          <w:spacing w:val="-2"/>
        </w:rPr>
      </w:pPr>
    </w:p>
    <w:p w:rsidR="004C2EE3" w:rsidP="00133F79" w14:paraId="460E17A5" w14:textId="6210D5C9">
      <w:pPr>
        <w:tabs>
          <w:tab w:val="left" w:pos="720"/>
          <w:tab w:val="right" w:pos="9360"/>
        </w:tabs>
        <w:suppressAutoHyphens/>
        <w:spacing w:line="227" w:lineRule="auto"/>
        <w:rPr>
          <w:spacing w:val="-2"/>
        </w:rPr>
      </w:pPr>
      <w:r>
        <w:rPr>
          <w:b/>
          <w:spacing w:val="-2"/>
        </w:rPr>
        <w:t xml:space="preserve">Adopted:  </w:t>
      </w:r>
      <w:r w:rsidR="006F2B30">
        <w:rPr>
          <w:b/>
          <w:spacing w:val="-2"/>
        </w:rPr>
        <w:t xml:space="preserve">November </w:t>
      </w:r>
      <w:r w:rsidR="00D2262D">
        <w:rPr>
          <w:b/>
          <w:spacing w:val="-2"/>
        </w:rPr>
        <w:t>29</w:t>
      </w:r>
      <w:r w:rsidR="008F6DAD">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F2B30">
        <w:rPr>
          <w:b/>
          <w:spacing w:val="-2"/>
        </w:rPr>
        <w:t xml:space="preserve">November </w:t>
      </w:r>
      <w:r w:rsidR="00D2262D">
        <w:rPr>
          <w:b/>
          <w:spacing w:val="-2"/>
        </w:rPr>
        <w:t>29</w:t>
      </w:r>
      <w:r w:rsidR="008F6DAD">
        <w:rPr>
          <w:b/>
          <w:spacing w:val="-2"/>
        </w:rPr>
        <w:t>, 2022</w:t>
      </w:r>
    </w:p>
    <w:p w:rsidR="00822CE0" w14:paraId="25ADE4BE" w14:textId="77777777"/>
    <w:p w:rsidR="004C2EE3" w14:paraId="1B2D11A9"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B0B428F" w14:textId="77777777">
      <w:pPr>
        <w:rPr>
          <w:spacing w:val="-2"/>
        </w:rPr>
      </w:pPr>
    </w:p>
    <w:p w:rsidR="00683CEC" w:rsidP="00480BA5" w14:paraId="6A052A55" w14:textId="13D3EE37">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0076278F">
        <w:rPr>
          <w:spacing w:val="-3"/>
        </w:rPr>
        <w:t xml:space="preserve"> </w:t>
      </w:r>
      <w:r w:rsidR="0076278F">
        <w:t>Scripps Broadcasting Holdings LLC</w:t>
      </w:r>
      <w:r w:rsidRPr="00E97187">
        <w:rPr>
          <w:spacing w:val="-7"/>
        </w:rPr>
        <w:t xml:space="preserve"> </w:t>
      </w:r>
      <w:r w:rsidRPr="00E208EC" w:rsidR="00092AB5">
        <w:t>(</w:t>
      </w:r>
      <w:r w:rsidR="00432B47">
        <w:t>Petitioner</w:t>
      </w:r>
      <w:r w:rsidRPr="00E208EC" w:rsidR="00092AB5">
        <w:t xml:space="preserve">), the licensee </w:t>
      </w:r>
      <w:r w:rsidR="00B11296">
        <w:t xml:space="preserve">of </w:t>
      </w:r>
      <w:r w:rsidR="00D66662">
        <w:t xml:space="preserve">full power </w:t>
      </w:r>
      <w:r w:rsidR="0033610A">
        <w:t>television station</w:t>
      </w:r>
      <w:r w:rsidR="00C671B7">
        <w:t xml:space="preserve"> </w:t>
      </w:r>
      <w:r w:rsidR="004821AB">
        <w:t>KTVH-DT</w:t>
      </w:r>
      <w:r w:rsidR="00F845E9">
        <w:t xml:space="preserve">, </w:t>
      </w:r>
      <w:r w:rsidR="004821AB">
        <w:t>Helena</w:t>
      </w:r>
      <w:r w:rsidR="00C65811">
        <w:t xml:space="preserve">, </w:t>
      </w:r>
      <w:r w:rsidR="002159C2">
        <w:t>Montana</w:t>
      </w:r>
      <w:r w:rsidR="00D66662">
        <w:t xml:space="preserve"> (Station or </w:t>
      </w:r>
      <w:r w:rsidR="004821AB">
        <w:t>KTVH-DT</w:t>
      </w:r>
      <w:r w:rsidR="00D66662">
        <w:t>)</w:t>
      </w:r>
      <w:r w:rsidR="00092AB5">
        <w:t>.</w:t>
      </w:r>
      <w:r w:rsidR="006945ED">
        <w:t xml:space="preserve"> </w:t>
      </w:r>
      <w:r w:rsidRPr="00E97187">
        <w:t xml:space="preserve"> </w:t>
      </w:r>
      <w:r w:rsidR="000709BB">
        <w:t xml:space="preserve">The </w:t>
      </w:r>
      <w:r w:rsidR="008F6B08">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w:t>
      </w:r>
      <w:r w:rsidR="00F845E9">
        <w:rPr>
          <w:spacing w:val="-7"/>
        </w:rPr>
        <w:t xml:space="preserve"> </w:t>
      </w:r>
      <w:r w:rsidRPr="00E97187">
        <w:rPr>
          <w:spacing w:val="-7"/>
        </w:rPr>
        <w:t xml:space="preserve">UHF </w:t>
      </w:r>
      <w:r w:rsidRPr="00E97187">
        <w:rPr>
          <w:spacing w:val="-3"/>
        </w:rPr>
        <w:t>channel</w:t>
      </w:r>
      <w:r w:rsidRPr="00E97187">
        <w:rPr>
          <w:spacing w:val="-6"/>
        </w:rPr>
        <w:t xml:space="preserve"> </w:t>
      </w:r>
      <w:r w:rsidR="004821AB">
        <w:rPr>
          <w:spacing w:val="-6"/>
        </w:rPr>
        <w:t>31</w:t>
      </w:r>
      <w:r w:rsidRPr="00E97187">
        <w:rPr>
          <w:spacing w:val="-7"/>
        </w:rPr>
        <w:t xml:space="preserve"> </w:t>
      </w:r>
      <w:r w:rsidRPr="00E97187">
        <w:rPr>
          <w:spacing w:val="-3"/>
        </w:rPr>
        <w:t>for</w:t>
      </w:r>
      <w:r w:rsidRPr="00E97187">
        <w:t xml:space="preserve"> VHF channel</w:t>
      </w:r>
      <w:r w:rsidRPr="00E97187">
        <w:rPr>
          <w:spacing w:val="-6"/>
        </w:rPr>
        <w:t xml:space="preserve"> </w:t>
      </w:r>
      <w:r w:rsidR="004821AB">
        <w:rPr>
          <w:spacing w:val="-6"/>
        </w:rPr>
        <w:t>12</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Table</w:t>
      </w:r>
      <w:r w:rsidRPr="00E97187">
        <w:rPr>
          <w:spacing w:val="-7"/>
        </w:rPr>
        <w:t xml:space="preserve"> </w:t>
      </w:r>
      <w:r w:rsidR="007E31D4">
        <w:rPr>
          <w:spacing w:val="-3"/>
        </w:rPr>
        <w:t xml:space="preserve">of </w:t>
      </w:r>
      <w:r w:rsidR="001E47A7">
        <w:rPr>
          <w:spacing w:val="-3"/>
        </w:rPr>
        <w:t xml:space="preserve"> TV </w:t>
      </w:r>
      <w:r w:rsidR="007E31D4">
        <w:rPr>
          <w:spacing w:val="-3"/>
        </w:rPr>
        <w:t>Allotments</w:t>
      </w:r>
      <w:r w:rsidRPr="00E97187">
        <w:t>.</w:t>
      </w:r>
      <w:r w:rsidRPr="00E97187">
        <w:rPr>
          <w:position w:val="8"/>
        </w:rPr>
        <w:t xml:space="preserve">  </w:t>
      </w:r>
      <w:r w:rsidR="00480BA5">
        <w:t>The Petitioner</w:t>
      </w:r>
      <w:r w:rsidRPr="00E97187" w:rsidR="00480BA5">
        <w:t xml:space="preserve"> filed comments in support of the petition, as required by the Commission’s rules</w:t>
      </w:r>
      <w:r w:rsidR="005C1DA5">
        <w:t xml:space="preserve"> (rules)</w:t>
      </w:r>
      <w:r w:rsidRPr="00E97187" w:rsidR="00480BA5">
        <w:t>,</w:t>
      </w:r>
      <w:r>
        <w:rPr>
          <w:rStyle w:val="FootnoteReference"/>
          <w:iCs/>
          <w:sz w:val="22"/>
        </w:rPr>
        <w:footnoteReference w:id="4"/>
      </w:r>
      <w:r w:rsidRPr="00E97187" w:rsidR="00480BA5">
        <w:t xml:space="preserve"> reaffirming its commitment to apply for channel </w:t>
      </w:r>
      <w:r w:rsidR="004821AB">
        <w:t>31</w:t>
      </w:r>
      <w:r w:rsidR="00480BA5">
        <w:t>.</w:t>
      </w:r>
      <w:r w:rsidR="001542A1">
        <w:t xml:space="preserve">  No other comments were received.</w:t>
      </w:r>
      <w:r w:rsidRPr="00E97187" w:rsidR="00F86933">
        <w:t xml:space="preserve">  </w:t>
      </w:r>
    </w:p>
    <w:p w:rsidR="0033517A" w:rsidP="00725929" w14:paraId="6335FC88" w14:textId="7A5C0475">
      <w:pPr>
        <w:pStyle w:val="ParaNum"/>
        <w:widowControl/>
      </w:pPr>
      <w:r w:rsidRPr="00E97187">
        <w:t xml:space="preserve">We believe the public interest would be served by substituting channel </w:t>
      </w:r>
      <w:r w:rsidR="004821AB">
        <w:t>31</w:t>
      </w:r>
      <w:r w:rsidRPr="00E97187">
        <w:t xml:space="preserve"> for channel </w:t>
      </w:r>
      <w:r w:rsidR="004821AB">
        <w:t>12</w:t>
      </w:r>
      <w:r w:rsidRPr="00E97187" w:rsidR="00424EA6">
        <w:t xml:space="preserve"> </w:t>
      </w:r>
      <w:r w:rsidRPr="00E97187">
        <w:t xml:space="preserve">at </w:t>
      </w:r>
      <w:r w:rsidR="004821AB">
        <w:t>Helena</w:t>
      </w:r>
      <w:r w:rsidR="001032F9">
        <w:t xml:space="preserve">, </w:t>
      </w:r>
      <w:r w:rsidR="002159C2">
        <w:t>Montana</w:t>
      </w:r>
      <w:r w:rsidR="00E9514A">
        <w:t>.</w:t>
      </w:r>
      <w:r>
        <w:rPr>
          <w:rStyle w:val="FootnoteReference"/>
        </w:rPr>
        <w:footnoteReference w:id="5"/>
      </w:r>
      <w:r w:rsidRPr="00E97187">
        <w:t xml:space="preserve"> </w:t>
      </w:r>
      <w:r w:rsidR="00756C1E">
        <w:t xml:space="preserve"> </w:t>
      </w:r>
      <w:r w:rsidR="00061E09">
        <w:t xml:space="preserve">According to the Petitioner, it has received many complaints from viewers unable to receive a reliable signal on </w:t>
      </w:r>
      <w:r w:rsidR="00756C1E">
        <w:t xml:space="preserve">VHF </w:t>
      </w:r>
      <w:r w:rsidR="00061E09">
        <w:t xml:space="preserve">channel </w:t>
      </w:r>
      <w:r w:rsidR="004821AB">
        <w:t>12</w:t>
      </w:r>
      <w:r w:rsidR="00756C1E">
        <w:t>, and</w:t>
      </w:r>
      <w:r w:rsidR="00061E09">
        <w:t xml:space="preserve"> </w:t>
      </w:r>
      <w:r w:rsidR="00756C1E">
        <w:t>the Commission has recognized that VHF channels have certain characteristics that pose challenges for their use in providing digital television service.</w:t>
      </w:r>
      <w:r>
        <w:rPr>
          <w:rStyle w:val="FootnoteReference"/>
        </w:rPr>
        <w:footnoteReference w:id="6"/>
      </w:r>
      <w:r w:rsidRPr="00064DF8" w:rsidR="00756C1E">
        <w:rPr>
          <w:szCs w:val="22"/>
        </w:rPr>
        <w:t xml:space="preserve"> </w:t>
      </w:r>
      <w:r w:rsidR="00F23620">
        <w:rPr>
          <w:szCs w:val="22"/>
        </w:rPr>
        <w:t xml:space="preserve"> </w:t>
      </w:r>
      <w:r w:rsidRPr="00411C58" w:rsidR="0005386E">
        <w:rPr>
          <w:szCs w:val="22"/>
        </w:rPr>
        <w:t xml:space="preserve">The Engineering Statement provided with the </w:t>
      </w:r>
      <w:r w:rsidR="0005386E">
        <w:rPr>
          <w:szCs w:val="22"/>
        </w:rPr>
        <w:t>P</w:t>
      </w:r>
      <w:r w:rsidRPr="00411C58" w:rsidR="0005386E">
        <w:rPr>
          <w:szCs w:val="22"/>
        </w:rPr>
        <w:t>etition confirm</w:t>
      </w:r>
      <w:r w:rsidR="00506FCF">
        <w:rPr>
          <w:szCs w:val="22"/>
        </w:rPr>
        <w:t>ed</w:t>
      </w:r>
      <w:r w:rsidRPr="00411C58" w:rsidR="0005386E">
        <w:rPr>
          <w:szCs w:val="22"/>
        </w:rPr>
        <w:t xml:space="preserve"> that the proposed channel </w:t>
      </w:r>
      <w:r w:rsidR="001E47A7">
        <w:rPr>
          <w:szCs w:val="22"/>
        </w:rPr>
        <w:t>31</w:t>
      </w:r>
      <w:r w:rsidRPr="00411C58" w:rsidR="0005386E">
        <w:rPr>
          <w:szCs w:val="22"/>
        </w:rPr>
        <w:t xml:space="preserve"> contour would continue to reach virtually all of the population within the Station’s current service area</w:t>
      </w:r>
      <w:r w:rsidR="0005386E">
        <w:rPr>
          <w:szCs w:val="22"/>
        </w:rPr>
        <w:t xml:space="preserve"> and</w:t>
      </w:r>
      <w:r w:rsidRPr="00411C58" w:rsidR="0005386E">
        <w:rPr>
          <w:szCs w:val="22"/>
        </w:rPr>
        <w:t xml:space="preserve"> fully cover the city of </w:t>
      </w:r>
      <w:r w:rsidR="004821AB">
        <w:rPr>
          <w:szCs w:val="22"/>
        </w:rPr>
        <w:t>Helena</w:t>
      </w:r>
      <w:r w:rsidRPr="00411C58" w:rsidR="0005386E">
        <w:rPr>
          <w:szCs w:val="22"/>
        </w:rPr>
        <w:t>.</w:t>
      </w:r>
      <w:r>
        <w:rPr>
          <w:rStyle w:val="FootnoteReference"/>
          <w:szCs w:val="22"/>
        </w:rPr>
        <w:footnoteReference w:id="7"/>
      </w:r>
      <w:r w:rsidRPr="00411C58" w:rsidR="0005386E">
        <w:rPr>
          <w:szCs w:val="22"/>
        </w:rPr>
        <w:t xml:space="preserve">  </w:t>
      </w:r>
      <w:r w:rsidR="0005386E">
        <w:rPr>
          <w:szCs w:val="22"/>
        </w:rPr>
        <w:t>A</w:t>
      </w:r>
      <w:r w:rsidRPr="00411C58" w:rsidR="0005386E">
        <w:rPr>
          <w:szCs w:val="22"/>
        </w:rPr>
        <w:t xml:space="preserve">n analysis using the Commission’s </w:t>
      </w:r>
      <w:r w:rsidRPr="00411C58" w:rsidR="0005386E">
        <w:rPr>
          <w:i/>
          <w:iCs/>
          <w:szCs w:val="22"/>
        </w:rPr>
        <w:t>TVStudy</w:t>
      </w:r>
      <w:r w:rsidRPr="00411C58" w:rsidR="0005386E">
        <w:rPr>
          <w:szCs w:val="22"/>
        </w:rPr>
        <w:t xml:space="preserve"> </w:t>
      </w:r>
      <w:r w:rsidR="0005386E">
        <w:rPr>
          <w:szCs w:val="22"/>
        </w:rPr>
        <w:t xml:space="preserve">software </w:t>
      </w:r>
      <w:r w:rsidRPr="00411C58" w:rsidR="0005386E">
        <w:rPr>
          <w:szCs w:val="22"/>
        </w:rPr>
        <w:t xml:space="preserve">tool indicates that </w:t>
      </w:r>
      <w:r w:rsidR="004821AB">
        <w:rPr>
          <w:szCs w:val="22"/>
        </w:rPr>
        <w:t>KTVH-DT</w:t>
      </w:r>
      <w:r w:rsidRPr="00411C58" w:rsidR="0005386E">
        <w:rPr>
          <w:szCs w:val="22"/>
        </w:rPr>
        <w:t xml:space="preserve">’s move from channel </w:t>
      </w:r>
      <w:r w:rsidR="001E47A7">
        <w:rPr>
          <w:szCs w:val="22"/>
        </w:rPr>
        <w:t>12</w:t>
      </w:r>
      <w:r w:rsidRPr="00411C58" w:rsidR="0005386E">
        <w:rPr>
          <w:szCs w:val="22"/>
        </w:rPr>
        <w:t xml:space="preserve"> to channel </w:t>
      </w:r>
      <w:r w:rsidR="001E47A7">
        <w:rPr>
          <w:szCs w:val="22"/>
        </w:rPr>
        <w:t>31</w:t>
      </w:r>
      <w:r w:rsidRPr="00411C58" w:rsidR="0005386E">
        <w:rPr>
          <w:szCs w:val="22"/>
        </w:rPr>
        <w:t xml:space="preserve"> is predicted to create a</w:t>
      </w:r>
      <w:r w:rsidR="001E47A7">
        <w:rPr>
          <w:szCs w:val="22"/>
        </w:rPr>
        <w:t>n area where 2,168 persons are predicted to lose service.</w:t>
      </w:r>
      <w:r>
        <w:rPr>
          <w:rStyle w:val="FootnoteReference"/>
          <w:szCs w:val="22"/>
        </w:rPr>
        <w:footnoteReference w:id="8"/>
      </w:r>
      <w:r w:rsidRPr="00411C58" w:rsidR="0005386E">
        <w:rPr>
          <w:szCs w:val="22"/>
        </w:rPr>
        <w:t xml:space="preserve">   The loss area, however, is partially overlapped by the noise</w:t>
      </w:r>
      <w:r w:rsidR="0005386E">
        <w:rPr>
          <w:szCs w:val="22"/>
        </w:rPr>
        <w:t xml:space="preserve"> </w:t>
      </w:r>
      <w:r w:rsidRPr="00411C58" w:rsidR="0005386E">
        <w:rPr>
          <w:szCs w:val="22"/>
        </w:rPr>
        <w:t xml:space="preserve">limited contour of </w:t>
      </w:r>
      <w:r w:rsidR="0005386E">
        <w:rPr>
          <w:szCs w:val="22"/>
        </w:rPr>
        <w:t xml:space="preserve">other </w:t>
      </w:r>
      <w:r w:rsidR="00523381">
        <w:rPr>
          <w:szCs w:val="22"/>
        </w:rPr>
        <w:t>NBC</w:t>
      </w:r>
      <w:r w:rsidR="0005386E">
        <w:rPr>
          <w:szCs w:val="22"/>
        </w:rPr>
        <w:t xml:space="preserve"> affiliated stations</w:t>
      </w:r>
      <w:r w:rsidR="00523381">
        <w:rPr>
          <w:szCs w:val="22"/>
        </w:rPr>
        <w:t xml:space="preserve"> and reduces the number of people who are predicted to lose NBC network service to 226 persons</w:t>
      </w:r>
      <w:r w:rsidR="005C1DA5">
        <w:rPr>
          <w:szCs w:val="22"/>
        </w:rPr>
        <w:t>.</w:t>
      </w:r>
      <w:r>
        <w:rPr>
          <w:rStyle w:val="FootnoteReference"/>
          <w:szCs w:val="22"/>
        </w:rPr>
        <w:footnoteReference w:id="9"/>
      </w:r>
      <w:r w:rsidR="00D66662">
        <w:rPr>
          <w:szCs w:val="22"/>
        </w:rPr>
        <w:t xml:space="preserve">  O</w:t>
      </w:r>
      <w:r w:rsidR="00C71DEC">
        <w:rPr>
          <w:szCs w:val="22"/>
        </w:rPr>
        <w:t xml:space="preserve">nce </w:t>
      </w:r>
      <w:r w:rsidR="00D66662">
        <w:rPr>
          <w:szCs w:val="22"/>
        </w:rPr>
        <w:t xml:space="preserve">those </w:t>
      </w:r>
      <w:r w:rsidR="00C71DEC">
        <w:rPr>
          <w:szCs w:val="22"/>
        </w:rPr>
        <w:t xml:space="preserve">other sources of </w:t>
      </w:r>
      <w:r w:rsidR="00523381">
        <w:rPr>
          <w:szCs w:val="22"/>
        </w:rPr>
        <w:t>NBC</w:t>
      </w:r>
      <w:r w:rsidR="00C71DEC">
        <w:rPr>
          <w:szCs w:val="22"/>
        </w:rPr>
        <w:t xml:space="preserve"> programming are factored into the loss </w:t>
      </w:r>
      <w:r w:rsidR="00C71DEC">
        <w:rPr>
          <w:szCs w:val="22"/>
        </w:rPr>
        <w:t>analysis, the new loss are</w:t>
      </w:r>
      <w:r w:rsidR="0041059F">
        <w:rPr>
          <w:szCs w:val="22"/>
        </w:rPr>
        <w:t>a</w:t>
      </w:r>
      <w:r w:rsidR="00C71DEC">
        <w:rPr>
          <w:szCs w:val="22"/>
        </w:rPr>
        <w:t xml:space="preserve"> that would</w:t>
      </w:r>
      <w:r w:rsidR="00A26368">
        <w:rPr>
          <w:szCs w:val="22"/>
        </w:rPr>
        <w:t xml:space="preserve"> be</w:t>
      </w:r>
      <w:r w:rsidR="00C71DEC">
        <w:rPr>
          <w:szCs w:val="22"/>
        </w:rPr>
        <w:t xml:space="preserve"> created by the proposed channel subs</w:t>
      </w:r>
      <w:r w:rsidR="00A26368">
        <w:rPr>
          <w:szCs w:val="22"/>
        </w:rPr>
        <w:t>t</w:t>
      </w:r>
      <w:r w:rsidR="00C71DEC">
        <w:rPr>
          <w:szCs w:val="22"/>
        </w:rPr>
        <w:t>itu</w:t>
      </w:r>
      <w:r w:rsidR="00A26368">
        <w:rPr>
          <w:szCs w:val="22"/>
        </w:rPr>
        <w:t>t</w:t>
      </w:r>
      <w:r w:rsidR="00C71DEC">
        <w:rPr>
          <w:szCs w:val="22"/>
        </w:rPr>
        <w:t xml:space="preserve">ion would contain </w:t>
      </w:r>
      <w:r w:rsidR="00D66662">
        <w:rPr>
          <w:szCs w:val="22"/>
        </w:rPr>
        <w:t xml:space="preserve">only </w:t>
      </w:r>
      <w:r w:rsidR="00C71DEC">
        <w:rPr>
          <w:szCs w:val="22"/>
        </w:rPr>
        <w:t>2</w:t>
      </w:r>
      <w:r w:rsidR="0044689C">
        <w:rPr>
          <w:szCs w:val="22"/>
        </w:rPr>
        <w:t>26</w:t>
      </w:r>
      <w:r w:rsidR="00C71DEC">
        <w:rPr>
          <w:szCs w:val="22"/>
        </w:rPr>
        <w:t xml:space="preserve"> persons, which is </w:t>
      </w:r>
      <w:r w:rsidR="00A960E4">
        <w:rPr>
          <w:szCs w:val="22"/>
        </w:rPr>
        <w:t>a</w:t>
      </w:r>
      <w:r w:rsidR="00C71DEC">
        <w:rPr>
          <w:szCs w:val="22"/>
        </w:rPr>
        <w:t xml:space="preserve"> level</w:t>
      </w:r>
      <w:r w:rsidR="00A960E4">
        <w:rPr>
          <w:szCs w:val="22"/>
        </w:rPr>
        <w:t xml:space="preserve"> of service loss</w:t>
      </w:r>
      <w:r w:rsidR="00C71DEC">
        <w:rPr>
          <w:szCs w:val="22"/>
        </w:rPr>
        <w:t xml:space="preserve"> the Commission considers</w:t>
      </w:r>
      <w:r w:rsidR="00A960E4">
        <w:rPr>
          <w:szCs w:val="22"/>
        </w:rPr>
        <w:t xml:space="preserve"> to be</w:t>
      </w:r>
      <w:r w:rsidR="00C71DEC">
        <w:rPr>
          <w:szCs w:val="22"/>
        </w:rPr>
        <w:t xml:space="preserve"> </w:t>
      </w:r>
      <w:r w:rsidRPr="00A26368" w:rsidR="00C71DEC">
        <w:rPr>
          <w:i/>
          <w:iCs/>
          <w:szCs w:val="22"/>
        </w:rPr>
        <w:t>de minimis</w:t>
      </w:r>
      <w:r w:rsidRPr="00840F08" w:rsidR="005C77C8">
        <w:rPr>
          <w:szCs w:val="22"/>
        </w:rPr>
        <w:t>.</w:t>
      </w:r>
      <w:r>
        <w:rPr>
          <w:rStyle w:val="FootnoteReference"/>
          <w:szCs w:val="22"/>
        </w:rPr>
        <w:footnoteReference w:id="10"/>
      </w:r>
      <w:r w:rsidRPr="00840F08" w:rsidR="005C77C8">
        <w:rPr>
          <w:szCs w:val="22"/>
        </w:rPr>
        <w:t xml:space="preserve"> </w:t>
      </w:r>
    </w:p>
    <w:p w:rsidR="00E97187" w:rsidRPr="007E31D4" w:rsidP="00107C22" w14:paraId="2925DEB3" w14:textId="21D18EC1">
      <w:pPr>
        <w:pStyle w:val="ParaNum"/>
      </w:pPr>
      <w:r>
        <w:rPr>
          <w:spacing w:val="-7"/>
        </w:rPr>
        <w:t xml:space="preserve">As proposed, </w:t>
      </w:r>
      <w:r w:rsidR="009078BE">
        <w:rPr>
          <w:spacing w:val="-7"/>
        </w:rPr>
        <w:t>c</w:t>
      </w:r>
      <w:r w:rsidRPr="00E97187">
        <w:rPr>
          <w:spacing w:val="-7"/>
        </w:rPr>
        <w:t xml:space="preserve">hannel </w:t>
      </w:r>
      <w:r w:rsidR="001E47A7">
        <w:rPr>
          <w:spacing w:val="-7"/>
        </w:rPr>
        <w:t>31</w:t>
      </w:r>
      <w:r w:rsidRPr="00E97187">
        <w:rPr>
          <w:spacing w:val="-7"/>
        </w:rPr>
        <w:t xml:space="preserve"> can be substituted for channel</w:t>
      </w:r>
      <w:r w:rsidRPr="00E97187">
        <w:t xml:space="preserve"> </w:t>
      </w:r>
      <w:r w:rsidR="001E47A7">
        <w:t>12</w:t>
      </w:r>
      <w:r w:rsidRPr="00E97187">
        <w:t xml:space="preserve"> at </w:t>
      </w:r>
      <w:r w:rsidR="004821AB">
        <w:t>Helena</w:t>
      </w:r>
      <w:r w:rsidR="007C60E1">
        <w:t xml:space="preserve">, </w:t>
      </w:r>
      <w:r w:rsidR="002159C2">
        <w:t>Montana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w:t>
      </w:r>
      <w:r w:rsidR="005C1DA5">
        <w:rPr>
          <w:spacing w:val="-4"/>
        </w:rPr>
        <w:t xml:space="preserve">e </w:t>
      </w:r>
      <w:r w:rsidR="002A79DD">
        <w:rPr>
          <w:spacing w:val="-3"/>
        </w:rPr>
        <w:t>r</w:t>
      </w:r>
      <w:r w:rsidRPr="00E97187">
        <w:rPr>
          <w:spacing w:val="-3"/>
        </w:rPr>
        <w:t>ules,</w:t>
      </w:r>
      <w:r>
        <w:rPr>
          <w:rStyle w:val="FootnoteReference"/>
          <w:spacing w:val="-3"/>
          <w:sz w:val="22"/>
        </w:rPr>
        <w:footnoteReference w:id="11"/>
      </w:r>
      <w:r w:rsidRPr="00E97187">
        <w:rPr>
          <w:spacing w:val="17"/>
          <w:position w:val="8"/>
        </w:rPr>
        <w:t xml:space="preserve"> </w:t>
      </w:r>
      <w:r w:rsidRPr="00E97187">
        <w:rPr>
          <w:spacing w:val="-3"/>
        </w:rPr>
        <w:t xml:space="preserve">at </w:t>
      </w:r>
      <w:r w:rsidRPr="00E97187">
        <w:rPr>
          <w:spacing w:val="-4"/>
        </w:rPr>
        <w:t>coordinates</w:t>
      </w:r>
      <w:r w:rsidR="0076278F">
        <w:rPr>
          <w:spacing w:val="-4"/>
        </w:rPr>
        <w:t xml:space="preserve"> </w:t>
      </w:r>
      <w:r w:rsidRPr="00462601" w:rsidR="00DC123A">
        <w:rPr>
          <w:snapToGrid/>
          <w:kern w:val="0"/>
          <w:szCs w:val="22"/>
        </w:rPr>
        <w:t>4</w:t>
      </w:r>
      <w:r w:rsidR="001E47A7">
        <w:rPr>
          <w:snapToGrid/>
          <w:kern w:val="0"/>
          <w:szCs w:val="22"/>
        </w:rPr>
        <w:t>6</w:t>
      </w:r>
      <w:r w:rsidRPr="00462601" w:rsidR="00DC123A">
        <w:rPr>
          <w:snapToGrid/>
          <w:kern w:val="0"/>
          <w:szCs w:val="22"/>
        </w:rPr>
        <w:t xml:space="preserve">° </w:t>
      </w:r>
      <w:r w:rsidR="001E47A7">
        <w:rPr>
          <w:snapToGrid/>
          <w:kern w:val="0"/>
          <w:szCs w:val="22"/>
        </w:rPr>
        <w:t>49</w:t>
      </w:r>
      <w:r w:rsidRPr="00462601" w:rsidR="00DC123A">
        <w:rPr>
          <w:snapToGrid/>
          <w:kern w:val="0"/>
          <w:szCs w:val="22"/>
        </w:rPr>
        <w:t xml:space="preserve">' </w:t>
      </w:r>
      <w:r w:rsidR="001E47A7">
        <w:rPr>
          <w:snapToGrid/>
          <w:kern w:val="0"/>
          <w:szCs w:val="22"/>
        </w:rPr>
        <w:t>29.4</w:t>
      </w:r>
      <w:r w:rsidRPr="00462601" w:rsidR="00DC123A">
        <w:rPr>
          <w:snapToGrid/>
          <w:kern w:val="0"/>
          <w:szCs w:val="22"/>
        </w:rPr>
        <w:t xml:space="preserve">" N and 111° </w:t>
      </w:r>
      <w:r w:rsidR="001E47A7">
        <w:rPr>
          <w:snapToGrid/>
          <w:kern w:val="0"/>
          <w:szCs w:val="22"/>
        </w:rPr>
        <w:t>42</w:t>
      </w:r>
      <w:r w:rsidRPr="00462601" w:rsidR="00DC123A">
        <w:rPr>
          <w:snapToGrid/>
          <w:kern w:val="0"/>
          <w:szCs w:val="22"/>
        </w:rPr>
        <w:t xml:space="preserve">' </w:t>
      </w:r>
      <w:r w:rsidR="001E47A7">
        <w:rPr>
          <w:snapToGrid/>
          <w:kern w:val="0"/>
          <w:szCs w:val="22"/>
        </w:rPr>
        <w:t>15.6</w:t>
      </w:r>
      <w:r w:rsidRPr="00462601" w:rsidR="00DC123A">
        <w:rPr>
          <w:snapToGrid/>
          <w:kern w:val="0"/>
          <w:szCs w:val="22"/>
        </w:rPr>
        <w:t>" W</w:t>
      </w:r>
      <w:r w:rsidR="00EA0EAE">
        <w:rPr>
          <w:snapToGrid/>
          <w:kern w:val="0"/>
          <w:szCs w:val="22"/>
        </w:rPr>
        <w:t>.</w:t>
      </w:r>
      <w:r w:rsidR="00146B1A">
        <w:t xml:space="preserve">  </w:t>
      </w:r>
      <w:r w:rsidR="001F77A0">
        <w:t xml:space="preserve">Although the Petitioner’s proposal would result in a loss for a limited number of viewers, we find that the overall benefits of the proposed channel change outweighs any possible harm to the public interest </w:t>
      </w:r>
      <w:r w:rsidRPr="009F5EB1" w:rsidR="001F77A0">
        <w:t xml:space="preserve">when taking into account the ability of </w:t>
      </w:r>
      <w:r w:rsidR="001F77A0">
        <w:t xml:space="preserve">all but a </w:t>
      </w:r>
      <w:r w:rsidRPr="002C2A58" w:rsidR="001F77A0">
        <w:rPr>
          <w:i/>
          <w:iCs/>
        </w:rPr>
        <w:t>de minimis</w:t>
      </w:r>
      <w:r w:rsidR="001F77A0">
        <w:t xml:space="preserve"> number of </w:t>
      </w:r>
      <w:r w:rsidRPr="009F5EB1" w:rsidR="001F77A0">
        <w:t xml:space="preserve">viewers to access </w:t>
      </w:r>
      <w:r w:rsidR="001E47A7">
        <w:t>NBC</w:t>
      </w:r>
      <w:r w:rsidR="001F77A0">
        <w:t xml:space="preserve"> network</w:t>
      </w:r>
      <w:r w:rsidRPr="009F5EB1" w:rsidR="001F77A0">
        <w:t xml:space="preserve"> </w:t>
      </w:r>
      <w:r w:rsidR="001F77A0">
        <w:t xml:space="preserve">programming from another </w:t>
      </w:r>
      <w:r w:rsidR="005C1DA5">
        <w:t xml:space="preserve">over-the-air television </w:t>
      </w:r>
      <w:r w:rsidR="001F77A0">
        <w:t>source.</w:t>
      </w:r>
      <w:r w:rsidR="00107C22">
        <w:t xml:space="preserve">  </w:t>
      </w:r>
      <w:r w:rsidRPr="00107C22">
        <w:rPr>
          <w:spacing w:val="-2"/>
        </w:rPr>
        <w:t>In</w:t>
      </w:r>
      <w:r w:rsidRPr="00107C22">
        <w:rPr>
          <w:spacing w:val="-5"/>
        </w:rPr>
        <w:t xml:space="preserve"> </w:t>
      </w:r>
      <w:r w:rsidRPr="00107C22">
        <w:rPr>
          <w:spacing w:val="-4"/>
        </w:rPr>
        <w:t>addition,</w:t>
      </w:r>
      <w:r w:rsidRPr="00107C22">
        <w:rPr>
          <w:spacing w:val="-5"/>
        </w:rPr>
        <w:t xml:space="preserve"> </w:t>
      </w:r>
      <w:r w:rsidRPr="00107C22">
        <w:rPr>
          <w:spacing w:val="-3"/>
        </w:rPr>
        <w:t>we</w:t>
      </w:r>
      <w:r w:rsidRPr="00E97187">
        <w:t xml:space="preserve"> </w:t>
      </w:r>
      <w:r w:rsidRPr="00107C22">
        <w:rPr>
          <w:spacing w:val="-3"/>
        </w:rPr>
        <w:t>find</w:t>
      </w:r>
      <w:r w:rsidRPr="00E97187">
        <w:t xml:space="preserve"> </w:t>
      </w:r>
      <w:r w:rsidRPr="00107C22">
        <w:rPr>
          <w:spacing w:val="-3"/>
        </w:rPr>
        <w:t>that</w:t>
      </w:r>
      <w:r w:rsidRPr="00107C22">
        <w:rPr>
          <w:spacing w:val="-6"/>
        </w:rPr>
        <w:t xml:space="preserve"> </w:t>
      </w:r>
      <w:r w:rsidRPr="00107C22">
        <w:rPr>
          <w:spacing w:val="-3"/>
        </w:rPr>
        <w:t>this</w:t>
      </w:r>
      <w:r w:rsidRPr="00107C22">
        <w:rPr>
          <w:spacing w:val="-7"/>
        </w:rPr>
        <w:t xml:space="preserve"> </w:t>
      </w:r>
      <w:r w:rsidRPr="00107C22">
        <w:rPr>
          <w:spacing w:val="-4"/>
        </w:rPr>
        <w:t>channel</w:t>
      </w:r>
      <w:r w:rsidRPr="00107C22">
        <w:rPr>
          <w:spacing w:val="-6"/>
        </w:rPr>
        <w:t xml:space="preserve"> </w:t>
      </w:r>
      <w:r w:rsidRPr="00107C22">
        <w:rPr>
          <w:spacing w:val="-3"/>
        </w:rPr>
        <w:t>change</w:t>
      </w:r>
      <w:r w:rsidRPr="00107C22" w:rsidR="005C1DA5">
        <w:rPr>
          <w:spacing w:val="-3"/>
        </w:rPr>
        <w:t xml:space="preserve"> m</w:t>
      </w:r>
      <w:r w:rsidRPr="00107C22">
        <w:rPr>
          <w:spacing w:val="-3"/>
        </w:rPr>
        <w:t>eets</w:t>
      </w:r>
      <w:r w:rsidRPr="00107C22">
        <w:rPr>
          <w:spacing w:val="-10"/>
        </w:rPr>
        <w:t xml:space="preserve"> </w:t>
      </w:r>
      <w:r w:rsidRPr="00107C22">
        <w:rPr>
          <w:spacing w:val="-2"/>
        </w:rPr>
        <w:t>the</w:t>
      </w:r>
      <w:r w:rsidRPr="00107C22">
        <w:rPr>
          <w:spacing w:val="-10"/>
        </w:rPr>
        <w:t xml:space="preserve"> </w:t>
      </w:r>
      <w:r w:rsidRPr="00107C22">
        <w:rPr>
          <w:spacing w:val="-4"/>
        </w:rPr>
        <w:t>technical</w:t>
      </w:r>
      <w:r w:rsidRPr="00107C22">
        <w:rPr>
          <w:spacing w:val="-6"/>
        </w:rPr>
        <w:t xml:space="preserve"> </w:t>
      </w:r>
      <w:r w:rsidRPr="00107C22">
        <w:rPr>
          <w:spacing w:val="-4"/>
        </w:rPr>
        <w:t>requirements</w:t>
      </w:r>
      <w:r w:rsidRPr="00107C22">
        <w:rPr>
          <w:spacing w:val="-7"/>
        </w:rPr>
        <w:t xml:space="preserve"> </w:t>
      </w:r>
      <w:r w:rsidRPr="00107C22">
        <w:rPr>
          <w:spacing w:val="-4"/>
        </w:rPr>
        <w:t>set</w:t>
      </w:r>
      <w:r w:rsidRPr="00107C22">
        <w:rPr>
          <w:spacing w:val="-6"/>
        </w:rPr>
        <w:t xml:space="preserve"> </w:t>
      </w:r>
      <w:r w:rsidRPr="00107C22">
        <w:rPr>
          <w:spacing w:val="-3"/>
        </w:rPr>
        <w:t>forth</w:t>
      </w:r>
      <w:r w:rsidRPr="00E97187">
        <w:t xml:space="preserve"> </w:t>
      </w:r>
      <w:r w:rsidRPr="00107C22">
        <w:rPr>
          <w:spacing w:val="-1"/>
        </w:rPr>
        <w:t>in</w:t>
      </w:r>
      <w:r w:rsidRPr="00107C22">
        <w:rPr>
          <w:spacing w:val="-7"/>
        </w:rPr>
        <w:t xml:space="preserve"> </w:t>
      </w:r>
      <w:r w:rsidRPr="00107C22">
        <w:rPr>
          <w:spacing w:val="-4"/>
        </w:rPr>
        <w:t>sections</w:t>
      </w:r>
      <w:r w:rsidRPr="00107C22">
        <w:rPr>
          <w:spacing w:val="-7"/>
        </w:rPr>
        <w:t xml:space="preserve"> </w:t>
      </w:r>
      <w:r w:rsidRPr="00107C22">
        <w:rPr>
          <w:spacing w:val="-4"/>
        </w:rPr>
        <w:t>73.616</w:t>
      </w:r>
      <w:r w:rsidRPr="00E97187">
        <w:t xml:space="preserve"> </w:t>
      </w:r>
      <w:r w:rsidRPr="00107C22">
        <w:rPr>
          <w:spacing w:val="-3"/>
        </w:rPr>
        <w:t>and</w:t>
      </w:r>
      <w:r w:rsidRPr="00E97187">
        <w:t xml:space="preserve"> </w:t>
      </w:r>
      <w:r w:rsidRPr="00107C22">
        <w:rPr>
          <w:spacing w:val="-4"/>
        </w:rPr>
        <w:t>73.623</w:t>
      </w:r>
      <w:r w:rsidRPr="00107C22">
        <w:rPr>
          <w:spacing w:val="-6"/>
        </w:rPr>
        <w:t xml:space="preserve"> </w:t>
      </w:r>
      <w:r w:rsidRPr="00107C22">
        <w:rPr>
          <w:spacing w:val="-3"/>
        </w:rPr>
        <w:t>of</w:t>
      </w:r>
      <w:r w:rsidRPr="00107C22">
        <w:rPr>
          <w:spacing w:val="-7"/>
        </w:rPr>
        <w:t xml:space="preserve"> </w:t>
      </w:r>
      <w:r w:rsidRPr="00107C22">
        <w:rPr>
          <w:spacing w:val="-3"/>
        </w:rPr>
        <w:t>the</w:t>
      </w:r>
      <w:r w:rsidRPr="00107C22">
        <w:rPr>
          <w:spacing w:val="-7"/>
        </w:rPr>
        <w:t xml:space="preserve"> </w:t>
      </w:r>
      <w:r w:rsidRPr="00107C22">
        <w:rPr>
          <w:spacing w:val="-3"/>
        </w:rPr>
        <w:t>rules</w:t>
      </w:r>
      <w:r w:rsidRPr="00107C22" w:rsidR="001A6147">
        <w:rPr>
          <w:spacing w:val="-3"/>
        </w:rPr>
        <w:t xml:space="preserve"> </w:t>
      </w:r>
      <w:r w:rsidRPr="00107C22">
        <w:rPr>
          <w:spacing w:val="-3"/>
        </w:rPr>
        <w:t>with the following specifications:</w:t>
      </w:r>
      <w:r>
        <w:rPr>
          <w:rStyle w:val="FootnoteReference"/>
          <w:spacing w:val="-3"/>
          <w:sz w:val="22"/>
        </w:rPr>
        <w:footnoteReference w:id="12"/>
      </w:r>
    </w:p>
    <w:p w:rsidR="00E97187" w:rsidRPr="00E97187" w:rsidP="00E97187" w14:paraId="2CDD4515" w14:textId="77777777">
      <w:pPr>
        <w:pStyle w:val="BodyText"/>
        <w:tabs>
          <w:tab w:val="left" w:pos="3028"/>
          <w:tab w:val="left" w:pos="4468"/>
          <w:tab w:val="left" w:pos="6629"/>
        </w:tabs>
        <w:spacing w:after="120"/>
        <w:ind w:left="0"/>
      </w:pPr>
      <w:r w:rsidRPr="00E97187">
        <w:rPr>
          <w:spacing w:val="-3"/>
          <w:u w:val="single"/>
        </w:rPr>
        <w:t>City</w:t>
      </w:r>
      <w:r w:rsidRPr="00E97187">
        <w:rPr>
          <w:spacing w:val="-8"/>
          <w:u w:val="single"/>
        </w:rPr>
        <w:t xml:space="preserve"> </w:t>
      </w:r>
      <w:r w:rsidRPr="00E97187">
        <w:rPr>
          <w:spacing w:val="-3"/>
          <w:u w:val="single"/>
        </w:rPr>
        <w:t>and</w:t>
      </w:r>
      <w:r w:rsidRPr="00E97187">
        <w:rPr>
          <w:spacing w:val="-5"/>
          <w:u w:val="single"/>
        </w:rPr>
        <w:t xml:space="preserve"> </w:t>
      </w:r>
      <w:r w:rsidRPr="00E97187">
        <w:rPr>
          <w:spacing w:val="-4"/>
          <w:u w:val="single"/>
        </w:rPr>
        <w:t>State</w:t>
      </w:r>
      <w:r w:rsidRPr="00E97187">
        <w:rPr>
          <w:spacing w:val="-4"/>
        </w:rPr>
        <w:t xml:space="preserve">                   </w:t>
      </w:r>
      <w:r w:rsidR="006856D1">
        <w:rPr>
          <w:spacing w:val="-4"/>
        </w:rPr>
        <w:t xml:space="preserve">        </w:t>
      </w:r>
      <w:r w:rsidRPr="00E97187">
        <w:rPr>
          <w:spacing w:val="-4"/>
          <w:u w:val="single"/>
        </w:rPr>
        <w:t>Channel</w:t>
      </w:r>
      <w:r w:rsidRPr="00E97187">
        <w:rPr>
          <w:spacing w:val="-4"/>
        </w:rPr>
        <w:t xml:space="preserve">   </w:t>
      </w:r>
      <w:r w:rsidRPr="00E97187">
        <w:rPr>
          <w:spacing w:val="-6"/>
          <w:u w:val="single"/>
        </w:rPr>
        <w:t xml:space="preserve"> </w:t>
      </w:r>
      <w:r w:rsidRPr="00E97187">
        <w:rPr>
          <w:spacing w:val="-4"/>
          <w:u w:val="single"/>
        </w:rPr>
        <w:t>Power</w:t>
      </w:r>
      <w:r w:rsidRPr="00E97187">
        <w:rPr>
          <w:spacing w:val="-7"/>
          <w:u w:val="single"/>
        </w:rPr>
        <w:t xml:space="preserve"> </w:t>
      </w:r>
      <w:r w:rsidRPr="00E97187">
        <w:rPr>
          <w:spacing w:val="-3"/>
          <w:u w:val="single"/>
        </w:rPr>
        <w:t>(</w:t>
      </w:r>
      <w:r w:rsidRPr="00E97187" w:rsidR="00064BDF">
        <w:rPr>
          <w:spacing w:val="-3"/>
          <w:u w:val="single"/>
        </w:rPr>
        <w:t>kW</w:t>
      </w:r>
      <w:r w:rsidRPr="00E97187" w:rsidR="00941655">
        <w:rPr>
          <w:spacing w:val="-3"/>
          <w:u w:val="single"/>
        </w:rPr>
        <w:t>)</w:t>
      </w:r>
      <w:r w:rsidRPr="00941655" w:rsidR="00941655">
        <w:rPr>
          <w:spacing w:val="-3"/>
        </w:rPr>
        <w:t xml:space="preserve">   </w:t>
      </w:r>
      <w:r w:rsidR="00941655">
        <w:rPr>
          <w:spacing w:val="-3"/>
        </w:rPr>
        <w:t xml:space="preserve"> </w:t>
      </w:r>
      <w:r w:rsidR="00941655">
        <w:rPr>
          <w:spacing w:val="-3"/>
          <w:u w:val="single"/>
        </w:rPr>
        <w:t>Antenna</w:t>
      </w:r>
      <w:r w:rsidRPr="00941655" w:rsidR="00064BDF">
        <w:rPr>
          <w:spacing w:val="-3"/>
          <w:u w:val="single"/>
        </w:rPr>
        <w:t xml:space="preserve"> </w:t>
      </w:r>
      <w:r w:rsidRPr="00941655">
        <w:rPr>
          <w:spacing w:val="-7"/>
          <w:u w:val="single"/>
        </w:rPr>
        <w:t xml:space="preserve"> </w:t>
      </w:r>
      <w:r w:rsidRPr="00E97187">
        <w:rPr>
          <w:spacing w:val="-3"/>
          <w:u w:val="single"/>
        </w:rPr>
        <w:t>HAAT</w:t>
      </w:r>
      <w:r w:rsidRPr="00E97187">
        <w:rPr>
          <w:spacing w:val="-8"/>
          <w:u w:val="single"/>
        </w:rPr>
        <w:t xml:space="preserve"> </w:t>
      </w:r>
      <w:r w:rsidRPr="00E97187">
        <w:rPr>
          <w:spacing w:val="-3"/>
          <w:u w:val="single"/>
        </w:rPr>
        <w:t>(m)</w:t>
      </w:r>
      <w:r w:rsidRPr="00E97187">
        <w:rPr>
          <w:spacing w:val="-3"/>
        </w:rPr>
        <w:t xml:space="preserve">   </w:t>
      </w:r>
      <w:r w:rsidRPr="00E97187">
        <w:rPr>
          <w:spacing w:val="-3"/>
          <w:u w:val="single"/>
        </w:rPr>
        <w:t xml:space="preserve"> Service Pop.</w:t>
      </w:r>
      <w:r w:rsidRPr="00E97187">
        <w:rPr>
          <w:spacing w:val="-3"/>
        </w:rPr>
        <w:t xml:space="preserve"> </w:t>
      </w:r>
    </w:p>
    <w:p w:rsidR="00E97187" w:rsidRPr="00E97187" w:rsidP="00E97187" w14:paraId="3FAFF81E" w14:textId="7BEDD6B0">
      <w:pPr>
        <w:pStyle w:val="BodyText"/>
        <w:tabs>
          <w:tab w:val="left" w:pos="3748"/>
          <w:tab w:val="left" w:pos="5189"/>
          <w:tab w:val="right" w:pos="7126"/>
        </w:tabs>
        <w:spacing w:after="220"/>
        <w:ind w:left="0"/>
      </w:pPr>
      <w:r>
        <w:rPr>
          <w:spacing w:val="-1"/>
        </w:rPr>
        <w:t>Helena</w:t>
      </w:r>
      <w:r w:rsidR="007C60E1">
        <w:rPr>
          <w:spacing w:val="-1"/>
        </w:rPr>
        <w:t xml:space="preserve">, </w:t>
      </w:r>
      <w:r w:rsidR="00E45D79">
        <w:rPr>
          <w:spacing w:val="-1"/>
        </w:rPr>
        <w:t>Montana</w:t>
      </w:r>
      <w:r w:rsidRPr="00E97187" w:rsidR="00F86933">
        <w:rPr>
          <w:spacing w:val="-1"/>
        </w:rPr>
        <w:t xml:space="preserve">       </w:t>
      </w:r>
      <w:r w:rsidR="002A5DE4">
        <w:rPr>
          <w:spacing w:val="-1"/>
        </w:rPr>
        <w:t xml:space="preserve">       </w:t>
      </w:r>
      <w:r w:rsidR="001E47A7">
        <w:rPr>
          <w:spacing w:val="-1"/>
        </w:rPr>
        <w:t xml:space="preserve">      </w:t>
      </w:r>
      <w:r w:rsidR="002A5DE4">
        <w:rPr>
          <w:spacing w:val="-1"/>
        </w:rPr>
        <w:t xml:space="preserve">   </w:t>
      </w:r>
      <w:r w:rsidR="001E47A7">
        <w:rPr>
          <w:spacing w:val="-1"/>
        </w:rPr>
        <w:t>31</w:t>
      </w:r>
      <w:r w:rsidRPr="00E97187" w:rsidR="00F86933">
        <w:rPr>
          <w:spacing w:val="-1"/>
        </w:rPr>
        <w:t xml:space="preserve"> </w:t>
      </w:r>
      <w:r w:rsidRPr="00E97187" w:rsidR="00F86933">
        <w:t xml:space="preserve">            </w:t>
      </w:r>
      <w:r w:rsidR="001E47A7">
        <w:t>530</w:t>
      </w:r>
      <w:r w:rsidRPr="00E97187" w:rsidR="00F86933">
        <w:t xml:space="preserve">               </w:t>
      </w:r>
      <w:r w:rsidR="00603918">
        <w:t xml:space="preserve">  </w:t>
      </w:r>
      <w:r w:rsidRPr="00E97187" w:rsidR="00F86933">
        <w:t xml:space="preserve"> </w:t>
      </w:r>
      <w:r w:rsidR="001E47A7">
        <w:t>671.2</w:t>
      </w:r>
      <w:r w:rsidRPr="00E97187" w:rsidR="00F86933">
        <w:t xml:space="preserve">                       </w:t>
      </w:r>
      <w:r w:rsidR="006F26DC">
        <w:t>226,826</w:t>
      </w:r>
    </w:p>
    <w:p w:rsidR="00E97187" w:rsidRPr="00E97187" w:rsidP="00E97187" w14:paraId="5CCE674C" w14:textId="5B8C7BAC">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rPr>
        <w:footnoteReference w:id="13"/>
      </w:r>
      <w:r w:rsidRPr="00E97187">
        <w:t xml:space="preserve">  An expedited effective date is necessary in this case to ensure that </w:t>
      </w:r>
      <w:r w:rsidR="004821AB">
        <w:t>KTVH-DT</w:t>
      </w:r>
      <w:r w:rsidR="006E0BDE">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9148A4" w14:paraId="755DA4A0" w14:textId="60B59FED">
      <w:pPr>
        <w:pStyle w:val="ParaNum"/>
      </w:pPr>
      <w:r w:rsidRPr="00E97187">
        <w:t>Accordingly, pursuant to the authority contained in sections 4(</w:t>
      </w:r>
      <w:r w:rsidRPr="00E97187">
        <w:t>i</w:t>
      </w:r>
      <w:r w:rsidRPr="00E97187">
        <w:t>), 5(c)(1), 303(g)</w:t>
      </w:r>
      <w:r w:rsidR="00D139C5">
        <w:t>,</w:t>
      </w:r>
      <w:r w:rsidRPr="00E97187">
        <w:t xml:space="preserve"> (r)</w:t>
      </w:r>
      <w:r w:rsidR="0044689C">
        <w:t>,</w:t>
      </w:r>
      <w:r w:rsidRPr="00E97187">
        <w:t xml:space="preserve">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and sections 0.61, 0.204(b)</w:t>
      </w:r>
      <w:r w:rsidR="0044689C">
        <w:t>,</w:t>
      </w:r>
      <w:r w:rsidRPr="00E97187">
        <w:t xml:space="preserve"> and 0.283 of the rules, </w:t>
      </w:r>
      <w:r w:rsidR="006409B6">
        <w:t xml:space="preserve">47 CFR §§ 0.61, 0.204(b), and 0.283, </w:t>
      </w:r>
      <w:r w:rsidRPr="00E97187">
        <w:rPr>
          <w:b/>
          <w:bCs/>
        </w:rPr>
        <w:t>IT IS ORDERED</w:t>
      </w:r>
      <w:r w:rsidRPr="00E97187">
        <w:t>, That effective immediately upon the date of publication in the Federal Register, the Table of Allotments, section 73.622(</w:t>
      </w:r>
      <w:r w:rsidR="00D4006E">
        <w:t>j</w:t>
      </w:r>
      <w:r w:rsidRPr="00E97187">
        <w:t>) of the rules</w:t>
      </w:r>
      <w:r>
        <w:t>, 47 CFR § 73.622(</w:t>
      </w:r>
      <w:r w:rsidR="00D4006E">
        <w:t>j</w:t>
      </w:r>
      <w:r>
        <w:t>)</w:t>
      </w:r>
      <w:r w:rsidRPr="00E97187">
        <w:t xml:space="preserve">, </w:t>
      </w:r>
      <w:r w:rsidRPr="00E97187">
        <w:rPr>
          <w:b/>
          <w:bCs/>
        </w:rPr>
        <w:t>IS AMENDED</w:t>
      </w:r>
      <w:r w:rsidRPr="00E97187">
        <w:t>, with respect to the community listed below, to read as follows:</w:t>
      </w:r>
    </w:p>
    <w:p w:rsidR="00E97187" w:rsidRPr="00E97187" w:rsidP="006409B6" w14:paraId="24817C0C" w14:textId="77777777">
      <w:pPr>
        <w:pStyle w:val="BodyText"/>
        <w:tabs>
          <w:tab w:val="left" w:pos="2339"/>
          <w:tab w:val="left" w:pos="3008"/>
          <w:tab w:val="left" w:pos="4499"/>
          <w:tab w:val="left" w:pos="5169"/>
          <w:tab w:val="left" w:pos="6659"/>
        </w:tabs>
        <w:spacing w:after="120"/>
        <w:ind w:left="0"/>
      </w:pPr>
      <w:r w:rsidRPr="00E97187">
        <w:rPr>
          <w:spacing w:val="-3"/>
          <w:u w:val="single" w:color="000000"/>
        </w:rPr>
        <w:t>City</w:t>
      </w:r>
      <w:r w:rsidRPr="00E97187">
        <w:rPr>
          <w:spacing w:val="-8"/>
          <w:u w:val="single" w:color="000000"/>
        </w:rPr>
        <w:t xml:space="preserve"> </w:t>
      </w:r>
      <w:r w:rsidRPr="00E97187">
        <w:rPr>
          <w:spacing w:val="-3"/>
          <w:u w:val="single" w:color="000000"/>
        </w:rPr>
        <w:t>and</w:t>
      </w:r>
      <w:r w:rsidRPr="00E97187">
        <w:rPr>
          <w:spacing w:val="-5"/>
          <w:u w:val="single" w:color="000000"/>
        </w:rPr>
        <w:t xml:space="preserve"> </w:t>
      </w:r>
      <w:r w:rsidRPr="00E97187">
        <w:rPr>
          <w:spacing w:val="-4"/>
          <w:u w:val="single" w:color="000000"/>
        </w:rPr>
        <w:t>State</w:t>
      </w:r>
      <w:r w:rsidRPr="00E97187">
        <w:rPr>
          <w:spacing w:val="-4"/>
        </w:rPr>
        <w:tab/>
      </w:r>
      <w:r w:rsidRPr="00E97187">
        <w:rPr>
          <w:spacing w:val="-4"/>
        </w:rPr>
        <w:tab/>
      </w:r>
      <w:r w:rsidR="00C869ED">
        <w:rPr>
          <w:spacing w:val="-4"/>
        </w:rPr>
        <w:t xml:space="preserve">         </w:t>
      </w:r>
      <w:r w:rsidRPr="00E97187">
        <w:rPr>
          <w:spacing w:val="-3"/>
          <w:u w:val="single" w:color="000000"/>
        </w:rPr>
        <w:t>Channel No.</w:t>
      </w:r>
      <w:r w:rsidRPr="00E97187">
        <w:rPr>
          <w:spacing w:val="-3"/>
        </w:rPr>
        <w:tab/>
      </w:r>
      <w:r w:rsidRPr="00E97187">
        <w:rPr>
          <w:spacing w:val="-3"/>
        </w:rPr>
        <w:tab/>
      </w:r>
    </w:p>
    <w:p w:rsidR="00E97187" w:rsidRPr="00E97187" w:rsidP="006409B6" w14:paraId="16809DD2" w14:textId="37D3686B">
      <w:pPr>
        <w:pStyle w:val="BodyText"/>
        <w:tabs>
          <w:tab w:val="left" w:pos="3728"/>
          <w:tab w:val="right" w:pos="6105"/>
        </w:tabs>
        <w:spacing w:after="220"/>
        <w:ind w:left="0"/>
      </w:pPr>
      <w:r>
        <w:rPr>
          <w:spacing w:val="-4"/>
        </w:rPr>
        <w:t>Helena</w:t>
      </w:r>
      <w:r w:rsidR="0031731D">
        <w:rPr>
          <w:spacing w:val="-4"/>
        </w:rPr>
        <w:t xml:space="preserve">, </w:t>
      </w:r>
      <w:r w:rsidR="00E45D79">
        <w:rPr>
          <w:spacing w:val="-4"/>
        </w:rPr>
        <w:t>Montana</w:t>
      </w:r>
      <w:r w:rsidRPr="00E97187" w:rsidR="00F86933">
        <w:rPr>
          <w:spacing w:val="-4"/>
        </w:rPr>
        <w:t xml:space="preserve">                  </w:t>
      </w:r>
      <w:r w:rsidR="00523381">
        <w:rPr>
          <w:spacing w:val="-4"/>
        </w:rPr>
        <w:t xml:space="preserve">     </w:t>
      </w:r>
      <w:r w:rsidRPr="00E97187" w:rsidR="00F86933">
        <w:rPr>
          <w:spacing w:val="-4"/>
        </w:rPr>
        <w:t xml:space="preserve">      </w:t>
      </w:r>
      <w:r w:rsidR="001A6147">
        <w:rPr>
          <w:spacing w:val="-4"/>
        </w:rPr>
        <w:t xml:space="preserve">  </w:t>
      </w:r>
      <w:r w:rsidR="008521B8">
        <w:rPr>
          <w:spacing w:val="-4"/>
        </w:rPr>
        <w:t xml:space="preserve">         </w:t>
      </w:r>
      <w:r w:rsidR="0044689C">
        <w:rPr>
          <w:spacing w:val="-4"/>
        </w:rPr>
        <w:t>29, 31</w:t>
      </w:r>
    </w:p>
    <w:p w:rsidR="00E97187" w:rsidRPr="00E97187" w:rsidP="0058065C" w14:paraId="5F334360" w14:textId="5DB2053C">
      <w:pPr>
        <w:pStyle w:val="ParaNum"/>
        <w:widowControl/>
      </w:pPr>
      <w:r w:rsidRPr="00E97187">
        <w:rPr>
          <w:b/>
          <w:bCs/>
        </w:rPr>
        <w:t>IT IS FURTHER ORDERED</w:t>
      </w:r>
      <w:r w:rsidRPr="00E97187">
        <w:t xml:space="preserve">, That within </w:t>
      </w:r>
      <w:r w:rsidR="00B701AF">
        <w:t>10</w:t>
      </w:r>
      <w:r w:rsidRPr="00E97187">
        <w:t xml:space="preserve"> days of the effective date of this Order,</w:t>
      </w:r>
      <w:r w:rsidR="00432B47">
        <w:t xml:space="preserve"> </w:t>
      </w:r>
      <w:r w:rsidR="00C671B7">
        <w:t>Scripps Broadcasting Holdings LLC</w:t>
      </w:r>
      <w:r w:rsidRPr="00E208EC" w:rsidR="00C671B7">
        <w:t xml:space="preserve"> </w:t>
      </w:r>
      <w:r w:rsidR="00691886">
        <w:t xml:space="preserve"> </w:t>
      </w:r>
      <w:r w:rsidRPr="00E97187" w:rsidR="00691886">
        <w:t>shall</w:t>
      </w:r>
      <w:r w:rsidRPr="00E97187">
        <w:t xml:space="preserve"> submit to the Commission a minor change application for a construction permit (Form 2100, Schedule A) specifying channel </w:t>
      </w:r>
      <w:r w:rsidR="0044689C">
        <w:t>31</w:t>
      </w:r>
      <w:r w:rsidRPr="00E97187">
        <w:t xml:space="preserve"> in lieu of channel </w:t>
      </w:r>
      <w:r w:rsidR="0044689C">
        <w:t>12</w:t>
      </w:r>
      <w:r w:rsidRPr="00E97187">
        <w:t>.</w:t>
      </w:r>
    </w:p>
    <w:p w:rsidR="006409B6" w:rsidRPr="00AE423E" w:rsidP="0058065C" w14:paraId="4CAC9BA8" w14:textId="77777777">
      <w:pPr>
        <w:pStyle w:val="ParaNum"/>
        <w:widowControl/>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14DC5772" w14:textId="3743095A">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 xml:space="preserve">MB Docket No. </w:t>
      </w:r>
      <w:r w:rsidR="004821AB">
        <w:t>22-118</w:t>
      </w:r>
      <w:r w:rsidR="008A7F19">
        <w:t xml:space="preserve"> and </w:t>
      </w:r>
      <w:r w:rsidR="00C802E6">
        <w:t>RM-</w:t>
      </w:r>
      <w:r w:rsidR="004821AB">
        <w:t>11924</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1B3643" w14:paraId="64137AF7" w14:textId="77777777">
      <w:pPr>
        <w:pStyle w:val="ParaNum"/>
        <w:keepNext/>
        <w:keepLines/>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B3643" w14:paraId="5A614BAB" w14:textId="77777777">
      <w:pPr>
        <w:keepNext/>
        <w:keepLines/>
      </w:pPr>
      <w:r>
        <w:tab/>
      </w:r>
      <w:r>
        <w:tab/>
      </w:r>
      <w:r>
        <w:tab/>
      </w:r>
      <w:r>
        <w:tab/>
      </w:r>
      <w:r>
        <w:tab/>
      </w:r>
      <w:r>
        <w:tab/>
        <w:t>FEDERAL COMMUNICATIONS COMMISSION</w:t>
      </w:r>
    </w:p>
    <w:p w:rsidR="006409B6" w:rsidP="001B3643" w14:paraId="61A0B536" w14:textId="77777777">
      <w:pPr>
        <w:keepNext/>
        <w:keepLines/>
      </w:pPr>
    </w:p>
    <w:p w:rsidR="006409B6" w:rsidP="001B3643" w14:paraId="6D54CD81" w14:textId="77777777">
      <w:pPr>
        <w:keepNext/>
        <w:keepLines/>
      </w:pPr>
    </w:p>
    <w:p w:rsidR="00C43340" w:rsidP="001B3643" w14:paraId="695CB57D" w14:textId="77777777">
      <w:pPr>
        <w:keepNext/>
        <w:keepLines/>
      </w:pPr>
    </w:p>
    <w:p w:rsidR="006409B6" w:rsidP="001B3643" w14:paraId="24AB5E58" w14:textId="77777777">
      <w:pPr>
        <w:keepNext/>
        <w:keepLines/>
      </w:pPr>
      <w:r>
        <w:tab/>
      </w:r>
      <w:r>
        <w:tab/>
      </w:r>
      <w:r>
        <w:tab/>
      </w:r>
      <w:r>
        <w:tab/>
      </w:r>
      <w:r>
        <w:tab/>
      </w:r>
      <w:r>
        <w:tab/>
        <w:t>Barbara A. Kreisman</w:t>
      </w:r>
    </w:p>
    <w:p w:rsidR="006409B6" w:rsidP="001B3643" w14:paraId="5D4F18F4" w14:textId="77777777">
      <w:pPr>
        <w:keepNext/>
        <w:keepLines/>
      </w:pPr>
      <w:r>
        <w:tab/>
      </w:r>
      <w:r>
        <w:tab/>
      </w:r>
      <w:r>
        <w:tab/>
      </w:r>
      <w:r>
        <w:tab/>
      </w:r>
      <w:r>
        <w:tab/>
      </w:r>
      <w:r>
        <w:tab/>
        <w:t>Chief, Video Division</w:t>
      </w:r>
    </w:p>
    <w:p w:rsidR="00412FC5" w:rsidP="001B3643" w14:paraId="3E7D3151" w14:textId="77777777">
      <w:pPr>
        <w:keepNext/>
        <w:keepLines/>
      </w:pPr>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CE831A" w14:textId="77777777">
    <w:pPr>
      <w:pStyle w:val="Footer"/>
      <w:framePr w:wrap="around" w:vAnchor="text" w:hAnchor="margin" w:xAlign="center" w:y="1"/>
    </w:pPr>
    <w:r>
      <w:fldChar w:fldCharType="begin"/>
    </w:r>
    <w:r>
      <w:instrText xml:space="preserve">PAGE  </w:instrText>
    </w:r>
    <w:r w:rsidR="00D2262D">
      <w:fldChar w:fldCharType="separate"/>
    </w:r>
    <w:r>
      <w:fldChar w:fldCharType="end"/>
    </w:r>
  </w:p>
  <w:p w:rsidR="00D25FB5" w14:paraId="168846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62D527E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4FA5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4572" w14:paraId="6F982DF2" w14:textId="77777777">
      <w:r>
        <w:separator/>
      </w:r>
    </w:p>
  </w:footnote>
  <w:footnote w:type="continuationSeparator" w:id="1">
    <w:p w:rsidR="008D4572" w:rsidP="00C721AC" w14:paraId="5356A12A" w14:textId="77777777">
      <w:pPr>
        <w:spacing w:before="120"/>
        <w:rPr>
          <w:sz w:val="20"/>
        </w:rPr>
      </w:pPr>
      <w:r>
        <w:rPr>
          <w:sz w:val="20"/>
        </w:rPr>
        <w:t xml:space="preserve">(Continued from previous page)  </w:t>
      </w:r>
      <w:r>
        <w:rPr>
          <w:sz w:val="20"/>
        </w:rPr>
        <w:separator/>
      </w:r>
    </w:p>
  </w:footnote>
  <w:footnote w:type="continuationNotice" w:id="2">
    <w:p w:rsidR="008D4572" w:rsidP="00C721AC" w14:paraId="4C0E0320" w14:textId="77777777">
      <w:pPr>
        <w:jc w:val="right"/>
        <w:rPr>
          <w:sz w:val="20"/>
        </w:rPr>
      </w:pPr>
      <w:r>
        <w:rPr>
          <w:sz w:val="20"/>
        </w:rPr>
        <w:t>(continued….)</w:t>
      </w:r>
    </w:p>
  </w:footnote>
  <w:footnote w:id="3">
    <w:p w:rsidR="00E97187" w:rsidP="006409B6" w14:paraId="477FD796" w14:textId="57CA1EDA">
      <w:pPr>
        <w:pStyle w:val="FootnoteText"/>
      </w:pPr>
      <w:r>
        <w:rPr>
          <w:rStyle w:val="FootnoteReference"/>
        </w:rPr>
        <w:footnoteRef/>
      </w:r>
      <w:r w:rsidR="00B36460">
        <w:rPr>
          <w:i/>
          <w:iCs/>
        </w:rPr>
        <w:t xml:space="preserve"> </w:t>
      </w:r>
      <w:r w:rsidRPr="00400001">
        <w:rPr>
          <w:i/>
          <w:iCs/>
        </w:rPr>
        <w:t>Amendment of Section 73.622(</w:t>
      </w:r>
      <w:r w:rsidR="00FC150A">
        <w:rPr>
          <w:i/>
          <w:iCs/>
        </w:rPr>
        <w:t>j</w:t>
      </w:r>
      <w:r w:rsidRPr="00400001">
        <w:rPr>
          <w:i/>
          <w:iCs/>
        </w:rPr>
        <w:t xml:space="preserve">), </w:t>
      </w:r>
      <w:r w:rsidR="004718FA">
        <w:rPr>
          <w:i/>
          <w:iCs/>
        </w:rPr>
        <w:t xml:space="preserve"> </w:t>
      </w:r>
      <w:r w:rsidRPr="00400001">
        <w:rPr>
          <w:i/>
          <w:iCs/>
        </w:rPr>
        <w:t>Table of Allotments, Television Stations (</w:t>
      </w:r>
      <w:r w:rsidR="004821AB">
        <w:rPr>
          <w:i/>
          <w:iCs/>
        </w:rPr>
        <w:t>Helena</w:t>
      </w:r>
      <w:r w:rsidR="00C65811">
        <w:rPr>
          <w:i/>
          <w:iCs/>
        </w:rPr>
        <w:t xml:space="preserve">, </w:t>
      </w:r>
      <w:r w:rsidR="002159C2">
        <w:rPr>
          <w:i/>
          <w:iCs/>
        </w:rPr>
        <w:t>Montana</w:t>
      </w:r>
      <w:r w:rsidRPr="00400001">
        <w:rPr>
          <w:i/>
          <w:iCs/>
        </w:rPr>
        <w:t>)</w:t>
      </w:r>
      <w:r>
        <w:t xml:space="preserve">, </w:t>
      </w:r>
      <w:r w:rsidR="006409B6">
        <w:t xml:space="preserve">MB Docket No. </w:t>
      </w:r>
      <w:r w:rsidR="004821AB">
        <w:t>22-118</w:t>
      </w:r>
      <w:r w:rsidR="006409B6">
        <w:t xml:space="preserve">, </w:t>
      </w:r>
      <w:r>
        <w:t>Notice of Proposed Rulemaking,</w:t>
      </w:r>
      <w:r w:rsidR="00C34A62">
        <w:t xml:space="preserve"> </w:t>
      </w:r>
      <w:r w:rsidR="00C65811">
        <w:t>DA 2</w:t>
      </w:r>
      <w:r w:rsidR="00FD0E09">
        <w:t>2</w:t>
      </w:r>
      <w:r w:rsidR="00C65811">
        <w:t>-</w:t>
      </w:r>
      <w:r w:rsidR="00FD0E09">
        <w:t>2</w:t>
      </w:r>
      <w:r w:rsidR="00857EA9">
        <w:t>5</w:t>
      </w:r>
      <w:r w:rsidR="004821AB">
        <w:t>2</w:t>
      </w:r>
      <w:r w:rsidR="00C65811">
        <w:t xml:space="preserve"> (rel.</w:t>
      </w:r>
      <w:r w:rsidR="00FD0E09">
        <w:t xml:space="preserve"> Mar</w:t>
      </w:r>
      <w:r w:rsidR="00C671B7">
        <w:t>.</w:t>
      </w:r>
      <w:r w:rsidR="00FD0E09">
        <w:t xml:space="preserve"> 10,</w:t>
      </w:r>
      <w:r w:rsidR="00C65811">
        <w:t xml:space="preserve"> 202</w:t>
      </w:r>
      <w:r w:rsidR="00FD0E09">
        <w:t>2</w:t>
      </w:r>
      <w:r w:rsidR="00C65811">
        <w:t>)</w:t>
      </w:r>
      <w:r>
        <w:t xml:space="preserve"> (</w:t>
      </w:r>
      <w:r w:rsidRPr="00400001">
        <w:rPr>
          <w:i/>
          <w:iCs/>
        </w:rPr>
        <w:t>NPRM</w:t>
      </w:r>
      <w:r>
        <w:t>).</w:t>
      </w:r>
      <w:r w:rsidR="004718FA">
        <w:t xml:space="preserve">  </w:t>
      </w:r>
      <w:r w:rsidRPr="003C25D2" w:rsidR="009F0639">
        <w:rPr>
          <w:i/>
          <w:iCs/>
        </w:rPr>
        <w:t> </w:t>
      </w:r>
    </w:p>
  </w:footnote>
  <w:footnote w:id="4">
    <w:p w:rsidR="00480BA5" w:rsidP="00480BA5" w14:paraId="0E7E818B"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24 FCC Rcd 8192, 8194</w:t>
      </w:r>
      <w:r>
        <w:t>, para. 9</w:t>
      </w:r>
      <w:r w:rsidRPr="00C43C45">
        <w:t xml:space="preserve"> (</w:t>
      </w:r>
      <w:r>
        <w:t>Aud. Div.</w:t>
      </w:r>
      <w:r w:rsidRPr="00C43C45">
        <w:t xml:space="preserve"> 2009).</w:t>
      </w:r>
    </w:p>
  </w:footnote>
  <w:footnote w:id="5">
    <w:p w:rsidR="00863A44" w14:paraId="6F5852CB" w14:textId="6F17021B">
      <w:pPr>
        <w:pStyle w:val="FootnoteText"/>
      </w:pPr>
      <w:r>
        <w:rPr>
          <w:rStyle w:val="FootnoteReference"/>
        </w:rPr>
        <w:footnoteRef/>
      </w:r>
      <w:r>
        <w:t xml:space="preserve"> In this </w:t>
      </w:r>
      <w:r w:rsidRPr="00A26368">
        <w:rPr>
          <w:i/>
          <w:iCs/>
        </w:rPr>
        <w:t>Report and Order</w:t>
      </w:r>
      <w:r>
        <w:t>, the Bureau is amending the Table of TV Allotments, 47 CFR §</w:t>
      </w:r>
      <w:r w:rsidR="00F473EF">
        <w:t xml:space="preserve"> </w:t>
      </w:r>
      <w:r>
        <w:t xml:space="preserve">73.622(j), adopted in </w:t>
      </w:r>
      <w:r w:rsidRPr="00434B03">
        <w:t xml:space="preserve"> </w:t>
      </w:r>
      <w:r w:rsidRPr="00434B03">
        <w:rPr>
          <w:i/>
          <w:iCs/>
          <w:spacing w:val="-2"/>
        </w:rPr>
        <w:t>Expanding the Economic and Innovation Opportunities of Spectrum Through Incentive Auction</w:t>
      </w:r>
      <w:r w:rsidRPr="00434B03">
        <w:rPr>
          <w:spacing w:val="-2"/>
        </w:rPr>
        <w:t xml:space="preserve">, Docket No. 12-268, </w:t>
      </w:r>
      <w:r>
        <w:rPr>
          <w:spacing w:val="-2"/>
        </w:rPr>
        <w:t xml:space="preserve">Order, </w:t>
      </w:r>
      <w:r w:rsidR="00523381">
        <w:rPr>
          <w:spacing w:val="-2"/>
        </w:rPr>
        <w:t>36 FCC Rcd 15891</w:t>
      </w:r>
      <w:r w:rsidRPr="00434B03">
        <w:rPr>
          <w:i/>
          <w:iCs/>
          <w:spacing w:val="-2"/>
        </w:rPr>
        <w:t xml:space="preserve"> </w:t>
      </w:r>
      <w:r w:rsidRPr="00434B03">
        <w:rPr>
          <w:spacing w:val="-2"/>
        </w:rPr>
        <w:t xml:space="preserve">(2021). </w:t>
      </w:r>
      <w:r w:rsidRPr="00434B03">
        <w:t xml:space="preserve"> </w:t>
      </w:r>
      <w:r w:rsidRPr="00A26368" w:rsidR="00DC123A">
        <w:rPr>
          <w:i/>
          <w:iCs/>
        </w:rPr>
        <w:t>See NPRM</w:t>
      </w:r>
      <w:r w:rsidR="00DC123A">
        <w:t xml:space="preserve"> at n.2.</w:t>
      </w:r>
    </w:p>
  </w:footnote>
  <w:footnote w:id="6">
    <w:p w:rsidR="00756C1E" w14:paraId="263C6220" w14:textId="504B2053">
      <w:pPr>
        <w:pStyle w:val="FootnoteText"/>
      </w:pPr>
      <w:r>
        <w:rPr>
          <w:rStyle w:val="FootnoteReference"/>
        </w:rPr>
        <w:footnoteRef/>
      </w:r>
      <w:r>
        <w:t xml:space="preserve"> </w:t>
      </w:r>
      <w:r w:rsidR="005C1DA5">
        <w:rPr>
          <w:i/>
          <w:iCs/>
        </w:rPr>
        <w:t>Id.</w:t>
      </w:r>
      <w:r w:rsidR="005C1DA5">
        <w:t xml:space="preserve"> </w:t>
      </w:r>
      <w:r>
        <w:t>at para. 2.</w:t>
      </w:r>
    </w:p>
  </w:footnote>
  <w:footnote w:id="7">
    <w:p w:rsidR="0005386E" w:rsidP="0005386E" w14:paraId="423DB457" w14:textId="53A057F1">
      <w:pPr>
        <w:pStyle w:val="FootnoteText"/>
      </w:pPr>
      <w:r>
        <w:rPr>
          <w:rStyle w:val="FootnoteReference"/>
        </w:rPr>
        <w:footnoteRef/>
      </w:r>
      <w:r>
        <w:t xml:space="preserve"> </w:t>
      </w:r>
      <w:r w:rsidRPr="00A26368" w:rsidR="00B46C00">
        <w:rPr>
          <w:i/>
          <w:iCs/>
        </w:rPr>
        <w:t>Id</w:t>
      </w:r>
      <w:r w:rsidR="00B46C00">
        <w:t>.</w:t>
      </w:r>
    </w:p>
  </w:footnote>
  <w:footnote w:id="8">
    <w:p w:rsidR="001E47A7" w14:paraId="2E948D2E" w14:textId="390567CE">
      <w:pPr>
        <w:pStyle w:val="FootnoteText"/>
      </w:pPr>
      <w:r>
        <w:rPr>
          <w:rStyle w:val="FootnoteReference"/>
        </w:rPr>
        <w:footnoteRef/>
      </w:r>
      <w:r>
        <w:t xml:space="preserve"> </w:t>
      </w:r>
      <w:r w:rsidRPr="00523381">
        <w:rPr>
          <w:i/>
          <w:iCs/>
        </w:rPr>
        <w:t>Id.</w:t>
      </w:r>
    </w:p>
  </w:footnote>
  <w:footnote w:id="9">
    <w:p w:rsidR="00523381" w:rsidRPr="00523381" w14:paraId="1971130B" w14:textId="195B68AD">
      <w:pPr>
        <w:pStyle w:val="FootnoteText"/>
        <w:rPr>
          <w:i/>
          <w:iCs/>
        </w:rPr>
      </w:pPr>
      <w:r>
        <w:rPr>
          <w:rStyle w:val="FootnoteReference"/>
        </w:rPr>
        <w:footnoteRef/>
      </w:r>
      <w:r>
        <w:t xml:space="preserve"> </w:t>
      </w:r>
      <w:r w:rsidRPr="00523381">
        <w:rPr>
          <w:i/>
          <w:iCs/>
        </w:rPr>
        <w:t>Id.</w:t>
      </w:r>
    </w:p>
  </w:footnote>
  <w:footnote w:id="10">
    <w:p w:rsidR="005C77C8" w:rsidP="005C77C8" w14:paraId="21430C8D" w14:textId="2EFC4924">
      <w:pPr>
        <w:pStyle w:val="FootnoteText"/>
      </w:pPr>
      <w:r>
        <w:rPr>
          <w:rStyle w:val="FootnoteReference"/>
        </w:rPr>
        <w:footnoteRef/>
      </w:r>
      <w:r>
        <w:t xml:space="preserve"> </w:t>
      </w:r>
      <w:r w:rsidRPr="00A26368">
        <w:rPr>
          <w:i/>
          <w:iCs/>
        </w:rPr>
        <w:t>Id</w:t>
      </w:r>
      <w:r>
        <w:t xml:space="preserve">.  </w:t>
      </w:r>
      <w:r>
        <w:rPr>
          <w:i/>
          <w:iCs/>
        </w:rPr>
        <w:t>See</w:t>
      </w:r>
      <w:r>
        <w:t xml:space="preserve"> </w:t>
      </w:r>
      <w:r w:rsidRPr="00586AF3">
        <w:rPr>
          <w:i/>
          <w:iCs/>
        </w:rPr>
        <w:t>WSET, Inc.</w:t>
      </w:r>
      <w:r w:rsidRPr="00586AF3">
        <w:t>, 80 FCC 2d 233, 246 (1980)</w:t>
      </w:r>
      <w:r>
        <w:t xml:space="preserve"> (finding that loss of service to</w:t>
      </w:r>
      <w:r w:rsidRPr="00586AF3">
        <w:t xml:space="preserve"> </w:t>
      </w:r>
      <w:r w:rsidR="00D66662">
        <w:t>approximately</w:t>
      </w:r>
      <w:r w:rsidRPr="00586AF3">
        <w:t xml:space="preserve"> 5</w:t>
      </w:r>
      <w:r w:rsidR="00D66662">
        <w:t>5</w:t>
      </w:r>
      <w:r w:rsidRPr="00586AF3">
        <w:t xml:space="preserve">0 persons is </w:t>
      </w:r>
      <w:r w:rsidRPr="00586AF3">
        <w:rPr>
          <w:i/>
          <w:iCs/>
        </w:rPr>
        <w:t>de minimi</w:t>
      </w:r>
      <w:r>
        <w:rPr>
          <w:i/>
          <w:iCs/>
        </w:rPr>
        <w:t>s).</w:t>
      </w:r>
      <w:r w:rsidR="00523381">
        <w:t xml:space="preserve">  In its calculation of viewer loss,</w:t>
      </w:r>
      <w:r w:rsidRPr="00570F7A" w:rsidR="00523381">
        <w:t xml:space="preserve"> Scripps relies on the</w:t>
      </w:r>
      <w:r w:rsidR="00523381">
        <w:t xml:space="preserve"> NBC</w:t>
      </w:r>
      <w:r w:rsidRPr="00570F7A" w:rsidR="00523381">
        <w:t xml:space="preserve"> network service provided by</w:t>
      </w:r>
      <w:r w:rsidR="005C1DA5">
        <w:t xml:space="preserve"> two station also owned by Scripps:  (1)</w:t>
      </w:r>
      <w:r w:rsidR="00523381">
        <w:t xml:space="preserve"> Class A television station KDBZ-CD, Bozeman, Montana</w:t>
      </w:r>
      <w:r w:rsidR="005C1DA5">
        <w:t xml:space="preserve"> and (2) </w:t>
      </w:r>
      <w:r w:rsidR="00523381">
        <w:t xml:space="preserve"> low power television (LPTV) station KTGF-LD, Great Falls, Montana, which is the NBC</w:t>
      </w:r>
      <w:r w:rsidRPr="00570F7A" w:rsidR="00523381">
        <w:t xml:space="preserve"> network </w:t>
      </w:r>
      <w:r w:rsidR="00523381">
        <w:t>affiliate in Great Falls</w:t>
      </w:r>
      <w:r w:rsidRPr="00570F7A" w:rsidR="00523381">
        <w:t xml:space="preserve">.  While </w:t>
      </w:r>
      <w:r w:rsidR="00523381">
        <w:t>the LPTV</w:t>
      </w:r>
      <w:r w:rsidRPr="00570F7A" w:rsidR="00523381">
        <w:t xml:space="preserve"> station </w:t>
      </w:r>
      <w:r w:rsidR="00523381">
        <w:t>is</w:t>
      </w:r>
      <w:r w:rsidRPr="00570F7A" w:rsidR="00523381">
        <w:t xml:space="preserve"> secondary and can be displaced, we believe</w:t>
      </w:r>
      <w:r w:rsidR="00523381">
        <w:t xml:space="preserve"> given the rural nature of </w:t>
      </w:r>
      <w:r w:rsidRPr="00570F7A" w:rsidR="00523381">
        <w:t xml:space="preserve">Montana and neighboring states it is unlikely </w:t>
      </w:r>
      <w:r w:rsidR="00523381">
        <w:t xml:space="preserve">the LPTV </w:t>
      </w:r>
      <w:r w:rsidRPr="00570F7A" w:rsidR="00523381">
        <w:t xml:space="preserve">station would be displaced, and if </w:t>
      </w:r>
      <w:r w:rsidR="00523381">
        <w:t>it was</w:t>
      </w:r>
      <w:r w:rsidRPr="00570F7A" w:rsidR="00523381">
        <w:t xml:space="preserve">, </w:t>
      </w:r>
      <w:r w:rsidR="00523381">
        <w:t>Scripps would easily be able to find a displacement channel for it.</w:t>
      </w:r>
      <w:r w:rsidR="00107C22">
        <w:rPr>
          <w:szCs w:val="22"/>
        </w:rPr>
        <w:t xml:space="preserve">  As noted in the </w:t>
      </w:r>
      <w:r w:rsidRPr="00D06AA0" w:rsidR="00107C22">
        <w:rPr>
          <w:i/>
          <w:iCs/>
        </w:rPr>
        <w:t>NPRM</w:t>
      </w:r>
      <w:r w:rsidR="00107C22">
        <w:t xml:space="preserve">, the loss area will also be served by a number of other full power major network stations.  </w:t>
      </w:r>
      <w:r w:rsidRPr="00D06AA0" w:rsidR="00107C22">
        <w:rPr>
          <w:i/>
          <w:iCs/>
        </w:rPr>
        <w:t>NPRM</w:t>
      </w:r>
      <w:r w:rsidR="00107C22">
        <w:t xml:space="preserve"> at para. 3 and n.13.  </w:t>
      </w:r>
      <w:r w:rsidRPr="00465F46" w:rsidR="00107C22">
        <w:rPr>
          <w:szCs w:val="22"/>
        </w:rPr>
        <w:t xml:space="preserve">  </w:t>
      </w:r>
    </w:p>
  </w:footnote>
  <w:footnote w:id="11">
    <w:p w:rsidR="00E97187" w:rsidP="00E97187" w14:paraId="26C2C6F9"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2">
    <w:p w:rsidR="00E97187" w:rsidP="00E97187" w14:paraId="1957FEE6" w14:textId="2463A573">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r w:rsidR="00895110">
        <w:t xml:space="preserve">  </w:t>
      </w:r>
      <w:r w:rsidRPr="00566F77" w:rsidR="00895110">
        <w:t xml:space="preserve">Since the proposed facility is located within the Canadian coordination zone, concurrence from the Canadian government </w:t>
      </w:r>
      <w:r w:rsidR="00895110">
        <w:t>was required and has subsequently been obtained</w:t>
      </w:r>
      <w:r w:rsidRPr="00566F77" w:rsidR="00895110">
        <w:t>.</w:t>
      </w:r>
      <w:r w:rsidR="00895110">
        <w:t xml:space="preserve">  </w:t>
      </w:r>
      <w:r w:rsidRPr="00D836D0" w:rsidR="00895110">
        <w:rPr>
          <w:i/>
          <w:iCs/>
        </w:rPr>
        <w:t>See</w:t>
      </w:r>
      <w:r w:rsidRPr="00566F77" w:rsidR="00895110">
        <w:t xml:space="preserve"> </w:t>
      </w:r>
      <w:r w:rsidRPr="00A26368" w:rsidR="00895110">
        <w:rPr>
          <w:i/>
          <w:iCs/>
        </w:rPr>
        <w:t>NPRM</w:t>
      </w:r>
      <w:r w:rsidRPr="00566F77" w:rsidR="00895110">
        <w:t xml:space="preserve"> </w:t>
      </w:r>
      <w:r w:rsidR="00A26368">
        <w:rPr>
          <w:i/>
          <w:iCs/>
        </w:rPr>
        <w:t xml:space="preserve">                                     </w:t>
      </w:r>
      <w:r w:rsidRPr="00566F77" w:rsidR="00A26368">
        <w:t xml:space="preserve"> </w:t>
      </w:r>
      <w:r w:rsidRPr="00566F77" w:rsidR="00895110">
        <w:t>at n.</w:t>
      </w:r>
      <w:r w:rsidR="00895110">
        <w:t>10</w:t>
      </w:r>
      <w:r w:rsidRPr="00566F77" w:rsidR="00895110">
        <w:t>.</w:t>
      </w:r>
      <w:r w:rsidR="00895110">
        <w:t xml:space="preserve">  </w:t>
      </w:r>
    </w:p>
  </w:footnote>
  <w:footnote w:id="13">
    <w:p w:rsidR="00E97187" w:rsidP="00E97187" w14:paraId="5FDA791F"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A0F541" w14:textId="49A99307">
    <w:pPr>
      <w:pStyle w:val="Header"/>
      <w:rPr>
        <w:b w:val="0"/>
      </w:rPr>
    </w:pPr>
    <w:r>
      <w:tab/>
      <w:t>Federal Communications Commission</w:t>
    </w:r>
    <w:r>
      <w:tab/>
    </w:r>
    <w:r w:rsidR="00E97187">
      <w:t xml:space="preserve">DA </w:t>
    </w:r>
    <w:r w:rsidR="00502F59">
      <w:t>22-</w:t>
    </w:r>
    <w:r w:rsidR="00D2262D">
      <w:t>1234</w:t>
    </w:r>
  </w:p>
  <w:p w:rsidR="00D25FB5" w14:paraId="2BED6E0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EA3750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4B228B" w14:textId="390C3BB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 xml:space="preserve">DA </w:t>
    </w:r>
    <w:r w:rsidR="00502F59">
      <w:rPr>
        <w:spacing w:val="-2"/>
      </w:rPr>
      <w:t>22-</w:t>
    </w:r>
    <w:r w:rsidR="00D2262D">
      <w:rPr>
        <w:spacing w:val="-2"/>
      </w:rPr>
      <w:t>1234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1BF4"/>
    <w:rsid w:val="000143CF"/>
    <w:rsid w:val="0001580D"/>
    <w:rsid w:val="00024DD6"/>
    <w:rsid w:val="000309C0"/>
    <w:rsid w:val="00031E32"/>
    <w:rsid w:val="00036039"/>
    <w:rsid w:val="0003658C"/>
    <w:rsid w:val="000376BF"/>
    <w:rsid w:val="00037F90"/>
    <w:rsid w:val="00040983"/>
    <w:rsid w:val="00042BB1"/>
    <w:rsid w:val="0004560F"/>
    <w:rsid w:val="000475E2"/>
    <w:rsid w:val="0005127D"/>
    <w:rsid w:val="0005386E"/>
    <w:rsid w:val="00061E09"/>
    <w:rsid w:val="00064BDF"/>
    <w:rsid w:val="00064DF8"/>
    <w:rsid w:val="000658A4"/>
    <w:rsid w:val="000709BB"/>
    <w:rsid w:val="00072DD6"/>
    <w:rsid w:val="000875BF"/>
    <w:rsid w:val="00092AB5"/>
    <w:rsid w:val="00096D8C"/>
    <w:rsid w:val="000A5931"/>
    <w:rsid w:val="000B6166"/>
    <w:rsid w:val="000C0208"/>
    <w:rsid w:val="000C0B65"/>
    <w:rsid w:val="000C26D1"/>
    <w:rsid w:val="000C6457"/>
    <w:rsid w:val="000D12B8"/>
    <w:rsid w:val="000E05FE"/>
    <w:rsid w:val="000E3D42"/>
    <w:rsid w:val="000E3EFF"/>
    <w:rsid w:val="000E4A55"/>
    <w:rsid w:val="000F1C60"/>
    <w:rsid w:val="001023E8"/>
    <w:rsid w:val="001030E3"/>
    <w:rsid w:val="001032F9"/>
    <w:rsid w:val="00107C22"/>
    <w:rsid w:val="00122679"/>
    <w:rsid w:val="00122BD5"/>
    <w:rsid w:val="00123009"/>
    <w:rsid w:val="00133F79"/>
    <w:rsid w:val="00143EA6"/>
    <w:rsid w:val="00146B1A"/>
    <w:rsid w:val="00150D37"/>
    <w:rsid w:val="0015218A"/>
    <w:rsid w:val="00154155"/>
    <w:rsid w:val="001542A1"/>
    <w:rsid w:val="0017296B"/>
    <w:rsid w:val="00175593"/>
    <w:rsid w:val="00190580"/>
    <w:rsid w:val="0019432C"/>
    <w:rsid w:val="00194A66"/>
    <w:rsid w:val="0019563A"/>
    <w:rsid w:val="001A0147"/>
    <w:rsid w:val="001A6147"/>
    <w:rsid w:val="001B10DB"/>
    <w:rsid w:val="001B3643"/>
    <w:rsid w:val="001B731A"/>
    <w:rsid w:val="001D4184"/>
    <w:rsid w:val="001D53A2"/>
    <w:rsid w:val="001D6BCF"/>
    <w:rsid w:val="001E0027"/>
    <w:rsid w:val="001E01CA"/>
    <w:rsid w:val="001E1408"/>
    <w:rsid w:val="001E47A7"/>
    <w:rsid w:val="001E63D8"/>
    <w:rsid w:val="001F5E8F"/>
    <w:rsid w:val="001F77A0"/>
    <w:rsid w:val="002004C8"/>
    <w:rsid w:val="0020694C"/>
    <w:rsid w:val="00206D86"/>
    <w:rsid w:val="002159C2"/>
    <w:rsid w:val="00220B99"/>
    <w:rsid w:val="0022599A"/>
    <w:rsid w:val="002566E5"/>
    <w:rsid w:val="00275CF5"/>
    <w:rsid w:val="0028301F"/>
    <w:rsid w:val="00285017"/>
    <w:rsid w:val="00291754"/>
    <w:rsid w:val="002A1087"/>
    <w:rsid w:val="002A2D2E"/>
    <w:rsid w:val="002A5DE4"/>
    <w:rsid w:val="002A79DD"/>
    <w:rsid w:val="002C00E8"/>
    <w:rsid w:val="002C2A58"/>
    <w:rsid w:val="002C607F"/>
    <w:rsid w:val="002D4695"/>
    <w:rsid w:val="002F6E16"/>
    <w:rsid w:val="0031731D"/>
    <w:rsid w:val="0033517A"/>
    <w:rsid w:val="0033610A"/>
    <w:rsid w:val="00343749"/>
    <w:rsid w:val="00350C72"/>
    <w:rsid w:val="00351C35"/>
    <w:rsid w:val="003660ED"/>
    <w:rsid w:val="00367B19"/>
    <w:rsid w:val="00381DCA"/>
    <w:rsid w:val="003840CE"/>
    <w:rsid w:val="003A688B"/>
    <w:rsid w:val="003B0550"/>
    <w:rsid w:val="003B2DD1"/>
    <w:rsid w:val="003B694F"/>
    <w:rsid w:val="003C109A"/>
    <w:rsid w:val="003C25D2"/>
    <w:rsid w:val="003C639A"/>
    <w:rsid w:val="003C78ED"/>
    <w:rsid w:val="003F171C"/>
    <w:rsid w:val="00400001"/>
    <w:rsid w:val="0040157D"/>
    <w:rsid w:val="0040460E"/>
    <w:rsid w:val="0041059F"/>
    <w:rsid w:val="00411C58"/>
    <w:rsid w:val="00412FC5"/>
    <w:rsid w:val="00422276"/>
    <w:rsid w:val="004242F1"/>
    <w:rsid w:val="00424EA6"/>
    <w:rsid w:val="00432B47"/>
    <w:rsid w:val="00434B03"/>
    <w:rsid w:val="00436645"/>
    <w:rsid w:val="00445A00"/>
    <w:rsid w:val="0044689C"/>
    <w:rsid w:val="00451B0F"/>
    <w:rsid w:val="00462601"/>
    <w:rsid w:val="00465F46"/>
    <w:rsid w:val="004718FA"/>
    <w:rsid w:val="00471E93"/>
    <w:rsid w:val="00472840"/>
    <w:rsid w:val="00480BA5"/>
    <w:rsid w:val="004821AB"/>
    <w:rsid w:val="00494BBF"/>
    <w:rsid w:val="004A57F0"/>
    <w:rsid w:val="004A63F5"/>
    <w:rsid w:val="004C2EE3"/>
    <w:rsid w:val="004D4DB7"/>
    <w:rsid w:val="004E4A22"/>
    <w:rsid w:val="004E716F"/>
    <w:rsid w:val="004F022F"/>
    <w:rsid w:val="004F0BC4"/>
    <w:rsid w:val="004F5127"/>
    <w:rsid w:val="00502F59"/>
    <w:rsid w:val="00506FCF"/>
    <w:rsid w:val="005077A3"/>
    <w:rsid w:val="00511183"/>
    <w:rsid w:val="00511968"/>
    <w:rsid w:val="00511E8C"/>
    <w:rsid w:val="00516A3F"/>
    <w:rsid w:val="00523381"/>
    <w:rsid w:val="00540A60"/>
    <w:rsid w:val="0054328D"/>
    <w:rsid w:val="0055614C"/>
    <w:rsid w:val="00566D06"/>
    <w:rsid w:val="00566F77"/>
    <w:rsid w:val="00567DF3"/>
    <w:rsid w:val="00570F7A"/>
    <w:rsid w:val="0058065C"/>
    <w:rsid w:val="00586AF3"/>
    <w:rsid w:val="00590F45"/>
    <w:rsid w:val="005A0E14"/>
    <w:rsid w:val="005A3852"/>
    <w:rsid w:val="005C1DA5"/>
    <w:rsid w:val="005C77C8"/>
    <w:rsid w:val="005E0314"/>
    <w:rsid w:val="005E14C2"/>
    <w:rsid w:val="005E1A37"/>
    <w:rsid w:val="005E441E"/>
    <w:rsid w:val="005F2F3D"/>
    <w:rsid w:val="00601070"/>
    <w:rsid w:val="00603918"/>
    <w:rsid w:val="00607BA5"/>
    <w:rsid w:val="0061180A"/>
    <w:rsid w:val="00613106"/>
    <w:rsid w:val="00616F89"/>
    <w:rsid w:val="006241E4"/>
    <w:rsid w:val="00625FAE"/>
    <w:rsid w:val="00626EB6"/>
    <w:rsid w:val="006345A5"/>
    <w:rsid w:val="006409B6"/>
    <w:rsid w:val="00655D03"/>
    <w:rsid w:val="00665306"/>
    <w:rsid w:val="00665E6B"/>
    <w:rsid w:val="0067154C"/>
    <w:rsid w:val="006777C5"/>
    <w:rsid w:val="00683388"/>
    <w:rsid w:val="00683CEC"/>
    <w:rsid w:val="00683F84"/>
    <w:rsid w:val="006856D1"/>
    <w:rsid w:val="00691886"/>
    <w:rsid w:val="0069200D"/>
    <w:rsid w:val="006945ED"/>
    <w:rsid w:val="0069695A"/>
    <w:rsid w:val="006A6A81"/>
    <w:rsid w:val="006C4302"/>
    <w:rsid w:val="006C43FD"/>
    <w:rsid w:val="006D3720"/>
    <w:rsid w:val="006E0BDE"/>
    <w:rsid w:val="006E2ABD"/>
    <w:rsid w:val="006F26DC"/>
    <w:rsid w:val="006F2B30"/>
    <w:rsid w:val="006F4D4C"/>
    <w:rsid w:val="006F7393"/>
    <w:rsid w:val="0070224F"/>
    <w:rsid w:val="007115F7"/>
    <w:rsid w:val="00711A32"/>
    <w:rsid w:val="0071598A"/>
    <w:rsid w:val="00716576"/>
    <w:rsid w:val="00716671"/>
    <w:rsid w:val="00725929"/>
    <w:rsid w:val="00734172"/>
    <w:rsid w:val="00742FEA"/>
    <w:rsid w:val="007469D2"/>
    <w:rsid w:val="00752E7E"/>
    <w:rsid w:val="00755FC5"/>
    <w:rsid w:val="00756C1E"/>
    <w:rsid w:val="0076002E"/>
    <w:rsid w:val="0076278F"/>
    <w:rsid w:val="00772675"/>
    <w:rsid w:val="00785689"/>
    <w:rsid w:val="007876AA"/>
    <w:rsid w:val="00792B09"/>
    <w:rsid w:val="0079754B"/>
    <w:rsid w:val="007A1E6D"/>
    <w:rsid w:val="007A7D14"/>
    <w:rsid w:val="007B0EB2"/>
    <w:rsid w:val="007C60E1"/>
    <w:rsid w:val="007D35F6"/>
    <w:rsid w:val="007E31D4"/>
    <w:rsid w:val="007F1E82"/>
    <w:rsid w:val="007F6ED0"/>
    <w:rsid w:val="00810B6F"/>
    <w:rsid w:val="00822CE0"/>
    <w:rsid w:val="00832AB6"/>
    <w:rsid w:val="008365D4"/>
    <w:rsid w:val="00840F08"/>
    <w:rsid w:val="00841AB1"/>
    <w:rsid w:val="008431F5"/>
    <w:rsid w:val="008521B8"/>
    <w:rsid w:val="00852F57"/>
    <w:rsid w:val="008534B2"/>
    <w:rsid w:val="0085773E"/>
    <w:rsid w:val="00857EA9"/>
    <w:rsid w:val="00862915"/>
    <w:rsid w:val="00863A44"/>
    <w:rsid w:val="00866173"/>
    <w:rsid w:val="00880D1D"/>
    <w:rsid w:val="00893C37"/>
    <w:rsid w:val="0089428E"/>
    <w:rsid w:val="0089500F"/>
    <w:rsid w:val="00895110"/>
    <w:rsid w:val="008A5B1B"/>
    <w:rsid w:val="008A7F19"/>
    <w:rsid w:val="008B3E1E"/>
    <w:rsid w:val="008B4DE5"/>
    <w:rsid w:val="008B526C"/>
    <w:rsid w:val="008C68F1"/>
    <w:rsid w:val="008D3863"/>
    <w:rsid w:val="008D4572"/>
    <w:rsid w:val="008E5616"/>
    <w:rsid w:val="008F6B08"/>
    <w:rsid w:val="008F6DAD"/>
    <w:rsid w:val="008F6F47"/>
    <w:rsid w:val="009043D2"/>
    <w:rsid w:val="009064B6"/>
    <w:rsid w:val="009078BE"/>
    <w:rsid w:val="009148A4"/>
    <w:rsid w:val="00921803"/>
    <w:rsid w:val="00924BBC"/>
    <w:rsid w:val="00924D09"/>
    <w:rsid w:val="00926503"/>
    <w:rsid w:val="00936017"/>
    <w:rsid w:val="00941655"/>
    <w:rsid w:val="00952649"/>
    <w:rsid w:val="00953030"/>
    <w:rsid w:val="00961616"/>
    <w:rsid w:val="009726D8"/>
    <w:rsid w:val="009745B8"/>
    <w:rsid w:val="009803CE"/>
    <w:rsid w:val="009919F5"/>
    <w:rsid w:val="00995856"/>
    <w:rsid w:val="009A286F"/>
    <w:rsid w:val="009B3C7A"/>
    <w:rsid w:val="009D167E"/>
    <w:rsid w:val="009D7308"/>
    <w:rsid w:val="009F0639"/>
    <w:rsid w:val="009F0D46"/>
    <w:rsid w:val="009F1788"/>
    <w:rsid w:val="009F5EB1"/>
    <w:rsid w:val="009F76DB"/>
    <w:rsid w:val="009F7981"/>
    <w:rsid w:val="00A040C4"/>
    <w:rsid w:val="00A10BD0"/>
    <w:rsid w:val="00A17D36"/>
    <w:rsid w:val="00A2491E"/>
    <w:rsid w:val="00A26368"/>
    <w:rsid w:val="00A26DFA"/>
    <w:rsid w:val="00A32C3B"/>
    <w:rsid w:val="00A369E2"/>
    <w:rsid w:val="00A45F4F"/>
    <w:rsid w:val="00A600A9"/>
    <w:rsid w:val="00A60502"/>
    <w:rsid w:val="00A6058D"/>
    <w:rsid w:val="00A651AA"/>
    <w:rsid w:val="00A73AA9"/>
    <w:rsid w:val="00A755D3"/>
    <w:rsid w:val="00A848D5"/>
    <w:rsid w:val="00A85239"/>
    <w:rsid w:val="00A960E4"/>
    <w:rsid w:val="00AA55B7"/>
    <w:rsid w:val="00AA5B9E"/>
    <w:rsid w:val="00AB01C6"/>
    <w:rsid w:val="00AB2407"/>
    <w:rsid w:val="00AB53DF"/>
    <w:rsid w:val="00AE01F6"/>
    <w:rsid w:val="00AE423E"/>
    <w:rsid w:val="00AE585E"/>
    <w:rsid w:val="00B0167B"/>
    <w:rsid w:val="00B07E5C"/>
    <w:rsid w:val="00B11296"/>
    <w:rsid w:val="00B2579A"/>
    <w:rsid w:val="00B33389"/>
    <w:rsid w:val="00B34CBA"/>
    <w:rsid w:val="00B36460"/>
    <w:rsid w:val="00B46C00"/>
    <w:rsid w:val="00B66A30"/>
    <w:rsid w:val="00B701AF"/>
    <w:rsid w:val="00B7763C"/>
    <w:rsid w:val="00B811F7"/>
    <w:rsid w:val="00B92E3C"/>
    <w:rsid w:val="00BA5DC6"/>
    <w:rsid w:val="00BA6196"/>
    <w:rsid w:val="00BB297B"/>
    <w:rsid w:val="00BC0F09"/>
    <w:rsid w:val="00BC2D93"/>
    <w:rsid w:val="00BC6D8C"/>
    <w:rsid w:val="00BC7687"/>
    <w:rsid w:val="00BD70E4"/>
    <w:rsid w:val="00BE6CEF"/>
    <w:rsid w:val="00BF0056"/>
    <w:rsid w:val="00BF0A68"/>
    <w:rsid w:val="00C12F3A"/>
    <w:rsid w:val="00C2185E"/>
    <w:rsid w:val="00C34006"/>
    <w:rsid w:val="00C34A62"/>
    <w:rsid w:val="00C36B4C"/>
    <w:rsid w:val="00C42076"/>
    <w:rsid w:val="00C426B1"/>
    <w:rsid w:val="00C43340"/>
    <w:rsid w:val="00C43C45"/>
    <w:rsid w:val="00C46CBC"/>
    <w:rsid w:val="00C53046"/>
    <w:rsid w:val="00C65811"/>
    <w:rsid w:val="00C66160"/>
    <w:rsid w:val="00C671B7"/>
    <w:rsid w:val="00C71DEC"/>
    <w:rsid w:val="00C721AC"/>
    <w:rsid w:val="00C72A6A"/>
    <w:rsid w:val="00C738D7"/>
    <w:rsid w:val="00C802E6"/>
    <w:rsid w:val="00C85E24"/>
    <w:rsid w:val="00C869ED"/>
    <w:rsid w:val="00C87108"/>
    <w:rsid w:val="00C90D6A"/>
    <w:rsid w:val="00CA247E"/>
    <w:rsid w:val="00CA4457"/>
    <w:rsid w:val="00CA6563"/>
    <w:rsid w:val="00CA6D21"/>
    <w:rsid w:val="00CA77CA"/>
    <w:rsid w:val="00CC72B6"/>
    <w:rsid w:val="00CE0F49"/>
    <w:rsid w:val="00CE61A9"/>
    <w:rsid w:val="00CF3A61"/>
    <w:rsid w:val="00CF4E20"/>
    <w:rsid w:val="00CF65F3"/>
    <w:rsid w:val="00D0218D"/>
    <w:rsid w:val="00D06AA0"/>
    <w:rsid w:val="00D139C5"/>
    <w:rsid w:val="00D15A23"/>
    <w:rsid w:val="00D21ECE"/>
    <w:rsid w:val="00D2262D"/>
    <w:rsid w:val="00D25FB5"/>
    <w:rsid w:val="00D31D8B"/>
    <w:rsid w:val="00D3417F"/>
    <w:rsid w:val="00D4006E"/>
    <w:rsid w:val="00D44223"/>
    <w:rsid w:val="00D55227"/>
    <w:rsid w:val="00D55595"/>
    <w:rsid w:val="00D56707"/>
    <w:rsid w:val="00D66662"/>
    <w:rsid w:val="00D711F6"/>
    <w:rsid w:val="00D7252C"/>
    <w:rsid w:val="00D7585F"/>
    <w:rsid w:val="00D80309"/>
    <w:rsid w:val="00D836D0"/>
    <w:rsid w:val="00D84D96"/>
    <w:rsid w:val="00D867A7"/>
    <w:rsid w:val="00D9149F"/>
    <w:rsid w:val="00DA2529"/>
    <w:rsid w:val="00DA6018"/>
    <w:rsid w:val="00DB130A"/>
    <w:rsid w:val="00DB1910"/>
    <w:rsid w:val="00DB1F56"/>
    <w:rsid w:val="00DB2737"/>
    <w:rsid w:val="00DB2EBB"/>
    <w:rsid w:val="00DB6A95"/>
    <w:rsid w:val="00DC024A"/>
    <w:rsid w:val="00DC10A1"/>
    <w:rsid w:val="00DC123A"/>
    <w:rsid w:val="00DC179D"/>
    <w:rsid w:val="00DC28AB"/>
    <w:rsid w:val="00DC655F"/>
    <w:rsid w:val="00DC699B"/>
    <w:rsid w:val="00DD0B59"/>
    <w:rsid w:val="00DD2E71"/>
    <w:rsid w:val="00DD64D6"/>
    <w:rsid w:val="00DD7EBD"/>
    <w:rsid w:val="00DE27DE"/>
    <w:rsid w:val="00DE70C9"/>
    <w:rsid w:val="00DF62B6"/>
    <w:rsid w:val="00E0405C"/>
    <w:rsid w:val="00E07225"/>
    <w:rsid w:val="00E208EC"/>
    <w:rsid w:val="00E2516B"/>
    <w:rsid w:val="00E260F8"/>
    <w:rsid w:val="00E3141D"/>
    <w:rsid w:val="00E319DF"/>
    <w:rsid w:val="00E378DF"/>
    <w:rsid w:val="00E45D79"/>
    <w:rsid w:val="00E474AA"/>
    <w:rsid w:val="00E50821"/>
    <w:rsid w:val="00E5409F"/>
    <w:rsid w:val="00E8079C"/>
    <w:rsid w:val="00E819AC"/>
    <w:rsid w:val="00E91504"/>
    <w:rsid w:val="00E9514A"/>
    <w:rsid w:val="00E97187"/>
    <w:rsid w:val="00EA0A8B"/>
    <w:rsid w:val="00EA0EAE"/>
    <w:rsid w:val="00EB1177"/>
    <w:rsid w:val="00EB6D5F"/>
    <w:rsid w:val="00EC2856"/>
    <w:rsid w:val="00EC5F55"/>
    <w:rsid w:val="00ED7967"/>
    <w:rsid w:val="00EE0047"/>
    <w:rsid w:val="00EE6488"/>
    <w:rsid w:val="00EF48D8"/>
    <w:rsid w:val="00F004D6"/>
    <w:rsid w:val="00F01863"/>
    <w:rsid w:val="00F021FA"/>
    <w:rsid w:val="00F0767B"/>
    <w:rsid w:val="00F23620"/>
    <w:rsid w:val="00F23FF8"/>
    <w:rsid w:val="00F372C7"/>
    <w:rsid w:val="00F41D99"/>
    <w:rsid w:val="00F41DC1"/>
    <w:rsid w:val="00F466AA"/>
    <w:rsid w:val="00F473EF"/>
    <w:rsid w:val="00F61B15"/>
    <w:rsid w:val="00F62E97"/>
    <w:rsid w:val="00F64209"/>
    <w:rsid w:val="00F845E9"/>
    <w:rsid w:val="00F86933"/>
    <w:rsid w:val="00F9262B"/>
    <w:rsid w:val="00F93BF5"/>
    <w:rsid w:val="00FA07F6"/>
    <w:rsid w:val="00FA4C43"/>
    <w:rsid w:val="00FA7B32"/>
    <w:rsid w:val="00FB1EE4"/>
    <w:rsid w:val="00FB4302"/>
    <w:rsid w:val="00FC0606"/>
    <w:rsid w:val="00FC150A"/>
    <w:rsid w:val="00FC350D"/>
    <w:rsid w:val="00FC52C4"/>
    <w:rsid w:val="00FD0E09"/>
    <w:rsid w:val="00FD3720"/>
    <w:rsid w:val="00FE7B78"/>
    <w:rsid w:val="00FF167F"/>
    <w:rsid w:val="00FF4797"/>
    <w:rsid w:val="0D92A8E2"/>
    <w:rsid w:val="14EB9C13"/>
    <w:rsid w:val="56179C40"/>
    <w:rsid w:val="57B36CA1"/>
    <w:rsid w:val="7111E00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B8986A8"/>
  <w15:docId w15:val="{137125B9-673A-4A0B-9BD4-F23CD34F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2D"/>
    <w:pPr>
      <w:widowControl w:val="0"/>
    </w:pPr>
    <w:rPr>
      <w:snapToGrid w:val="0"/>
      <w:kern w:val="28"/>
      <w:sz w:val="22"/>
    </w:rPr>
  </w:style>
  <w:style w:type="paragraph" w:styleId="Heading1">
    <w:name w:val="heading 1"/>
    <w:basedOn w:val="Normal"/>
    <w:next w:val="ParaNum"/>
    <w:qFormat/>
    <w:rsid w:val="00D2262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2262D"/>
    <w:pPr>
      <w:keepNext/>
      <w:numPr>
        <w:ilvl w:val="1"/>
        <w:numId w:val="3"/>
      </w:numPr>
      <w:spacing w:after="120"/>
      <w:outlineLvl w:val="1"/>
    </w:pPr>
    <w:rPr>
      <w:b/>
    </w:rPr>
  </w:style>
  <w:style w:type="paragraph" w:styleId="Heading3">
    <w:name w:val="heading 3"/>
    <w:basedOn w:val="Normal"/>
    <w:next w:val="ParaNum"/>
    <w:qFormat/>
    <w:rsid w:val="00D2262D"/>
    <w:pPr>
      <w:keepNext/>
      <w:numPr>
        <w:ilvl w:val="2"/>
        <w:numId w:val="3"/>
      </w:numPr>
      <w:tabs>
        <w:tab w:val="left" w:pos="2160"/>
      </w:tabs>
      <w:spacing w:after="120"/>
      <w:outlineLvl w:val="2"/>
    </w:pPr>
    <w:rPr>
      <w:b/>
    </w:rPr>
  </w:style>
  <w:style w:type="paragraph" w:styleId="Heading4">
    <w:name w:val="heading 4"/>
    <w:basedOn w:val="Normal"/>
    <w:next w:val="ParaNum"/>
    <w:qFormat/>
    <w:rsid w:val="00D2262D"/>
    <w:pPr>
      <w:keepNext/>
      <w:numPr>
        <w:ilvl w:val="3"/>
        <w:numId w:val="3"/>
      </w:numPr>
      <w:tabs>
        <w:tab w:val="left" w:pos="2880"/>
      </w:tabs>
      <w:spacing w:after="120"/>
      <w:outlineLvl w:val="3"/>
    </w:pPr>
    <w:rPr>
      <w:b/>
    </w:rPr>
  </w:style>
  <w:style w:type="paragraph" w:styleId="Heading5">
    <w:name w:val="heading 5"/>
    <w:basedOn w:val="Normal"/>
    <w:next w:val="ParaNum"/>
    <w:qFormat/>
    <w:rsid w:val="00D2262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2262D"/>
    <w:pPr>
      <w:numPr>
        <w:ilvl w:val="5"/>
        <w:numId w:val="3"/>
      </w:numPr>
      <w:tabs>
        <w:tab w:val="left" w:pos="4320"/>
      </w:tabs>
      <w:spacing w:after="120"/>
      <w:outlineLvl w:val="5"/>
    </w:pPr>
    <w:rPr>
      <w:b/>
    </w:rPr>
  </w:style>
  <w:style w:type="paragraph" w:styleId="Heading7">
    <w:name w:val="heading 7"/>
    <w:basedOn w:val="Normal"/>
    <w:next w:val="ParaNum"/>
    <w:qFormat/>
    <w:rsid w:val="00D2262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2262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2262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26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262D"/>
  </w:style>
  <w:style w:type="paragraph" w:customStyle="1" w:styleId="ParaNum">
    <w:name w:val="ParaNum"/>
    <w:basedOn w:val="Normal"/>
    <w:link w:val="ParaNumChar1"/>
    <w:rsid w:val="00D2262D"/>
    <w:pPr>
      <w:numPr>
        <w:numId w:val="2"/>
      </w:numPr>
      <w:tabs>
        <w:tab w:val="clear" w:pos="1080"/>
        <w:tab w:val="num" w:pos="1440"/>
      </w:tabs>
      <w:spacing w:after="120"/>
    </w:pPr>
  </w:style>
  <w:style w:type="paragraph" w:styleId="EndnoteText">
    <w:name w:val="endnote text"/>
    <w:basedOn w:val="Normal"/>
    <w:semiHidden/>
    <w:rsid w:val="00D2262D"/>
    <w:rPr>
      <w:sz w:val="20"/>
    </w:rPr>
  </w:style>
  <w:style w:type="character" w:styleId="EndnoteReference">
    <w:name w:val="endnote reference"/>
    <w:semiHidden/>
    <w:rsid w:val="00D2262D"/>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D2262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2262D"/>
    <w:rPr>
      <w:rFonts w:ascii="Times New Roman" w:hAnsi="Times New Roman"/>
      <w:dstrike w:val="0"/>
      <w:color w:val="auto"/>
      <w:sz w:val="20"/>
      <w:vertAlign w:val="superscript"/>
    </w:rPr>
  </w:style>
  <w:style w:type="paragraph" w:styleId="TOC1">
    <w:name w:val="toc 1"/>
    <w:basedOn w:val="Normal"/>
    <w:next w:val="Normal"/>
    <w:semiHidden/>
    <w:rsid w:val="00D2262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2262D"/>
    <w:pPr>
      <w:tabs>
        <w:tab w:val="left" w:pos="720"/>
        <w:tab w:val="right" w:leader="dot" w:pos="9360"/>
      </w:tabs>
      <w:suppressAutoHyphens/>
      <w:ind w:left="720" w:right="720" w:hanging="360"/>
    </w:pPr>
    <w:rPr>
      <w:noProof/>
    </w:rPr>
  </w:style>
  <w:style w:type="paragraph" w:styleId="TOC3">
    <w:name w:val="toc 3"/>
    <w:basedOn w:val="Normal"/>
    <w:next w:val="Normal"/>
    <w:semiHidden/>
    <w:rsid w:val="00D2262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262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262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262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262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262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262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262D"/>
    <w:pPr>
      <w:tabs>
        <w:tab w:val="right" w:pos="9360"/>
      </w:tabs>
      <w:suppressAutoHyphens/>
    </w:pPr>
  </w:style>
  <w:style w:type="character" w:customStyle="1" w:styleId="EquationCaption">
    <w:name w:val="_Equation Caption"/>
    <w:rsid w:val="00D2262D"/>
  </w:style>
  <w:style w:type="paragraph" w:styleId="Header">
    <w:name w:val="header"/>
    <w:basedOn w:val="Normal"/>
    <w:autoRedefine/>
    <w:rsid w:val="00D2262D"/>
    <w:pPr>
      <w:tabs>
        <w:tab w:val="center" w:pos="4680"/>
        <w:tab w:val="right" w:pos="9360"/>
      </w:tabs>
    </w:pPr>
    <w:rPr>
      <w:b/>
    </w:rPr>
  </w:style>
  <w:style w:type="paragraph" w:styleId="Footer">
    <w:name w:val="footer"/>
    <w:basedOn w:val="Normal"/>
    <w:link w:val="FooterChar"/>
    <w:uiPriority w:val="99"/>
    <w:rsid w:val="00D2262D"/>
    <w:pPr>
      <w:tabs>
        <w:tab w:val="center" w:pos="4320"/>
        <w:tab w:val="right" w:pos="8640"/>
      </w:tabs>
    </w:pPr>
  </w:style>
  <w:style w:type="character" w:styleId="PageNumber">
    <w:name w:val="page number"/>
    <w:basedOn w:val="DefaultParagraphFont"/>
    <w:rsid w:val="00D2262D"/>
  </w:style>
  <w:style w:type="paragraph" w:styleId="BlockText">
    <w:name w:val="Block Text"/>
    <w:basedOn w:val="Normal"/>
    <w:rsid w:val="00D2262D"/>
    <w:pPr>
      <w:spacing w:after="240"/>
      <w:ind w:left="1440" w:right="1440"/>
    </w:pPr>
  </w:style>
  <w:style w:type="paragraph" w:customStyle="1" w:styleId="Paratitle">
    <w:name w:val="Para title"/>
    <w:basedOn w:val="Normal"/>
    <w:rsid w:val="00D2262D"/>
    <w:pPr>
      <w:tabs>
        <w:tab w:val="center" w:pos="9270"/>
      </w:tabs>
      <w:spacing w:after="240"/>
    </w:pPr>
    <w:rPr>
      <w:spacing w:val="-2"/>
    </w:rPr>
  </w:style>
  <w:style w:type="paragraph" w:customStyle="1" w:styleId="Bullet">
    <w:name w:val="Bullet"/>
    <w:basedOn w:val="Normal"/>
    <w:rsid w:val="00D2262D"/>
    <w:pPr>
      <w:tabs>
        <w:tab w:val="left" w:pos="2160"/>
      </w:tabs>
      <w:spacing w:after="220"/>
      <w:ind w:left="2160" w:hanging="720"/>
    </w:pPr>
  </w:style>
  <w:style w:type="paragraph" w:customStyle="1" w:styleId="TableFormat">
    <w:name w:val="TableFormat"/>
    <w:basedOn w:val="Bullet"/>
    <w:rsid w:val="00D2262D"/>
    <w:pPr>
      <w:tabs>
        <w:tab w:val="clear" w:pos="2160"/>
        <w:tab w:val="left" w:pos="5040"/>
      </w:tabs>
      <w:ind w:left="5040" w:hanging="3600"/>
    </w:pPr>
  </w:style>
  <w:style w:type="paragraph" w:customStyle="1" w:styleId="TOCTitle">
    <w:name w:val="TOC Title"/>
    <w:basedOn w:val="Normal"/>
    <w:rsid w:val="00D2262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262D"/>
    <w:pPr>
      <w:jc w:val="center"/>
    </w:pPr>
    <w:rPr>
      <w:rFonts w:ascii="Times New Roman Bold" w:hAnsi="Times New Roman Bold"/>
      <w:b/>
      <w:bCs/>
      <w:caps/>
      <w:szCs w:val="22"/>
    </w:rPr>
  </w:style>
  <w:style w:type="character" w:styleId="Hyperlink">
    <w:name w:val="Hyperlink"/>
    <w:rsid w:val="00D2262D"/>
    <w:rPr>
      <w:color w:val="0000FF"/>
      <w:u w:val="single"/>
    </w:rPr>
  </w:style>
  <w:style w:type="character" w:customStyle="1" w:styleId="FooterChar">
    <w:name w:val="Footer Char"/>
    <w:link w:val="Footer"/>
    <w:uiPriority w:val="99"/>
    <w:rsid w:val="00D2262D"/>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924D0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