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33EE6" w14:paraId="4674A3AD" w14:textId="77777777">
      <w:pPr>
        <w:jc w:val="right"/>
        <w:rPr>
          <w:b/>
          <w:sz w:val="24"/>
        </w:rPr>
      </w:pPr>
    </w:p>
    <w:p w:rsidR="00D61FCC" w14:paraId="53997CF7" w14:textId="54351330">
      <w:pPr>
        <w:jc w:val="right"/>
        <w:rPr>
          <w:b/>
          <w:sz w:val="24"/>
        </w:rPr>
      </w:pPr>
      <w:r>
        <w:rPr>
          <w:b/>
          <w:sz w:val="24"/>
        </w:rPr>
        <w:t>DA 22-123</w:t>
      </w:r>
    </w:p>
    <w:p w:rsidR="00D61FCC" w14:paraId="425BE18D" w14:textId="163F06F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87803">
        <w:rPr>
          <w:b/>
          <w:sz w:val="24"/>
        </w:rPr>
        <w:t>February 8, 2022</w:t>
      </w:r>
    </w:p>
    <w:p w:rsidR="00D61FCC" w14:paraId="59E8C58C" w14:textId="77777777">
      <w:pPr>
        <w:jc w:val="right"/>
        <w:rPr>
          <w:sz w:val="24"/>
        </w:rPr>
      </w:pPr>
    </w:p>
    <w:p w:rsidR="00182791" w:rsidRPr="00AC1AAF" w:rsidP="00182791" w14:paraId="78B92A68" w14:textId="253DE3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bookmarkStart w:id="0" w:name="TOChere"/>
      <w:r w:rsidRPr="00AC1AAF">
        <w:rPr>
          <w:rStyle w:val="normaltextrun"/>
          <w:b/>
          <w:sz w:val="22"/>
          <w:szCs w:val="22"/>
        </w:rPr>
        <w:t xml:space="preserve">WIRELESS TELECOMMUNICATIONS BUREAU </w:t>
      </w:r>
      <w:r w:rsidR="007663AB">
        <w:rPr>
          <w:rStyle w:val="normaltextrun"/>
          <w:b/>
          <w:sz w:val="22"/>
          <w:szCs w:val="22"/>
        </w:rPr>
        <w:t>UPDATE ON</w:t>
      </w:r>
      <w:r w:rsidRPr="00AC1AAF" w:rsidR="00722DD2">
        <w:rPr>
          <w:rStyle w:val="normaltextrun"/>
          <w:b/>
          <w:sz w:val="22"/>
          <w:szCs w:val="22"/>
        </w:rPr>
        <w:t xml:space="preserve"> ENVIRONMENTAL COMPLIANCE </w:t>
      </w:r>
      <w:r w:rsidRPr="00AC1AAF" w:rsidR="00685E55">
        <w:rPr>
          <w:rStyle w:val="normaltextrun"/>
          <w:b/>
          <w:sz w:val="22"/>
          <w:szCs w:val="22"/>
        </w:rPr>
        <w:t>FOR</w:t>
      </w:r>
      <w:r w:rsidRPr="00AC1AAF" w:rsidR="00685E55">
        <w:rPr>
          <w:rStyle w:val="normaltextrun"/>
          <w:b/>
          <w:sz w:val="22"/>
          <w:szCs w:val="22"/>
        </w:rPr>
        <w:t xml:space="preserve"> </w:t>
      </w:r>
      <w:r w:rsidR="00FA1368">
        <w:rPr>
          <w:rStyle w:val="normaltextrun"/>
          <w:b/>
          <w:sz w:val="22"/>
          <w:szCs w:val="22"/>
        </w:rPr>
        <w:t xml:space="preserve">PROPOSED </w:t>
      </w:r>
      <w:r w:rsidRPr="00AC1AAF" w:rsidR="00722DD2">
        <w:rPr>
          <w:rStyle w:val="normaltextrun"/>
          <w:b/>
          <w:sz w:val="22"/>
          <w:szCs w:val="22"/>
        </w:rPr>
        <w:t>TOWER</w:t>
      </w:r>
      <w:r w:rsidR="007663AB">
        <w:rPr>
          <w:rStyle w:val="normaltextrun"/>
          <w:b/>
          <w:sz w:val="22"/>
          <w:szCs w:val="22"/>
        </w:rPr>
        <w:t>S</w:t>
      </w:r>
      <w:r w:rsidRPr="00AC1AAF" w:rsidR="00722DD2">
        <w:rPr>
          <w:rStyle w:val="normaltextrun"/>
          <w:b/>
          <w:sz w:val="22"/>
          <w:szCs w:val="22"/>
        </w:rPr>
        <w:t xml:space="preserve"> </w:t>
      </w:r>
      <w:r w:rsidRPr="00AC1AAF" w:rsidR="00497E5E">
        <w:rPr>
          <w:rStyle w:val="normaltextrun"/>
          <w:b/>
          <w:sz w:val="22"/>
          <w:szCs w:val="22"/>
        </w:rPr>
        <w:t xml:space="preserve">REQUIRING </w:t>
      </w:r>
      <w:r w:rsidRPr="00AC1AAF" w:rsidR="006D4C2F">
        <w:rPr>
          <w:rStyle w:val="eop"/>
          <w:b/>
          <w:sz w:val="22"/>
          <w:szCs w:val="22"/>
        </w:rPr>
        <w:t>CLEAN WATER ACT</w:t>
      </w:r>
      <w:r w:rsidRPr="00AC1AAF" w:rsidR="006D4C2F">
        <w:rPr>
          <w:rStyle w:val="normaltextrun"/>
          <w:b/>
          <w:sz w:val="22"/>
          <w:szCs w:val="22"/>
        </w:rPr>
        <w:t xml:space="preserve"> </w:t>
      </w:r>
      <w:r w:rsidRPr="00AC1AAF" w:rsidR="00497E5E">
        <w:rPr>
          <w:rStyle w:val="normaltextrun"/>
          <w:b/>
          <w:sz w:val="22"/>
          <w:szCs w:val="22"/>
        </w:rPr>
        <w:t>PERMITS</w:t>
      </w:r>
    </w:p>
    <w:p w:rsidR="00182791" w:rsidRPr="00596075" w:rsidP="00182791" w14:paraId="729CBEBB" w14:textId="7BD6BF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717DA9" w:rsidRPr="00914C82" w:rsidP="00F41092" w14:paraId="45255963" w14:textId="19AD1DBA">
      <w:pPr>
        <w:pStyle w:val="paragraph"/>
        <w:spacing w:before="0" w:beforeAutospacing="0" w:after="240" w:afterAutospacing="0"/>
        <w:ind w:firstLine="720"/>
        <w:textAlignment w:val="baseline"/>
        <w:rPr>
          <w:rStyle w:val="normaltextrun"/>
          <w:sz w:val="22"/>
          <w:szCs w:val="22"/>
        </w:rPr>
      </w:pPr>
      <w:r w:rsidRPr="005D1727">
        <w:rPr>
          <w:rStyle w:val="normaltextrun"/>
          <w:sz w:val="22"/>
          <w:szCs w:val="22"/>
        </w:rPr>
        <w:t>In this Public Notice, the Wireless Telecomm</w:t>
      </w:r>
      <w:r w:rsidRPr="005D1727" w:rsidR="00612939">
        <w:rPr>
          <w:rStyle w:val="normaltextrun"/>
          <w:sz w:val="22"/>
          <w:szCs w:val="22"/>
        </w:rPr>
        <w:t xml:space="preserve">unications Bureau (Bureau) </w:t>
      </w:r>
      <w:r w:rsidRPr="00914C82" w:rsidR="001E11D8">
        <w:rPr>
          <w:rStyle w:val="normaltextrun"/>
          <w:sz w:val="22"/>
          <w:szCs w:val="22"/>
        </w:rPr>
        <w:t>of the Federal Communications C</w:t>
      </w:r>
      <w:r w:rsidRPr="005D1727" w:rsidR="00AF52C8">
        <w:rPr>
          <w:rStyle w:val="normaltextrun"/>
          <w:sz w:val="22"/>
          <w:szCs w:val="22"/>
        </w:rPr>
        <w:t>o</w:t>
      </w:r>
      <w:r w:rsidRPr="005D1727" w:rsidR="001E11D8">
        <w:rPr>
          <w:rStyle w:val="normaltextrun"/>
          <w:sz w:val="22"/>
          <w:szCs w:val="22"/>
        </w:rPr>
        <w:t>mmiss</w:t>
      </w:r>
      <w:r w:rsidRPr="005D1727" w:rsidR="00AF52C8">
        <w:rPr>
          <w:rStyle w:val="normaltextrun"/>
          <w:sz w:val="22"/>
          <w:szCs w:val="22"/>
        </w:rPr>
        <w:t>i</w:t>
      </w:r>
      <w:r w:rsidRPr="005D1727" w:rsidR="001E11D8">
        <w:rPr>
          <w:rStyle w:val="normaltextrun"/>
          <w:sz w:val="22"/>
          <w:szCs w:val="22"/>
        </w:rPr>
        <w:t>on</w:t>
      </w:r>
      <w:r w:rsidRPr="005D1727" w:rsidR="00F23A12">
        <w:rPr>
          <w:rStyle w:val="normaltextrun"/>
          <w:sz w:val="22"/>
          <w:szCs w:val="22"/>
        </w:rPr>
        <w:t xml:space="preserve"> (</w:t>
      </w:r>
      <w:r w:rsidRPr="005D1727">
        <w:rPr>
          <w:rStyle w:val="normaltextrun"/>
          <w:sz w:val="22"/>
          <w:szCs w:val="22"/>
        </w:rPr>
        <w:t>FCC</w:t>
      </w:r>
      <w:r w:rsidRPr="005D1727" w:rsidR="00F23A12">
        <w:rPr>
          <w:rStyle w:val="normaltextrun"/>
          <w:sz w:val="22"/>
          <w:szCs w:val="22"/>
        </w:rPr>
        <w:t>)</w:t>
      </w:r>
      <w:r w:rsidRPr="005D1727" w:rsidR="00AF52C8">
        <w:rPr>
          <w:rStyle w:val="normaltextrun"/>
          <w:sz w:val="22"/>
          <w:szCs w:val="22"/>
        </w:rPr>
        <w:t xml:space="preserve"> </w:t>
      </w:r>
      <w:r w:rsidR="00B54F90">
        <w:rPr>
          <w:rStyle w:val="normaltextrun"/>
          <w:sz w:val="22"/>
          <w:szCs w:val="22"/>
        </w:rPr>
        <w:t>notifies tower builders about</w:t>
      </w:r>
      <w:r w:rsidRPr="005D1727" w:rsidR="00722DD2">
        <w:rPr>
          <w:rStyle w:val="normaltextrun"/>
          <w:sz w:val="22"/>
          <w:szCs w:val="22"/>
        </w:rPr>
        <w:t xml:space="preserve"> the </w:t>
      </w:r>
      <w:r w:rsidRPr="005D1727" w:rsidR="00695CDA">
        <w:rPr>
          <w:rStyle w:val="normaltextrun"/>
          <w:sz w:val="22"/>
          <w:szCs w:val="22"/>
        </w:rPr>
        <w:t xml:space="preserve">recent change in the definition of </w:t>
      </w:r>
      <w:r w:rsidRPr="005D1727" w:rsidR="00054C64">
        <w:rPr>
          <w:rStyle w:val="normaltextrun"/>
          <w:sz w:val="22"/>
          <w:szCs w:val="22"/>
        </w:rPr>
        <w:t xml:space="preserve">the </w:t>
      </w:r>
      <w:r w:rsidRPr="005D1727" w:rsidR="00695CDA">
        <w:rPr>
          <w:rStyle w:val="normaltextrun"/>
          <w:sz w:val="22"/>
          <w:szCs w:val="22"/>
        </w:rPr>
        <w:t>“waters of the United States</w:t>
      </w:r>
      <w:r w:rsidRPr="005D1727" w:rsidR="00F30379">
        <w:rPr>
          <w:rStyle w:val="normaltextrun"/>
          <w:sz w:val="22"/>
          <w:szCs w:val="22"/>
        </w:rPr>
        <w:t>”</w:t>
      </w:r>
      <w:r w:rsidRPr="005D1727" w:rsidR="00054C64">
        <w:rPr>
          <w:rStyle w:val="normaltextrun"/>
          <w:sz w:val="22"/>
          <w:szCs w:val="22"/>
        </w:rPr>
        <w:t xml:space="preserve"> provision of the Clean Water</w:t>
      </w:r>
      <w:r w:rsidRPr="005D1727" w:rsidR="00972777">
        <w:rPr>
          <w:rStyle w:val="normaltextrun"/>
          <w:sz w:val="22"/>
          <w:szCs w:val="22"/>
        </w:rPr>
        <w:t xml:space="preserve"> Act</w:t>
      </w:r>
      <w:r w:rsidRPr="005D1727" w:rsidR="006328FF">
        <w:rPr>
          <w:rStyle w:val="normaltextrun"/>
          <w:sz w:val="22"/>
          <w:szCs w:val="22"/>
        </w:rPr>
        <w:t xml:space="preserve"> (CWA).</w:t>
      </w:r>
      <w:r>
        <w:rPr>
          <w:rStyle w:val="FootnoteReference"/>
        </w:rPr>
        <w:footnoteReference w:id="3"/>
      </w:r>
      <w:r w:rsidRPr="005D1727" w:rsidR="009A2C79">
        <w:rPr>
          <w:rStyle w:val="normaltextrun"/>
          <w:sz w:val="22"/>
          <w:szCs w:val="22"/>
        </w:rPr>
        <w:t xml:space="preserve">  </w:t>
      </w:r>
      <w:r w:rsidRPr="00914C82" w:rsidR="001932DE">
        <w:rPr>
          <w:rStyle w:val="normaltextrun"/>
          <w:sz w:val="22"/>
          <w:szCs w:val="22"/>
        </w:rPr>
        <w:t xml:space="preserve">This </w:t>
      </w:r>
      <w:r w:rsidRPr="0038379F" w:rsidR="00722DD2">
        <w:rPr>
          <w:rStyle w:val="normaltextrun"/>
          <w:sz w:val="22"/>
          <w:szCs w:val="22"/>
        </w:rPr>
        <w:t xml:space="preserve">change in the definition </w:t>
      </w:r>
      <w:r w:rsidRPr="005D1727" w:rsidR="001932DE">
        <w:rPr>
          <w:rStyle w:val="normaltextrun"/>
          <w:sz w:val="22"/>
          <w:szCs w:val="22"/>
        </w:rPr>
        <w:t>could affect</w:t>
      </w:r>
      <w:r w:rsidRPr="005D1727" w:rsidR="003E467C">
        <w:rPr>
          <w:rStyle w:val="normaltextrun"/>
          <w:sz w:val="22"/>
          <w:szCs w:val="22"/>
        </w:rPr>
        <w:t xml:space="preserve"> </w:t>
      </w:r>
      <w:r w:rsidRPr="005D1727" w:rsidR="00DE6901">
        <w:rPr>
          <w:rStyle w:val="normaltextrun"/>
          <w:sz w:val="22"/>
          <w:szCs w:val="22"/>
        </w:rPr>
        <w:t xml:space="preserve">tower </w:t>
      </w:r>
      <w:r w:rsidRPr="005D1727" w:rsidR="003668D6">
        <w:rPr>
          <w:rStyle w:val="normaltextrun"/>
          <w:sz w:val="22"/>
          <w:szCs w:val="22"/>
        </w:rPr>
        <w:t xml:space="preserve">builders </w:t>
      </w:r>
      <w:r w:rsidRPr="005D1727" w:rsidR="166D3293">
        <w:rPr>
          <w:rStyle w:val="normaltextrun"/>
          <w:sz w:val="22"/>
          <w:szCs w:val="22"/>
        </w:rPr>
        <w:t xml:space="preserve">with </w:t>
      </w:r>
      <w:r w:rsidRPr="005D1727" w:rsidR="006328FF">
        <w:rPr>
          <w:rStyle w:val="normaltextrun"/>
          <w:sz w:val="22"/>
          <w:szCs w:val="22"/>
        </w:rPr>
        <w:t>facilities requiring CWA permits</w:t>
      </w:r>
      <w:r w:rsidRPr="005D1727" w:rsidR="004720F9">
        <w:rPr>
          <w:rStyle w:val="normaltextrun"/>
          <w:sz w:val="22"/>
          <w:szCs w:val="22"/>
        </w:rPr>
        <w:t>,</w:t>
      </w:r>
      <w:r w:rsidRPr="005D1727" w:rsidR="006328FF">
        <w:rPr>
          <w:rStyle w:val="normaltextrun"/>
          <w:sz w:val="22"/>
          <w:szCs w:val="22"/>
        </w:rPr>
        <w:t xml:space="preserve"> </w:t>
      </w:r>
      <w:r w:rsidRPr="005D1727" w:rsidR="451F1EB2">
        <w:rPr>
          <w:rStyle w:val="normaltextrun"/>
          <w:sz w:val="22"/>
          <w:szCs w:val="22"/>
        </w:rPr>
        <w:t>including</w:t>
      </w:r>
      <w:r w:rsidRPr="005D1727" w:rsidR="006328FF">
        <w:rPr>
          <w:rStyle w:val="normaltextrun"/>
          <w:sz w:val="22"/>
          <w:szCs w:val="22"/>
        </w:rPr>
        <w:t xml:space="preserve"> facilities </w:t>
      </w:r>
      <w:r w:rsidR="001A5ABE">
        <w:rPr>
          <w:rStyle w:val="normaltextrun"/>
          <w:sz w:val="22"/>
          <w:szCs w:val="22"/>
        </w:rPr>
        <w:t xml:space="preserve">whose construction will involve significant change in </w:t>
      </w:r>
      <w:r w:rsidRPr="005D1727" w:rsidR="407C37E1">
        <w:rPr>
          <w:rStyle w:val="normaltextrun"/>
          <w:sz w:val="22"/>
          <w:szCs w:val="22"/>
        </w:rPr>
        <w:t>surface feature</w:t>
      </w:r>
      <w:r w:rsidR="005A232B">
        <w:rPr>
          <w:rStyle w:val="normaltextrun"/>
          <w:sz w:val="22"/>
          <w:szCs w:val="22"/>
        </w:rPr>
        <w:t>s</w:t>
      </w:r>
      <w:r w:rsidRPr="005D1727" w:rsidR="604A9587">
        <w:rPr>
          <w:rStyle w:val="normaltextrun"/>
          <w:sz w:val="22"/>
          <w:szCs w:val="22"/>
        </w:rPr>
        <w:t xml:space="preserve"> </w:t>
      </w:r>
      <w:r w:rsidRPr="005D1727" w:rsidR="006328FF">
        <w:rPr>
          <w:rStyle w:val="normaltextrun"/>
          <w:sz w:val="22"/>
          <w:szCs w:val="22"/>
        </w:rPr>
        <w:t xml:space="preserve">triggering </w:t>
      </w:r>
      <w:r w:rsidRPr="005D1727" w:rsidR="00766FB3">
        <w:rPr>
          <w:rStyle w:val="normaltextrun"/>
          <w:sz w:val="22"/>
          <w:szCs w:val="22"/>
        </w:rPr>
        <w:t>t</w:t>
      </w:r>
      <w:r w:rsidRPr="005D1727" w:rsidR="00F23A12">
        <w:rPr>
          <w:rStyle w:val="normaltextrun"/>
          <w:sz w:val="22"/>
          <w:szCs w:val="22"/>
        </w:rPr>
        <w:t>he environmental assessment (EA) provisions under th</w:t>
      </w:r>
      <w:r w:rsidRPr="005D1727">
        <w:rPr>
          <w:rStyle w:val="normaltextrun"/>
          <w:sz w:val="22"/>
          <w:szCs w:val="22"/>
        </w:rPr>
        <w:t xml:space="preserve">e FCC’s </w:t>
      </w:r>
      <w:r w:rsidRPr="005D1727" w:rsidR="00F23A12">
        <w:rPr>
          <w:rStyle w:val="normaltextrun"/>
          <w:sz w:val="22"/>
          <w:szCs w:val="22"/>
        </w:rPr>
        <w:t>environmental rules</w:t>
      </w:r>
      <w:r w:rsidRPr="005D1727" w:rsidR="003668D6">
        <w:rPr>
          <w:rStyle w:val="normaltextrun"/>
          <w:sz w:val="22"/>
          <w:szCs w:val="22"/>
        </w:rPr>
        <w:t>.</w:t>
      </w:r>
      <w:r>
        <w:rPr>
          <w:rStyle w:val="FootnoteReference"/>
        </w:rPr>
        <w:footnoteReference w:id="4"/>
      </w:r>
      <w:r w:rsidRPr="005D1727" w:rsidR="003668D6">
        <w:rPr>
          <w:rStyle w:val="normaltextrun"/>
          <w:sz w:val="22"/>
          <w:szCs w:val="22"/>
        </w:rPr>
        <w:t xml:space="preserve"> </w:t>
      </w:r>
      <w:r w:rsidR="00FD0CEF">
        <w:rPr>
          <w:rStyle w:val="normaltextrun"/>
          <w:sz w:val="22"/>
          <w:szCs w:val="22"/>
        </w:rPr>
        <w:t xml:space="preserve"> </w:t>
      </w:r>
    </w:p>
    <w:p w:rsidR="004720F9" w:rsidP="00F41092" w14:paraId="4AE48647" w14:textId="66F82342">
      <w:pPr>
        <w:pStyle w:val="paragraph"/>
        <w:spacing w:before="0" w:beforeAutospacing="0" w:after="240" w:afterAutospacing="0"/>
        <w:ind w:firstLine="720"/>
        <w:textAlignment w:val="baseline"/>
        <w:rPr>
          <w:rStyle w:val="normaltextrun"/>
          <w:sz w:val="22"/>
          <w:szCs w:val="22"/>
        </w:rPr>
      </w:pPr>
      <w:r w:rsidRPr="005D1727">
        <w:rPr>
          <w:rStyle w:val="normaltextrun"/>
          <w:sz w:val="22"/>
          <w:szCs w:val="22"/>
        </w:rPr>
        <w:t xml:space="preserve">On </w:t>
      </w:r>
      <w:r w:rsidRPr="005D1727" w:rsidR="008B0D8C">
        <w:rPr>
          <w:rStyle w:val="normaltextrun"/>
          <w:sz w:val="22"/>
          <w:szCs w:val="22"/>
        </w:rPr>
        <w:t>August 30, 2021,</w:t>
      </w:r>
      <w:r w:rsidRPr="005D1727" w:rsidR="000800A7">
        <w:rPr>
          <w:rStyle w:val="normaltextrun"/>
          <w:sz w:val="22"/>
          <w:szCs w:val="22"/>
        </w:rPr>
        <w:t xml:space="preserve"> </w:t>
      </w:r>
      <w:r w:rsidR="00845A92">
        <w:rPr>
          <w:rStyle w:val="normaltextrun"/>
          <w:sz w:val="22"/>
          <w:szCs w:val="22"/>
        </w:rPr>
        <w:t>the</w:t>
      </w:r>
      <w:r w:rsidRPr="005D1727" w:rsidR="00845A92">
        <w:rPr>
          <w:rStyle w:val="normaltextrun"/>
          <w:sz w:val="22"/>
          <w:szCs w:val="22"/>
        </w:rPr>
        <w:t xml:space="preserve"> </w:t>
      </w:r>
      <w:r w:rsidRPr="005D1727" w:rsidR="000800A7">
        <w:rPr>
          <w:rStyle w:val="normaltextrun"/>
          <w:sz w:val="22"/>
          <w:szCs w:val="22"/>
        </w:rPr>
        <w:t xml:space="preserve">U.S. District </w:t>
      </w:r>
      <w:r w:rsidRPr="005D1727" w:rsidR="00F21098">
        <w:rPr>
          <w:rStyle w:val="normaltextrun"/>
          <w:sz w:val="22"/>
          <w:szCs w:val="22"/>
        </w:rPr>
        <w:t>C</w:t>
      </w:r>
      <w:r w:rsidRPr="005D1727" w:rsidR="000800A7">
        <w:rPr>
          <w:rStyle w:val="normaltextrun"/>
          <w:sz w:val="22"/>
          <w:szCs w:val="22"/>
        </w:rPr>
        <w:t>ourt for the District of Arizon</w:t>
      </w:r>
      <w:r w:rsidRPr="005D1727" w:rsidR="002676AC">
        <w:rPr>
          <w:rStyle w:val="normaltextrun"/>
          <w:sz w:val="22"/>
          <w:szCs w:val="22"/>
        </w:rPr>
        <w:t>a</w:t>
      </w:r>
      <w:r w:rsidRPr="005D1727" w:rsidR="000800A7">
        <w:rPr>
          <w:rStyle w:val="normaltextrun"/>
          <w:sz w:val="22"/>
          <w:szCs w:val="22"/>
        </w:rPr>
        <w:t xml:space="preserve"> </w:t>
      </w:r>
      <w:r w:rsidRPr="005D1727" w:rsidR="00F260D6">
        <w:rPr>
          <w:rStyle w:val="normaltextrun"/>
          <w:sz w:val="22"/>
          <w:szCs w:val="22"/>
        </w:rPr>
        <w:t>(Court</w:t>
      </w:r>
      <w:r w:rsidR="00F260D6">
        <w:rPr>
          <w:rStyle w:val="normaltextrun"/>
          <w:sz w:val="22"/>
          <w:szCs w:val="22"/>
        </w:rPr>
        <w:t xml:space="preserve">) </w:t>
      </w:r>
      <w:r w:rsidR="002676AC">
        <w:rPr>
          <w:rStyle w:val="normaltextrun"/>
          <w:sz w:val="22"/>
          <w:szCs w:val="22"/>
        </w:rPr>
        <w:t xml:space="preserve">vacated </w:t>
      </w:r>
      <w:r w:rsidR="0082651B">
        <w:rPr>
          <w:rStyle w:val="normaltextrun"/>
          <w:sz w:val="22"/>
          <w:szCs w:val="22"/>
        </w:rPr>
        <w:t xml:space="preserve">the Navigable Waters Protection Rule (NWPR) and remanded the rule </w:t>
      </w:r>
      <w:r w:rsidR="00315FCB">
        <w:rPr>
          <w:rStyle w:val="normaltextrun"/>
          <w:sz w:val="22"/>
          <w:szCs w:val="22"/>
        </w:rPr>
        <w:t xml:space="preserve">to </w:t>
      </w:r>
      <w:r w:rsidR="00DD2768">
        <w:rPr>
          <w:rStyle w:val="normaltextrun"/>
          <w:sz w:val="22"/>
          <w:szCs w:val="22"/>
        </w:rPr>
        <w:t>the U.S</w:t>
      </w:r>
      <w:r w:rsidR="00AA3AFF">
        <w:rPr>
          <w:rStyle w:val="normaltextrun"/>
          <w:sz w:val="22"/>
          <w:szCs w:val="22"/>
        </w:rPr>
        <w:t>.</w:t>
      </w:r>
      <w:r w:rsidR="00DD2768">
        <w:rPr>
          <w:rStyle w:val="normaltextrun"/>
          <w:sz w:val="22"/>
          <w:szCs w:val="22"/>
        </w:rPr>
        <w:t xml:space="preserve"> Army Corps of Engineers</w:t>
      </w:r>
      <w:r w:rsidR="00344684">
        <w:rPr>
          <w:rStyle w:val="normaltextrun"/>
          <w:sz w:val="22"/>
          <w:szCs w:val="22"/>
        </w:rPr>
        <w:t xml:space="preserve"> (Corps)</w:t>
      </w:r>
      <w:r w:rsidR="00DD2768">
        <w:rPr>
          <w:rStyle w:val="normaltextrun"/>
          <w:sz w:val="22"/>
          <w:szCs w:val="22"/>
        </w:rPr>
        <w:t xml:space="preserve"> and </w:t>
      </w:r>
      <w:r w:rsidR="00AA3AFF">
        <w:rPr>
          <w:rStyle w:val="normaltextrun"/>
          <w:sz w:val="22"/>
          <w:szCs w:val="22"/>
        </w:rPr>
        <w:t>the U.S. Environmental Protection Agency</w:t>
      </w:r>
      <w:r w:rsidR="00835E04">
        <w:rPr>
          <w:rStyle w:val="normaltextrun"/>
          <w:sz w:val="22"/>
          <w:szCs w:val="22"/>
        </w:rPr>
        <w:t xml:space="preserve"> </w:t>
      </w:r>
      <w:r w:rsidR="00344684">
        <w:rPr>
          <w:rStyle w:val="normaltextrun"/>
          <w:sz w:val="22"/>
          <w:szCs w:val="22"/>
        </w:rPr>
        <w:t>(EPA)</w:t>
      </w:r>
      <w:r w:rsidR="00AA3AFF">
        <w:rPr>
          <w:rStyle w:val="normaltextrun"/>
          <w:sz w:val="22"/>
          <w:szCs w:val="22"/>
        </w:rPr>
        <w:t xml:space="preserve"> </w:t>
      </w:r>
      <w:r w:rsidR="00354F56">
        <w:rPr>
          <w:rStyle w:val="normaltextrun"/>
          <w:sz w:val="22"/>
          <w:szCs w:val="22"/>
        </w:rPr>
        <w:t>(collectively, Agencies).</w:t>
      </w:r>
      <w:r>
        <w:rPr>
          <w:rStyle w:val="FootnoteReference"/>
          <w:szCs w:val="22"/>
        </w:rPr>
        <w:footnoteReference w:id="5"/>
      </w:r>
      <w:r w:rsidR="00354F56">
        <w:rPr>
          <w:rStyle w:val="normaltextrun"/>
          <w:sz w:val="22"/>
          <w:szCs w:val="22"/>
        </w:rPr>
        <w:t xml:space="preserve"> </w:t>
      </w:r>
      <w:r w:rsidR="00B06190">
        <w:rPr>
          <w:rStyle w:val="normaltextrun"/>
          <w:sz w:val="22"/>
          <w:szCs w:val="22"/>
        </w:rPr>
        <w:t xml:space="preserve"> </w:t>
      </w:r>
      <w:r w:rsidR="00E56176">
        <w:rPr>
          <w:rStyle w:val="normaltextrun"/>
          <w:sz w:val="22"/>
          <w:szCs w:val="22"/>
        </w:rPr>
        <w:t>Since 2020, the NWPR ha</w:t>
      </w:r>
      <w:r w:rsidR="00303A74">
        <w:rPr>
          <w:rStyle w:val="normaltextrun"/>
          <w:sz w:val="22"/>
          <w:szCs w:val="22"/>
        </w:rPr>
        <w:t>d</w:t>
      </w:r>
      <w:r w:rsidR="00E56176">
        <w:rPr>
          <w:rStyle w:val="normaltextrun"/>
          <w:sz w:val="22"/>
          <w:szCs w:val="22"/>
        </w:rPr>
        <w:t xml:space="preserve"> defined the meaning of the </w:t>
      </w:r>
      <w:r w:rsidR="00456F83">
        <w:rPr>
          <w:rStyle w:val="normaltextrun"/>
          <w:sz w:val="22"/>
          <w:szCs w:val="22"/>
        </w:rPr>
        <w:t>“waters of the United States” (</w:t>
      </w:r>
      <w:r w:rsidR="00E56176">
        <w:rPr>
          <w:rStyle w:val="normaltextrun"/>
          <w:sz w:val="22"/>
          <w:szCs w:val="22"/>
        </w:rPr>
        <w:t>WOTUS</w:t>
      </w:r>
      <w:r w:rsidR="00456F83">
        <w:rPr>
          <w:rStyle w:val="normaltextrun"/>
          <w:sz w:val="22"/>
          <w:szCs w:val="22"/>
        </w:rPr>
        <w:t>)</w:t>
      </w:r>
      <w:r w:rsidR="00E56176">
        <w:rPr>
          <w:rStyle w:val="normaltextrun"/>
          <w:sz w:val="22"/>
          <w:szCs w:val="22"/>
        </w:rPr>
        <w:t xml:space="preserve"> provision of the Clean Water Act.</w:t>
      </w:r>
      <w:r>
        <w:rPr>
          <w:rStyle w:val="FootnoteReference"/>
          <w:szCs w:val="22"/>
        </w:rPr>
        <w:footnoteReference w:id="6"/>
      </w:r>
      <w:r w:rsidR="00E56176">
        <w:rPr>
          <w:rStyle w:val="normaltextrun"/>
          <w:sz w:val="22"/>
          <w:szCs w:val="22"/>
        </w:rPr>
        <w:t xml:space="preserve">  </w:t>
      </w:r>
      <w:r w:rsidR="00E73DF5">
        <w:rPr>
          <w:rStyle w:val="normaltextrun"/>
          <w:sz w:val="22"/>
          <w:szCs w:val="22"/>
        </w:rPr>
        <w:t>After the Court vacated the NWPR, t</w:t>
      </w:r>
      <w:r w:rsidR="00F2486B">
        <w:rPr>
          <w:rStyle w:val="normaltextrun"/>
          <w:sz w:val="22"/>
          <w:szCs w:val="22"/>
        </w:rPr>
        <w:t xml:space="preserve">he </w:t>
      </w:r>
      <w:r w:rsidR="00A5681B">
        <w:rPr>
          <w:rStyle w:val="normaltextrun"/>
          <w:sz w:val="22"/>
          <w:szCs w:val="22"/>
        </w:rPr>
        <w:t xml:space="preserve">Agencies </w:t>
      </w:r>
      <w:r w:rsidR="003C6D8E">
        <w:rPr>
          <w:rStyle w:val="normaltextrun"/>
          <w:sz w:val="22"/>
          <w:szCs w:val="22"/>
        </w:rPr>
        <w:t xml:space="preserve">halted </w:t>
      </w:r>
      <w:r w:rsidR="00906849">
        <w:rPr>
          <w:rStyle w:val="normaltextrun"/>
          <w:sz w:val="22"/>
          <w:szCs w:val="22"/>
        </w:rPr>
        <w:t xml:space="preserve">application </w:t>
      </w:r>
      <w:r w:rsidR="003C6D8E">
        <w:rPr>
          <w:rStyle w:val="normaltextrun"/>
          <w:sz w:val="22"/>
          <w:szCs w:val="22"/>
        </w:rPr>
        <w:t xml:space="preserve">of </w:t>
      </w:r>
      <w:r w:rsidR="003551E7">
        <w:rPr>
          <w:rStyle w:val="normaltextrun"/>
          <w:sz w:val="22"/>
          <w:szCs w:val="22"/>
        </w:rPr>
        <w:t xml:space="preserve">the </w:t>
      </w:r>
      <w:r w:rsidR="007A50FA">
        <w:rPr>
          <w:rStyle w:val="normaltextrun"/>
          <w:sz w:val="22"/>
          <w:szCs w:val="22"/>
        </w:rPr>
        <w:t>NWPR</w:t>
      </w:r>
      <w:r w:rsidR="00BE00B6">
        <w:rPr>
          <w:rStyle w:val="normaltextrun"/>
          <w:sz w:val="22"/>
          <w:szCs w:val="22"/>
        </w:rPr>
        <w:t xml:space="preserve"> </w:t>
      </w:r>
      <w:r w:rsidR="00A36EB3">
        <w:rPr>
          <w:rStyle w:val="normaltextrun"/>
          <w:sz w:val="22"/>
          <w:szCs w:val="22"/>
        </w:rPr>
        <w:t>“</w:t>
      </w:r>
      <w:r w:rsidR="00BE00B6">
        <w:rPr>
          <w:rStyle w:val="normaltextrun"/>
          <w:sz w:val="22"/>
          <w:szCs w:val="22"/>
        </w:rPr>
        <w:t xml:space="preserve">in </w:t>
      </w:r>
      <w:r w:rsidR="0085080F">
        <w:rPr>
          <w:rStyle w:val="normaltextrun"/>
          <w:sz w:val="22"/>
          <w:szCs w:val="22"/>
        </w:rPr>
        <w:t>early September 2021</w:t>
      </w:r>
      <w:r w:rsidR="00D66B21">
        <w:rPr>
          <w:rStyle w:val="normaltextrun"/>
          <w:sz w:val="22"/>
          <w:szCs w:val="22"/>
        </w:rPr>
        <w:t>,</w:t>
      </w:r>
      <w:r w:rsidR="00A36EB3">
        <w:rPr>
          <w:rStyle w:val="normaltextrun"/>
          <w:sz w:val="22"/>
          <w:szCs w:val="22"/>
        </w:rPr>
        <w:t>”</w:t>
      </w:r>
      <w:r>
        <w:rPr>
          <w:rStyle w:val="FootnoteReference"/>
          <w:szCs w:val="22"/>
        </w:rPr>
        <w:footnoteReference w:id="7"/>
      </w:r>
      <w:r w:rsidR="00BE5570">
        <w:rPr>
          <w:rStyle w:val="normaltextrun"/>
          <w:sz w:val="22"/>
          <w:szCs w:val="22"/>
        </w:rPr>
        <w:t xml:space="preserve"> </w:t>
      </w:r>
      <w:r w:rsidR="00D66B21">
        <w:rPr>
          <w:rStyle w:val="normaltextrun"/>
          <w:sz w:val="22"/>
          <w:szCs w:val="22"/>
        </w:rPr>
        <w:t xml:space="preserve">and </w:t>
      </w:r>
      <w:r w:rsidR="00313D83">
        <w:rPr>
          <w:rStyle w:val="normaltextrun"/>
          <w:sz w:val="22"/>
          <w:szCs w:val="22"/>
        </w:rPr>
        <w:t xml:space="preserve">have been </w:t>
      </w:r>
      <w:r w:rsidR="009706ED">
        <w:rPr>
          <w:rStyle w:val="normaltextrun"/>
          <w:sz w:val="22"/>
          <w:szCs w:val="22"/>
        </w:rPr>
        <w:t xml:space="preserve">interpreting </w:t>
      </w:r>
      <w:r w:rsidR="008721AF">
        <w:rPr>
          <w:rStyle w:val="normaltextrun"/>
          <w:sz w:val="22"/>
          <w:szCs w:val="22"/>
        </w:rPr>
        <w:t xml:space="preserve">the </w:t>
      </w:r>
      <w:r w:rsidR="009706ED">
        <w:rPr>
          <w:rStyle w:val="normaltextrun"/>
          <w:sz w:val="22"/>
          <w:szCs w:val="22"/>
        </w:rPr>
        <w:t xml:space="preserve">WOTUS </w:t>
      </w:r>
      <w:r w:rsidR="00C666EF">
        <w:rPr>
          <w:rStyle w:val="normaltextrun"/>
          <w:sz w:val="22"/>
          <w:szCs w:val="22"/>
        </w:rPr>
        <w:t xml:space="preserve">provision </w:t>
      </w:r>
      <w:r w:rsidR="009706ED">
        <w:rPr>
          <w:rStyle w:val="normaltextrun"/>
          <w:sz w:val="22"/>
          <w:szCs w:val="22"/>
        </w:rPr>
        <w:t>consistent with the pre-2015</w:t>
      </w:r>
      <w:r w:rsidR="001A6359">
        <w:rPr>
          <w:rStyle w:val="normaltextrun"/>
          <w:sz w:val="22"/>
          <w:szCs w:val="22"/>
        </w:rPr>
        <w:t xml:space="preserve"> WOTUS</w:t>
      </w:r>
      <w:r w:rsidR="009706ED">
        <w:rPr>
          <w:rStyle w:val="normaltextrun"/>
          <w:sz w:val="22"/>
          <w:szCs w:val="22"/>
        </w:rPr>
        <w:t xml:space="preserve"> regulatory regime.</w:t>
      </w:r>
      <w:r>
        <w:rPr>
          <w:rStyle w:val="FootnoteReference"/>
          <w:szCs w:val="22"/>
        </w:rPr>
        <w:footnoteReference w:id="8"/>
      </w:r>
      <w:r w:rsidR="00784D1A">
        <w:rPr>
          <w:rStyle w:val="normaltextrun"/>
          <w:sz w:val="22"/>
          <w:szCs w:val="22"/>
        </w:rPr>
        <w:t xml:space="preserve">  </w:t>
      </w:r>
    </w:p>
    <w:p w:rsidR="00182791" w:rsidP="00F41092" w14:paraId="145623FA" w14:textId="4BA86C5A">
      <w:pPr>
        <w:pStyle w:val="paragraph"/>
        <w:spacing w:before="0" w:beforeAutospacing="0" w:after="240" w:afterAutospacing="0"/>
        <w:ind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96075">
        <w:rPr>
          <w:sz w:val="22"/>
          <w:szCs w:val="22"/>
        </w:rPr>
        <w:t xml:space="preserve">Property owners, agents, or project proponents, including tower builders, </w:t>
      </w:r>
      <w:r w:rsidRPr="00596075" w:rsidR="064C814B">
        <w:rPr>
          <w:sz w:val="22"/>
          <w:szCs w:val="22"/>
        </w:rPr>
        <w:t>submit requests for Corps “jurisdictional determination</w:t>
      </w:r>
      <w:r w:rsidR="00464B6D">
        <w:rPr>
          <w:sz w:val="22"/>
          <w:szCs w:val="22"/>
        </w:rPr>
        <w:t>s</w:t>
      </w:r>
      <w:r w:rsidRPr="00596075" w:rsidR="064C814B">
        <w:rPr>
          <w:sz w:val="22"/>
          <w:szCs w:val="22"/>
        </w:rPr>
        <w:t>” (JD) to identify projects</w:t>
      </w:r>
      <w:r w:rsidRPr="00596075" w:rsidR="513A6122">
        <w:rPr>
          <w:sz w:val="22"/>
          <w:szCs w:val="22"/>
        </w:rPr>
        <w:t xml:space="preserve"> requiring CWA permits</w:t>
      </w:r>
      <w:r w:rsidRPr="00596075" w:rsidR="104A8AA0">
        <w:rPr>
          <w:sz w:val="22"/>
          <w:szCs w:val="22"/>
        </w:rPr>
        <w:t xml:space="preserve"> </w:t>
      </w:r>
      <w:r w:rsidRPr="58F14176" w:rsidR="25334F83">
        <w:rPr>
          <w:sz w:val="22"/>
          <w:szCs w:val="22"/>
        </w:rPr>
        <w:t xml:space="preserve">due to potential </w:t>
      </w:r>
      <w:r w:rsidRPr="58F14176" w:rsidR="25334F83">
        <w:rPr>
          <w:sz w:val="22"/>
          <w:szCs w:val="22"/>
        </w:rPr>
        <w:t>impacts to protected waters</w:t>
      </w:r>
      <w:r w:rsidR="00576740">
        <w:rPr>
          <w:sz w:val="22"/>
          <w:szCs w:val="22"/>
        </w:rPr>
        <w:t>.</w:t>
      </w:r>
      <w:r>
        <w:rPr>
          <w:rStyle w:val="FootnoteReference"/>
        </w:rPr>
        <w:footnoteReference w:id="9"/>
      </w:r>
      <w:r w:rsidRPr="00596075" w:rsidR="513A6122">
        <w:rPr>
          <w:sz w:val="22"/>
          <w:szCs w:val="22"/>
        </w:rPr>
        <w:t xml:space="preserve">  </w:t>
      </w:r>
      <w:r w:rsidRPr="00596075" w:rsidR="7AF68170">
        <w:rPr>
          <w:sz w:val="22"/>
          <w:szCs w:val="22"/>
        </w:rPr>
        <w:t>A tower builder may request a</w:t>
      </w:r>
      <w:r w:rsidRPr="00596075" w:rsidR="45E46148">
        <w:rPr>
          <w:sz w:val="22"/>
          <w:szCs w:val="22"/>
        </w:rPr>
        <w:t xml:space="preserve"> preliminary (</w:t>
      </w:r>
      <w:r w:rsidR="00617EAE">
        <w:rPr>
          <w:sz w:val="22"/>
          <w:szCs w:val="22"/>
        </w:rPr>
        <w:t>advisory</w:t>
      </w:r>
      <w:r w:rsidRPr="00596075" w:rsidR="45E46148">
        <w:rPr>
          <w:sz w:val="22"/>
          <w:szCs w:val="22"/>
        </w:rPr>
        <w:t>)</w:t>
      </w:r>
      <w:r w:rsidR="001C264D">
        <w:rPr>
          <w:sz w:val="22"/>
          <w:szCs w:val="22"/>
        </w:rPr>
        <w:t xml:space="preserve"> JD</w:t>
      </w:r>
      <w:r>
        <w:rPr>
          <w:rStyle w:val="FootnoteReference"/>
          <w:szCs w:val="22"/>
        </w:rPr>
        <w:footnoteReference w:id="10"/>
      </w:r>
      <w:r w:rsidRPr="00596075" w:rsidR="45E46148">
        <w:rPr>
          <w:sz w:val="22"/>
          <w:szCs w:val="22"/>
        </w:rPr>
        <w:t xml:space="preserve"> or</w:t>
      </w:r>
      <w:r w:rsidRPr="00596075" w:rsidR="7AF68170">
        <w:rPr>
          <w:sz w:val="22"/>
          <w:szCs w:val="22"/>
        </w:rPr>
        <w:t xml:space="preserve"> </w:t>
      </w:r>
      <w:r w:rsidR="001C264D">
        <w:rPr>
          <w:sz w:val="22"/>
          <w:szCs w:val="22"/>
        </w:rPr>
        <w:t>a</w:t>
      </w:r>
      <w:r w:rsidRPr="00596075" w:rsidR="005D1727">
        <w:rPr>
          <w:sz w:val="22"/>
          <w:szCs w:val="22"/>
        </w:rPr>
        <w:t xml:space="preserve">n </w:t>
      </w:r>
      <w:r w:rsidR="00A31D5B">
        <w:rPr>
          <w:sz w:val="22"/>
          <w:szCs w:val="22"/>
        </w:rPr>
        <w:t>“</w:t>
      </w:r>
      <w:r w:rsidRPr="00596075" w:rsidR="005D1727">
        <w:rPr>
          <w:sz w:val="22"/>
          <w:szCs w:val="22"/>
        </w:rPr>
        <w:t>approved jurisdictional determination</w:t>
      </w:r>
      <w:r w:rsidR="00A31D5B">
        <w:rPr>
          <w:sz w:val="22"/>
          <w:szCs w:val="22"/>
        </w:rPr>
        <w:t>”</w:t>
      </w:r>
      <w:r w:rsidRPr="00596075" w:rsidR="005D1727">
        <w:rPr>
          <w:sz w:val="22"/>
          <w:szCs w:val="22"/>
        </w:rPr>
        <w:t xml:space="preserve"> (AJD)</w:t>
      </w:r>
      <w:r w:rsidR="001C264D">
        <w:rPr>
          <w:sz w:val="22"/>
          <w:szCs w:val="22"/>
        </w:rPr>
        <w:t>, which</w:t>
      </w:r>
      <w:r w:rsidRPr="00596075" w:rsidR="005D1727">
        <w:rPr>
          <w:sz w:val="22"/>
          <w:szCs w:val="22"/>
        </w:rPr>
        <w:t xml:space="preserve"> </w:t>
      </w:r>
      <w:r w:rsidR="17355326">
        <w:rPr>
          <w:sz w:val="22"/>
          <w:szCs w:val="22"/>
        </w:rPr>
        <w:t xml:space="preserve">officially </w:t>
      </w:r>
      <w:r w:rsidR="71E005C4">
        <w:rPr>
          <w:sz w:val="22"/>
          <w:szCs w:val="22"/>
        </w:rPr>
        <w:t>documents</w:t>
      </w:r>
      <w:r w:rsidR="00A31D5B">
        <w:rPr>
          <w:sz w:val="22"/>
          <w:szCs w:val="22"/>
        </w:rPr>
        <w:t xml:space="preserve"> the </w:t>
      </w:r>
      <w:r w:rsidRPr="00596075" w:rsidR="004678A0">
        <w:rPr>
          <w:sz w:val="22"/>
          <w:szCs w:val="22"/>
        </w:rPr>
        <w:t xml:space="preserve">presence or </w:t>
      </w:r>
      <w:r w:rsidR="00DB18A2">
        <w:rPr>
          <w:sz w:val="22"/>
          <w:szCs w:val="22"/>
        </w:rPr>
        <w:t xml:space="preserve">confirms the </w:t>
      </w:r>
      <w:r w:rsidRPr="00596075" w:rsidR="004678A0">
        <w:rPr>
          <w:sz w:val="22"/>
          <w:szCs w:val="22"/>
        </w:rPr>
        <w:t xml:space="preserve">absence of </w:t>
      </w:r>
      <w:r w:rsidR="00A31D5B">
        <w:rPr>
          <w:sz w:val="22"/>
          <w:szCs w:val="22"/>
        </w:rPr>
        <w:t xml:space="preserve">WOTUS </w:t>
      </w:r>
      <w:r w:rsidRPr="00596075" w:rsidR="004678A0">
        <w:rPr>
          <w:sz w:val="22"/>
          <w:szCs w:val="22"/>
        </w:rPr>
        <w:t>on a parcel of land.</w:t>
      </w:r>
      <w:r>
        <w:rPr>
          <w:rStyle w:val="FootnoteReference"/>
        </w:rPr>
        <w:footnoteReference w:id="11"/>
      </w:r>
      <w:r w:rsidRPr="58F14176" w:rsidR="76E481AC">
        <w:rPr>
          <w:rStyle w:val="FootnoteReference"/>
        </w:rPr>
        <w:t xml:space="preserve">  </w:t>
      </w:r>
      <w:r w:rsidR="00A31D5B">
        <w:rPr>
          <w:sz w:val="22"/>
          <w:szCs w:val="22"/>
        </w:rPr>
        <w:t xml:space="preserve"> </w:t>
      </w:r>
      <w:r w:rsidR="00914C82">
        <w:rPr>
          <w:sz w:val="22"/>
          <w:szCs w:val="22"/>
        </w:rPr>
        <w:t>The</w:t>
      </w:r>
      <w:r w:rsidR="0038379F">
        <w:rPr>
          <w:sz w:val="22"/>
          <w:szCs w:val="22"/>
        </w:rPr>
        <w:t xml:space="preserve"> Corps </w:t>
      </w:r>
      <w:r w:rsidRPr="58F14176" w:rsidR="00324C09">
        <w:rPr>
          <w:sz w:val="22"/>
          <w:szCs w:val="22"/>
        </w:rPr>
        <w:t>is</w:t>
      </w:r>
      <w:r w:rsidRPr="00A31D5B" w:rsidR="00324C09">
        <w:rPr>
          <w:rStyle w:val="normaltextrun"/>
          <w:sz w:val="22"/>
          <w:szCs w:val="22"/>
        </w:rPr>
        <w:t xml:space="preserve"> </w:t>
      </w:r>
      <w:r w:rsidR="005C00AA">
        <w:rPr>
          <w:rStyle w:val="normaltextrun"/>
          <w:sz w:val="22"/>
          <w:szCs w:val="22"/>
        </w:rPr>
        <w:t>apply</w:t>
      </w:r>
      <w:r w:rsidRPr="00A31D5B" w:rsidR="00914C82">
        <w:rPr>
          <w:rStyle w:val="normaltextrun"/>
          <w:sz w:val="22"/>
          <w:szCs w:val="22"/>
        </w:rPr>
        <w:t>ing</w:t>
      </w:r>
      <w:r w:rsidRPr="00A31D5B" w:rsidR="005C00AA">
        <w:rPr>
          <w:rStyle w:val="normaltextrun"/>
          <w:sz w:val="22"/>
          <w:szCs w:val="22"/>
        </w:rPr>
        <w:t xml:space="preserve"> the pre-2015 WOTUS regulatory regime</w:t>
      </w:r>
      <w:r w:rsidRPr="00A31D5B" w:rsidR="003D072B">
        <w:rPr>
          <w:rStyle w:val="normaltextrun"/>
          <w:sz w:val="22"/>
          <w:szCs w:val="22"/>
        </w:rPr>
        <w:t xml:space="preserve"> t</w:t>
      </w:r>
      <w:r w:rsidRPr="00A31D5B" w:rsidR="005C00AA">
        <w:rPr>
          <w:rStyle w:val="normaltextrun"/>
          <w:sz w:val="22"/>
          <w:szCs w:val="22"/>
        </w:rPr>
        <w:t xml:space="preserve">o </w:t>
      </w:r>
      <w:r w:rsidRPr="00A31D5B" w:rsidR="00CF158F">
        <w:rPr>
          <w:rStyle w:val="normaltextrun"/>
          <w:sz w:val="22"/>
          <w:szCs w:val="22"/>
        </w:rPr>
        <w:t xml:space="preserve">all </w:t>
      </w:r>
      <w:r w:rsidRPr="00A31D5B" w:rsidR="003D072B">
        <w:rPr>
          <w:rStyle w:val="normaltextrun"/>
          <w:sz w:val="22"/>
          <w:szCs w:val="22"/>
        </w:rPr>
        <w:t xml:space="preserve">requests for </w:t>
      </w:r>
      <w:r w:rsidRPr="00A31D5B" w:rsidR="00C26296">
        <w:rPr>
          <w:rStyle w:val="normaltextrun"/>
          <w:sz w:val="22"/>
          <w:szCs w:val="22"/>
        </w:rPr>
        <w:t xml:space="preserve">an </w:t>
      </w:r>
      <w:r w:rsidRPr="005D1727" w:rsidR="00D354A7">
        <w:rPr>
          <w:rStyle w:val="normaltextrun"/>
          <w:sz w:val="22"/>
          <w:szCs w:val="22"/>
        </w:rPr>
        <w:t>AJD</w:t>
      </w:r>
      <w:r w:rsidRPr="005D1727" w:rsidR="00FE52C7">
        <w:rPr>
          <w:rStyle w:val="normaltextrun"/>
          <w:sz w:val="22"/>
          <w:szCs w:val="22"/>
        </w:rPr>
        <w:t xml:space="preserve"> that we</w:t>
      </w:r>
      <w:r w:rsidRPr="005D1727" w:rsidR="005F28F1">
        <w:rPr>
          <w:rStyle w:val="normaltextrun"/>
          <w:sz w:val="22"/>
          <w:szCs w:val="22"/>
        </w:rPr>
        <w:t>re</w:t>
      </w:r>
      <w:r w:rsidRPr="005D1727" w:rsidR="00FE52C7">
        <w:rPr>
          <w:rStyle w:val="normaltextrun"/>
          <w:sz w:val="22"/>
          <w:szCs w:val="22"/>
        </w:rPr>
        <w:t xml:space="preserve"> </w:t>
      </w:r>
      <w:r w:rsidRPr="005D1727" w:rsidR="004F2D40">
        <w:rPr>
          <w:rStyle w:val="normaltextrun"/>
          <w:sz w:val="22"/>
          <w:szCs w:val="22"/>
        </w:rPr>
        <w:t xml:space="preserve">either </w:t>
      </w:r>
      <w:r w:rsidRPr="005D1727" w:rsidR="003D072B">
        <w:rPr>
          <w:rStyle w:val="normaltextrun"/>
          <w:sz w:val="22"/>
          <w:szCs w:val="22"/>
        </w:rPr>
        <w:t xml:space="preserve">pending on or received after the </w:t>
      </w:r>
      <w:r w:rsidRPr="005D1727" w:rsidR="00AE64B7">
        <w:rPr>
          <w:rStyle w:val="normaltextrun"/>
          <w:sz w:val="22"/>
          <w:szCs w:val="22"/>
        </w:rPr>
        <w:t>Court vacat</w:t>
      </w:r>
      <w:r w:rsidRPr="005D1727" w:rsidR="00A91E54">
        <w:rPr>
          <w:rStyle w:val="normaltextrun"/>
          <w:sz w:val="22"/>
          <w:szCs w:val="22"/>
        </w:rPr>
        <w:t>ed</w:t>
      </w:r>
      <w:r w:rsidRPr="005D1727" w:rsidR="00AE64B7">
        <w:rPr>
          <w:rStyle w:val="normaltextrun"/>
          <w:sz w:val="22"/>
          <w:szCs w:val="22"/>
        </w:rPr>
        <w:t xml:space="preserve"> the </w:t>
      </w:r>
      <w:r w:rsidRPr="00A31D5B" w:rsidR="00B94625">
        <w:rPr>
          <w:rStyle w:val="normaltextrun"/>
          <w:sz w:val="22"/>
          <w:szCs w:val="22"/>
        </w:rPr>
        <w:t xml:space="preserve">NWPR </w:t>
      </w:r>
      <w:r w:rsidRPr="00A31D5B" w:rsidR="00AE64B7">
        <w:rPr>
          <w:rStyle w:val="normaltextrun"/>
          <w:sz w:val="22"/>
          <w:szCs w:val="22"/>
        </w:rPr>
        <w:t>rule on August 31, 2021</w:t>
      </w:r>
      <w:r w:rsidR="00356A69">
        <w:rPr>
          <w:rStyle w:val="normaltextrun"/>
          <w:sz w:val="22"/>
          <w:szCs w:val="22"/>
        </w:rPr>
        <w:t>.</w:t>
      </w:r>
      <w:r>
        <w:rPr>
          <w:rStyle w:val="FootnoteReference"/>
          <w:szCs w:val="22"/>
        </w:rPr>
        <w:footnoteReference w:id="12"/>
      </w:r>
      <w:r w:rsidRPr="005D1727" w:rsidR="00B94625">
        <w:rPr>
          <w:rStyle w:val="normaltextrun"/>
          <w:sz w:val="22"/>
          <w:szCs w:val="22"/>
        </w:rPr>
        <w:t xml:space="preserve">  </w:t>
      </w:r>
      <w:r w:rsidRPr="005D1727" w:rsidR="00F56BCC">
        <w:rPr>
          <w:rStyle w:val="normaltextrun"/>
          <w:sz w:val="22"/>
          <w:szCs w:val="22"/>
        </w:rPr>
        <w:t>The Corp</w:t>
      </w:r>
      <w:r w:rsidRPr="005D1727" w:rsidR="00C24007">
        <w:rPr>
          <w:rStyle w:val="normaltextrun"/>
          <w:sz w:val="22"/>
          <w:szCs w:val="22"/>
        </w:rPr>
        <w:t>s</w:t>
      </w:r>
      <w:r w:rsidR="00F56BCC">
        <w:rPr>
          <w:rStyle w:val="normaltextrun"/>
          <w:sz w:val="22"/>
          <w:szCs w:val="22"/>
        </w:rPr>
        <w:t xml:space="preserve"> </w:t>
      </w:r>
      <w:r w:rsidRPr="005D1727" w:rsidR="007126F0">
        <w:rPr>
          <w:rStyle w:val="normaltextrun"/>
          <w:sz w:val="22"/>
          <w:szCs w:val="22"/>
        </w:rPr>
        <w:t xml:space="preserve">has advised that it </w:t>
      </w:r>
      <w:r w:rsidR="00F56BCC">
        <w:rPr>
          <w:rStyle w:val="normaltextrun"/>
          <w:sz w:val="22"/>
          <w:szCs w:val="22"/>
        </w:rPr>
        <w:t xml:space="preserve">will not rely on an AJD issued under the NWPR in making </w:t>
      </w:r>
      <w:r w:rsidR="006328FF">
        <w:rPr>
          <w:rStyle w:val="normaltextrun"/>
          <w:sz w:val="22"/>
          <w:szCs w:val="22"/>
        </w:rPr>
        <w:t>a</w:t>
      </w:r>
      <w:r w:rsidR="00491449">
        <w:rPr>
          <w:rStyle w:val="normaltextrun"/>
          <w:sz w:val="22"/>
          <w:szCs w:val="22"/>
        </w:rPr>
        <w:t xml:space="preserve"> </w:t>
      </w:r>
      <w:r w:rsidR="00CC230B">
        <w:rPr>
          <w:rStyle w:val="normaltextrun"/>
          <w:sz w:val="22"/>
          <w:szCs w:val="22"/>
        </w:rPr>
        <w:t xml:space="preserve">new </w:t>
      </w:r>
      <w:r w:rsidR="00491449">
        <w:rPr>
          <w:rStyle w:val="normaltextrun"/>
          <w:sz w:val="22"/>
          <w:szCs w:val="22"/>
        </w:rPr>
        <w:t>permit decision.</w:t>
      </w:r>
      <w:r>
        <w:rPr>
          <w:rStyle w:val="FootnoteReference"/>
          <w:szCs w:val="22"/>
        </w:rPr>
        <w:footnoteReference w:id="13"/>
      </w:r>
      <w:r w:rsidR="00F56BCC">
        <w:rPr>
          <w:rStyle w:val="normaltextrun"/>
          <w:sz w:val="22"/>
          <w:szCs w:val="22"/>
        </w:rPr>
        <w:t xml:space="preserve"> </w:t>
      </w:r>
      <w:r w:rsidR="00491449">
        <w:rPr>
          <w:rStyle w:val="normaltextrun"/>
          <w:sz w:val="22"/>
          <w:szCs w:val="22"/>
        </w:rPr>
        <w:t xml:space="preserve"> </w:t>
      </w:r>
    </w:p>
    <w:p w:rsidR="009D0904" w14:paraId="215B81AB" w14:textId="02E9F4A8">
      <w:pPr>
        <w:pStyle w:val="paragraph"/>
        <w:spacing w:before="0" w:beforeAutospacing="0" w:after="24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T</w:t>
      </w:r>
      <w:r>
        <w:rPr>
          <w:rStyle w:val="normaltextrun"/>
          <w:sz w:val="22"/>
          <w:szCs w:val="22"/>
        </w:rPr>
        <w:t>he Corps has announced that it does not intend to reconsider permit decisions that relied on the NWPR before the Court’s vacatur</w:t>
      </w:r>
      <w:r w:rsidR="00E81094">
        <w:rPr>
          <w:rStyle w:val="normaltextrun"/>
          <w:sz w:val="22"/>
          <w:szCs w:val="22"/>
        </w:rPr>
        <w:t>.</w:t>
      </w:r>
      <w:r>
        <w:rPr>
          <w:rStyle w:val="FootnoteReference"/>
        </w:rPr>
        <w:footnoteReference w:id="14"/>
      </w:r>
      <w:r>
        <w:rPr>
          <w:rStyle w:val="normaltextrun"/>
          <w:sz w:val="22"/>
          <w:szCs w:val="22"/>
        </w:rPr>
        <w:t xml:space="preserve"> </w:t>
      </w:r>
      <w:r w:rsidR="00E81094">
        <w:rPr>
          <w:rStyle w:val="normaltextrun"/>
          <w:sz w:val="22"/>
          <w:szCs w:val="22"/>
        </w:rPr>
        <w:t xml:space="preserve"> While</w:t>
      </w:r>
      <w:r>
        <w:rPr>
          <w:rStyle w:val="normaltextrun"/>
          <w:sz w:val="22"/>
          <w:szCs w:val="22"/>
        </w:rPr>
        <w:t xml:space="preserve"> previously granted permits </w:t>
      </w:r>
      <w:r w:rsidR="00E81094">
        <w:rPr>
          <w:rStyle w:val="normaltextrun"/>
          <w:sz w:val="22"/>
          <w:szCs w:val="22"/>
        </w:rPr>
        <w:t xml:space="preserve">thus </w:t>
      </w:r>
      <w:r>
        <w:rPr>
          <w:rStyle w:val="normaltextrun"/>
          <w:sz w:val="22"/>
          <w:szCs w:val="22"/>
        </w:rPr>
        <w:t>remain valid</w:t>
      </w:r>
      <w:r w:rsidR="00E81094">
        <w:rPr>
          <w:rStyle w:val="normaltextrun"/>
          <w:sz w:val="22"/>
          <w:szCs w:val="22"/>
        </w:rPr>
        <w:t xml:space="preserve">, tower builders should be </w:t>
      </w:r>
      <w:r w:rsidR="007663AB">
        <w:rPr>
          <w:rStyle w:val="normaltextrun"/>
          <w:sz w:val="22"/>
          <w:szCs w:val="22"/>
        </w:rPr>
        <w:t xml:space="preserve">aware that </w:t>
      </w:r>
      <w:r w:rsidR="00E81094">
        <w:rPr>
          <w:rStyle w:val="normaltextrun"/>
          <w:sz w:val="22"/>
          <w:szCs w:val="22"/>
        </w:rPr>
        <w:t xml:space="preserve">the Corps will not rely on a NWPR AJD in evaluating pending or future permit </w:t>
      </w:r>
      <w:r w:rsidR="007663AB">
        <w:rPr>
          <w:rStyle w:val="normaltextrun"/>
          <w:sz w:val="22"/>
          <w:szCs w:val="22"/>
        </w:rPr>
        <w:t>request</w:t>
      </w:r>
      <w:r w:rsidR="00E81094">
        <w:rPr>
          <w:rStyle w:val="normaltextrun"/>
          <w:sz w:val="22"/>
          <w:szCs w:val="22"/>
        </w:rPr>
        <w:t>s</w:t>
      </w:r>
      <w:r w:rsidR="007663AB">
        <w:rPr>
          <w:rStyle w:val="normaltextrun"/>
          <w:sz w:val="22"/>
          <w:szCs w:val="22"/>
        </w:rPr>
        <w:t>.  The Corps</w:t>
      </w:r>
      <w:r w:rsidR="00E81094">
        <w:rPr>
          <w:rStyle w:val="normaltextrun"/>
          <w:sz w:val="22"/>
          <w:szCs w:val="22"/>
        </w:rPr>
        <w:t xml:space="preserve"> </w:t>
      </w:r>
      <w:r w:rsidR="003777EB">
        <w:rPr>
          <w:rStyle w:val="normaltextrun"/>
          <w:sz w:val="22"/>
          <w:szCs w:val="22"/>
        </w:rPr>
        <w:t>stated</w:t>
      </w:r>
      <w:r w:rsidR="00050637">
        <w:rPr>
          <w:rStyle w:val="normaltextrun"/>
          <w:sz w:val="22"/>
          <w:szCs w:val="22"/>
        </w:rPr>
        <w:t xml:space="preserve"> that it </w:t>
      </w:r>
      <w:r w:rsidR="007663AB">
        <w:rPr>
          <w:rStyle w:val="normaltextrun"/>
          <w:sz w:val="22"/>
          <w:szCs w:val="22"/>
        </w:rPr>
        <w:t>will</w:t>
      </w:r>
      <w:r w:rsidR="00E81094">
        <w:rPr>
          <w:rStyle w:val="normaltextrun"/>
          <w:sz w:val="22"/>
          <w:szCs w:val="22"/>
        </w:rPr>
        <w:t xml:space="preserve"> discuss options and potential implications with applicants.</w:t>
      </w:r>
      <w:r>
        <w:rPr>
          <w:rStyle w:val="FootnoteReference"/>
          <w:szCs w:val="22"/>
        </w:rPr>
        <w:footnoteReference w:id="15"/>
      </w:r>
      <w:r w:rsidR="00E81094">
        <w:rPr>
          <w:rStyle w:val="normaltextrun"/>
          <w:sz w:val="22"/>
          <w:szCs w:val="22"/>
        </w:rPr>
        <w:t xml:space="preserve">  </w:t>
      </w:r>
      <w:bookmarkStart w:id="1" w:name="_Hlk95124995"/>
      <w:r w:rsidR="000A1F8C">
        <w:rPr>
          <w:rStyle w:val="normaltextrun"/>
          <w:sz w:val="22"/>
          <w:szCs w:val="22"/>
        </w:rPr>
        <w:t>In light o</w:t>
      </w:r>
      <w:r w:rsidR="00A5790B">
        <w:rPr>
          <w:rStyle w:val="normaltextrun"/>
          <w:sz w:val="22"/>
          <w:szCs w:val="22"/>
        </w:rPr>
        <w:t>f</w:t>
      </w:r>
      <w:r w:rsidR="000A1F8C">
        <w:rPr>
          <w:rStyle w:val="normaltextrun"/>
          <w:sz w:val="22"/>
          <w:szCs w:val="22"/>
        </w:rPr>
        <w:t xml:space="preserve"> the </w:t>
      </w:r>
      <w:r w:rsidR="000A1F8C">
        <w:rPr>
          <w:rStyle w:val="normaltextrun"/>
          <w:sz w:val="22"/>
          <w:szCs w:val="22"/>
        </w:rPr>
        <w:t>Corps</w:t>
      </w:r>
      <w:r w:rsidRPr="58F14176" w:rsidR="006D3C82">
        <w:rPr>
          <w:rStyle w:val="normaltextrun"/>
          <w:sz w:val="22"/>
          <w:szCs w:val="22"/>
        </w:rPr>
        <w:t>’</w:t>
      </w:r>
      <w:r w:rsidR="00120462">
        <w:rPr>
          <w:rStyle w:val="normaltextrun"/>
          <w:sz w:val="22"/>
          <w:szCs w:val="22"/>
        </w:rPr>
        <w:t>s</w:t>
      </w:r>
      <w:r w:rsidR="000A1F8C">
        <w:rPr>
          <w:rStyle w:val="normaltextrun"/>
          <w:sz w:val="22"/>
          <w:szCs w:val="22"/>
        </w:rPr>
        <w:t xml:space="preserve"> </w:t>
      </w:r>
      <w:r w:rsidR="00136C53">
        <w:rPr>
          <w:rStyle w:val="normaltextrun"/>
          <w:sz w:val="22"/>
          <w:szCs w:val="22"/>
        </w:rPr>
        <w:t>announcement, we encourage t</w:t>
      </w:r>
      <w:r w:rsidR="00182791">
        <w:rPr>
          <w:rStyle w:val="normaltextrun"/>
          <w:sz w:val="22"/>
          <w:szCs w:val="22"/>
        </w:rPr>
        <w:t xml:space="preserve">ower builders </w:t>
      </w:r>
      <w:r w:rsidR="00EB4EF6">
        <w:rPr>
          <w:rStyle w:val="normaltextrun"/>
          <w:sz w:val="22"/>
          <w:szCs w:val="22"/>
        </w:rPr>
        <w:t xml:space="preserve">holding </w:t>
      </w:r>
      <w:r w:rsidR="008A5012">
        <w:rPr>
          <w:rStyle w:val="normaltextrun"/>
          <w:sz w:val="22"/>
          <w:szCs w:val="22"/>
        </w:rPr>
        <w:t>a NWPR AJD or preliminary JD</w:t>
      </w:r>
      <w:r w:rsidR="00182791">
        <w:rPr>
          <w:rStyle w:val="normaltextrun"/>
          <w:sz w:val="22"/>
          <w:szCs w:val="22"/>
        </w:rPr>
        <w:t xml:space="preserve"> to contact the Corps </w:t>
      </w:r>
      <w:r w:rsidR="00B4613F">
        <w:rPr>
          <w:rStyle w:val="normaltextrun"/>
          <w:sz w:val="22"/>
          <w:szCs w:val="22"/>
        </w:rPr>
        <w:t>to ascertain</w:t>
      </w:r>
      <w:r w:rsidR="00182791">
        <w:rPr>
          <w:rStyle w:val="normaltextrun"/>
          <w:sz w:val="22"/>
          <w:szCs w:val="22"/>
        </w:rPr>
        <w:t xml:space="preserve"> </w:t>
      </w:r>
      <w:r w:rsidR="006868F1">
        <w:rPr>
          <w:rStyle w:val="normaltextrun"/>
          <w:sz w:val="22"/>
          <w:szCs w:val="22"/>
        </w:rPr>
        <w:t>the</w:t>
      </w:r>
      <w:r w:rsidR="00182791">
        <w:rPr>
          <w:rStyle w:val="normaltextrun"/>
          <w:sz w:val="22"/>
          <w:szCs w:val="22"/>
        </w:rPr>
        <w:t xml:space="preserve"> </w:t>
      </w:r>
      <w:r w:rsidR="001476A7">
        <w:rPr>
          <w:rStyle w:val="normaltextrun"/>
          <w:sz w:val="22"/>
          <w:szCs w:val="22"/>
        </w:rPr>
        <w:t>potential implications of</w:t>
      </w:r>
      <w:r w:rsidR="00182791">
        <w:rPr>
          <w:rStyle w:val="normaltextrun"/>
          <w:sz w:val="22"/>
          <w:szCs w:val="22"/>
        </w:rPr>
        <w:t xml:space="preserve"> the revised </w:t>
      </w:r>
      <w:r w:rsidR="001476A7">
        <w:rPr>
          <w:rStyle w:val="normaltextrun"/>
          <w:sz w:val="22"/>
          <w:szCs w:val="22"/>
        </w:rPr>
        <w:t xml:space="preserve">WOTUS </w:t>
      </w:r>
      <w:r w:rsidR="00182791">
        <w:rPr>
          <w:rStyle w:val="normaltextrun"/>
          <w:sz w:val="22"/>
          <w:szCs w:val="22"/>
        </w:rPr>
        <w:t xml:space="preserve">definition on </w:t>
      </w:r>
      <w:r w:rsidR="009F2171">
        <w:rPr>
          <w:rStyle w:val="normaltextrun"/>
          <w:sz w:val="22"/>
          <w:szCs w:val="22"/>
        </w:rPr>
        <w:t>permitting and environmental compliance obligations</w:t>
      </w:r>
      <w:r w:rsidR="006868F1">
        <w:rPr>
          <w:rStyle w:val="normaltextrun"/>
          <w:sz w:val="22"/>
          <w:szCs w:val="22"/>
        </w:rPr>
        <w:t xml:space="preserve"> for their</w:t>
      </w:r>
      <w:r w:rsidR="00182791">
        <w:rPr>
          <w:rStyle w:val="normaltextrun"/>
          <w:sz w:val="22"/>
          <w:szCs w:val="22"/>
        </w:rPr>
        <w:t xml:space="preserve"> proposed facility</w:t>
      </w:r>
      <w:r w:rsidRPr="003E467C" w:rsidR="00182791">
        <w:rPr>
          <w:rStyle w:val="normaltextrun"/>
          <w:sz w:val="22"/>
          <w:szCs w:val="22"/>
        </w:rPr>
        <w:t>.</w:t>
      </w:r>
      <w:r w:rsidR="003D461B">
        <w:rPr>
          <w:rStyle w:val="normaltextrun"/>
          <w:sz w:val="22"/>
          <w:szCs w:val="22"/>
        </w:rPr>
        <w:t xml:space="preserve">  </w:t>
      </w:r>
      <w:bookmarkEnd w:id="1"/>
    </w:p>
    <w:p w:rsidR="00182791" w:rsidP="00F41092" w14:paraId="019188EC" w14:textId="7F7C92D1">
      <w:pPr>
        <w:pStyle w:val="paragraph"/>
        <w:spacing w:before="0" w:beforeAutospacing="0" w:after="24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Additional information on the </w:t>
      </w:r>
      <w:r>
        <w:rPr>
          <w:rStyle w:val="normaltextrun"/>
          <w:sz w:val="22"/>
          <w:szCs w:val="22"/>
        </w:rPr>
        <w:t>Corps’</w:t>
      </w:r>
      <w:r w:rsidR="00120462">
        <w:rPr>
          <w:rStyle w:val="normaltextrun"/>
          <w:sz w:val="22"/>
          <w:szCs w:val="22"/>
        </w:rPr>
        <w:t>s</w:t>
      </w:r>
      <w:r>
        <w:rPr>
          <w:rStyle w:val="normaltextrun"/>
          <w:sz w:val="22"/>
          <w:szCs w:val="22"/>
        </w:rPr>
        <w:t xml:space="preserve"> vacatur announcement may be found at: </w:t>
      </w:r>
      <w:hyperlink r:id="rId5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https://www.usace.army.mil/Media/Announcements/Article/2888988/5-january-2022-navigable-waters-protection-rule-vacatur/</w:t>
        </w:r>
      </w:hyperlink>
      <w:r>
        <w:rPr>
          <w:rStyle w:val="normaltextrun"/>
          <w:sz w:val="22"/>
          <w:szCs w:val="22"/>
        </w:rPr>
        <w:t xml:space="preserve">.  </w:t>
      </w:r>
    </w:p>
    <w:p w:rsidR="00D61FCC" w:rsidP="00F41092" w14:paraId="74011D9C" w14:textId="77777777">
      <w:pPr>
        <w:spacing w:after="240"/>
      </w:pPr>
    </w:p>
    <w:bookmarkEnd w:id="0"/>
    <w:p w:rsidR="00182791" w14:paraId="69D9CCE0" w14:textId="77777777"/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FCC" w14:paraId="595F93A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61FCC" w14:paraId="42B179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FCC" w14:paraId="0BFD70C3" w14:textId="12CACA65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FCC" w14:paraId="11339BA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A4D6C" w14:paraId="60E74DB1" w14:textId="77777777">
      <w:r>
        <w:separator/>
      </w:r>
    </w:p>
  </w:footnote>
  <w:footnote w:type="continuationSeparator" w:id="1">
    <w:p w:rsidR="00BA4D6C" w14:paraId="1CDDEE3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A4D6C" w14:paraId="1CE1257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678A0" w:rsidRPr="004678A0" w:rsidP="004678A0" w14:paraId="468F29E0" w14:textId="1B68028E">
      <w:pPr>
        <w:pStyle w:val="FootnoteText"/>
      </w:pPr>
      <w:r>
        <w:rPr>
          <w:rStyle w:val="FootnoteReference"/>
        </w:rPr>
        <w:footnoteRef/>
      </w:r>
      <w:r>
        <w:t xml:space="preserve"> 33 U</w:t>
      </w:r>
      <w:r w:rsidR="00A166ED">
        <w:t>.</w:t>
      </w:r>
      <w:r>
        <w:t xml:space="preserve">S.C. §1251 </w:t>
      </w:r>
      <w:r w:rsidRPr="00965CC8">
        <w:rPr>
          <w:i/>
          <w:iCs/>
        </w:rPr>
        <w:t>et seq.</w:t>
      </w:r>
      <w:r>
        <w:t xml:space="preserve">  The CWA regulates “the discharge of any pollutant” into “the waters of the United States.”</w:t>
      </w:r>
      <w:r w:rsidR="00BE2D32">
        <w:t xml:space="preserve"> </w:t>
      </w:r>
      <w:r>
        <w:t xml:space="preserve"> 33 U.S.C. §§1311(a), 1362(7), (12).  </w:t>
      </w:r>
    </w:p>
  </w:footnote>
  <w:footnote w:id="4">
    <w:p w:rsidR="004749D0" w14:paraId="5D59CB5F" w14:textId="0635AF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150">
        <w:rPr>
          <w:rStyle w:val="normaltextrun"/>
        </w:rPr>
        <w:t>47 CFR </w:t>
      </w:r>
      <w:r w:rsidRPr="003A3150">
        <w:rPr>
          <w:rStyle w:val="normaltextrun"/>
          <w:color w:val="333333"/>
          <w:shd w:val="clear" w:color="auto" w:fill="FFFFFF"/>
        </w:rPr>
        <w:t>§ 1.1307</w:t>
      </w:r>
      <w:r w:rsidR="001A5ABE">
        <w:rPr>
          <w:rStyle w:val="normaltextrun"/>
          <w:color w:val="333333"/>
          <w:shd w:val="clear" w:color="auto" w:fill="FFFFFF"/>
        </w:rPr>
        <w:t>(a)(7)</w:t>
      </w:r>
      <w:r>
        <w:rPr>
          <w:rStyle w:val="normaltextrun"/>
          <w:color w:val="333333"/>
          <w:shd w:val="clear" w:color="auto" w:fill="FFFFFF"/>
        </w:rPr>
        <w:t>.</w:t>
      </w:r>
    </w:p>
  </w:footnote>
  <w:footnote w:id="5">
    <w:p w:rsidR="00354F56" w14:paraId="3FBBEBC5" w14:textId="54DF9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1098" w:rsidR="00D16016">
        <w:rPr>
          <w:i/>
          <w:iCs/>
        </w:rPr>
        <w:t>Pascua Yaqui Tribe v. U</w:t>
      </w:r>
      <w:r w:rsidRPr="00F21098" w:rsidR="00180F1B">
        <w:rPr>
          <w:i/>
          <w:iCs/>
        </w:rPr>
        <w:t>.S. EPA et al</w:t>
      </w:r>
      <w:r w:rsidR="00180F1B">
        <w:t xml:space="preserve">., </w:t>
      </w:r>
      <w:r w:rsidR="008F07D1">
        <w:t>No. CV-20-0026</w:t>
      </w:r>
      <w:r w:rsidR="00345675">
        <w:t>6</w:t>
      </w:r>
      <w:r w:rsidR="008F07D1">
        <w:t>-TUC-</w:t>
      </w:r>
      <w:r w:rsidR="00345675">
        <w:t>RM, 2021 WL 385</w:t>
      </w:r>
      <w:r w:rsidR="00527751">
        <w:t>5977</w:t>
      </w:r>
      <w:r w:rsidR="00F21098">
        <w:t xml:space="preserve"> </w:t>
      </w:r>
      <w:r w:rsidR="00527751">
        <w:t>(D.</w:t>
      </w:r>
      <w:r w:rsidR="002D4CFC">
        <w:t xml:space="preserve"> </w:t>
      </w:r>
      <w:r w:rsidR="00F21098">
        <w:t xml:space="preserve">Ariz. </w:t>
      </w:r>
      <w:r w:rsidR="009B4095">
        <w:t xml:space="preserve">Aug. </w:t>
      </w:r>
      <w:r w:rsidR="00EF6476">
        <w:t xml:space="preserve">30, </w:t>
      </w:r>
      <w:r w:rsidR="00F21098">
        <w:t>2021)</w:t>
      </w:r>
      <w:r w:rsidR="00062E52">
        <w:t>.</w:t>
      </w:r>
    </w:p>
  </w:footnote>
  <w:footnote w:id="6">
    <w:p w:rsidR="00062E52" w14:paraId="24BA0AD8" w14:textId="3E18F4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Navigable Waters Protection Rule: Definition of </w:t>
      </w:r>
      <w:r w:rsidR="008A6992">
        <w:t>“</w:t>
      </w:r>
      <w:r>
        <w:t>Waters of the United States,</w:t>
      </w:r>
      <w:r w:rsidR="008A6992">
        <w:t xml:space="preserve">” </w:t>
      </w:r>
      <w:r>
        <w:t>85 Fed. Reg. 22250 (Apr. 21, 2020).</w:t>
      </w:r>
      <w:r w:rsidR="000568F2">
        <w:t xml:space="preserve">  </w:t>
      </w:r>
      <w:r w:rsidR="00CF5F0B">
        <w:t xml:space="preserve">The </w:t>
      </w:r>
      <w:r w:rsidR="00196C40">
        <w:t xml:space="preserve">CWA does not define WOTUS, </w:t>
      </w:r>
      <w:r w:rsidR="00317AFB">
        <w:t>but</w:t>
      </w:r>
      <w:r w:rsidR="006C1620">
        <w:t xml:space="preserve"> </w:t>
      </w:r>
      <w:r w:rsidR="00CC1784">
        <w:t>the Corps</w:t>
      </w:r>
      <w:r w:rsidR="00D11DBA">
        <w:t xml:space="preserve"> </w:t>
      </w:r>
      <w:r w:rsidR="00234797">
        <w:t>and the EPA</w:t>
      </w:r>
      <w:r w:rsidR="006C1620">
        <w:t xml:space="preserve"> have defined the term in regulations since the 1970s</w:t>
      </w:r>
      <w:r w:rsidR="00234797">
        <w:t xml:space="preserve">.  </w:t>
      </w:r>
    </w:p>
  </w:footnote>
  <w:footnote w:id="7">
    <w:p w:rsidR="00A36EB3" w14:paraId="0F14FB0D" w14:textId="35F3BD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0705">
        <w:t xml:space="preserve">Press </w:t>
      </w:r>
      <w:r w:rsidR="009E347A">
        <w:t>R</w:t>
      </w:r>
      <w:r w:rsidR="000D0705">
        <w:t>elease, EPA,</w:t>
      </w:r>
      <w:r w:rsidR="00A25595">
        <w:t xml:space="preserve"> EPA and Arm</w:t>
      </w:r>
      <w:r w:rsidR="00995C58">
        <w:t>y Take Action to Provide Certainty for the Definition of WOTUS (Nov. 18, 2021)</w:t>
      </w:r>
      <w:r w:rsidR="00496618">
        <w:t>,</w:t>
      </w:r>
      <w:r w:rsidR="00C76ACC">
        <w:t xml:space="preserve"> </w:t>
      </w:r>
      <w:hyperlink r:id="rId1" w:anchor=":~:text=On%20June%209%2C%202021%2C%20EPA,agricultural%20activity%2C%20and%20economic%20growth" w:history="1">
        <w:r w:rsidRPr="002D511E" w:rsidR="00D16526">
          <w:rPr>
            <w:rStyle w:val="Hyperlink"/>
          </w:rPr>
          <w:t>https://www.epa.gov/newsreleases/epa-and-army-take-action-provide-certainty-definition-wotus#:~:text=On%20June%209%2C%202021%2C%20EPA,agricultural%20activity%2C%20and%20economic%20growth</w:t>
        </w:r>
      </w:hyperlink>
      <w:r w:rsidR="00E66BB6">
        <w:rPr>
          <w:rStyle w:val="Hyperlink"/>
        </w:rPr>
        <w:t xml:space="preserve"> </w:t>
      </w:r>
      <w:r w:rsidR="00E66BB6">
        <w:t>(although the EPA press release did not come out until November 18, 2021, it states that “</w:t>
      </w:r>
      <w:r w:rsidR="00FA1368">
        <w:t>[i]</w:t>
      </w:r>
      <w:r w:rsidR="00E66BB6">
        <w:t>n light of the court actions, the agencies have been implementing the pre-2015 regulatory regime nationwide since early September 2021.”)</w:t>
      </w:r>
      <w:r w:rsidR="00D16526">
        <w:t xml:space="preserve">. </w:t>
      </w:r>
      <w:r w:rsidR="005E0AF4">
        <w:t xml:space="preserve"> </w:t>
      </w:r>
      <w:r w:rsidR="000D0705">
        <w:t xml:space="preserve"> </w:t>
      </w:r>
    </w:p>
  </w:footnote>
  <w:footnote w:id="8">
    <w:p w:rsidR="009706ED" w14:paraId="497158F5" w14:textId="62C3C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279F">
        <w:t xml:space="preserve">Press Release, Army Corps of Eng., </w:t>
      </w:r>
      <w:r w:rsidR="00F843D2">
        <w:t>Navigable Waters Protection Rule Vacatur, (Jan. 5, 202</w:t>
      </w:r>
      <w:r w:rsidR="00B47016">
        <w:t>2)</w:t>
      </w:r>
      <w:r w:rsidR="00B91A62">
        <w:t xml:space="preserve">, </w:t>
      </w:r>
      <w:hyperlink r:id="rId2" w:history="1">
        <w:r w:rsidRPr="00E54054" w:rsidR="004756CD">
          <w:rPr>
            <w:rStyle w:val="Hyperlink"/>
          </w:rPr>
          <w:t>https://www.usace.army.mil/Media/Announcements/Article/2888988/5-january-2022-navigable-waters-protection-rule-vacatur/</w:t>
        </w:r>
      </w:hyperlink>
      <w:r w:rsidR="00116EB9">
        <w:t xml:space="preserve"> </w:t>
      </w:r>
      <w:r w:rsidR="006B578F">
        <w:t xml:space="preserve">(“[T]he agencies . . . are interpreting ‘waters of the United States’ consistent with the pre-2015 regulatory regime until further notice.”) </w:t>
      </w:r>
      <w:r w:rsidR="00116EB9">
        <w:t>(</w:t>
      </w:r>
      <w:r w:rsidR="00D42784">
        <w:t xml:space="preserve">Corps </w:t>
      </w:r>
      <w:r w:rsidR="000F06FC">
        <w:t>Press Release)</w:t>
      </w:r>
      <w:r w:rsidR="00A360F3">
        <w:t>.</w:t>
      </w:r>
      <w:r w:rsidR="004756CD">
        <w:t xml:space="preserve">  The </w:t>
      </w:r>
      <w:r w:rsidR="00E7385B">
        <w:t xml:space="preserve">Agencies have opened a rulemaking </w:t>
      </w:r>
      <w:r w:rsidR="00E6776C">
        <w:t xml:space="preserve">with the intent to revise the WOTUS definition. </w:t>
      </w:r>
      <w:r w:rsidR="00A95548">
        <w:t>Press Release, EPA, EPA and Army</w:t>
      </w:r>
      <w:r w:rsidR="004108A9">
        <w:t xml:space="preserve"> Announce Intent to Revise Definition of WOTUS</w:t>
      </w:r>
      <w:r w:rsidR="00327A1F">
        <w:t>, (Jun</w:t>
      </w:r>
      <w:r w:rsidR="00CF0D97">
        <w:t>e</w:t>
      </w:r>
      <w:r w:rsidR="00327A1F">
        <w:t xml:space="preserve"> </w:t>
      </w:r>
      <w:r w:rsidR="00457FF7">
        <w:t>9, 2021)</w:t>
      </w:r>
      <w:r w:rsidR="000A0384">
        <w:t>,</w:t>
      </w:r>
      <w:r w:rsidR="00E6776C">
        <w:t xml:space="preserve"> </w:t>
      </w:r>
      <w:hyperlink r:id="rId3" w:history="1">
        <w:r w:rsidRPr="00E54054" w:rsidR="00642303">
          <w:rPr>
            <w:rStyle w:val="Hyperlink"/>
          </w:rPr>
          <w:t>https://www.epa.gov/newsreleases/epa-army-announce-intent-revise-definition-wotus</w:t>
        </w:r>
      </w:hyperlink>
      <w:r w:rsidR="00642303">
        <w:t xml:space="preserve">; </w:t>
      </w:r>
      <w:r w:rsidR="00CE35FC">
        <w:t>R</w:t>
      </w:r>
      <w:r w:rsidR="00BE169B">
        <w:t>evised Definition of “</w:t>
      </w:r>
      <w:r w:rsidR="007B774D">
        <w:t>W</w:t>
      </w:r>
      <w:r w:rsidR="00BE169B">
        <w:t>aters of the United States</w:t>
      </w:r>
      <w:r w:rsidR="006368F9">
        <w:t xml:space="preserve">,” 86 Fed. Reg. </w:t>
      </w:r>
      <w:r w:rsidR="007B774D">
        <w:t xml:space="preserve">69372 (Dec. 7, 2021) </w:t>
      </w:r>
      <w:r w:rsidR="006368F9">
        <w:t>(proposed rule)</w:t>
      </w:r>
      <w:r w:rsidR="00CE35FC">
        <w:t>.</w:t>
      </w:r>
    </w:p>
  </w:footnote>
  <w:footnote w:id="9">
    <w:p w:rsidR="58F14176" w:rsidP="58F14176" w14:paraId="45E82B0A" w14:textId="700B5175">
      <w:pPr>
        <w:pStyle w:val="FootnoteText"/>
      </w:pPr>
      <w:r w:rsidRPr="58F14176">
        <w:rPr>
          <w:rStyle w:val="FootnoteReference"/>
        </w:rPr>
        <w:footnoteRef/>
      </w:r>
      <w:r>
        <w:t xml:space="preserve"> </w:t>
      </w:r>
      <w:r>
        <w:t xml:space="preserve">When a property contains WOTUS, landowners who discharge pollutants without a permit from the Corps are subject to criminal and civil penalties under 33 U.S.C. </w:t>
      </w:r>
      <w:r>
        <w:t>§</w:t>
      </w:r>
      <w:r>
        <w:t xml:space="preserve">1319(c)-(d).  </w:t>
      </w:r>
      <w:r w:rsidRPr="00A438D1" w:rsidR="002E10E6">
        <w:rPr>
          <w:i/>
          <w:iCs/>
        </w:rPr>
        <w:t>See also</w:t>
      </w:r>
      <w:r w:rsidR="002E10E6">
        <w:t xml:space="preserve"> 33 CFR §</w:t>
      </w:r>
      <w:r w:rsidR="00D205AC">
        <w:t xml:space="preserve"> 331.2</w:t>
      </w:r>
      <w:r w:rsidR="00DA5B3E">
        <w:t xml:space="preserve"> (</w:t>
      </w:r>
      <w:r w:rsidR="00BF3B19">
        <w:t>defining</w:t>
      </w:r>
      <w:r w:rsidR="00826C77">
        <w:t xml:space="preserve"> “</w:t>
      </w:r>
      <w:r w:rsidR="00591CF0">
        <w:t>j</w:t>
      </w:r>
      <w:r w:rsidR="003636B9">
        <w:t xml:space="preserve">urisdictional </w:t>
      </w:r>
      <w:r w:rsidR="00591CF0">
        <w:t>d</w:t>
      </w:r>
      <w:r w:rsidR="003636B9">
        <w:t>etermination</w:t>
      </w:r>
      <w:r w:rsidR="00826C77">
        <w:t>”</w:t>
      </w:r>
      <w:r w:rsidR="00EF1383">
        <w:t xml:space="preserve">).  </w:t>
      </w:r>
      <w:r w:rsidR="00826C77">
        <w:t xml:space="preserve"> </w:t>
      </w:r>
    </w:p>
  </w:footnote>
  <w:footnote w:id="10">
    <w:p w:rsidR="003A5E84" w14:paraId="72EB977E" w14:textId="607E5C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2F1E">
        <w:rPr>
          <w:i/>
          <w:iCs/>
        </w:rPr>
        <w:t>See</w:t>
      </w:r>
      <w:r w:rsidRPr="003A5E84">
        <w:t xml:space="preserve"> 33 CFR § 331.2</w:t>
      </w:r>
      <w:r w:rsidR="00937E0D">
        <w:t xml:space="preserve"> (</w:t>
      </w:r>
      <w:r w:rsidR="00B76703">
        <w:t>“</w:t>
      </w:r>
      <w:r w:rsidRPr="003A5E84">
        <w:t xml:space="preserve">Preliminary JDs are written indications that there may be </w:t>
      </w:r>
      <w:r w:rsidR="00B76703">
        <w:t>[</w:t>
      </w:r>
      <w:r w:rsidRPr="003A5E84">
        <w:t>WOTUS</w:t>
      </w:r>
      <w:r w:rsidR="00B76703">
        <w:t>]</w:t>
      </w:r>
      <w:r w:rsidRPr="003A5E84">
        <w:t xml:space="preserve"> on a parcel or indications of the approximate location(s) of </w:t>
      </w:r>
      <w:r w:rsidR="00B76703">
        <w:t>[</w:t>
      </w:r>
      <w:r w:rsidRPr="003A5E84">
        <w:t>WOTUS</w:t>
      </w:r>
      <w:r w:rsidR="00B76703">
        <w:t>]</w:t>
      </w:r>
      <w:r w:rsidRPr="003A5E84">
        <w:t xml:space="preserve"> on a parcel.  Preliminary JDs are advisory in nature and may not be appealed.</w:t>
      </w:r>
      <w:r w:rsidR="00B76703">
        <w:t>”)</w:t>
      </w:r>
      <w:r w:rsidR="00FF5EB0">
        <w:t>.</w:t>
      </w:r>
    </w:p>
  </w:footnote>
  <w:footnote w:id="11">
    <w:p w:rsidR="004678A0" w:rsidRPr="000E2F1E" w14:paraId="53164CD3" w14:textId="0F27B82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3A3150" w:rsidR="005D1727">
        <w:rPr>
          <w:i/>
          <w:iCs/>
        </w:rPr>
        <w:t xml:space="preserve">See </w:t>
      </w:r>
      <w:r w:rsidR="004E023E">
        <w:rPr>
          <w:i/>
          <w:iCs/>
        </w:rPr>
        <w:t>i</w:t>
      </w:r>
      <w:r w:rsidR="0092317C">
        <w:rPr>
          <w:i/>
          <w:iCs/>
        </w:rPr>
        <w:t>d.</w:t>
      </w:r>
      <w:r w:rsidR="005D1727">
        <w:t xml:space="preserve">  </w:t>
      </w:r>
      <w:r w:rsidRPr="00A438D1" w:rsidR="000D60F8">
        <w:rPr>
          <w:i/>
          <w:iCs/>
        </w:rPr>
        <w:t>See also</w:t>
      </w:r>
      <w:r w:rsidR="000D60F8">
        <w:t xml:space="preserve"> 33 CFR § 331.2 (</w:t>
      </w:r>
      <w:r w:rsidR="00BF3B19">
        <w:t>defining</w:t>
      </w:r>
      <w:r w:rsidR="000D60F8">
        <w:t xml:space="preserve"> “</w:t>
      </w:r>
      <w:r w:rsidR="00591CF0">
        <w:t>a</w:t>
      </w:r>
      <w:r w:rsidR="00F24723">
        <w:t xml:space="preserve">pproved </w:t>
      </w:r>
      <w:r w:rsidR="00AC13F8">
        <w:t>jurisdictional determination</w:t>
      </w:r>
      <w:r w:rsidR="000D60F8">
        <w:t>”).</w:t>
      </w:r>
    </w:p>
  </w:footnote>
  <w:footnote w:id="12">
    <w:p w:rsidR="00783FCA" w14:paraId="117F3E2C" w14:textId="6A2C60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150" w:rsidR="00FA1368">
        <w:rPr>
          <w:i/>
          <w:iCs/>
        </w:rPr>
        <w:t>See</w:t>
      </w:r>
      <w:r w:rsidR="00FA1368">
        <w:t xml:space="preserve"> </w:t>
      </w:r>
      <w:r>
        <w:t>Corps Press Release</w:t>
      </w:r>
      <w:r w:rsidR="00A719D8">
        <w:t xml:space="preserve">. </w:t>
      </w:r>
    </w:p>
  </w:footnote>
  <w:footnote w:id="13">
    <w:p w:rsidR="00890795" w14:paraId="1D3FDE2E" w14:textId="0DDDFA60">
      <w:pPr>
        <w:pStyle w:val="FootnoteText"/>
      </w:pPr>
      <w:r>
        <w:rPr>
          <w:rStyle w:val="FootnoteReference"/>
        </w:rPr>
        <w:footnoteRef/>
      </w:r>
      <w:r w:rsidR="000D06F9">
        <w:t xml:space="preserve"> </w:t>
      </w:r>
      <w:r w:rsidRPr="00784D1A" w:rsidR="00784D1A">
        <w:rPr>
          <w:i/>
          <w:iCs/>
        </w:rPr>
        <w:t>Id</w:t>
      </w:r>
      <w:r w:rsidRPr="00784D1A">
        <w:rPr>
          <w:i/>
          <w:iCs/>
        </w:rPr>
        <w:t>.</w:t>
      </w:r>
    </w:p>
  </w:footnote>
  <w:footnote w:id="14">
    <w:p w:rsidR="00B54F90" w:rsidP="00B54F90" w14:paraId="5594A09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D1A">
        <w:rPr>
          <w:i/>
          <w:iCs/>
        </w:rPr>
        <w:t>Id.</w:t>
      </w:r>
    </w:p>
  </w:footnote>
  <w:footnote w:id="15">
    <w:p w:rsidR="00E81094" w14:paraId="5834D317" w14:textId="1C67E5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D1A"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FCC" w14:paraId="71F63597" w14:textId="1472DE8E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C87803">
      <w:rPr>
        <w:b/>
      </w:rPr>
      <w:t>DA 22-123</w:t>
    </w:r>
  </w:p>
  <w:p w:rsidR="00D61FCC" w14:paraId="0D72DCE4" w14:textId="7828FA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61FCC" w14:paraId="0A90D43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FCC" w14:paraId="45F4D906" w14:textId="6C2057D1">
    <w:pPr>
      <w:pStyle w:val="Header"/>
    </w:pPr>
    <w:r>
      <w:rPr>
        <w:noProof/>
        <w:snapToGrid/>
      </w:rPr>
      <w:drawing>
        <wp:inline distT="0" distB="0" distL="0" distR="0">
          <wp:extent cx="5948680" cy="1429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91"/>
    <w:rsid w:val="00002807"/>
    <w:rsid w:val="000074CA"/>
    <w:rsid w:val="00010486"/>
    <w:rsid w:val="00014A1A"/>
    <w:rsid w:val="0001540E"/>
    <w:rsid w:val="00023C12"/>
    <w:rsid w:val="00027197"/>
    <w:rsid w:val="00033F28"/>
    <w:rsid w:val="00034684"/>
    <w:rsid w:val="00050637"/>
    <w:rsid w:val="0005090F"/>
    <w:rsid w:val="000509A3"/>
    <w:rsid w:val="00054C64"/>
    <w:rsid w:val="0005686A"/>
    <w:rsid w:val="000568F2"/>
    <w:rsid w:val="00062E52"/>
    <w:rsid w:val="0007136C"/>
    <w:rsid w:val="000766DD"/>
    <w:rsid w:val="00076C3B"/>
    <w:rsid w:val="000800A7"/>
    <w:rsid w:val="000834C7"/>
    <w:rsid w:val="00086015"/>
    <w:rsid w:val="00090A56"/>
    <w:rsid w:val="00091781"/>
    <w:rsid w:val="00096F7F"/>
    <w:rsid w:val="000A01A3"/>
    <w:rsid w:val="000A0384"/>
    <w:rsid w:val="000A1F8C"/>
    <w:rsid w:val="000A3A57"/>
    <w:rsid w:val="000A3C66"/>
    <w:rsid w:val="000A41F2"/>
    <w:rsid w:val="000B5C84"/>
    <w:rsid w:val="000C1FC9"/>
    <w:rsid w:val="000C32A5"/>
    <w:rsid w:val="000C3D54"/>
    <w:rsid w:val="000C4BB8"/>
    <w:rsid w:val="000C4C60"/>
    <w:rsid w:val="000C69E6"/>
    <w:rsid w:val="000D03E1"/>
    <w:rsid w:val="000D06F9"/>
    <w:rsid w:val="000D0705"/>
    <w:rsid w:val="000D0983"/>
    <w:rsid w:val="000D18D1"/>
    <w:rsid w:val="000D31C1"/>
    <w:rsid w:val="000D3238"/>
    <w:rsid w:val="000D60F8"/>
    <w:rsid w:val="000E0BFB"/>
    <w:rsid w:val="000E2F1E"/>
    <w:rsid w:val="000E6D17"/>
    <w:rsid w:val="000F06FC"/>
    <w:rsid w:val="000F3EC5"/>
    <w:rsid w:val="00103C82"/>
    <w:rsid w:val="00104185"/>
    <w:rsid w:val="001057C4"/>
    <w:rsid w:val="001124B7"/>
    <w:rsid w:val="00116EB9"/>
    <w:rsid w:val="0011771B"/>
    <w:rsid w:val="00120462"/>
    <w:rsid w:val="001216B1"/>
    <w:rsid w:val="00136C53"/>
    <w:rsid w:val="0014008F"/>
    <w:rsid w:val="0014060F"/>
    <w:rsid w:val="00142534"/>
    <w:rsid w:val="001476A7"/>
    <w:rsid w:val="00147E32"/>
    <w:rsid w:val="0015002B"/>
    <w:rsid w:val="00152AE5"/>
    <w:rsid w:val="00163EF9"/>
    <w:rsid w:val="00176F9A"/>
    <w:rsid w:val="0018048A"/>
    <w:rsid w:val="00180B25"/>
    <w:rsid w:val="00180F1B"/>
    <w:rsid w:val="00182791"/>
    <w:rsid w:val="001875E3"/>
    <w:rsid w:val="001932DE"/>
    <w:rsid w:val="00194112"/>
    <w:rsid w:val="0019431B"/>
    <w:rsid w:val="00196C40"/>
    <w:rsid w:val="00196F62"/>
    <w:rsid w:val="001972BC"/>
    <w:rsid w:val="001A1C9C"/>
    <w:rsid w:val="001A227E"/>
    <w:rsid w:val="001A33A1"/>
    <w:rsid w:val="001A5ABE"/>
    <w:rsid w:val="001A6359"/>
    <w:rsid w:val="001A6997"/>
    <w:rsid w:val="001B4740"/>
    <w:rsid w:val="001B5899"/>
    <w:rsid w:val="001C0916"/>
    <w:rsid w:val="001C264D"/>
    <w:rsid w:val="001C5571"/>
    <w:rsid w:val="001D0384"/>
    <w:rsid w:val="001D1353"/>
    <w:rsid w:val="001D301F"/>
    <w:rsid w:val="001E11D8"/>
    <w:rsid w:val="001E122E"/>
    <w:rsid w:val="001E3AF0"/>
    <w:rsid w:val="001F2D1C"/>
    <w:rsid w:val="00211918"/>
    <w:rsid w:val="0021342B"/>
    <w:rsid w:val="002317AA"/>
    <w:rsid w:val="00232EA2"/>
    <w:rsid w:val="00234797"/>
    <w:rsid w:val="00237760"/>
    <w:rsid w:val="0024465E"/>
    <w:rsid w:val="00246011"/>
    <w:rsid w:val="00250637"/>
    <w:rsid w:val="0025084D"/>
    <w:rsid w:val="0025195C"/>
    <w:rsid w:val="00262020"/>
    <w:rsid w:val="00266921"/>
    <w:rsid w:val="002676AC"/>
    <w:rsid w:val="00270833"/>
    <w:rsid w:val="00275B63"/>
    <w:rsid w:val="002930FA"/>
    <w:rsid w:val="00294CD0"/>
    <w:rsid w:val="00296CB2"/>
    <w:rsid w:val="00297688"/>
    <w:rsid w:val="00297817"/>
    <w:rsid w:val="002A1CEB"/>
    <w:rsid w:val="002A27DB"/>
    <w:rsid w:val="002A3E9A"/>
    <w:rsid w:val="002A5592"/>
    <w:rsid w:val="002B2442"/>
    <w:rsid w:val="002B43E1"/>
    <w:rsid w:val="002B5463"/>
    <w:rsid w:val="002C5A11"/>
    <w:rsid w:val="002D3037"/>
    <w:rsid w:val="002D4CFC"/>
    <w:rsid w:val="002D511E"/>
    <w:rsid w:val="002D7EA6"/>
    <w:rsid w:val="002E03F2"/>
    <w:rsid w:val="002E10E6"/>
    <w:rsid w:val="002F4040"/>
    <w:rsid w:val="002F565B"/>
    <w:rsid w:val="0030018C"/>
    <w:rsid w:val="003013D3"/>
    <w:rsid w:val="00303A74"/>
    <w:rsid w:val="003054F9"/>
    <w:rsid w:val="00312480"/>
    <w:rsid w:val="00313D83"/>
    <w:rsid w:val="00314C18"/>
    <w:rsid w:val="00315020"/>
    <w:rsid w:val="00315FCB"/>
    <w:rsid w:val="00317AFB"/>
    <w:rsid w:val="00321655"/>
    <w:rsid w:val="00321F3E"/>
    <w:rsid w:val="00324C09"/>
    <w:rsid w:val="00324C41"/>
    <w:rsid w:val="00327A1F"/>
    <w:rsid w:val="00331798"/>
    <w:rsid w:val="0033244C"/>
    <w:rsid w:val="003329A5"/>
    <w:rsid w:val="00333A5F"/>
    <w:rsid w:val="00344684"/>
    <w:rsid w:val="00345675"/>
    <w:rsid w:val="00347018"/>
    <w:rsid w:val="00354F56"/>
    <w:rsid w:val="00355012"/>
    <w:rsid w:val="003551E7"/>
    <w:rsid w:val="00356A69"/>
    <w:rsid w:val="00357473"/>
    <w:rsid w:val="00360E39"/>
    <w:rsid w:val="00362EE2"/>
    <w:rsid w:val="003636B9"/>
    <w:rsid w:val="003668D6"/>
    <w:rsid w:val="00366F86"/>
    <w:rsid w:val="003702D7"/>
    <w:rsid w:val="00370FB8"/>
    <w:rsid w:val="003730D6"/>
    <w:rsid w:val="00375CCE"/>
    <w:rsid w:val="003777EB"/>
    <w:rsid w:val="0038379F"/>
    <w:rsid w:val="0038391C"/>
    <w:rsid w:val="00384051"/>
    <w:rsid w:val="00384554"/>
    <w:rsid w:val="0039211A"/>
    <w:rsid w:val="003A3150"/>
    <w:rsid w:val="003A4808"/>
    <w:rsid w:val="003A5E84"/>
    <w:rsid w:val="003A69EA"/>
    <w:rsid w:val="003B1FD9"/>
    <w:rsid w:val="003C1E7C"/>
    <w:rsid w:val="003C20B7"/>
    <w:rsid w:val="003C2C9E"/>
    <w:rsid w:val="003C6D8E"/>
    <w:rsid w:val="003C7521"/>
    <w:rsid w:val="003D072B"/>
    <w:rsid w:val="003D167A"/>
    <w:rsid w:val="003D3A3E"/>
    <w:rsid w:val="003D461B"/>
    <w:rsid w:val="003D7ED4"/>
    <w:rsid w:val="003E467C"/>
    <w:rsid w:val="003E73E0"/>
    <w:rsid w:val="003E74A7"/>
    <w:rsid w:val="0040630E"/>
    <w:rsid w:val="004069AE"/>
    <w:rsid w:val="004108A9"/>
    <w:rsid w:val="004118BE"/>
    <w:rsid w:val="00411A7D"/>
    <w:rsid w:val="00415A55"/>
    <w:rsid w:val="00415D68"/>
    <w:rsid w:val="00421168"/>
    <w:rsid w:val="00426078"/>
    <w:rsid w:val="00435670"/>
    <w:rsid w:val="0043660A"/>
    <w:rsid w:val="004435DB"/>
    <w:rsid w:val="00444401"/>
    <w:rsid w:val="00452ABD"/>
    <w:rsid w:val="00453DF5"/>
    <w:rsid w:val="00455162"/>
    <w:rsid w:val="00455275"/>
    <w:rsid w:val="0045616F"/>
    <w:rsid w:val="00456F83"/>
    <w:rsid w:val="00457FF7"/>
    <w:rsid w:val="00461EB9"/>
    <w:rsid w:val="004620D4"/>
    <w:rsid w:val="00464B6D"/>
    <w:rsid w:val="004678A0"/>
    <w:rsid w:val="00467A44"/>
    <w:rsid w:val="0047157F"/>
    <w:rsid w:val="004720F9"/>
    <w:rsid w:val="00472508"/>
    <w:rsid w:val="004749D0"/>
    <w:rsid w:val="004756CD"/>
    <w:rsid w:val="00490AB7"/>
    <w:rsid w:val="00491449"/>
    <w:rsid w:val="00493469"/>
    <w:rsid w:val="00496618"/>
    <w:rsid w:val="00497E5E"/>
    <w:rsid w:val="004A2DB7"/>
    <w:rsid w:val="004A2F18"/>
    <w:rsid w:val="004A4BE0"/>
    <w:rsid w:val="004B6CF8"/>
    <w:rsid w:val="004D4672"/>
    <w:rsid w:val="004D6513"/>
    <w:rsid w:val="004E023E"/>
    <w:rsid w:val="004E1D48"/>
    <w:rsid w:val="004E2F8D"/>
    <w:rsid w:val="004F2D40"/>
    <w:rsid w:val="004F58C6"/>
    <w:rsid w:val="004F592C"/>
    <w:rsid w:val="00502920"/>
    <w:rsid w:val="005030E6"/>
    <w:rsid w:val="005051E4"/>
    <w:rsid w:val="0050557C"/>
    <w:rsid w:val="00513DE7"/>
    <w:rsid w:val="005158C6"/>
    <w:rsid w:val="00516C19"/>
    <w:rsid w:val="00527751"/>
    <w:rsid w:val="00536856"/>
    <w:rsid w:val="00544B61"/>
    <w:rsid w:val="00545922"/>
    <w:rsid w:val="00550CDC"/>
    <w:rsid w:val="00551DAF"/>
    <w:rsid w:val="00553423"/>
    <w:rsid w:val="00553F00"/>
    <w:rsid w:val="00561269"/>
    <w:rsid w:val="005703AE"/>
    <w:rsid w:val="005734C6"/>
    <w:rsid w:val="00576740"/>
    <w:rsid w:val="005838D2"/>
    <w:rsid w:val="00584A77"/>
    <w:rsid w:val="0058705E"/>
    <w:rsid w:val="0058783C"/>
    <w:rsid w:val="00591CF0"/>
    <w:rsid w:val="00596075"/>
    <w:rsid w:val="00597EC5"/>
    <w:rsid w:val="005A0B8B"/>
    <w:rsid w:val="005A1BB9"/>
    <w:rsid w:val="005A232B"/>
    <w:rsid w:val="005A3A50"/>
    <w:rsid w:val="005B2C0D"/>
    <w:rsid w:val="005B5F4C"/>
    <w:rsid w:val="005B6EFE"/>
    <w:rsid w:val="005C00AA"/>
    <w:rsid w:val="005C737A"/>
    <w:rsid w:val="005D0F33"/>
    <w:rsid w:val="005D1727"/>
    <w:rsid w:val="005D20F9"/>
    <w:rsid w:val="005D43E2"/>
    <w:rsid w:val="005D52CB"/>
    <w:rsid w:val="005D5FAF"/>
    <w:rsid w:val="005E0AF4"/>
    <w:rsid w:val="005E161E"/>
    <w:rsid w:val="005E3F44"/>
    <w:rsid w:val="005F28F1"/>
    <w:rsid w:val="005F3EC2"/>
    <w:rsid w:val="005F408B"/>
    <w:rsid w:val="005F65BB"/>
    <w:rsid w:val="00600056"/>
    <w:rsid w:val="006028FD"/>
    <w:rsid w:val="00607B99"/>
    <w:rsid w:val="00612939"/>
    <w:rsid w:val="00617EAE"/>
    <w:rsid w:val="0062271B"/>
    <w:rsid w:val="006328FF"/>
    <w:rsid w:val="00634F91"/>
    <w:rsid w:val="006368F9"/>
    <w:rsid w:val="006371A4"/>
    <w:rsid w:val="0064211B"/>
    <w:rsid w:val="00642303"/>
    <w:rsid w:val="00644B73"/>
    <w:rsid w:val="00650A88"/>
    <w:rsid w:val="00654F6F"/>
    <w:rsid w:val="00655837"/>
    <w:rsid w:val="00655CF9"/>
    <w:rsid w:val="00670A7F"/>
    <w:rsid w:val="006736BE"/>
    <w:rsid w:val="006765CB"/>
    <w:rsid w:val="00676FDB"/>
    <w:rsid w:val="006810F5"/>
    <w:rsid w:val="00685E55"/>
    <w:rsid w:val="006868F1"/>
    <w:rsid w:val="00687E6F"/>
    <w:rsid w:val="006911C0"/>
    <w:rsid w:val="00691963"/>
    <w:rsid w:val="00693752"/>
    <w:rsid w:val="006944DD"/>
    <w:rsid w:val="00695CDA"/>
    <w:rsid w:val="006973A7"/>
    <w:rsid w:val="006A418D"/>
    <w:rsid w:val="006A5296"/>
    <w:rsid w:val="006B578F"/>
    <w:rsid w:val="006C1620"/>
    <w:rsid w:val="006C35E5"/>
    <w:rsid w:val="006C7E64"/>
    <w:rsid w:val="006D3C82"/>
    <w:rsid w:val="006D4C2F"/>
    <w:rsid w:val="006E168D"/>
    <w:rsid w:val="006E3A6E"/>
    <w:rsid w:val="006F4866"/>
    <w:rsid w:val="00700FE7"/>
    <w:rsid w:val="007013A8"/>
    <w:rsid w:val="00703C1A"/>
    <w:rsid w:val="00703D9E"/>
    <w:rsid w:val="00705B59"/>
    <w:rsid w:val="007126F0"/>
    <w:rsid w:val="0071726F"/>
    <w:rsid w:val="00717DA9"/>
    <w:rsid w:val="00722DD2"/>
    <w:rsid w:val="00723DF1"/>
    <w:rsid w:val="00724E26"/>
    <w:rsid w:val="00726154"/>
    <w:rsid w:val="00734A17"/>
    <w:rsid w:val="00735088"/>
    <w:rsid w:val="00736E95"/>
    <w:rsid w:val="00737117"/>
    <w:rsid w:val="00747F23"/>
    <w:rsid w:val="00753EBE"/>
    <w:rsid w:val="007611B7"/>
    <w:rsid w:val="0076530C"/>
    <w:rsid w:val="007663AB"/>
    <w:rsid w:val="00766FB3"/>
    <w:rsid w:val="007671FE"/>
    <w:rsid w:val="007802BE"/>
    <w:rsid w:val="0078130C"/>
    <w:rsid w:val="0078202C"/>
    <w:rsid w:val="00782819"/>
    <w:rsid w:val="0078386B"/>
    <w:rsid w:val="0078394D"/>
    <w:rsid w:val="00783FCA"/>
    <w:rsid w:val="00784D1A"/>
    <w:rsid w:val="0078690C"/>
    <w:rsid w:val="007935A3"/>
    <w:rsid w:val="007944E5"/>
    <w:rsid w:val="00796BCE"/>
    <w:rsid w:val="007A50FA"/>
    <w:rsid w:val="007A7B1B"/>
    <w:rsid w:val="007B3BEA"/>
    <w:rsid w:val="007B774D"/>
    <w:rsid w:val="007D05DC"/>
    <w:rsid w:val="007D16BF"/>
    <w:rsid w:val="007D51A2"/>
    <w:rsid w:val="007E5F39"/>
    <w:rsid w:val="007F0A64"/>
    <w:rsid w:val="007F4AFB"/>
    <w:rsid w:val="00803A7E"/>
    <w:rsid w:val="00805BB3"/>
    <w:rsid w:val="00813B5A"/>
    <w:rsid w:val="0081410B"/>
    <w:rsid w:val="008205AA"/>
    <w:rsid w:val="00823EE6"/>
    <w:rsid w:val="0082651B"/>
    <w:rsid w:val="00826C77"/>
    <w:rsid w:val="00835E04"/>
    <w:rsid w:val="008371C2"/>
    <w:rsid w:val="00840C27"/>
    <w:rsid w:val="00841407"/>
    <w:rsid w:val="00841CEC"/>
    <w:rsid w:val="008420A8"/>
    <w:rsid w:val="00845A92"/>
    <w:rsid w:val="0085080F"/>
    <w:rsid w:val="0085217C"/>
    <w:rsid w:val="008537B1"/>
    <w:rsid w:val="008602A7"/>
    <w:rsid w:val="00867E65"/>
    <w:rsid w:val="008721AF"/>
    <w:rsid w:val="008741FD"/>
    <w:rsid w:val="008756DB"/>
    <w:rsid w:val="00877417"/>
    <w:rsid w:val="00880E73"/>
    <w:rsid w:val="00883461"/>
    <w:rsid w:val="00890795"/>
    <w:rsid w:val="008911EA"/>
    <w:rsid w:val="00891C3F"/>
    <w:rsid w:val="00892D5D"/>
    <w:rsid w:val="00893F99"/>
    <w:rsid w:val="008A0E06"/>
    <w:rsid w:val="008A5012"/>
    <w:rsid w:val="008A6992"/>
    <w:rsid w:val="008B0D8C"/>
    <w:rsid w:val="008B2E50"/>
    <w:rsid w:val="008B7950"/>
    <w:rsid w:val="008C11B0"/>
    <w:rsid w:val="008C1D20"/>
    <w:rsid w:val="008D0EB7"/>
    <w:rsid w:val="008E3E6D"/>
    <w:rsid w:val="008F07D1"/>
    <w:rsid w:val="008F5BAA"/>
    <w:rsid w:val="008F7D16"/>
    <w:rsid w:val="00906849"/>
    <w:rsid w:val="00912C52"/>
    <w:rsid w:val="009142D0"/>
    <w:rsid w:val="00914C82"/>
    <w:rsid w:val="0092317C"/>
    <w:rsid w:val="00923FC5"/>
    <w:rsid w:val="00930226"/>
    <w:rsid w:val="00937E0D"/>
    <w:rsid w:val="00940C61"/>
    <w:rsid w:val="00941AF9"/>
    <w:rsid w:val="00947655"/>
    <w:rsid w:val="009625E3"/>
    <w:rsid w:val="00965CC8"/>
    <w:rsid w:val="00965D4C"/>
    <w:rsid w:val="009706ED"/>
    <w:rsid w:val="00972777"/>
    <w:rsid w:val="00974FE7"/>
    <w:rsid w:val="0097630A"/>
    <w:rsid w:val="0098045F"/>
    <w:rsid w:val="0098053A"/>
    <w:rsid w:val="0098101D"/>
    <w:rsid w:val="00982C6B"/>
    <w:rsid w:val="00986EAC"/>
    <w:rsid w:val="009871AE"/>
    <w:rsid w:val="00995C58"/>
    <w:rsid w:val="00995DE4"/>
    <w:rsid w:val="009A13AD"/>
    <w:rsid w:val="009A2C79"/>
    <w:rsid w:val="009A41C5"/>
    <w:rsid w:val="009A742C"/>
    <w:rsid w:val="009B39B6"/>
    <w:rsid w:val="009B4095"/>
    <w:rsid w:val="009B4099"/>
    <w:rsid w:val="009B7711"/>
    <w:rsid w:val="009C4343"/>
    <w:rsid w:val="009C5462"/>
    <w:rsid w:val="009C6149"/>
    <w:rsid w:val="009D0904"/>
    <w:rsid w:val="009D793F"/>
    <w:rsid w:val="009D7A37"/>
    <w:rsid w:val="009E2195"/>
    <w:rsid w:val="009E2215"/>
    <w:rsid w:val="009E347A"/>
    <w:rsid w:val="009E5A86"/>
    <w:rsid w:val="009E6037"/>
    <w:rsid w:val="009F2171"/>
    <w:rsid w:val="009F2B55"/>
    <w:rsid w:val="00A01173"/>
    <w:rsid w:val="00A011A0"/>
    <w:rsid w:val="00A107FD"/>
    <w:rsid w:val="00A16667"/>
    <w:rsid w:val="00A166ED"/>
    <w:rsid w:val="00A23B8D"/>
    <w:rsid w:val="00A24976"/>
    <w:rsid w:val="00A24AF0"/>
    <w:rsid w:val="00A25595"/>
    <w:rsid w:val="00A27858"/>
    <w:rsid w:val="00A316E1"/>
    <w:rsid w:val="00A31D5B"/>
    <w:rsid w:val="00A360F3"/>
    <w:rsid w:val="00A36C6C"/>
    <w:rsid w:val="00A36EB3"/>
    <w:rsid w:val="00A42584"/>
    <w:rsid w:val="00A438D1"/>
    <w:rsid w:val="00A5030A"/>
    <w:rsid w:val="00A51948"/>
    <w:rsid w:val="00A5681B"/>
    <w:rsid w:val="00A5790B"/>
    <w:rsid w:val="00A63158"/>
    <w:rsid w:val="00A719D8"/>
    <w:rsid w:val="00A73A09"/>
    <w:rsid w:val="00A84281"/>
    <w:rsid w:val="00A861E4"/>
    <w:rsid w:val="00A91E54"/>
    <w:rsid w:val="00A95548"/>
    <w:rsid w:val="00A96C29"/>
    <w:rsid w:val="00A97D44"/>
    <w:rsid w:val="00AA3AFF"/>
    <w:rsid w:val="00AA3F8E"/>
    <w:rsid w:val="00AA42A5"/>
    <w:rsid w:val="00AB3642"/>
    <w:rsid w:val="00AC13F8"/>
    <w:rsid w:val="00AC1AAF"/>
    <w:rsid w:val="00AC40E8"/>
    <w:rsid w:val="00AC5645"/>
    <w:rsid w:val="00AE177E"/>
    <w:rsid w:val="00AE64B7"/>
    <w:rsid w:val="00AF058D"/>
    <w:rsid w:val="00AF0AA7"/>
    <w:rsid w:val="00AF0E7B"/>
    <w:rsid w:val="00AF4ADA"/>
    <w:rsid w:val="00AF52C8"/>
    <w:rsid w:val="00AF5403"/>
    <w:rsid w:val="00AF753D"/>
    <w:rsid w:val="00AF7C05"/>
    <w:rsid w:val="00AF7F4A"/>
    <w:rsid w:val="00B05FB4"/>
    <w:rsid w:val="00B06190"/>
    <w:rsid w:val="00B1609E"/>
    <w:rsid w:val="00B223C8"/>
    <w:rsid w:val="00B22622"/>
    <w:rsid w:val="00B24C4E"/>
    <w:rsid w:val="00B25DF2"/>
    <w:rsid w:val="00B26920"/>
    <w:rsid w:val="00B27FF2"/>
    <w:rsid w:val="00B34A47"/>
    <w:rsid w:val="00B4613F"/>
    <w:rsid w:val="00B46685"/>
    <w:rsid w:val="00B47016"/>
    <w:rsid w:val="00B47BA3"/>
    <w:rsid w:val="00B5279F"/>
    <w:rsid w:val="00B5415F"/>
    <w:rsid w:val="00B54F90"/>
    <w:rsid w:val="00B565D0"/>
    <w:rsid w:val="00B56C86"/>
    <w:rsid w:val="00B60313"/>
    <w:rsid w:val="00B61385"/>
    <w:rsid w:val="00B633B2"/>
    <w:rsid w:val="00B74485"/>
    <w:rsid w:val="00B76703"/>
    <w:rsid w:val="00B86DDC"/>
    <w:rsid w:val="00B91A62"/>
    <w:rsid w:val="00B92737"/>
    <w:rsid w:val="00B94625"/>
    <w:rsid w:val="00B95189"/>
    <w:rsid w:val="00BA1DBA"/>
    <w:rsid w:val="00BA4D6C"/>
    <w:rsid w:val="00BA5410"/>
    <w:rsid w:val="00BA6BB9"/>
    <w:rsid w:val="00BB0DCE"/>
    <w:rsid w:val="00BB20FC"/>
    <w:rsid w:val="00BB23A6"/>
    <w:rsid w:val="00BB6D53"/>
    <w:rsid w:val="00BC2822"/>
    <w:rsid w:val="00BC2C0E"/>
    <w:rsid w:val="00BC41C0"/>
    <w:rsid w:val="00BC6C98"/>
    <w:rsid w:val="00BC7000"/>
    <w:rsid w:val="00BD08D1"/>
    <w:rsid w:val="00BD7016"/>
    <w:rsid w:val="00BE00B6"/>
    <w:rsid w:val="00BE169B"/>
    <w:rsid w:val="00BE2D32"/>
    <w:rsid w:val="00BE2F26"/>
    <w:rsid w:val="00BE4B39"/>
    <w:rsid w:val="00BE5570"/>
    <w:rsid w:val="00BF3B19"/>
    <w:rsid w:val="00BF64AA"/>
    <w:rsid w:val="00C02326"/>
    <w:rsid w:val="00C02927"/>
    <w:rsid w:val="00C07561"/>
    <w:rsid w:val="00C14C3C"/>
    <w:rsid w:val="00C24007"/>
    <w:rsid w:val="00C26296"/>
    <w:rsid w:val="00C33CA3"/>
    <w:rsid w:val="00C33EE6"/>
    <w:rsid w:val="00C35D00"/>
    <w:rsid w:val="00C41FBB"/>
    <w:rsid w:val="00C44E17"/>
    <w:rsid w:val="00C45487"/>
    <w:rsid w:val="00C60C9B"/>
    <w:rsid w:val="00C627EC"/>
    <w:rsid w:val="00C666EF"/>
    <w:rsid w:val="00C76ACC"/>
    <w:rsid w:val="00C84697"/>
    <w:rsid w:val="00C84D8D"/>
    <w:rsid w:val="00C87803"/>
    <w:rsid w:val="00CA38C3"/>
    <w:rsid w:val="00CA4F96"/>
    <w:rsid w:val="00CB0B75"/>
    <w:rsid w:val="00CB2E53"/>
    <w:rsid w:val="00CC1784"/>
    <w:rsid w:val="00CC230B"/>
    <w:rsid w:val="00CC4738"/>
    <w:rsid w:val="00CD17C7"/>
    <w:rsid w:val="00CD3253"/>
    <w:rsid w:val="00CE35FC"/>
    <w:rsid w:val="00CF0D97"/>
    <w:rsid w:val="00CF158F"/>
    <w:rsid w:val="00CF5F0B"/>
    <w:rsid w:val="00CF602C"/>
    <w:rsid w:val="00D006C4"/>
    <w:rsid w:val="00D01F18"/>
    <w:rsid w:val="00D0370F"/>
    <w:rsid w:val="00D03EDD"/>
    <w:rsid w:val="00D041A5"/>
    <w:rsid w:val="00D04BB3"/>
    <w:rsid w:val="00D11DBA"/>
    <w:rsid w:val="00D14280"/>
    <w:rsid w:val="00D15398"/>
    <w:rsid w:val="00D15D4C"/>
    <w:rsid w:val="00D16016"/>
    <w:rsid w:val="00D16526"/>
    <w:rsid w:val="00D205AC"/>
    <w:rsid w:val="00D31213"/>
    <w:rsid w:val="00D336D9"/>
    <w:rsid w:val="00D354A7"/>
    <w:rsid w:val="00D35B13"/>
    <w:rsid w:val="00D36EC5"/>
    <w:rsid w:val="00D411F8"/>
    <w:rsid w:val="00D4215D"/>
    <w:rsid w:val="00D42784"/>
    <w:rsid w:val="00D4296A"/>
    <w:rsid w:val="00D548EF"/>
    <w:rsid w:val="00D61FCC"/>
    <w:rsid w:val="00D66B21"/>
    <w:rsid w:val="00D7296C"/>
    <w:rsid w:val="00D80563"/>
    <w:rsid w:val="00D81E00"/>
    <w:rsid w:val="00D91391"/>
    <w:rsid w:val="00D9222A"/>
    <w:rsid w:val="00D93CED"/>
    <w:rsid w:val="00DA49A8"/>
    <w:rsid w:val="00DA5B3E"/>
    <w:rsid w:val="00DA5CA8"/>
    <w:rsid w:val="00DB1642"/>
    <w:rsid w:val="00DB18A2"/>
    <w:rsid w:val="00DB57E8"/>
    <w:rsid w:val="00DD0AFF"/>
    <w:rsid w:val="00DD1110"/>
    <w:rsid w:val="00DD1650"/>
    <w:rsid w:val="00DD2768"/>
    <w:rsid w:val="00DD435E"/>
    <w:rsid w:val="00DD4528"/>
    <w:rsid w:val="00DE642F"/>
    <w:rsid w:val="00DE6901"/>
    <w:rsid w:val="00DE6F45"/>
    <w:rsid w:val="00DF0965"/>
    <w:rsid w:val="00DF391E"/>
    <w:rsid w:val="00DF6657"/>
    <w:rsid w:val="00DF7122"/>
    <w:rsid w:val="00E050E9"/>
    <w:rsid w:val="00E05BB1"/>
    <w:rsid w:val="00E11316"/>
    <w:rsid w:val="00E21E35"/>
    <w:rsid w:val="00E22E95"/>
    <w:rsid w:val="00E24332"/>
    <w:rsid w:val="00E251D3"/>
    <w:rsid w:val="00E26B6C"/>
    <w:rsid w:val="00E4480B"/>
    <w:rsid w:val="00E54054"/>
    <w:rsid w:val="00E56176"/>
    <w:rsid w:val="00E66BB6"/>
    <w:rsid w:val="00E6776C"/>
    <w:rsid w:val="00E7385B"/>
    <w:rsid w:val="00E73DF5"/>
    <w:rsid w:val="00E76E6B"/>
    <w:rsid w:val="00E81094"/>
    <w:rsid w:val="00E851F3"/>
    <w:rsid w:val="00E912D2"/>
    <w:rsid w:val="00E94E45"/>
    <w:rsid w:val="00E95AA9"/>
    <w:rsid w:val="00E978F3"/>
    <w:rsid w:val="00E97C4F"/>
    <w:rsid w:val="00EA0866"/>
    <w:rsid w:val="00EA371E"/>
    <w:rsid w:val="00EA5109"/>
    <w:rsid w:val="00EA758B"/>
    <w:rsid w:val="00EA7912"/>
    <w:rsid w:val="00EB262A"/>
    <w:rsid w:val="00EB4EF6"/>
    <w:rsid w:val="00EB7BE4"/>
    <w:rsid w:val="00EC1465"/>
    <w:rsid w:val="00EC1862"/>
    <w:rsid w:val="00EC3FDD"/>
    <w:rsid w:val="00ED16E3"/>
    <w:rsid w:val="00ED3832"/>
    <w:rsid w:val="00ED564A"/>
    <w:rsid w:val="00ED5E17"/>
    <w:rsid w:val="00EE3D14"/>
    <w:rsid w:val="00EF017E"/>
    <w:rsid w:val="00EF1383"/>
    <w:rsid w:val="00EF4EBF"/>
    <w:rsid w:val="00EF6476"/>
    <w:rsid w:val="00EF73EE"/>
    <w:rsid w:val="00F034E5"/>
    <w:rsid w:val="00F04B32"/>
    <w:rsid w:val="00F04D51"/>
    <w:rsid w:val="00F11F14"/>
    <w:rsid w:val="00F13761"/>
    <w:rsid w:val="00F14DB3"/>
    <w:rsid w:val="00F1638B"/>
    <w:rsid w:val="00F21098"/>
    <w:rsid w:val="00F23A12"/>
    <w:rsid w:val="00F24723"/>
    <w:rsid w:val="00F2486B"/>
    <w:rsid w:val="00F260D6"/>
    <w:rsid w:val="00F30379"/>
    <w:rsid w:val="00F34DE8"/>
    <w:rsid w:val="00F41092"/>
    <w:rsid w:val="00F44B9A"/>
    <w:rsid w:val="00F4690C"/>
    <w:rsid w:val="00F50B61"/>
    <w:rsid w:val="00F55DF4"/>
    <w:rsid w:val="00F56BCC"/>
    <w:rsid w:val="00F56EB6"/>
    <w:rsid w:val="00F56F51"/>
    <w:rsid w:val="00F609C1"/>
    <w:rsid w:val="00F64F01"/>
    <w:rsid w:val="00F702A8"/>
    <w:rsid w:val="00F7474A"/>
    <w:rsid w:val="00F81C16"/>
    <w:rsid w:val="00F843D2"/>
    <w:rsid w:val="00F9632A"/>
    <w:rsid w:val="00F9677D"/>
    <w:rsid w:val="00FA1368"/>
    <w:rsid w:val="00FA47EE"/>
    <w:rsid w:val="00FB080B"/>
    <w:rsid w:val="00FC4662"/>
    <w:rsid w:val="00FD0346"/>
    <w:rsid w:val="00FD0CEF"/>
    <w:rsid w:val="00FD1492"/>
    <w:rsid w:val="00FD1707"/>
    <w:rsid w:val="00FD289B"/>
    <w:rsid w:val="00FE0EE8"/>
    <w:rsid w:val="00FE1305"/>
    <w:rsid w:val="00FE14CF"/>
    <w:rsid w:val="00FE38A3"/>
    <w:rsid w:val="00FE52C7"/>
    <w:rsid w:val="00FE5EF0"/>
    <w:rsid w:val="00FE5F09"/>
    <w:rsid w:val="00FE6C9A"/>
    <w:rsid w:val="00FE7DF2"/>
    <w:rsid w:val="00FF0EB8"/>
    <w:rsid w:val="00FF4FF8"/>
    <w:rsid w:val="00FF5EB0"/>
    <w:rsid w:val="015A2BF9"/>
    <w:rsid w:val="064C814B"/>
    <w:rsid w:val="104A8AA0"/>
    <w:rsid w:val="106C4E18"/>
    <w:rsid w:val="166D3293"/>
    <w:rsid w:val="17355326"/>
    <w:rsid w:val="1A7EE0D6"/>
    <w:rsid w:val="22262FC9"/>
    <w:rsid w:val="25334F83"/>
    <w:rsid w:val="2625702A"/>
    <w:rsid w:val="28D83D2D"/>
    <w:rsid w:val="2AA33F1B"/>
    <w:rsid w:val="2E5A8F04"/>
    <w:rsid w:val="2E5CA563"/>
    <w:rsid w:val="3059B8E5"/>
    <w:rsid w:val="386828AC"/>
    <w:rsid w:val="3AEE1964"/>
    <w:rsid w:val="3F8C03FE"/>
    <w:rsid w:val="4051656E"/>
    <w:rsid w:val="4070C5B0"/>
    <w:rsid w:val="407C37E1"/>
    <w:rsid w:val="434F2482"/>
    <w:rsid w:val="436FDDD3"/>
    <w:rsid w:val="4498262C"/>
    <w:rsid w:val="450BAE34"/>
    <w:rsid w:val="451F1EB2"/>
    <w:rsid w:val="45E46148"/>
    <w:rsid w:val="513A6122"/>
    <w:rsid w:val="5479C490"/>
    <w:rsid w:val="5733F14A"/>
    <w:rsid w:val="58F14176"/>
    <w:rsid w:val="59340D56"/>
    <w:rsid w:val="604A9587"/>
    <w:rsid w:val="619C0F97"/>
    <w:rsid w:val="656A82F0"/>
    <w:rsid w:val="6C8D23FF"/>
    <w:rsid w:val="6EB01B68"/>
    <w:rsid w:val="6F969622"/>
    <w:rsid w:val="6FE106ED"/>
    <w:rsid w:val="707DEB48"/>
    <w:rsid w:val="70AD3597"/>
    <w:rsid w:val="70E9A883"/>
    <w:rsid w:val="71E005C4"/>
    <w:rsid w:val="76E481AC"/>
    <w:rsid w:val="7AF68170"/>
    <w:rsid w:val="7DAA4869"/>
    <w:rsid w:val="7F3072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90DC25"/>
  <w15:chartTrackingRefBased/>
  <w15:docId w15:val="{2DE340A8-8D7E-48D7-BB90-7980A31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82791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182791"/>
  </w:style>
  <w:style w:type="character" w:customStyle="1" w:styleId="eop">
    <w:name w:val="eop"/>
    <w:basedOn w:val="DefaultParagraphFont"/>
    <w:rsid w:val="00182791"/>
  </w:style>
  <w:style w:type="character" w:customStyle="1" w:styleId="tabchar">
    <w:name w:val="tabchar"/>
    <w:basedOn w:val="DefaultParagraphFont"/>
    <w:rsid w:val="00182791"/>
  </w:style>
  <w:style w:type="character" w:customStyle="1" w:styleId="superscript">
    <w:name w:val="superscript"/>
    <w:basedOn w:val="DefaultParagraphFont"/>
    <w:rsid w:val="00182791"/>
  </w:style>
  <w:style w:type="character" w:styleId="CommentReference">
    <w:name w:val="annotation reference"/>
    <w:basedOn w:val="DefaultParagraphFont"/>
    <w:uiPriority w:val="99"/>
    <w:semiHidden/>
    <w:unhideWhenUsed/>
    <w:rsid w:val="00FD2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8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89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89B"/>
    <w:rPr>
      <w:b/>
      <w:bCs/>
      <w:snapToGrid w:val="0"/>
      <w:kern w:val="28"/>
    </w:rPr>
  </w:style>
  <w:style w:type="character" w:customStyle="1" w:styleId="markedcontent">
    <w:name w:val="markedcontent"/>
    <w:basedOn w:val="DefaultParagraphFont"/>
    <w:rsid w:val="003E467C"/>
  </w:style>
  <w:style w:type="character" w:styleId="FollowedHyperlink">
    <w:name w:val="FollowedHyperlink"/>
    <w:basedOn w:val="DefaultParagraphFont"/>
    <w:uiPriority w:val="99"/>
    <w:semiHidden/>
    <w:unhideWhenUsed/>
    <w:rsid w:val="00EF4E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1A7D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usace.army.mil/Media/Announcements/Article/2888988/5-january-2022-navigable-waters-protection-rule-vacatur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pa.gov/newsreleases/epa-and-army-take-action-provide-certainty-definition-wotus" TargetMode="External" /><Relationship Id="rId2" Type="http://schemas.openxmlformats.org/officeDocument/2006/relationships/hyperlink" Target="https://www.usace.army.mil/Media/Announcements/Article/2888988/5-january-2022-navigable-waters-protection-rule-vacatur/" TargetMode="External" /><Relationship Id="rId3" Type="http://schemas.openxmlformats.org/officeDocument/2006/relationships/hyperlink" Target="https://www.epa.gov/newsreleases/epa-army-announce-intent-revise-definition-wotus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