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0421" w:rsidRPr="006F2118" w:rsidP="00CE0421" w14:paraId="7260C668" w14:textId="77777777">
      <w:pPr>
        <w:jc w:val="center"/>
        <w:rPr>
          <w:b/>
          <w:szCs w:val="22"/>
        </w:rPr>
      </w:pPr>
      <w:bookmarkStart w:id="0" w:name="_Hlk81215818"/>
      <w:r w:rsidRPr="006F2118">
        <w:rPr>
          <w:rFonts w:ascii="Times New Roman Bold" w:hAnsi="Times New Roman Bold"/>
          <w:b/>
          <w:kern w:val="0"/>
          <w:szCs w:val="22"/>
        </w:rPr>
        <w:t>Before</w:t>
      </w:r>
      <w:r w:rsidRPr="006F2118">
        <w:rPr>
          <w:b/>
          <w:szCs w:val="22"/>
        </w:rPr>
        <w:t xml:space="preserve"> the</w:t>
      </w:r>
    </w:p>
    <w:p w:rsidR="00CE0421" w:rsidRPr="006F2118" w:rsidP="00CE0421" w14:paraId="05A86664" w14:textId="77777777">
      <w:pPr>
        <w:pStyle w:val="StyleBoldCentered"/>
      </w:pPr>
      <w:r w:rsidRPr="006F2118">
        <w:t>F</w:t>
      </w:r>
      <w:r w:rsidRPr="006F2118">
        <w:rPr>
          <w:caps w:val="0"/>
        </w:rPr>
        <w:t>ederal Communications Commission</w:t>
      </w:r>
    </w:p>
    <w:p w:rsidR="00CE0421" w:rsidRPr="006F2118" w:rsidP="00CE0421" w14:paraId="286CCD3E" w14:textId="77777777">
      <w:pPr>
        <w:pStyle w:val="StyleBoldCentered"/>
      </w:pPr>
      <w:r w:rsidRPr="006F2118">
        <w:t>W</w:t>
      </w:r>
      <w:r w:rsidRPr="006F2118">
        <w:rPr>
          <w:caps w:val="0"/>
        </w:rPr>
        <w:t>ashington</w:t>
      </w:r>
      <w:r w:rsidRPr="006F2118">
        <w:t>, D.C. 20554</w:t>
      </w:r>
    </w:p>
    <w:p w:rsidR="00CE0421" w:rsidRPr="006F2118" w:rsidP="00CE0421" w14:paraId="710A7EDD" w14:textId="77777777">
      <w:pPr>
        <w:rPr>
          <w:szCs w:val="22"/>
        </w:rPr>
      </w:pPr>
    </w:p>
    <w:p w:rsidR="00CE0421" w:rsidRPr="006F2118" w:rsidP="00CE0421" w14:paraId="3AB1DF18" w14:textId="77777777">
      <w:pPr>
        <w:rPr>
          <w:szCs w:val="22"/>
        </w:rPr>
      </w:pPr>
    </w:p>
    <w:tbl>
      <w:tblPr>
        <w:tblW w:w="0" w:type="auto"/>
        <w:tblLayout w:type="fixed"/>
        <w:tblLook w:val="0000"/>
      </w:tblPr>
      <w:tblGrid>
        <w:gridCol w:w="4698"/>
        <w:gridCol w:w="630"/>
      </w:tblGrid>
      <w:tr w14:paraId="3F68E72A" w14:textId="77777777" w:rsidTr="00507902">
        <w:tblPrEx>
          <w:tblW w:w="0" w:type="auto"/>
          <w:tblLayout w:type="fixed"/>
          <w:tblLook w:val="0000"/>
        </w:tblPrEx>
        <w:tc>
          <w:tcPr>
            <w:tcW w:w="4698" w:type="dxa"/>
          </w:tcPr>
          <w:p w:rsidR="00CE0421" w:rsidRPr="006F2118" w:rsidP="00507902" w14:paraId="54C86A78" w14:textId="77777777">
            <w:pPr>
              <w:tabs>
                <w:tab w:val="center" w:pos="4680"/>
              </w:tabs>
              <w:suppressAutoHyphens/>
              <w:rPr>
                <w:spacing w:val="-2"/>
                <w:szCs w:val="22"/>
              </w:rPr>
            </w:pPr>
            <w:r w:rsidRPr="006F2118">
              <w:rPr>
                <w:spacing w:val="-2"/>
                <w:szCs w:val="22"/>
              </w:rPr>
              <w:t xml:space="preserve">In the Matter of </w:t>
            </w:r>
          </w:p>
          <w:p w:rsidR="00CE0421" w:rsidRPr="006F2118" w:rsidP="00507902" w14:paraId="27A953C3" w14:textId="77777777">
            <w:pPr>
              <w:tabs>
                <w:tab w:val="center" w:pos="4680"/>
              </w:tabs>
              <w:suppressAutoHyphens/>
              <w:rPr>
                <w:spacing w:val="-2"/>
                <w:szCs w:val="22"/>
              </w:rPr>
            </w:pPr>
          </w:p>
          <w:p w:rsidR="00CE0421" w:rsidRPr="006F2118" w:rsidP="00507902" w14:paraId="25FF3556" w14:textId="77777777">
            <w:pPr>
              <w:tabs>
                <w:tab w:val="center" w:pos="4680"/>
              </w:tabs>
              <w:suppressAutoHyphens/>
              <w:rPr>
                <w:spacing w:val="-2"/>
                <w:szCs w:val="22"/>
              </w:rPr>
            </w:pPr>
            <w:r w:rsidRPr="006F2118">
              <w:rPr>
                <w:spacing w:val="-2"/>
                <w:szCs w:val="22"/>
              </w:rPr>
              <w:t xml:space="preserve">AMERICAN RADIO RELAY LEAGUE </w:t>
            </w:r>
          </w:p>
          <w:p w:rsidR="00CE0421" w:rsidRPr="006F2118" w:rsidP="00507902" w14:paraId="4AADE162" w14:textId="77777777">
            <w:pPr>
              <w:tabs>
                <w:tab w:val="center" w:pos="4680"/>
              </w:tabs>
              <w:suppressAutoHyphens/>
              <w:rPr>
                <w:spacing w:val="-2"/>
                <w:szCs w:val="22"/>
              </w:rPr>
            </w:pPr>
          </w:p>
          <w:p w:rsidR="00CE0421" w:rsidRPr="006F2118" w:rsidP="00507902" w14:paraId="0BAC4ED6" w14:textId="77777777">
            <w:pPr>
              <w:tabs>
                <w:tab w:val="center" w:pos="4680"/>
              </w:tabs>
              <w:suppressAutoHyphens/>
              <w:rPr>
                <w:spacing w:val="-2"/>
                <w:szCs w:val="22"/>
              </w:rPr>
            </w:pPr>
            <w:r w:rsidRPr="006F2118">
              <w:rPr>
                <w:spacing w:val="-2"/>
                <w:szCs w:val="22"/>
              </w:rPr>
              <w:t>Request for a Waiver of Section 97.111(a) of the Commission’s Rules to Permit Demonstration of Amateur-Military Cross-Band Capabilities During Amateur-Military Commemoration of Pearl Harbor Day</w:t>
            </w:r>
          </w:p>
        </w:tc>
        <w:tc>
          <w:tcPr>
            <w:tcW w:w="630" w:type="dxa"/>
          </w:tcPr>
          <w:p w:rsidR="00CE0421" w:rsidRPr="006F2118" w:rsidP="00507902" w14:paraId="6C59203C" w14:textId="77777777">
            <w:pPr>
              <w:tabs>
                <w:tab w:val="center" w:pos="4680"/>
              </w:tabs>
              <w:suppressAutoHyphens/>
              <w:rPr>
                <w:b/>
                <w:spacing w:val="-2"/>
                <w:szCs w:val="22"/>
              </w:rPr>
            </w:pPr>
            <w:r w:rsidRPr="006F2118">
              <w:rPr>
                <w:b/>
                <w:spacing w:val="-2"/>
                <w:szCs w:val="22"/>
              </w:rPr>
              <w:t>)</w:t>
            </w:r>
          </w:p>
          <w:p w:rsidR="00CE0421" w:rsidRPr="006F2118" w:rsidP="00507902" w14:paraId="32369C5A" w14:textId="77777777">
            <w:pPr>
              <w:tabs>
                <w:tab w:val="center" w:pos="4680"/>
              </w:tabs>
              <w:suppressAutoHyphens/>
              <w:rPr>
                <w:b/>
                <w:spacing w:val="-2"/>
                <w:szCs w:val="22"/>
              </w:rPr>
            </w:pPr>
            <w:r w:rsidRPr="006F2118">
              <w:rPr>
                <w:b/>
                <w:spacing w:val="-2"/>
                <w:szCs w:val="22"/>
              </w:rPr>
              <w:t>)</w:t>
            </w:r>
          </w:p>
          <w:p w:rsidR="00CE0421" w:rsidRPr="006F2118" w:rsidP="00507902" w14:paraId="7418FA97" w14:textId="77777777">
            <w:pPr>
              <w:tabs>
                <w:tab w:val="center" w:pos="4680"/>
              </w:tabs>
              <w:suppressAutoHyphens/>
              <w:rPr>
                <w:b/>
                <w:spacing w:val="-2"/>
                <w:szCs w:val="22"/>
              </w:rPr>
            </w:pPr>
            <w:r w:rsidRPr="006F2118">
              <w:rPr>
                <w:b/>
                <w:spacing w:val="-2"/>
                <w:szCs w:val="22"/>
              </w:rPr>
              <w:t>)</w:t>
            </w:r>
          </w:p>
          <w:p w:rsidR="00CE0421" w:rsidRPr="006F2118" w:rsidP="00507902" w14:paraId="7D526126" w14:textId="77777777">
            <w:pPr>
              <w:tabs>
                <w:tab w:val="center" w:pos="4680"/>
              </w:tabs>
              <w:suppressAutoHyphens/>
              <w:rPr>
                <w:b/>
                <w:spacing w:val="-2"/>
                <w:szCs w:val="22"/>
              </w:rPr>
            </w:pPr>
            <w:r w:rsidRPr="006F2118">
              <w:rPr>
                <w:b/>
                <w:spacing w:val="-2"/>
                <w:szCs w:val="22"/>
              </w:rPr>
              <w:t>)</w:t>
            </w:r>
          </w:p>
          <w:p w:rsidR="00CE0421" w:rsidRPr="006F2118" w:rsidP="00507902" w14:paraId="5C65D707" w14:textId="77777777">
            <w:pPr>
              <w:tabs>
                <w:tab w:val="center" w:pos="4680"/>
              </w:tabs>
              <w:suppressAutoHyphens/>
              <w:rPr>
                <w:b/>
                <w:spacing w:val="-2"/>
                <w:szCs w:val="22"/>
              </w:rPr>
            </w:pPr>
            <w:r w:rsidRPr="006F2118">
              <w:rPr>
                <w:b/>
                <w:spacing w:val="-2"/>
                <w:szCs w:val="22"/>
              </w:rPr>
              <w:t>)</w:t>
            </w:r>
          </w:p>
          <w:p w:rsidR="00CE0421" w:rsidRPr="006F2118" w:rsidP="00507902" w14:paraId="49F71ADB" w14:textId="77777777">
            <w:pPr>
              <w:tabs>
                <w:tab w:val="center" w:pos="4680"/>
              </w:tabs>
              <w:suppressAutoHyphens/>
              <w:rPr>
                <w:b/>
                <w:spacing w:val="-2"/>
                <w:szCs w:val="22"/>
              </w:rPr>
            </w:pPr>
            <w:r w:rsidRPr="006F2118">
              <w:rPr>
                <w:b/>
                <w:spacing w:val="-2"/>
                <w:szCs w:val="22"/>
              </w:rPr>
              <w:t>)</w:t>
            </w:r>
          </w:p>
          <w:p w:rsidR="00CE0421" w:rsidP="00507902" w14:paraId="27CE324E" w14:textId="77777777">
            <w:pPr>
              <w:tabs>
                <w:tab w:val="center" w:pos="4680"/>
              </w:tabs>
              <w:suppressAutoHyphens/>
              <w:rPr>
                <w:b/>
                <w:spacing w:val="-2"/>
                <w:szCs w:val="22"/>
              </w:rPr>
            </w:pPr>
            <w:r>
              <w:rPr>
                <w:b/>
                <w:spacing w:val="-2"/>
                <w:szCs w:val="22"/>
              </w:rPr>
              <w:t>)</w:t>
            </w:r>
          </w:p>
          <w:p w:rsidR="00CE0421" w:rsidP="00507902" w14:paraId="2C6C9FA5" w14:textId="77777777">
            <w:pPr>
              <w:tabs>
                <w:tab w:val="center" w:pos="4680"/>
              </w:tabs>
              <w:suppressAutoHyphens/>
              <w:rPr>
                <w:b/>
                <w:spacing w:val="-2"/>
                <w:szCs w:val="22"/>
              </w:rPr>
            </w:pPr>
            <w:r>
              <w:rPr>
                <w:b/>
                <w:spacing w:val="-2"/>
                <w:szCs w:val="22"/>
              </w:rPr>
              <w:t>)</w:t>
            </w:r>
          </w:p>
          <w:p w:rsidR="00CE0421" w:rsidRPr="006F2118" w:rsidP="00507902" w14:paraId="5E355774" w14:textId="77777777">
            <w:pPr>
              <w:tabs>
                <w:tab w:val="center" w:pos="4680"/>
              </w:tabs>
              <w:suppressAutoHyphens/>
              <w:rPr>
                <w:b/>
                <w:spacing w:val="-2"/>
                <w:szCs w:val="22"/>
              </w:rPr>
            </w:pPr>
            <w:r>
              <w:rPr>
                <w:b/>
                <w:spacing w:val="-2"/>
                <w:szCs w:val="22"/>
              </w:rPr>
              <w:t>)</w:t>
            </w:r>
          </w:p>
        </w:tc>
      </w:tr>
    </w:tbl>
    <w:p w:rsidR="00CE0421" w:rsidRPr="006F2118" w:rsidP="00CE0421" w14:paraId="367910EC" w14:textId="77777777">
      <w:pPr>
        <w:rPr>
          <w:szCs w:val="22"/>
        </w:rPr>
      </w:pPr>
    </w:p>
    <w:p w:rsidR="00CE0421" w:rsidRPr="006F2118" w:rsidP="00CE0421" w14:paraId="5D8AFF54" w14:textId="77777777">
      <w:pPr>
        <w:pStyle w:val="StyleBoldCentered"/>
      </w:pPr>
      <w:r w:rsidRPr="006F2118">
        <w:t>ORDER</w:t>
      </w:r>
    </w:p>
    <w:p w:rsidR="00CE0421" w:rsidRPr="006F2118" w:rsidP="00CE0421" w14:paraId="3872324D" w14:textId="77777777">
      <w:pPr>
        <w:tabs>
          <w:tab w:val="left" w:pos="-720"/>
        </w:tabs>
        <w:suppressAutoHyphens/>
        <w:spacing w:line="227" w:lineRule="auto"/>
        <w:rPr>
          <w:spacing w:val="-2"/>
          <w:szCs w:val="22"/>
        </w:rPr>
      </w:pPr>
    </w:p>
    <w:p w:rsidR="00CE0421" w:rsidRPr="006F2118" w:rsidP="00CE0421" w14:paraId="10008652" w14:textId="5EA4B435">
      <w:pPr>
        <w:tabs>
          <w:tab w:val="left" w:pos="720"/>
          <w:tab w:val="right" w:pos="9360"/>
        </w:tabs>
        <w:suppressAutoHyphens/>
        <w:spacing w:line="227" w:lineRule="auto"/>
        <w:rPr>
          <w:spacing w:val="-2"/>
          <w:szCs w:val="22"/>
        </w:rPr>
      </w:pPr>
      <w:r w:rsidRPr="006F2118">
        <w:rPr>
          <w:b/>
          <w:spacing w:val="-2"/>
          <w:szCs w:val="22"/>
        </w:rPr>
        <w:t xml:space="preserve">Adopted:  </w:t>
      </w:r>
      <w:r w:rsidR="00E24FC9">
        <w:rPr>
          <w:b/>
          <w:spacing w:val="-2"/>
          <w:szCs w:val="22"/>
        </w:rPr>
        <w:t>December 1, 2022</w:t>
      </w:r>
      <w:r>
        <w:rPr>
          <w:b/>
          <w:spacing w:val="-2"/>
          <w:szCs w:val="22"/>
        </w:rPr>
        <w:t xml:space="preserve"> </w:t>
      </w:r>
      <w:r>
        <w:rPr>
          <w:b/>
          <w:spacing w:val="-2"/>
          <w:szCs w:val="22"/>
        </w:rPr>
        <w:tab/>
        <w:t xml:space="preserve">Released:  </w:t>
      </w:r>
      <w:r w:rsidR="00E24FC9">
        <w:rPr>
          <w:b/>
          <w:spacing w:val="-2"/>
          <w:szCs w:val="22"/>
        </w:rPr>
        <w:t>December 1, 2022</w:t>
      </w:r>
    </w:p>
    <w:p w:rsidR="00CE0421" w:rsidRPr="006F2118" w:rsidP="00CE0421" w14:paraId="7F2DC32A" w14:textId="77777777">
      <w:pPr>
        <w:rPr>
          <w:szCs w:val="22"/>
        </w:rPr>
      </w:pPr>
    </w:p>
    <w:p w:rsidR="00CE0421" w:rsidRPr="006F2118" w:rsidP="00CE0421" w14:paraId="19A5181F" w14:textId="77777777">
      <w:pPr>
        <w:rPr>
          <w:szCs w:val="22"/>
        </w:rPr>
      </w:pPr>
      <w:r w:rsidRPr="006F2118">
        <w:rPr>
          <w:szCs w:val="22"/>
        </w:rPr>
        <w:t>By the Deputy Chief, Mobility Division, Wireless Telecommunications Bureau:</w:t>
      </w:r>
    </w:p>
    <w:p w:rsidR="00CE0421" w:rsidRPr="006F2118" w:rsidP="00CE0421" w14:paraId="6D9B2C75" w14:textId="77777777">
      <w:pPr>
        <w:rPr>
          <w:szCs w:val="22"/>
        </w:rPr>
      </w:pPr>
    </w:p>
    <w:p w:rsidR="001047BD" w:rsidP="001047BD" w14:paraId="530C02A6" w14:textId="77777777">
      <w:pPr>
        <w:pStyle w:val="ParaNum"/>
      </w:pPr>
      <w:r w:rsidRPr="116494DF">
        <w:rPr>
          <w:i/>
          <w:iCs/>
        </w:rPr>
        <w:t>Introduction.</w:t>
      </w:r>
      <w:r w:rsidRPr="006F2118">
        <w:rPr>
          <w:iCs/>
          <w:szCs w:val="22"/>
        </w:rPr>
        <w:t xml:space="preserve">  </w:t>
      </w:r>
      <w:r w:rsidRPr="116494DF">
        <w:t>By this order</w:t>
      </w:r>
      <w:r w:rsidRPr="006F2118">
        <w:rPr>
          <w:szCs w:val="22"/>
        </w:rPr>
        <w:t>,</w:t>
      </w:r>
      <w:r w:rsidRPr="116494DF">
        <w:t xml:space="preserve"> we grant the request filed by the American Radio Relay League (ARRL)</w:t>
      </w:r>
      <w:r w:rsidRPr="006F2118">
        <w:rPr>
          <w:szCs w:val="22"/>
        </w:rPr>
        <w:t xml:space="preserve"> </w:t>
      </w:r>
      <w:r w:rsidRPr="116494DF">
        <w:t>for a limited waiver of section 97.111(a) of the Commission’s rules to permit licensed amateur stations to communicate with Federal stations over a two-day period.  The waiver</w:t>
      </w:r>
      <w:r w:rsidRPr="006F2118">
        <w:rPr>
          <w:szCs w:val="22"/>
        </w:rPr>
        <w:t xml:space="preserve"> </w:t>
      </w:r>
      <w:r w:rsidRPr="116494DF">
        <w:t>request is for the limited purpose of a short-term event commemorating the 81st anniversary of National Pearl Harbor Remembrance Day on December 6 and 7, 2022</w:t>
      </w:r>
      <w:r w:rsidRPr="006F2118">
        <w:rPr>
          <w:szCs w:val="22"/>
        </w:rPr>
        <w:t>.</w:t>
      </w:r>
      <w:r>
        <w:rPr>
          <w:rStyle w:val="FootnoteReference"/>
          <w:sz w:val="22"/>
          <w:szCs w:val="22"/>
        </w:rPr>
        <w:footnoteReference w:id="3"/>
      </w:r>
      <w:r w:rsidRPr="006F2118">
        <w:rPr>
          <w:szCs w:val="22"/>
        </w:rPr>
        <w:t xml:space="preserve">  </w:t>
      </w:r>
    </w:p>
    <w:p w:rsidR="00CE0421" w:rsidRPr="006F2118" w:rsidP="001047BD" w14:paraId="6FB845D0" w14:textId="37FF2A71">
      <w:pPr>
        <w:pStyle w:val="ParaNum"/>
      </w:pPr>
      <w:r w:rsidRPr="001047BD">
        <w:rPr>
          <w:i/>
          <w:iCs/>
        </w:rPr>
        <w:t xml:space="preserve">Background.  </w:t>
      </w:r>
      <w:r w:rsidRPr="116494DF">
        <w:t>Section 97.111</w:t>
      </w:r>
      <w:r w:rsidRPr="001047BD">
        <w:rPr>
          <w:szCs w:val="22"/>
        </w:rPr>
        <w:t>(</w:t>
      </w:r>
      <w:r w:rsidRPr="116494DF">
        <w:t>a</w:t>
      </w:r>
      <w:r w:rsidRPr="001047BD">
        <w:rPr>
          <w:szCs w:val="22"/>
        </w:rPr>
        <w:t xml:space="preserve">) </w:t>
      </w:r>
      <w:r w:rsidRPr="116494DF">
        <w:t>of the Commission’s rules authorizes amateur stations to transmit specific types of two-way communications and limits communications with Federal stations.</w:t>
      </w:r>
      <w:r>
        <w:rPr>
          <w:rStyle w:val="FootnoteReference"/>
          <w:sz w:val="22"/>
          <w:szCs w:val="22"/>
        </w:rPr>
        <w:footnoteReference w:id="4"/>
      </w:r>
      <w:r w:rsidRPr="116494DF">
        <w:t xml:space="preserve">  Section 97.111(a)(5) of the rule grants specific authority to communicate with Federal stations for such communications for one armed forces special event day, the Armed Forces Day Communications Test</w:t>
      </w:r>
      <w:r w:rsidRPr="001047BD">
        <w:rPr>
          <w:szCs w:val="22"/>
        </w:rPr>
        <w:t>.</w:t>
      </w:r>
      <w:r>
        <w:rPr>
          <w:rStyle w:val="FootnoteReference"/>
          <w:sz w:val="22"/>
          <w:szCs w:val="22"/>
        </w:rPr>
        <w:footnoteReference w:id="5"/>
      </w:r>
      <w:r w:rsidRPr="001047BD">
        <w:rPr>
          <w:szCs w:val="22"/>
        </w:rPr>
        <w:t xml:space="preserve">  </w:t>
      </w:r>
      <w:r w:rsidRPr="116494DF">
        <w:t xml:space="preserve">No other commemoration day is </w:t>
      </w:r>
      <w:r>
        <w:t>authoriz</w:t>
      </w:r>
      <w:r w:rsidRPr="116494DF">
        <w:t>ed in this section</w:t>
      </w:r>
      <w:r w:rsidRPr="001047BD">
        <w:rPr>
          <w:szCs w:val="22"/>
        </w:rPr>
        <w:t xml:space="preserve">.  </w:t>
      </w:r>
    </w:p>
    <w:p w:rsidR="001047BD" w:rsidP="001047BD" w14:paraId="4B3EB9F7" w14:textId="77777777">
      <w:pPr>
        <w:pStyle w:val="ParaNum"/>
      </w:pPr>
      <w:r w:rsidRPr="116494DF">
        <w:t>ARRL seeks this waiver for December 6 and 7, 2022</w:t>
      </w:r>
      <w:r>
        <w:t>,</w:t>
      </w:r>
      <w:r w:rsidRPr="006F2118">
        <w:rPr>
          <w:szCs w:val="22"/>
        </w:rPr>
        <w:t xml:space="preserve"> </w:t>
      </w:r>
      <w:r w:rsidRPr="116494DF">
        <w:t>in conjunction with observation of National Pearl Harbor Remembrance Day</w:t>
      </w:r>
      <w:r w:rsidRPr="006F2118">
        <w:rPr>
          <w:szCs w:val="22"/>
        </w:rPr>
        <w:t>.</w:t>
      </w:r>
      <w:r>
        <w:rPr>
          <w:rStyle w:val="FootnoteReference"/>
          <w:sz w:val="22"/>
          <w:szCs w:val="22"/>
        </w:rPr>
        <w:footnoteReference w:id="6"/>
      </w:r>
      <w:r w:rsidRPr="006F2118">
        <w:rPr>
          <w:szCs w:val="22"/>
        </w:rPr>
        <w:t xml:space="preserve">  </w:t>
      </w:r>
      <w:r w:rsidRPr="116494DF">
        <w:t>ARRL states that the tests such as those proposed provide opportunities to train operators and test two-way</w:t>
      </w:r>
      <w:r w:rsidRPr="006F2118">
        <w:rPr>
          <w:szCs w:val="22"/>
        </w:rPr>
        <w:t xml:space="preserve"> </w:t>
      </w:r>
      <w:r w:rsidRPr="116494DF">
        <w:t>communications capabilities between military communicators and radio stations in the Amateur</w:t>
      </w:r>
      <w:r w:rsidRPr="006F2118">
        <w:rPr>
          <w:szCs w:val="22"/>
        </w:rPr>
        <w:t xml:space="preserve"> </w:t>
      </w:r>
      <w:r w:rsidRPr="116494DF">
        <w:t>Radio Service, which allows operators to demonstrate technical skills in a</w:t>
      </w:r>
      <w:r w:rsidRPr="006F2118">
        <w:rPr>
          <w:szCs w:val="22"/>
        </w:rPr>
        <w:t xml:space="preserve"> </w:t>
      </w:r>
      <w:r w:rsidRPr="116494DF">
        <w:t>controlled scenario.</w:t>
      </w:r>
      <w:r>
        <w:rPr>
          <w:rStyle w:val="FootnoteReference"/>
          <w:sz w:val="22"/>
          <w:szCs w:val="22"/>
        </w:rPr>
        <w:footnoteReference w:id="7"/>
      </w:r>
      <w:r w:rsidRPr="116494DF">
        <w:t xml:space="preserve">  ARRL also represents that the frequencies and time periods selected will not impact any public</w:t>
      </w:r>
      <w:r w:rsidRPr="006F2118">
        <w:rPr>
          <w:szCs w:val="22"/>
        </w:rPr>
        <w:t>,</w:t>
      </w:r>
      <w:r w:rsidRPr="116494DF">
        <w:t xml:space="preserve"> private, or government</w:t>
      </w:r>
      <w:r w:rsidRPr="006F2118">
        <w:rPr>
          <w:szCs w:val="22"/>
        </w:rPr>
        <w:t xml:space="preserve"> </w:t>
      </w:r>
      <w:r w:rsidRPr="116494DF">
        <w:t>communications.</w:t>
      </w:r>
      <w:r>
        <w:rPr>
          <w:rStyle w:val="FootnoteReference"/>
          <w:sz w:val="22"/>
          <w:szCs w:val="22"/>
        </w:rPr>
        <w:footnoteReference w:id="8"/>
      </w:r>
      <w:r w:rsidRPr="006F2118">
        <w:rPr>
          <w:szCs w:val="22"/>
        </w:rPr>
        <w:t xml:space="preserve"> </w:t>
      </w:r>
    </w:p>
    <w:p w:rsidR="00CE0421" w:rsidRPr="001047BD" w:rsidP="001047BD" w14:paraId="42432A79" w14:textId="6CB0872D">
      <w:pPr>
        <w:pStyle w:val="ParaNum"/>
        <w:rPr>
          <w:rStyle w:val="normaltextfont"/>
          <w:rFonts w:ascii="Times New Roman" w:hAnsi="Times New Roman"/>
          <w:sz w:val="22"/>
          <w:szCs w:val="20"/>
        </w:rPr>
      </w:pPr>
      <w:r w:rsidRPr="001047BD">
        <w:rPr>
          <w:i/>
          <w:iCs/>
        </w:rPr>
        <w:t>Discussion.</w:t>
      </w:r>
      <w:r w:rsidRPr="116494DF">
        <w:t xml:space="preserve">  To obtain a waiver of the Commission's rules, a petitioner must demonstrate either that the underlying purpose of the rule would not be served or would be frustrated by application to the present case, and that a grant of the waiver would be in the public interest; or, that in view of unique </w:t>
      </w:r>
      <w:r w:rsidRPr="116494DF">
        <w:t>or unusual factual circumstances of the instant case, application of the rule would be inequitable, unduly burdensome, or contrary to the public interest, or the applicant has no reasonable alternative.</w:t>
      </w:r>
      <w:r>
        <w:rPr>
          <w:rStyle w:val="FootnoteReference"/>
          <w:sz w:val="22"/>
          <w:szCs w:val="22"/>
        </w:rPr>
        <w:footnoteReference w:id="9"/>
      </w:r>
      <w:r w:rsidRPr="001047BD">
        <w:rPr>
          <w:szCs w:val="22"/>
        </w:rPr>
        <w:t xml:space="preserve">  </w:t>
      </w:r>
      <w:r w:rsidRPr="116494DF">
        <w:t xml:space="preserve">We conclude that granting the requested waiver, for the following reasons and with the following limitations, is in the public interest.  </w:t>
      </w:r>
    </w:p>
    <w:p w:rsidR="001047BD" w:rsidRPr="001047BD" w:rsidP="001047BD" w14:paraId="6730B31D" w14:textId="77777777">
      <w:pPr>
        <w:pStyle w:val="ParaNum"/>
      </w:pPr>
      <w:r>
        <w:t>In addition to</w:t>
      </w:r>
      <w:r w:rsidRPr="116494DF">
        <w:t xml:space="preserve"> the skills gained by amateur operators who participate in the test, this specific remembrance day carries particular importance given the ever</w:t>
      </w:r>
      <w:r>
        <w:t>-</w:t>
      </w:r>
      <w:r w:rsidRPr="116494DF">
        <w:t>decreasing number of World War II veterans able to participate each year.</w:t>
      </w:r>
      <w:r w:rsidRPr="006F2118">
        <w:rPr>
          <w:szCs w:val="22"/>
        </w:rPr>
        <w:t xml:space="preserve">  </w:t>
      </w:r>
      <w:r w:rsidRPr="116494DF">
        <w:t>We also find that the limitations proposed by ARRL are appropriate to prevent harmful interference and to serve the purpose of the commemorative event.</w:t>
      </w:r>
      <w:r>
        <w:rPr>
          <w:rStyle w:val="FootnoteReference"/>
          <w:sz w:val="22"/>
          <w:szCs w:val="22"/>
        </w:rPr>
        <w:footnoteReference w:id="10"/>
      </w:r>
    </w:p>
    <w:p w:rsidR="00CE0421" w:rsidRPr="006F2118" w:rsidP="001047BD" w14:paraId="0152ADF3" w14:textId="22F9E0C5">
      <w:pPr>
        <w:pStyle w:val="ParaNum"/>
      </w:pPr>
      <w:r>
        <w:t>Specifically, this waiver is conditioned on participating amateur stations: 1) monitoring the following three federal frequencies: 14,375 kHz, 18,170 kHz, and 21,460 kHz; 2) responding on spectrum allocated to the amateur service and only at the request of event organizers; 3) operating consistent with the privileges of their amateur licenses; and 4) limiting communications to the period beginning 9 am EST December 6, 2022 through 8:59 pm EST December 7, 2022.  Additionally, all other related Commission regulations that are applicable to amateur operators will continue to apply (e.g., mode, maximum power, and license class).</w:t>
      </w:r>
    </w:p>
    <w:p w:rsidR="001047BD" w:rsidP="001047BD" w14:paraId="0931E23B" w14:textId="77777777">
      <w:pPr>
        <w:pStyle w:val="ParaNum"/>
      </w:pPr>
      <w:r>
        <w:t>Accordingly, IT IS ORDERED that pursuant to section 4(i) of the Communications Act of 1934, as amended, 47 U.S.C. § 154(i), and section 1.925 of the Commission’s rules, 47 CFR § 1.925, the Request for a Waiver of Section 97.111(a) of the Commission’s Rules IS GRANTED as set forth and conditioned above.</w:t>
      </w:r>
    </w:p>
    <w:p w:rsidR="00CE0421" w:rsidRPr="006F2118" w:rsidP="001047BD" w14:paraId="6CAFFEC2" w14:textId="3247D7E3">
      <w:pPr>
        <w:pStyle w:val="ParaNum"/>
      </w:pPr>
      <w:r>
        <w:t>This action is taken under delegated authority pursuant to sections 0.131 and 0.331 of the Commission’s rules, 47 CFR §§ 0.131, 0.331.</w:t>
      </w:r>
    </w:p>
    <w:p w:rsidR="00CE0421" w:rsidRPr="006F2118" w:rsidP="00CE0421" w14:paraId="36CD4F63" w14:textId="77777777">
      <w:pPr>
        <w:keepNext/>
        <w:keepLines/>
        <w:widowControl/>
        <w:rPr>
          <w:szCs w:val="22"/>
        </w:rPr>
      </w:pPr>
      <w:r w:rsidRPr="006F2118">
        <w:rPr>
          <w:szCs w:val="22"/>
        </w:rPr>
        <w:tab/>
      </w:r>
      <w:r w:rsidRPr="006F2118">
        <w:rPr>
          <w:szCs w:val="22"/>
        </w:rPr>
        <w:tab/>
      </w:r>
      <w:r w:rsidRPr="006F2118">
        <w:rPr>
          <w:szCs w:val="22"/>
        </w:rPr>
        <w:tab/>
      </w:r>
      <w:r w:rsidRPr="006F2118">
        <w:rPr>
          <w:szCs w:val="22"/>
        </w:rPr>
        <w:tab/>
      </w:r>
      <w:r w:rsidRPr="006F2118">
        <w:rPr>
          <w:szCs w:val="22"/>
        </w:rPr>
        <w:tab/>
      </w:r>
      <w:r w:rsidRPr="006F2118">
        <w:rPr>
          <w:szCs w:val="22"/>
        </w:rPr>
        <w:tab/>
        <w:t>FEDERAL COMMUNICATIONS COMMISSION</w:t>
      </w:r>
    </w:p>
    <w:p w:rsidR="00CE0421" w:rsidRPr="006F2118" w:rsidP="004E2F5E" w14:paraId="7D6B6CFE" w14:textId="79404995">
      <w:pPr>
        <w:keepNext/>
        <w:keepLines/>
        <w:widowControl/>
        <w:ind w:left="2880" w:firstLine="720"/>
        <w:rPr>
          <w:szCs w:val="22"/>
        </w:rPr>
      </w:pPr>
      <w:r w:rsidRPr="004E2F5E">
        <w:rPr>
          <w:noProof/>
          <w:szCs w:val="22"/>
        </w:rPr>
        <w:drawing>
          <wp:inline distT="0" distB="0" distL="0" distR="0">
            <wp:extent cx="334327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3275" cy="542925"/>
                    </a:xfrm>
                    <a:prstGeom prst="rect">
                      <a:avLst/>
                    </a:prstGeom>
                    <a:noFill/>
                    <a:ln>
                      <a:noFill/>
                    </a:ln>
                  </pic:spPr>
                </pic:pic>
              </a:graphicData>
            </a:graphic>
          </wp:inline>
        </w:drawing>
      </w:r>
    </w:p>
    <w:p w:rsidR="00CE0421" w:rsidRPr="006F2118" w:rsidP="00CE0421" w14:paraId="2C8018D8" w14:textId="77777777">
      <w:pPr>
        <w:keepNext/>
        <w:keepLines/>
        <w:widowControl/>
        <w:rPr>
          <w:szCs w:val="22"/>
        </w:rPr>
      </w:pPr>
      <w:r w:rsidRPr="006F2118">
        <w:rPr>
          <w:szCs w:val="22"/>
        </w:rPr>
        <w:tab/>
      </w:r>
      <w:r w:rsidRPr="006F2118">
        <w:rPr>
          <w:szCs w:val="22"/>
        </w:rPr>
        <w:tab/>
      </w:r>
      <w:r w:rsidRPr="006F2118">
        <w:rPr>
          <w:szCs w:val="22"/>
        </w:rPr>
        <w:tab/>
      </w:r>
      <w:r w:rsidRPr="006F2118">
        <w:rPr>
          <w:szCs w:val="22"/>
        </w:rPr>
        <w:tab/>
      </w:r>
      <w:r w:rsidRPr="006F2118">
        <w:rPr>
          <w:szCs w:val="22"/>
        </w:rPr>
        <w:tab/>
      </w:r>
      <w:r w:rsidRPr="006F2118">
        <w:rPr>
          <w:szCs w:val="22"/>
        </w:rPr>
        <w:tab/>
        <w:t>Thomas Derenge</w:t>
      </w:r>
    </w:p>
    <w:p w:rsidR="00CE0421" w:rsidRPr="006F2118" w:rsidP="00CE0421" w14:paraId="4945E166" w14:textId="77777777">
      <w:pPr>
        <w:keepNext/>
        <w:keepLines/>
        <w:widowControl/>
        <w:rPr>
          <w:szCs w:val="22"/>
        </w:rPr>
      </w:pPr>
      <w:r w:rsidRPr="006F2118">
        <w:rPr>
          <w:szCs w:val="22"/>
        </w:rPr>
        <w:tab/>
      </w:r>
      <w:r w:rsidRPr="006F2118">
        <w:rPr>
          <w:szCs w:val="22"/>
        </w:rPr>
        <w:tab/>
      </w:r>
      <w:r w:rsidRPr="006F2118">
        <w:rPr>
          <w:szCs w:val="22"/>
        </w:rPr>
        <w:tab/>
      </w:r>
      <w:r w:rsidRPr="006F2118">
        <w:rPr>
          <w:szCs w:val="22"/>
        </w:rPr>
        <w:tab/>
      </w:r>
      <w:r w:rsidRPr="006F2118">
        <w:rPr>
          <w:szCs w:val="22"/>
        </w:rPr>
        <w:tab/>
      </w:r>
      <w:r w:rsidRPr="006F2118">
        <w:rPr>
          <w:szCs w:val="22"/>
        </w:rPr>
        <w:tab/>
        <w:t>Deputy Chief, Mobility Division</w:t>
      </w:r>
    </w:p>
    <w:p w:rsidR="00CE0421" w:rsidRPr="006F2118" w:rsidP="00CE0421" w14:paraId="18E4D21C" w14:textId="77777777">
      <w:pPr>
        <w:keepNext/>
        <w:keepLines/>
        <w:widowControl/>
        <w:rPr>
          <w:szCs w:val="22"/>
        </w:rPr>
      </w:pPr>
      <w:r w:rsidRPr="006F2118">
        <w:rPr>
          <w:szCs w:val="22"/>
        </w:rPr>
        <w:tab/>
      </w:r>
      <w:r w:rsidRPr="006F2118">
        <w:rPr>
          <w:szCs w:val="22"/>
        </w:rPr>
        <w:tab/>
      </w:r>
      <w:r w:rsidRPr="006F2118">
        <w:rPr>
          <w:szCs w:val="22"/>
        </w:rPr>
        <w:tab/>
      </w:r>
      <w:r w:rsidRPr="006F2118">
        <w:rPr>
          <w:szCs w:val="22"/>
        </w:rPr>
        <w:tab/>
      </w:r>
      <w:r w:rsidRPr="006F2118">
        <w:rPr>
          <w:szCs w:val="22"/>
        </w:rPr>
        <w:tab/>
      </w:r>
      <w:r w:rsidRPr="006F2118">
        <w:rPr>
          <w:szCs w:val="22"/>
        </w:rPr>
        <w:tab/>
        <w:t>Wireless Telecommunications Bureau</w:t>
      </w:r>
      <w:bookmarkEnd w:id="0"/>
    </w:p>
    <w:p w:rsidR="00412FC5" w:rsidRPr="00CE0421" w:rsidP="00CE0421" w14:paraId="584DB2E2"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C7D5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49D6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B1A4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20DAA7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2FA1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014C" w14:paraId="745C668D" w14:textId="77777777">
      <w:r>
        <w:separator/>
      </w:r>
    </w:p>
  </w:footnote>
  <w:footnote w:type="continuationSeparator" w:id="1">
    <w:p w:rsidR="0062014C" w:rsidP="00C721AC" w14:paraId="35F29DEC" w14:textId="77777777">
      <w:pPr>
        <w:spacing w:before="120"/>
        <w:rPr>
          <w:sz w:val="20"/>
        </w:rPr>
      </w:pPr>
      <w:r>
        <w:rPr>
          <w:sz w:val="20"/>
        </w:rPr>
        <w:t xml:space="preserve">(Continued from previous page)  </w:t>
      </w:r>
      <w:r>
        <w:rPr>
          <w:sz w:val="20"/>
        </w:rPr>
        <w:separator/>
      </w:r>
    </w:p>
  </w:footnote>
  <w:footnote w:type="continuationNotice" w:id="2">
    <w:p w:rsidR="0062014C" w:rsidP="00C721AC" w14:paraId="3CD02043" w14:textId="77777777">
      <w:pPr>
        <w:jc w:val="right"/>
        <w:rPr>
          <w:sz w:val="20"/>
        </w:rPr>
      </w:pPr>
      <w:r>
        <w:rPr>
          <w:sz w:val="20"/>
        </w:rPr>
        <w:t>(continued….)</w:t>
      </w:r>
    </w:p>
  </w:footnote>
  <w:footnote w:id="3">
    <w:p w:rsidR="00CE0421" w:rsidRPr="006F2118" w:rsidP="00CE0421" w14:paraId="1D5D3DA9" w14:textId="77777777">
      <w:pPr>
        <w:pStyle w:val="FootnoteText"/>
        <w:rPr>
          <w:i/>
        </w:rPr>
      </w:pPr>
      <w:r w:rsidRPr="006F2118">
        <w:rPr>
          <w:rStyle w:val="FootnoteReference"/>
        </w:rPr>
        <w:footnoteRef/>
      </w:r>
      <w:r w:rsidRPr="006F2118">
        <w:t xml:space="preserve"> </w:t>
      </w:r>
      <w:bookmarkStart w:id="1" w:name="_Hlk494718895"/>
      <w:r w:rsidRPr="006F2118">
        <w:t xml:space="preserve">E-mail from David Siddall, Counsel to ARRL, to Roger Noel, Chief, Mobility Division, FCC Wireless Telecommunications Bureau (November 17, 2022 17:01 EST) (Waiver Request); </w:t>
      </w:r>
      <w:r w:rsidRPr="006F2118">
        <w:rPr>
          <w:i/>
        </w:rPr>
        <w:t xml:space="preserve">see </w:t>
      </w:r>
      <w:r w:rsidRPr="006F2118">
        <w:t xml:space="preserve">47 CFR § 97.111(a).  </w:t>
      </w:r>
      <w:bookmarkEnd w:id="1"/>
    </w:p>
  </w:footnote>
  <w:footnote w:id="4">
    <w:p w:rsidR="00CE0421" w:rsidRPr="006F2118" w:rsidP="00CE0421" w14:paraId="1D134CCC" w14:textId="77777777">
      <w:pPr>
        <w:pStyle w:val="FootnoteText"/>
        <w:rPr>
          <w:iCs/>
        </w:rPr>
      </w:pPr>
      <w:r w:rsidRPr="006F2118">
        <w:rPr>
          <w:rStyle w:val="FootnoteReference"/>
        </w:rPr>
        <w:footnoteRef/>
      </w:r>
      <w:r w:rsidRPr="006F2118">
        <w:t xml:space="preserve"> </w:t>
      </w:r>
      <w:r w:rsidRPr="006F2118">
        <w:rPr>
          <w:iCs/>
        </w:rPr>
        <w:t>47 CFR § 97.111(a).</w:t>
      </w:r>
    </w:p>
  </w:footnote>
  <w:footnote w:id="5">
    <w:p w:rsidR="00CE0421" w:rsidRPr="006F2118" w:rsidP="00CE0421" w14:paraId="0875DDC4" w14:textId="77777777">
      <w:pPr>
        <w:pStyle w:val="FootnoteText"/>
      </w:pPr>
      <w:r w:rsidRPr="006F2118">
        <w:rPr>
          <w:rStyle w:val="FootnoteReference"/>
        </w:rPr>
        <w:footnoteRef/>
      </w:r>
      <w:r w:rsidRPr="006F2118">
        <w:t xml:space="preserve"> 47 CFR § 97.111(a)(5).  </w:t>
      </w:r>
    </w:p>
  </w:footnote>
  <w:footnote w:id="6">
    <w:p w:rsidR="00CE0421" w:rsidRPr="006F2118" w:rsidP="00CE0421" w14:paraId="2CC96FC3" w14:textId="77777777">
      <w:pPr>
        <w:pStyle w:val="FootnoteText"/>
      </w:pPr>
      <w:r w:rsidRPr="006F2118">
        <w:rPr>
          <w:rStyle w:val="FootnoteReference"/>
        </w:rPr>
        <w:footnoteRef/>
      </w:r>
      <w:r w:rsidRPr="006F2118">
        <w:t xml:space="preserve"> Waiver Request at 1.</w:t>
      </w:r>
    </w:p>
  </w:footnote>
  <w:footnote w:id="7">
    <w:p w:rsidR="00CE0421" w:rsidRPr="006F2118" w:rsidP="00CE0421" w14:paraId="46D15139" w14:textId="77777777">
      <w:pPr>
        <w:pStyle w:val="FootnoteText"/>
      </w:pPr>
      <w:r w:rsidRPr="006F2118">
        <w:rPr>
          <w:rStyle w:val="FootnoteReference"/>
        </w:rPr>
        <w:footnoteRef/>
      </w:r>
      <w:r w:rsidRPr="006F2118">
        <w:t xml:space="preserve"> </w:t>
      </w:r>
      <w:r w:rsidRPr="006F2118">
        <w:rPr>
          <w:i/>
          <w:iCs/>
        </w:rPr>
        <w:t>Id.</w:t>
      </w:r>
      <w:r w:rsidRPr="006F2118">
        <w:t xml:space="preserve"> at 1-2.</w:t>
      </w:r>
    </w:p>
  </w:footnote>
  <w:footnote w:id="8">
    <w:p w:rsidR="00CE0421" w:rsidRPr="006F2118" w:rsidP="00CE0421" w14:paraId="6725D930" w14:textId="77777777">
      <w:pPr>
        <w:pStyle w:val="FootnoteText"/>
      </w:pPr>
      <w:r w:rsidRPr="006F2118">
        <w:rPr>
          <w:rStyle w:val="FootnoteReference"/>
        </w:rPr>
        <w:footnoteRef/>
      </w:r>
      <w:r w:rsidRPr="006F2118">
        <w:t xml:space="preserve"> </w:t>
      </w:r>
      <w:r w:rsidRPr="006F2118">
        <w:rPr>
          <w:i/>
          <w:iCs/>
        </w:rPr>
        <w:t>Id.</w:t>
      </w:r>
      <w:r w:rsidRPr="006F2118">
        <w:t xml:space="preserve"> at 2.  ARRL also attaches to its waiver request email correspondence that states the relevant military authorities support the proposed cross-band operations specific to this event.  </w:t>
      </w:r>
      <w:r w:rsidRPr="006F2118">
        <w:rPr>
          <w:i/>
          <w:iCs/>
        </w:rPr>
        <w:t>Id.</w:t>
      </w:r>
      <w:r w:rsidRPr="006F2118">
        <w:t xml:space="preserve"> at 3-5.</w:t>
      </w:r>
    </w:p>
  </w:footnote>
  <w:footnote w:id="9">
    <w:p w:rsidR="00CE0421" w:rsidRPr="006F2118" w:rsidP="00CE0421" w14:paraId="3209EC57" w14:textId="77777777">
      <w:pPr>
        <w:pStyle w:val="FootnoteText"/>
      </w:pPr>
      <w:r w:rsidRPr="006F2118">
        <w:rPr>
          <w:rStyle w:val="FootnoteReference"/>
        </w:rPr>
        <w:footnoteRef/>
      </w:r>
      <w:r w:rsidRPr="006F2118">
        <w:t xml:space="preserve"> 47 CFR § 1.925(b)(3).</w:t>
      </w:r>
    </w:p>
  </w:footnote>
  <w:footnote w:id="10">
    <w:p w:rsidR="00CE0421" w:rsidRPr="006F2118" w:rsidP="00CE0421" w14:paraId="41BCA0A5" w14:textId="77777777">
      <w:pPr>
        <w:pStyle w:val="FootnoteText"/>
      </w:pPr>
      <w:r w:rsidRPr="006F2118">
        <w:rPr>
          <w:rStyle w:val="FootnoteReference"/>
        </w:rPr>
        <w:footnoteRef/>
      </w:r>
      <w:r w:rsidRPr="006F2118">
        <w:t xml:space="preserve"> Waiver Request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C7C125" w14:textId="389EB958">
    <w:pPr>
      <w:pStyle w:val="Header"/>
      <w:rPr>
        <w:b w:val="0"/>
      </w:rPr>
    </w:pPr>
    <w:r>
      <w:tab/>
      <w:t>Federal Communications Commission</w:t>
    </w:r>
    <w:r>
      <w:tab/>
    </w:r>
    <w:r w:rsidR="00CE0421">
      <w:t>DA 22-</w:t>
    </w:r>
    <w:r w:rsidR="00E24FC9">
      <w:t>1241</w:t>
    </w:r>
  </w:p>
  <w:p w:rsidR="00D25FB5" w14:paraId="1D497EA6" w14:textId="504D01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8C6C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1E5352" w14:textId="1217EF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4FC9">
      <w:t>DA 22-1241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21"/>
    <w:rsid w:val="00036039"/>
    <w:rsid w:val="00037F90"/>
    <w:rsid w:val="000875BF"/>
    <w:rsid w:val="00096D8C"/>
    <w:rsid w:val="000C0B65"/>
    <w:rsid w:val="000E05FE"/>
    <w:rsid w:val="000E3D42"/>
    <w:rsid w:val="001047BD"/>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2F5E"/>
    <w:rsid w:val="004E4A22"/>
    <w:rsid w:val="00507902"/>
    <w:rsid w:val="00511968"/>
    <w:rsid w:val="0055614C"/>
    <w:rsid w:val="00566D06"/>
    <w:rsid w:val="005E14C2"/>
    <w:rsid w:val="00607BA5"/>
    <w:rsid w:val="0061180A"/>
    <w:rsid w:val="0062014C"/>
    <w:rsid w:val="00626EB6"/>
    <w:rsid w:val="00655D03"/>
    <w:rsid w:val="00683388"/>
    <w:rsid w:val="00683F84"/>
    <w:rsid w:val="006A6A81"/>
    <w:rsid w:val="006F2118"/>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82D42"/>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E0421"/>
    <w:rsid w:val="00D0218D"/>
    <w:rsid w:val="00D25FB5"/>
    <w:rsid w:val="00D44223"/>
    <w:rsid w:val="00DA2529"/>
    <w:rsid w:val="00DB130A"/>
    <w:rsid w:val="00DB2EBB"/>
    <w:rsid w:val="00DC10A1"/>
    <w:rsid w:val="00DC655F"/>
    <w:rsid w:val="00DD0B59"/>
    <w:rsid w:val="00DD7EBD"/>
    <w:rsid w:val="00DF62B6"/>
    <w:rsid w:val="00E07225"/>
    <w:rsid w:val="00E24FC9"/>
    <w:rsid w:val="00E5409F"/>
    <w:rsid w:val="00EE6488"/>
    <w:rsid w:val="00F021FA"/>
    <w:rsid w:val="00F62E97"/>
    <w:rsid w:val="00F64209"/>
    <w:rsid w:val="00F93BF5"/>
    <w:rsid w:val="00FC4EFF"/>
    <w:rsid w:val="116494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7CCD55"/>
  <w15:chartTrackingRefBased/>
  <w15:docId w15:val="{4A72B0F5-DDA8-4F24-808F-B064DC9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42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 Char2 Char,Footnote Text Char1 Char Char,Footnote Text Char1 Char Char Char Char,Footnote Text Char6 Char"/>
    <w:link w:val="FootnoteText"/>
    <w:rsid w:val="00CE0421"/>
  </w:style>
  <w:style w:type="character" w:customStyle="1" w:styleId="ParaNumChar">
    <w:name w:val="ParaNum Char"/>
    <w:link w:val="ParaNum"/>
    <w:rsid w:val="00CE0421"/>
    <w:rPr>
      <w:snapToGrid w:val="0"/>
      <w:kern w:val="28"/>
      <w:sz w:val="22"/>
    </w:rPr>
  </w:style>
  <w:style w:type="character" w:customStyle="1" w:styleId="normaltextfont">
    <w:name w:val="normaltextfont"/>
    <w:rsid w:val="00CE0421"/>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