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14B0F" w:rsidRPr="00C941FA" w:rsidP="00114B0F" w14:paraId="13ACE628" w14:textId="693F8FEB">
      <w:pPr>
        <w:jc w:val="right"/>
        <w:rPr>
          <w:b/>
          <w:szCs w:val="22"/>
        </w:rPr>
      </w:pPr>
      <w:r w:rsidRPr="00C941FA">
        <w:rPr>
          <w:b/>
          <w:szCs w:val="22"/>
        </w:rPr>
        <w:t xml:space="preserve">DA </w:t>
      </w:r>
      <w:r w:rsidRPr="00C941FA" w:rsidR="00A26517">
        <w:rPr>
          <w:b/>
          <w:szCs w:val="22"/>
        </w:rPr>
        <w:t>2</w:t>
      </w:r>
      <w:r w:rsidRPr="00C941FA" w:rsidR="00B11731">
        <w:rPr>
          <w:b/>
          <w:szCs w:val="22"/>
        </w:rPr>
        <w:t>2</w:t>
      </w:r>
      <w:r w:rsidRPr="00C941FA" w:rsidR="00A26517">
        <w:rPr>
          <w:b/>
          <w:szCs w:val="22"/>
        </w:rPr>
        <w:t>-</w:t>
      </w:r>
      <w:r w:rsidR="002040AA">
        <w:rPr>
          <w:b/>
          <w:szCs w:val="22"/>
        </w:rPr>
        <w:t>1254</w:t>
      </w:r>
    </w:p>
    <w:p w:rsidR="00114B0F" w:rsidRPr="00C941FA" w:rsidP="00114B0F" w14:paraId="6B065835" w14:textId="5F207E29">
      <w:pPr>
        <w:jc w:val="right"/>
        <w:rPr>
          <w:b/>
          <w:szCs w:val="22"/>
        </w:rPr>
      </w:pPr>
      <w:r w:rsidRPr="00C941FA">
        <w:rPr>
          <w:b/>
          <w:szCs w:val="22"/>
        </w:rPr>
        <w:t xml:space="preserve">Released:  </w:t>
      </w:r>
      <w:r w:rsidRPr="00C941FA" w:rsidR="00B11731">
        <w:rPr>
          <w:b/>
          <w:szCs w:val="22"/>
        </w:rPr>
        <w:t>December</w:t>
      </w:r>
      <w:r w:rsidRPr="00C941FA" w:rsidR="00A26517">
        <w:rPr>
          <w:b/>
          <w:szCs w:val="22"/>
        </w:rPr>
        <w:t xml:space="preserve"> </w:t>
      </w:r>
      <w:r w:rsidRPr="00C941FA" w:rsidR="00C941FA">
        <w:rPr>
          <w:b/>
          <w:szCs w:val="22"/>
        </w:rPr>
        <w:t>2</w:t>
      </w:r>
      <w:r w:rsidRPr="00C941FA" w:rsidR="00A26517">
        <w:rPr>
          <w:b/>
          <w:szCs w:val="22"/>
        </w:rPr>
        <w:t>, 202</w:t>
      </w:r>
      <w:r w:rsidRPr="00C941FA" w:rsidR="00B11731">
        <w:rPr>
          <w:b/>
          <w:szCs w:val="22"/>
        </w:rPr>
        <w:t>2</w:t>
      </w:r>
    </w:p>
    <w:p w:rsidR="00114B0F" w:rsidRPr="00C941FA" w:rsidP="00114B0F" w14:paraId="6D72D4A0" w14:textId="77777777">
      <w:pPr>
        <w:spacing w:after="120"/>
        <w:jc w:val="center"/>
        <w:rPr>
          <w:szCs w:val="22"/>
        </w:rPr>
      </w:pPr>
    </w:p>
    <w:p w:rsidR="00114B0F" w:rsidRPr="00C941FA" w:rsidP="00A24127" w14:paraId="6953E333" w14:textId="32788E3C">
      <w:pPr>
        <w:jc w:val="center"/>
        <w:rPr>
          <w:b/>
          <w:caps/>
          <w:szCs w:val="22"/>
        </w:rPr>
      </w:pPr>
      <w:r w:rsidRPr="00C941FA">
        <w:rPr>
          <w:b/>
          <w:caps/>
          <w:szCs w:val="22"/>
        </w:rPr>
        <w:t xml:space="preserve">Public Safety and HOMELAND SECURITY bureau ANNOUNCES FILING DEADLINES FOR OPPOSITIONS and </w:t>
      </w:r>
      <w:r w:rsidRPr="00C941FA" w:rsidR="0060684A">
        <w:rPr>
          <w:b/>
          <w:caps/>
          <w:szCs w:val="22"/>
        </w:rPr>
        <w:t xml:space="preserve">OPPOSITION </w:t>
      </w:r>
      <w:r w:rsidRPr="00C941FA">
        <w:rPr>
          <w:b/>
          <w:caps/>
          <w:szCs w:val="22"/>
        </w:rPr>
        <w:t xml:space="preserve">replies </w:t>
      </w:r>
      <w:r w:rsidRPr="00C941FA" w:rsidR="0037075A">
        <w:rPr>
          <w:b/>
          <w:caps/>
          <w:szCs w:val="22"/>
        </w:rPr>
        <w:t>TO</w:t>
      </w:r>
      <w:r w:rsidRPr="00C941FA">
        <w:rPr>
          <w:b/>
          <w:caps/>
          <w:szCs w:val="22"/>
        </w:rPr>
        <w:t xml:space="preserve"> THE </w:t>
      </w:r>
      <w:r w:rsidRPr="00C941FA" w:rsidR="008F6BA4">
        <w:rPr>
          <w:b/>
          <w:bCs/>
          <w:snapToGrid/>
          <w:kern w:val="0"/>
          <w:szCs w:val="22"/>
        </w:rPr>
        <w:t xml:space="preserve">PETITION </w:t>
      </w:r>
      <w:r w:rsidRPr="00C941FA" w:rsidR="00123348">
        <w:rPr>
          <w:b/>
          <w:bCs/>
          <w:snapToGrid/>
          <w:kern w:val="0"/>
          <w:szCs w:val="22"/>
        </w:rPr>
        <w:t>FOR CLARIFICATION AND PARTIAL RECONSIDERATION</w:t>
      </w:r>
      <w:r w:rsidRPr="00C941FA" w:rsidR="00A24127">
        <w:rPr>
          <w:b/>
          <w:caps/>
          <w:szCs w:val="22"/>
        </w:rPr>
        <w:t xml:space="preserve"> </w:t>
      </w:r>
      <w:r w:rsidRPr="00C941FA" w:rsidR="000564DE">
        <w:rPr>
          <w:b/>
          <w:caps/>
          <w:szCs w:val="22"/>
        </w:rPr>
        <w:t xml:space="preserve">FILED BY CTIA AND CCA </w:t>
      </w:r>
      <w:r w:rsidRPr="00C941FA" w:rsidR="0037075A">
        <w:rPr>
          <w:b/>
          <w:caps/>
          <w:szCs w:val="22"/>
        </w:rPr>
        <w:t>REGARDING</w:t>
      </w:r>
      <w:r w:rsidRPr="00C941FA" w:rsidR="00CD5BB5">
        <w:rPr>
          <w:b/>
          <w:caps/>
          <w:szCs w:val="22"/>
        </w:rPr>
        <w:t xml:space="preserve"> the </w:t>
      </w:r>
      <w:r w:rsidRPr="00C941FA" w:rsidR="00264EC3">
        <w:rPr>
          <w:b/>
          <w:caps/>
          <w:szCs w:val="22"/>
        </w:rPr>
        <w:t xml:space="preserve">RESILIENT NETWORKS </w:t>
      </w:r>
      <w:r w:rsidRPr="00C941FA" w:rsidR="00CD5BB5">
        <w:rPr>
          <w:b/>
          <w:iCs/>
          <w:caps/>
          <w:szCs w:val="22"/>
        </w:rPr>
        <w:t xml:space="preserve">REPORT AND ORDER </w:t>
      </w:r>
    </w:p>
    <w:p w:rsidR="00114B0F" w:rsidRPr="00C941FA" w:rsidP="00114B0F" w14:paraId="52401D14" w14:textId="77777777">
      <w:pPr>
        <w:jc w:val="center"/>
        <w:rPr>
          <w:b/>
          <w:caps/>
          <w:szCs w:val="22"/>
        </w:rPr>
      </w:pPr>
    </w:p>
    <w:p w:rsidR="00D47245" w:rsidRPr="00C941FA" w:rsidP="00A30EF5" w14:paraId="15843755" w14:textId="654FF502">
      <w:pPr>
        <w:jc w:val="center"/>
        <w:rPr>
          <w:b/>
          <w:bCs/>
          <w:szCs w:val="22"/>
        </w:rPr>
      </w:pPr>
      <w:r w:rsidRPr="00C941FA">
        <w:rPr>
          <w:b/>
          <w:bCs/>
          <w:szCs w:val="22"/>
        </w:rPr>
        <w:t>PS Docket Nos. 21-346 and 15-80; ET Docket No. 04-35</w:t>
      </w:r>
    </w:p>
    <w:p w:rsidR="00D47245" w:rsidRPr="00C941FA" w:rsidP="00A30EF5" w14:paraId="459BA5A2" w14:textId="7F2E1C67">
      <w:pPr>
        <w:jc w:val="center"/>
        <w:rPr>
          <w:b/>
          <w:szCs w:val="22"/>
        </w:rPr>
      </w:pPr>
    </w:p>
    <w:p w:rsidR="00373AD9" w:rsidRPr="00C941FA" w:rsidP="00373AD9" w14:paraId="619681E7" w14:textId="6F2352F0">
      <w:pPr>
        <w:rPr>
          <w:b/>
          <w:szCs w:val="22"/>
        </w:rPr>
      </w:pPr>
      <w:r w:rsidRPr="00C941FA">
        <w:rPr>
          <w:b/>
          <w:szCs w:val="22"/>
        </w:rPr>
        <w:t xml:space="preserve">Oppositions Due: </w:t>
      </w:r>
      <w:r w:rsidRPr="00C941FA" w:rsidR="00A24127">
        <w:rPr>
          <w:b/>
          <w:szCs w:val="22"/>
        </w:rPr>
        <w:t xml:space="preserve">December </w:t>
      </w:r>
      <w:r w:rsidRPr="00C941FA" w:rsidR="00C941FA">
        <w:rPr>
          <w:b/>
          <w:szCs w:val="22"/>
        </w:rPr>
        <w:t>19</w:t>
      </w:r>
      <w:r w:rsidRPr="00C941FA" w:rsidR="00A24127">
        <w:rPr>
          <w:b/>
          <w:szCs w:val="22"/>
        </w:rPr>
        <w:t>, 2022</w:t>
      </w:r>
    </w:p>
    <w:p w:rsidR="00373AD9" w:rsidRPr="00C941FA" w:rsidP="00373AD9" w14:paraId="66025F78" w14:textId="41E8A622">
      <w:pPr>
        <w:rPr>
          <w:b/>
          <w:szCs w:val="22"/>
        </w:rPr>
      </w:pPr>
      <w:r w:rsidRPr="00C941FA">
        <w:rPr>
          <w:b/>
          <w:szCs w:val="22"/>
        </w:rPr>
        <w:t xml:space="preserve">Replies to Oppositions Due: </w:t>
      </w:r>
      <w:r w:rsidRPr="00C941FA" w:rsidR="00A24127">
        <w:rPr>
          <w:b/>
          <w:szCs w:val="22"/>
        </w:rPr>
        <w:t xml:space="preserve">December </w:t>
      </w:r>
      <w:r w:rsidRPr="00C941FA" w:rsidR="00C941FA">
        <w:rPr>
          <w:b/>
          <w:szCs w:val="22"/>
        </w:rPr>
        <w:t>27</w:t>
      </w:r>
      <w:r w:rsidRPr="00C941FA" w:rsidR="003063CD">
        <w:rPr>
          <w:b/>
          <w:szCs w:val="22"/>
        </w:rPr>
        <w:t>, 202</w:t>
      </w:r>
      <w:r w:rsidRPr="00C941FA" w:rsidR="00A24127">
        <w:rPr>
          <w:b/>
          <w:szCs w:val="22"/>
        </w:rPr>
        <w:t>2</w:t>
      </w:r>
    </w:p>
    <w:p w:rsidR="00114B0F" w:rsidRPr="00C941FA" w:rsidP="00A30EF5" w14:paraId="041575A9" w14:textId="77777777">
      <w:pPr>
        <w:spacing w:after="120"/>
        <w:rPr>
          <w:szCs w:val="22"/>
        </w:rPr>
      </w:pPr>
    </w:p>
    <w:p w:rsidR="001B2FA6" w:rsidRPr="00C941FA" w:rsidP="00721172" w14:paraId="6959E871" w14:textId="4C3520D0">
      <w:pPr>
        <w:spacing w:after="120"/>
        <w:ind w:firstLine="720"/>
        <w:rPr>
          <w:szCs w:val="22"/>
          <w:u w:val="single"/>
        </w:rPr>
      </w:pPr>
      <w:r w:rsidRPr="00C941FA">
        <w:rPr>
          <w:szCs w:val="22"/>
        </w:rPr>
        <w:t xml:space="preserve">By this </w:t>
      </w:r>
      <w:r w:rsidRPr="00C941FA">
        <w:rPr>
          <w:i/>
          <w:iCs/>
          <w:szCs w:val="22"/>
        </w:rPr>
        <w:t>Public Notice</w:t>
      </w:r>
      <w:r w:rsidRPr="00C941FA">
        <w:rPr>
          <w:szCs w:val="22"/>
        </w:rPr>
        <w:t xml:space="preserve">, the Public Safety and Homeland Security Bureau notifies interested parties of the filing deadlines for oppositions, and replies thereto, to </w:t>
      </w:r>
      <w:r w:rsidRPr="00C941FA" w:rsidR="008352C0">
        <w:rPr>
          <w:szCs w:val="22"/>
        </w:rPr>
        <w:t xml:space="preserve">the </w:t>
      </w:r>
      <w:r w:rsidRPr="00C941FA" w:rsidR="00146AB6">
        <w:rPr>
          <w:szCs w:val="22"/>
        </w:rPr>
        <w:t>P</w:t>
      </w:r>
      <w:r w:rsidRPr="00C941FA">
        <w:rPr>
          <w:szCs w:val="22"/>
        </w:rPr>
        <w:t>etition for</w:t>
      </w:r>
      <w:r w:rsidRPr="00C941FA" w:rsidR="008352C0">
        <w:rPr>
          <w:szCs w:val="22"/>
        </w:rPr>
        <w:t xml:space="preserve"> </w:t>
      </w:r>
      <w:r w:rsidRPr="00C941FA" w:rsidR="00146AB6">
        <w:rPr>
          <w:szCs w:val="22"/>
        </w:rPr>
        <w:t>C</w:t>
      </w:r>
      <w:r w:rsidRPr="00C941FA" w:rsidR="008352C0">
        <w:rPr>
          <w:szCs w:val="22"/>
        </w:rPr>
        <w:t xml:space="preserve">larification and </w:t>
      </w:r>
      <w:r w:rsidRPr="00C941FA" w:rsidR="00146AB6">
        <w:rPr>
          <w:szCs w:val="22"/>
        </w:rPr>
        <w:t>P</w:t>
      </w:r>
      <w:r w:rsidRPr="00C941FA" w:rsidR="008352C0">
        <w:rPr>
          <w:szCs w:val="22"/>
        </w:rPr>
        <w:t>artial</w:t>
      </w:r>
      <w:r w:rsidRPr="00C941FA">
        <w:rPr>
          <w:szCs w:val="22"/>
        </w:rPr>
        <w:t xml:space="preserve"> </w:t>
      </w:r>
      <w:r w:rsidRPr="00C941FA" w:rsidR="00146AB6">
        <w:rPr>
          <w:szCs w:val="22"/>
        </w:rPr>
        <w:t>R</w:t>
      </w:r>
      <w:r w:rsidRPr="00C941FA">
        <w:rPr>
          <w:szCs w:val="22"/>
        </w:rPr>
        <w:t xml:space="preserve">econsideration of the Report and Order released on </w:t>
      </w:r>
      <w:r w:rsidRPr="00C941FA" w:rsidR="00CD6282">
        <w:rPr>
          <w:szCs w:val="22"/>
        </w:rPr>
        <w:t>July 6, 2022</w:t>
      </w:r>
      <w:r w:rsidRPr="00C941FA">
        <w:rPr>
          <w:szCs w:val="22"/>
        </w:rPr>
        <w:t xml:space="preserve"> in the </w:t>
      </w:r>
      <w:r w:rsidRPr="00C941FA" w:rsidR="008352C0">
        <w:rPr>
          <w:szCs w:val="22"/>
        </w:rPr>
        <w:t>resilient networks</w:t>
      </w:r>
      <w:r w:rsidRPr="00C941FA">
        <w:rPr>
          <w:szCs w:val="22"/>
        </w:rPr>
        <w:t xml:space="preserve"> proceeding</w:t>
      </w:r>
      <w:r w:rsidRPr="00C941FA" w:rsidR="00146AB6">
        <w:rPr>
          <w:szCs w:val="22"/>
        </w:rPr>
        <w:t xml:space="preserve"> (Petition)</w:t>
      </w:r>
      <w:r w:rsidRPr="00C941FA">
        <w:rPr>
          <w:szCs w:val="22"/>
        </w:rPr>
        <w:t>.</w:t>
      </w:r>
      <w:r>
        <w:rPr>
          <w:iCs/>
          <w:szCs w:val="22"/>
          <w:vertAlign w:val="superscript"/>
        </w:rPr>
        <w:footnoteReference w:id="3"/>
      </w:r>
      <w:r w:rsidRPr="00C941FA">
        <w:rPr>
          <w:szCs w:val="22"/>
        </w:rPr>
        <w:t xml:space="preserve">  The </w:t>
      </w:r>
      <w:r w:rsidRPr="00C941FA" w:rsidR="00146AB6">
        <w:rPr>
          <w:szCs w:val="22"/>
        </w:rPr>
        <w:t xml:space="preserve">Petition was filed </w:t>
      </w:r>
      <w:r w:rsidRPr="00C941FA" w:rsidR="000E2D97">
        <w:rPr>
          <w:szCs w:val="22"/>
        </w:rPr>
        <w:t>jointly by CTIA and Competitive Carriers Association (CCA)</w:t>
      </w:r>
      <w:r w:rsidRPr="00C941FA" w:rsidR="00721172">
        <w:rPr>
          <w:szCs w:val="22"/>
        </w:rPr>
        <w:t>.</w:t>
      </w:r>
      <w:r>
        <w:rPr>
          <w:rStyle w:val="FootnoteReference"/>
          <w:szCs w:val="22"/>
        </w:rPr>
        <w:footnoteReference w:id="4"/>
      </w:r>
      <w:r w:rsidRPr="00C941FA" w:rsidR="00A4026D">
        <w:rPr>
          <w:szCs w:val="22"/>
        </w:rPr>
        <w:t xml:space="preserve">  </w:t>
      </w:r>
    </w:p>
    <w:p w:rsidR="00415D6A" w:rsidRPr="00C941FA" w:rsidP="00415D6A" w14:paraId="7F6A2A9D" w14:textId="4418DEA8">
      <w:pPr>
        <w:spacing w:after="120"/>
        <w:ind w:firstLine="720"/>
        <w:rPr>
          <w:szCs w:val="22"/>
        </w:rPr>
      </w:pPr>
      <w:bookmarkStart w:id="0" w:name="TOChere"/>
      <w:r w:rsidRPr="00C941FA">
        <w:rPr>
          <w:szCs w:val="22"/>
        </w:rPr>
        <w:t xml:space="preserve">The </w:t>
      </w:r>
      <w:r w:rsidRPr="00C941FA" w:rsidR="005F3ACB">
        <w:rPr>
          <w:szCs w:val="22"/>
        </w:rPr>
        <w:t>Commission</w:t>
      </w:r>
      <w:r w:rsidRPr="00C941FA">
        <w:rPr>
          <w:szCs w:val="22"/>
        </w:rPr>
        <w:t xml:space="preserve"> previously announced that oppositions to the </w:t>
      </w:r>
      <w:r w:rsidRPr="00C941FA" w:rsidR="005F3ACB">
        <w:rPr>
          <w:szCs w:val="22"/>
        </w:rPr>
        <w:t>Petition</w:t>
      </w:r>
      <w:r w:rsidRPr="00C941FA">
        <w:rPr>
          <w:szCs w:val="22"/>
        </w:rPr>
        <w:t xml:space="preserve"> must be filed within 15 days after the date on which the Federal Register publishes notice of the filing of the </w:t>
      </w:r>
      <w:r w:rsidRPr="00C941FA" w:rsidR="004A77D4">
        <w:rPr>
          <w:szCs w:val="22"/>
        </w:rPr>
        <w:t>P</w:t>
      </w:r>
      <w:r w:rsidRPr="00C941FA">
        <w:rPr>
          <w:szCs w:val="22"/>
        </w:rPr>
        <w:t>etition, and that replies to oppositions must be filed within 10 days after the time for filing oppositions has expired.</w:t>
      </w:r>
      <w:r>
        <w:rPr>
          <w:rStyle w:val="FootnoteReference"/>
          <w:szCs w:val="22"/>
        </w:rPr>
        <w:footnoteReference w:id="5"/>
      </w:r>
      <w:r w:rsidRPr="00C941FA">
        <w:rPr>
          <w:szCs w:val="22"/>
        </w:rPr>
        <w:t xml:space="preserve">  The Federal Register published notice of the filing of the </w:t>
      </w:r>
      <w:r w:rsidRPr="00C941FA" w:rsidR="00EC623D">
        <w:rPr>
          <w:szCs w:val="22"/>
        </w:rPr>
        <w:t>Petition</w:t>
      </w:r>
      <w:r w:rsidRPr="00C941FA">
        <w:rPr>
          <w:szCs w:val="22"/>
        </w:rPr>
        <w:t xml:space="preserve"> on December 2, 202</w:t>
      </w:r>
      <w:r w:rsidRPr="00C941FA" w:rsidR="00EC623D">
        <w:rPr>
          <w:szCs w:val="22"/>
        </w:rPr>
        <w:t>2</w:t>
      </w:r>
      <w:r w:rsidRPr="00C941FA">
        <w:rPr>
          <w:szCs w:val="22"/>
        </w:rPr>
        <w:t>.</w:t>
      </w:r>
      <w:r>
        <w:rPr>
          <w:rStyle w:val="FootnoteReference"/>
          <w:szCs w:val="22"/>
        </w:rPr>
        <w:footnoteReference w:id="6"/>
      </w:r>
      <w:r w:rsidRPr="00C941FA">
        <w:rPr>
          <w:szCs w:val="22"/>
        </w:rPr>
        <w:t xml:space="preserve">  Accordingly, oppositions to the petitions are due on</w:t>
      </w:r>
      <w:r w:rsidRPr="00C941FA">
        <w:rPr>
          <w:szCs w:val="22"/>
        </w:rPr>
        <w:t xml:space="preserve"> </w:t>
      </w:r>
      <w:r w:rsidRPr="00C941FA">
        <w:rPr>
          <w:b/>
          <w:szCs w:val="22"/>
        </w:rPr>
        <w:t xml:space="preserve">December </w:t>
      </w:r>
      <w:r w:rsidRPr="00C941FA" w:rsidR="00C941FA">
        <w:rPr>
          <w:b/>
          <w:szCs w:val="22"/>
        </w:rPr>
        <w:t>19</w:t>
      </w:r>
      <w:r w:rsidRPr="00C941FA">
        <w:rPr>
          <w:b/>
          <w:szCs w:val="22"/>
        </w:rPr>
        <w:t>, 2022</w:t>
      </w:r>
      <w:r w:rsidRPr="00C941FA">
        <w:rPr>
          <w:szCs w:val="22"/>
        </w:rPr>
        <w:t xml:space="preserve">, and replies to oppositions are due on </w:t>
      </w:r>
      <w:r w:rsidRPr="00C941FA">
        <w:rPr>
          <w:b/>
          <w:szCs w:val="22"/>
        </w:rPr>
        <w:t xml:space="preserve">December </w:t>
      </w:r>
      <w:r w:rsidRPr="00C941FA" w:rsidR="00C941FA">
        <w:rPr>
          <w:b/>
          <w:szCs w:val="22"/>
        </w:rPr>
        <w:t>27</w:t>
      </w:r>
      <w:r w:rsidRPr="00C941FA">
        <w:rPr>
          <w:b/>
          <w:szCs w:val="22"/>
        </w:rPr>
        <w:t>, 2022</w:t>
      </w:r>
      <w:r w:rsidRPr="00C941FA">
        <w:rPr>
          <w:bCs/>
          <w:szCs w:val="22"/>
        </w:rPr>
        <w:t>.</w:t>
      </w:r>
    </w:p>
    <w:p w:rsidR="00415D6A" w:rsidRPr="00C941FA" w:rsidP="00415D6A" w14:paraId="202040A6" w14:textId="768BD929">
      <w:pPr>
        <w:ind w:firstLine="720"/>
        <w:rPr>
          <w:szCs w:val="22"/>
        </w:rPr>
      </w:pPr>
      <w:r w:rsidRPr="00C941FA">
        <w:rPr>
          <w:i/>
          <w:iCs/>
          <w:szCs w:val="22"/>
        </w:rPr>
        <w:t>Filing Procedures</w:t>
      </w:r>
      <w:r w:rsidRPr="00C941FA">
        <w:rPr>
          <w:szCs w:val="22"/>
        </w:rPr>
        <w:t>.  Oppositions and replies may be filed using the Commission’s Electronic Comment Filing System (ECFS), or by filing paper copies.</w:t>
      </w:r>
      <w:r>
        <w:rPr>
          <w:rStyle w:val="FootnoteReference"/>
          <w:szCs w:val="22"/>
        </w:rPr>
        <w:footnoteReference w:id="7"/>
      </w:r>
      <w:r w:rsidRPr="00C941FA">
        <w:rPr>
          <w:szCs w:val="22"/>
        </w:rPr>
        <w:t xml:space="preserve">  Oppositions and replies should refer to </w:t>
      </w:r>
      <w:r w:rsidRPr="00C941FA">
        <w:rPr>
          <w:szCs w:val="22"/>
        </w:rPr>
        <w:t xml:space="preserve"> PS Docket Nos. 21-346 and 15-80 and ET Docket No. 04-35.</w:t>
      </w:r>
    </w:p>
    <w:p w:rsidR="00415D6A" w:rsidRPr="00C941FA" w:rsidP="00415D6A" w14:paraId="6E16ED95" w14:textId="77777777">
      <w:pPr>
        <w:rPr>
          <w:szCs w:val="22"/>
        </w:rPr>
      </w:pPr>
    </w:p>
    <w:p w:rsidR="00C13315" w:rsidRPr="00C941FA" w:rsidP="00C13315" w14:paraId="1D78D951" w14:textId="77777777">
      <w:pPr>
        <w:pStyle w:val="ParaNum"/>
        <w:numPr>
          <w:ilvl w:val="0"/>
          <w:numId w:val="12"/>
        </w:numPr>
        <w:tabs>
          <w:tab w:val="num" w:pos="1440"/>
        </w:tabs>
        <w:rPr>
          <w:szCs w:val="22"/>
        </w:rPr>
      </w:pPr>
      <w:r w:rsidRPr="00C941FA">
        <w:rPr>
          <w:szCs w:val="22"/>
        </w:rPr>
        <w:t>Electronic Filers:  Comments may be filed electronically using the Internet by accessing the ECFS:  https://www.fcc.gov/ecfs/.</w:t>
      </w:r>
    </w:p>
    <w:p w:rsidR="00C13315" w:rsidRPr="00C941FA" w:rsidP="00C13315" w14:paraId="4035B215" w14:textId="77777777">
      <w:pPr>
        <w:pStyle w:val="ParaNum"/>
        <w:numPr>
          <w:ilvl w:val="0"/>
          <w:numId w:val="12"/>
        </w:numPr>
        <w:tabs>
          <w:tab w:val="num" w:pos="1440"/>
        </w:tabs>
        <w:rPr>
          <w:szCs w:val="22"/>
        </w:rPr>
      </w:pPr>
      <w:r w:rsidRPr="00C941FA">
        <w:rPr>
          <w:szCs w:val="22"/>
        </w:rPr>
        <w:t>Paper Filers:  Parties who choose to file by paper must file an original and one copy of each filing.</w:t>
      </w:r>
    </w:p>
    <w:p w:rsidR="00C13315" w:rsidRPr="00C941FA" w:rsidP="00C13315" w14:paraId="66FDB3EB" w14:textId="77777777">
      <w:pPr>
        <w:pStyle w:val="ParaNum"/>
        <w:numPr>
          <w:ilvl w:val="0"/>
          <w:numId w:val="12"/>
        </w:numPr>
        <w:tabs>
          <w:tab w:val="num" w:pos="1440"/>
        </w:tabs>
        <w:rPr>
          <w:szCs w:val="22"/>
        </w:rPr>
      </w:pPr>
      <w:r w:rsidRPr="00C941FA">
        <w:rPr>
          <w:szCs w:val="22"/>
        </w:rPr>
        <w:t>Filings can be sent by commercial overnight courier, or by first-class or overnight U.S. Postal Service mail.  All filings must be addressed to the Commission’s Secretary, Office of the Secretary, Federal Communications Commission.</w:t>
      </w:r>
    </w:p>
    <w:p w:rsidR="00C13315" w:rsidRPr="00C941FA" w:rsidP="00C13315" w14:paraId="2DEC3043" w14:textId="77777777">
      <w:pPr>
        <w:pStyle w:val="ParaNum"/>
        <w:widowControl/>
        <w:numPr>
          <w:ilvl w:val="1"/>
          <w:numId w:val="12"/>
        </w:numPr>
        <w:tabs>
          <w:tab w:val="num" w:pos="1440"/>
        </w:tabs>
        <w:rPr>
          <w:szCs w:val="22"/>
        </w:rPr>
      </w:pPr>
      <w:r w:rsidRPr="00C941FA">
        <w:rPr>
          <w:szCs w:val="22"/>
        </w:rPr>
        <w:t>Commercial overnight mail (other than U.S. Postal Service Express Mail and Priority Mail) must be sent to 9050 Junction Drive, Annapolis Junction, MD 20701.</w:t>
      </w:r>
    </w:p>
    <w:p w:rsidR="00C13315" w:rsidRPr="00C941FA" w:rsidP="00C13315" w14:paraId="590457C6" w14:textId="77777777">
      <w:pPr>
        <w:pStyle w:val="ParaNum"/>
        <w:numPr>
          <w:ilvl w:val="1"/>
          <w:numId w:val="12"/>
        </w:numPr>
        <w:tabs>
          <w:tab w:val="num" w:pos="1440"/>
        </w:tabs>
        <w:rPr>
          <w:szCs w:val="22"/>
        </w:rPr>
      </w:pPr>
      <w:r w:rsidRPr="00C941FA">
        <w:rPr>
          <w:szCs w:val="22"/>
        </w:rPr>
        <w:t>Postal Service first-class, Express, and Priority mail must be addressed to 45 L Street, NE, Washington, DC 20554.</w:t>
      </w:r>
    </w:p>
    <w:p w:rsidR="00C13315" w:rsidRPr="00C941FA" w:rsidP="00C13315" w14:paraId="16A8342E" w14:textId="77777777">
      <w:pPr>
        <w:pStyle w:val="ParaNum"/>
        <w:numPr>
          <w:ilvl w:val="0"/>
          <w:numId w:val="12"/>
        </w:numPr>
        <w:tabs>
          <w:tab w:val="num" w:pos="1440"/>
        </w:tabs>
        <w:rPr>
          <w:szCs w:val="22"/>
        </w:rPr>
      </w:pPr>
      <w:r w:rsidRPr="00C941F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8"/>
      </w:r>
    </w:p>
    <w:p w:rsidR="00C13315" w:rsidRPr="00C941FA" w:rsidP="00C13315" w14:paraId="4DE675BE" w14:textId="77777777">
      <w:pPr>
        <w:pStyle w:val="ParaNum"/>
        <w:numPr>
          <w:ilvl w:val="0"/>
          <w:numId w:val="12"/>
        </w:numPr>
        <w:tabs>
          <w:tab w:val="num" w:pos="1440"/>
        </w:tabs>
        <w:rPr>
          <w:szCs w:val="22"/>
        </w:rPr>
      </w:pPr>
      <w:r w:rsidRPr="00C941FA">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13315" w:rsidRPr="00C941FA" w:rsidP="001B2FA6" w14:paraId="1F1FAE92" w14:textId="77777777">
      <w:pPr>
        <w:ind w:left="2160"/>
        <w:rPr>
          <w:szCs w:val="22"/>
        </w:rPr>
      </w:pPr>
    </w:p>
    <w:p w:rsidR="001B2FA6" w:rsidRPr="00C941FA" w:rsidP="001B2FA6" w14:paraId="5D50A7A8" w14:textId="507BD17E">
      <w:pPr>
        <w:ind w:firstLine="720"/>
        <w:rPr>
          <w:szCs w:val="22"/>
        </w:rPr>
      </w:pPr>
      <w:r w:rsidRPr="00C941FA">
        <w:rPr>
          <w:i/>
          <w:iCs/>
          <w:szCs w:val="22"/>
        </w:rPr>
        <w:t xml:space="preserve">People with Disabilities.  </w:t>
      </w:r>
      <w:r w:rsidRPr="00C941FA" w:rsidR="0061106A">
        <w:rPr>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1B2FA6" w:rsidRPr="00C941FA" w:rsidP="001B2FA6" w14:paraId="7A3CB40A" w14:textId="77777777">
      <w:pPr>
        <w:ind w:firstLine="720"/>
        <w:rPr>
          <w:szCs w:val="22"/>
        </w:rPr>
      </w:pPr>
    </w:p>
    <w:p w:rsidR="001B2FA6" w:rsidRPr="00C941FA" w:rsidP="001B2FA6" w14:paraId="05D3E5F0" w14:textId="77777777">
      <w:pPr>
        <w:ind w:firstLine="720"/>
        <w:rPr>
          <w:szCs w:val="22"/>
        </w:rPr>
      </w:pPr>
      <w:r w:rsidRPr="00C941FA">
        <w:rPr>
          <w:i/>
          <w:iCs/>
          <w:szCs w:val="22"/>
        </w:rPr>
        <w:t>Ex Parte Rules</w:t>
      </w:r>
      <w:r w:rsidRPr="00C941FA">
        <w:rPr>
          <w:szCs w:val="22"/>
        </w:rPr>
        <w:t xml:space="preserve">.  This proceeding shall continue to be treated as a “permit-but-disclose” proceeding in accordance with the Commission’s </w:t>
      </w:r>
      <w:r w:rsidRPr="00C941FA">
        <w:rPr>
          <w:i/>
          <w:iCs/>
          <w:szCs w:val="22"/>
        </w:rPr>
        <w:t xml:space="preserve">ex parte </w:t>
      </w:r>
      <w:r w:rsidRPr="00C941FA">
        <w:rPr>
          <w:szCs w:val="22"/>
        </w:rPr>
        <w:t>rules.</w:t>
      </w:r>
      <w:r>
        <w:rPr>
          <w:szCs w:val="22"/>
          <w:vertAlign w:val="superscript"/>
        </w:rPr>
        <w:footnoteReference w:id="9"/>
      </w:r>
      <w:r w:rsidRPr="00C941FA">
        <w:rPr>
          <w:szCs w:val="22"/>
        </w:rPr>
        <w:t xml:space="preserve">  Persons making </w:t>
      </w:r>
      <w:r w:rsidRPr="00C941FA">
        <w:rPr>
          <w:i/>
          <w:szCs w:val="22"/>
        </w:rPr>
        <w:t xml:space="preserve">ex parte </w:t>
      </w:r>
      <w:r w:rsidRPr="00C941FA">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941FA">
        <w:rPr>
          <w:i/>
          <w:iCs/>
          <w:szCs w:val="22"/>
        </w:rPr>
        <w:t xml:space="preserve">ex parte </w:t>
      </w:r>
      <w:r w:rsidRPr="00C941FA">
        <w:rPr>
          <w:szCs w:val="22"/>
        </w:rPr>
        <w:t xml:space="preserve">presentations are reminded that memoranda summarizing the presentation must (1) list all persons attending or otherwise participating in the meeting at which the </w:t>
      </w:r>
      <w:r w:rsidRPr="00C941FA">
        <w:rPr>
          <w:i/>
          <w:iCs/>
          <w:szCs w:val="22"/>
        </w:rPr>
        <w:t xml:space="preserve">ex parte </w:t>
      </w:r>
      <w:r w:rsidRPr="00C941F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41FA">
        <w:rPr>
          <w:i/>
          <w:iCs/>
          <w:szCs w:val="22"/>
        </w:rPr>
        <w:t xml:space="preserve">ex parte </w:t>
      </w:r>
      <w:r w:rsidRPr="00C941FA">
        <w:rPr>
          <w:szCs w:val="22"/>
        </w:rPr>
        <w:t xml:space="preserve">meetings are deemed to be written </w:t>
      </w:r>
      <w:r w:rsidRPr="00C941FA">
        <w:rPr>
          <w:i/>
          <w:iCs/>
          <w:szCs w:val="22"/>
        </w:rPr>
        <w:t>ex parte</w:t>
      </w:r>
      <w:r w:rsidRPr="00C941FA">
        <w:rPr>
          <w:szCs w:val="22"/>
        </w:rPr>
        <w:t xml:space="preserve"> presentations and must be filed consistent with rule 1.1206(b).  In proceedings governed by rule 1.49(f) or for which the Commission has made available a method of electronic filing, written </w:t>
      </w:r>
      <w:r w:rsidRPr="00C941FA">
        <w:rPr>
          <w:i/>
          <w:iCs/>
          <w:szCs w:val="22"/>
        </w:rPr>
        <w:t xml:space="preserve">ex parte </w:t>
      </w:r>
      <w:r w:rsidRPr="00C941FA">
        <w:rPr>
          <w:szCs w:val="22"/>
        </w:rPr>
        <w:t xml:space="preserve">presentations and memoranda summarizing oral </w:t>
      </w:r>
      <w:r w:rsidRPr="00C941FA">
        <w:rPr>
          <w:i/>
          <w:iCs/>
          <w:szCs w:val="22"/>
        </w:rPr>
        <w:t xml:space="preserve">ex parte </w:t>
      </w:r>
      <w:r w:rsidRPr="00C941FA">
        <w:rPr>
          <w:szCs w:val="22"/>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C941FA">
        <w:rPr>
          <w:i/>
          <w:iCs/>
          <w:szCs w:val="22"/>
        </w:rPr>
        <w:t xml:space="preserve">ex parte </w:t>
      </w:r>
      <w:r w:rsidRPr="00C941FA">
        <w:rPr>
          <w:szCs w:val="22"/>
        </w:rPr>
        <w:t xml:space="preserve">rules. </w:t>
      </w:r>
    </w:p>
    <w:p w:rsidR="001B2FA6" w:rsidRPr="00C941FA" w:rsidP="001B2FA6" w14:paraId="2D28D6DF" w14:textId="3AE6A66E">
      <w:pPr>
        <w:ind w:firstLine="720"/>
        <w:rPr>
          <w:szCs w:val="22"/>
        </w:rPr>
      </w:pPr>
    </w:p>
    <w:p w:rsidR="00B87229" w:rsidRPr="00C941FA" w:rsidP="001B2FA6" w14:paraId="3D8B8F1F" w14:textId="2DFE64D7">
      <w:pPr>
        <w:ind w:firstLine="720"/>
        <w:rPr>
          <w:szCs w:val="22"/>
        </w:rPr>
      </w:pPr>
    </w:p>
    <w:p w:rsidR="00B87229" w:rsidRPr="00C941FA" w:rsidP="001B2FA6" w14:paraId="136F5803" w14:textId="31901EA4">
      <w:pPr>
        <w:ind w:firstLine="720"/>
        <w:rPr>
          <w:szCs w:val="22"/>
        </w:rPr>
      </w:pPr>
    </w:p>
    <w:p w:rsidR="00B87229" w:rsidRPr="00C941FA" w:rsidP="001B2FA6" w14:paraId="00F45239" w14:textId="3803039D">
      <w:pPr>
        <w:ind w:firstLine="720"/>
        <w:rPr>
          <w:szCs w:val="22"/>
        </w:rPr>
      </w:pPr>
    </w:p>
    <w:p w:rsidR="00B87229" w:rsidRPr="00C941FA" w:rsidP="001B2FA6" w14:paraId="66AE6CA2" w14:textId="77777777">
      <w:pPr>
        <w:ind w:firstLine="720"/>
        <w:rPr>
          <w:szCs w:val="22"/>
        </w:rPr>
      </w:pPr>
    </w:p>
    <w:p w:rsidR="001B2FA6" w:rsidRPr="00C941FA" w:rsidP="00B87229" w14:paraId="12C7E2B6" w14:textId="3A991434">
      <w:pPr>
        <w:spacing w:after="120"/>
        <w:ind w:firstLine="720"/>
        <w:rPr>
          <w:szCs w:val="22"/>
        </w:rPr>
      </w:pPr>
      <w:r w:rsidRPr="00C941FA">
        <w:rPr>
          <w:i/>
          <w:iCs/>
          <w:szCs w:val="22"/>
        </w:rPr>
        <w:t>Additional Information</w:t>
      </w:r>
      <w:r w:rsidRPr="00C941FA">
        <w:rPr>
          <w:szCs w:val="22"/>
        </w:rPr>
        <w:t xml:space="preserve">.  For additional information on this proceeding, contact </w:t>
      </w:r>
      <w:r w:rsidRPr="00C941FA" w:rsidR="002479DA">
        <w:rPr>
          <w:szCs w:val="22"/>
        </w:rPr>
        <w:t>Saswat Misra</w:t>
      </w:r>
      <w:r w:rsidRPr="00C941FA">
        <w:rPr>
          <w:szCs w:val="22"/>
        </w:rPr>
        <w:t xml:space="preserve">, </w:t>
      </w:r>
      <w:r w:rsidRPr="00C941FA" w:rsidR="001C1C5B">
        <w:rPr>
          <w:szCs w:val="22"/>
        </w:rPr>
        <w:t xml:space="preserve">Attorney Advisor, Cybersecurity &amp; Communications Reliability Division, Public Safety and Homeland Security Bureau, 202–418–0944 or via e-mail at </w:t>
      </w:r>
      <w:hyperlink r:id="rId5" w:history="1">
        <w:r w:rsidRPr="00C941FA" w:rsidR="001C1C5B">
          <w:rPr>
            <w:rStyle w:val="Hyperlink"/>
            <w:szCs w:val="22"/>
          </w:rPr>
          <w:t>Saswat.Misra@fcc.gov</w:t>
        </w:r>
      </w:hyperlink>
      <w:r w:rsidRPr="00C941FA" w:rsidR="001C1C5B">
        <w:rPr>
          <w:szCs w:val="22"/>
        </w:rPr>
        <w:t>.</w:t>
      </w:r>
    </w:p>
    <w:p w:rsidR="001B2FA6" w:rsidRPr="00C941FA" w:rsidP="001B2FA6" w14:paraId="19510E5A" w14:textId="77777777">
      <w:pPr>
        <w:rPr>
          <w:szCs w:val="22"/>
        </w:rPr>
      </w:pPr>
      <w:r w:rsidRPr="00C941FA">
        <w:rPr>
          <w:szCs w:val="22"/>
        </w:rPr>
        <w:t xml:space="preserve"> </w:t>
      </w:r>
    </w:p>
    <w:bookmarkEnd w:id="0"/>
    <w:p w:rsidR="00930ECF" w:rsidRPr="00C941FA" w:rsidP="00A30EF5" w14:paraId="30001BE5" w14:textId="77777777">
      <w:pPr>
        <w:spacing w:after="120"/>
        <w:jc w:val="center"/>
        <w:rPr>
          <w:szCs w:val="22"/>
        </w:rPr>
      </w:pPr>
      <w:r w:rsidRPr="00C941FA">
        <w:rPr>
          <w:b/>
          <w:szCs w:val="22"/>
        </w:rPr>
        <w:t>- FCC –</w:t>
      </w:r>
    </w:p>
    <w:sectPr w:rsidSect="00E74F71">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2E5267"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F7393" w14:paraId="271C2B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A868508" w14:textId="77777777">
    <w:pPr>
      <w:pStyle w:val="Footer"/>
      <w:jc w:val="center"/>
    </w:pPr>
    <w:r>
      <w:fldChar w:fldCharType="begin"/>
    </w:r>
    <w:r>
      <w:instrText xml:space="preserve"> PAGE   \* MERGEFORMAT </w:instrText>
    </w:r>
    <w:r>
      <w:fldChar w:fldCharType="separate"/>
    </w:r>
    <w:r w:rsidR="00F7148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5A7C0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5678" w14:paraId="74B23BB4" w14:textId="77777777">
      <w:r>
        <w:separator/>
      </w:r>
    </w:p>
  </w:footnote>
  <w:footnote w:type="continuationSeparator" w:id="1">
    <w:p w:rsidR="00785678" w14:paraId="2282FC84" w14:textId="77777777">
      <w:pPr>
        <w:rPr>
          <w:sz w:val="20"/>
        </w:rPr>
      </w:pPr>
      <w:r>
        <w:rPr>
          <w:sz w:val="20"/>
        </w:rPr>
        <w:t xml:space="preserve">(Continued from previous page)  </w:t>
      </w:r>
      <w:r>
        <w:rPr>
          <w:sz w:val="20"/>
        </w:rPr>
        <w:separator/>
      </w:r>
    </w:p>
  </w:footnote>
  <w:footnote w:type="continuationNotice" w:id="2">
    <w:p w:rsidR="00785678" w:rsidP="00910F12" w14:paraId="1C79B152" w14:textId="77777777">
      <w:pPr>
        <w:jc w:val="right"/>
        <w:rPr>
          <w:sz w:val="20"/>
        </w:rPr>
      </w:pPr>
      <w:r>
        <w:rPr>
          <w:sz w:val="20"/>
        </w:rPr>
        <w:t>(continued….)</w:t>
      </w:r>
    </w:p>
  </w:footnote>
  <w:footnote w:id="3">
    <w:p w:rsidR="001B2FA6" w:rsidRPr="00C941FA" w:rsidP="001B2FA6" w14:paraId="752878C5" w14:textId="10F84ECA">
      <w:pPr>
        <w:pStyle w:val="FootnoteText"/>
        <w:ind w:right="-720"/>
      </w:pPr>
      <w:r w:rsidRPr="00C941FA">
        <w:rPr>
          <w:rStyle w:val="FootnoteReference"/>
          <w:sz w:val="20"/>
        </w:rPr>
        <w:footnoteRef/>
      </w:r>
      <w:r w:rsidRPr="00C941FA">
        <w:t xml:space="preserve"> </w:t>
      </w:r>
      <w:r w:rsidRPr="00C941FA" w:rsidR="00DF670B">
        <w:rPr>
          <w:i/>
        </w:rPr>
        <w:t>See Resilient Networks; Amendments to Part 4 of the Commission’s Rules Concerning Disruptions to Communications; New Part 4 of the Commission’s Rules Concerns Disruptions to Communications</w:t>
      </w:r>
      <w:r w:rsidRPr="00C941FA" w:rsidR="00DF670B">
        <w:t>, PS Docket Nos. 21-346 and 15-80; ET Docket No. 04-35, Report and Order and Further Notice of Proposed Rulemaking (</w:t>
      </w:r>
      <w:r w:rsidRPr="00C941FA" w:rsidR="00DF670B">
        <w:rPr>
          <w:i/>
          <w:iCs/>
        </w:rPr>
        <w:t>Report and Order</w:t>
      </w:r>
      <w:r w:rsidRPr="00C941FA" w:rsidR="00DF670B">
        <w:t>), 87 FCC Rcd 59329 (2022).</w:t>
      </w:r>
    </w:p>
  </w:footnote>
  <w:footnote w:id="4">
    <w:p w:rsidR="009575F7" w:rsidRPr="00C941FA" w:rsidP="001B2FA6" w14:paraId="001FCD93" w14:textId="579002A8">
      <w:pPr>
        <w:pStyle w:val="FootnoteText"/>
      </w:pPr>
      <w:r w:rsidRPr="00C941FA">
        <w:rPr>
          <w:rStyle w:val="FootnoteReference"/>
          <w:sz w:val="20"/>
        </w:rPr>
        <w:footnoteRef/>
      </w:r>
      <w:r w:rsidRPr="00C941FA">
        <w:t xml:space="preserve"> </w:t>
      </w:r>
      <w:r w:rsidRPr="00C941FA" w:rsidR="008545F5">
        <w:t xml:space="preserve">CTIA and Competitive Carriers Association </w:t>
      </w:r>
      <w:r w:rsidRPr="00C941FA">
        <w:t xml:space="preserve">Petition for </w:t>
      </w:r>
      <w:r w:rsidRPr="00C941FA" w:rsidR="008545F5">
        <w:t>Clarification and Partial Reconsideration</w:t>
      </w:r>
      <w:r w:rsidRPr="00C941FA">
        <w:t xml:space="preserve">, </w:t>
      </w:r>
      <w:r w:rsidRPr="00C941FA" w:rsidR="00E079F9">
        <w:t>PS Docket Nos. 21-346 and 15-80; ET Docket No. 04-35</w:t>
      </w:r>
      <w:r w:rsidRPr="00C941FA">
        <w:t xml:space="preserve"> (filed </w:t>
      </w:r>
      <w:r w:rsidRPr="00C941FA" w:rsidR="00DD2156">
        <w:t>Oct</w:t>
      </w:r>
      <w:r w:rsidRPr="00C941FA">
        <w:t xml:space="preserve">. </w:t>
      </w:r>
      <w:r w:rsidRPr="00C941FA" w:rsidR="00DD2156">
        <w:t>31</w:t>
      </w:r>
      <w:r w:rsidRPr="00C941FA">
        <w:t>, 202</w:t>
      </w:r>
      <w:r w:rsidRPr="00C941FA" w:rsidR="00DD2156">
        <w:t>2</w:t>
      </w:r>
      <w:r w:rsidRPr="00C941FA">
        <w:t>),</w:t>
      </w:r>
      <w:r w:rsidRPr="00C941FA">
        <w:t xml:space="preserve"> </w:t>
      </w:r>
      <w:r w:rsidRPr="00C941FA" w:rsidR="00655507">
        <w:t>https://www.fcc.gov/ecfs/document/1031860723484/1</w:t>
      </w:r>
      <w:r w:rsidRPr="00C941FA">
        <w:t>.</w:t>
      </w:r>
    </w:p>
  </w:footnote>
  <w:footnote w:id="5">
    <w:p w:rsidR="00C85F6E" w:rsidRPr="00C941FA" w:rsidP="001B2FA6" w14:paraId="00907586" w14:textId="1D17E88A">
      <w:pPr>
        <w:pStyle w:val="FootnoteText"/>
      </w:pPr>
      <w:r w:rsidRPr="00C941FA">
        <w:rPr>
          <w:rStyle w:val="FootnoteReference"/>
          <w:sz w:val="20"/>
        </w:rPr>
        <w:footnoteRef/>
      </w:r>
      <w:r w:rsidRPr="00C941FA">
        <w:t xml:space="preserve"> </w:t>
      </w:r>
      <w:r w:rsidRPr="00C941FA">
        <w:rPr>
          <w:i/>
          <w:iCs/>
        </w:rPr>
        <w:t>See</w:t>
      </w:r>
      <w:r w:rsidRPr="00C941FA">
        <w:t xml:space="preserve"> </w:t>
      </w:r>
      <w:r w:rsidRPr="00C941FA">
        <w:rPr>
          <w:i/>
          <w:iCs/>
        </w:rPr>
        <w:t>Petition for</w:t>
      </w:r>
      <w:r w:rsidRPr="00C941FA" w:rsidR="009B645B">
        <w:rPr>
          <w:i/>
          <w:iCs/>
        </w:rPr>
        <w:t xml:space="preserve"> Clarification and</w:t>
      </w:r>
      <w:r w:rsidRPr="00C941FA">
        <w:rPr>
          <w:i/>
          <w:iCs/>
        </w:rPr>
        <w:t xml:space="preserve"> </w:t>
      </w:r>
      <w:r w:rsidRPr="00C941FA" w:rsidR="009B645B">
        <w:rPr>
          <w:i/>
          <w:iCs/>
        </w:rPr>
        <w:t xml:space="preserve">Partial </w:t>
      </w:r>
      <w:r w:rsidRPr="00C941FA">
        <w:rPr>
          <w:i/>
          <w:iCs/>
        </w:rPr>
        <w:t>Reconsideration of Action in Proceeding</w:t>
      </w:r>
      <w:r w:rsidRPr="00C941FA">
        <w:t xml:space="preserve">, </w:t>
      </w:r>
      <w:r w:rsidRPr="00C941FA" w:rsidR="00853D79">
        <w:t>PS Docket Nos. 21-346 and 15-80; ET Docket No. 04-35</w:t>
      </w:r>
      <w:r w:rsidRPr="00C941FA">
        <w:t>, Public Notice, Report No. 31</w:t>
      </w:r>
      <w:r w:rsidRPr="00C941FA" w:rsidR="00853D79">
        <w:t>88</w:t>
      </w:r>
      <w:r w:rsidRPr="00C941FA">
        <w:t xml:space="preserve"> (CGB </w:t>
      </w:r>
      <w:r w:rsidRPr="00C941FA" w:rsidR="00853D79">
        <w:t>Nov</w:t>
      </w:r>
      <w:r w:rsidRPr="00C941FA">
        <w:t>. 1</w:t>
      </w:r>
      <w:r w:rsidRPr="00C941FA" w:rsidR="00853D79">
        <w:t>7</w:t>
      </w:r>
      <w:r w:rsidRPr="00C941FA">
        <w:t>, 202</w:t>
      </w:r>
      <w:r w:rsidRPr="00C941FA" w:rsidR="00853D79">
        <w:t>2</w:t>
      </w:r>
      <w:r w:rsidRPr="00C941FA">
        <w:t>),</w:t>
      </w:r>
      <w:r w:rsidRPr="00C941FA" w:rsidR="007739A5">
        <w:t xml:space="preserve"> </w:t>
      </w:r>
      <w:r w:rsidRPr="00C941FA">
        <w:t>https://docs.fcc.gov/public/attachments/DOC-389258A1.pdf</w:t>
      </w:r>
      <w:r w:rsidRPr="00C941FA" w:rsidR="007739A5">
        <w:t>.</w:t>
      </w:r>
    </w:p>
  </w:footnote>
  <w:footnote w:id="6">
    <w:p w:rsidR="001B2FA6" w:rsidRPr="00C941FA" w:rsidP="001B2FA6" w14:paraId="609FFE97" w14:textId="6F3E06CE">
      <w:pPr>
        <w:pStyle w:val="FootnoteText"/>
      </w:pPr>
      <w:r w:rsidRPr="00C941FA">
        <w:rPr>
          <w:rStyle w:val="FootnoteReference"/>
          <w:sz w:val="20"/>
        </w:rPr>
        <w:footnoteRef/>
      </w:r>
      <w:r w:rsidRPr="00C941FA">
        <w:t xml:space="preserve"> </w:t>
      </w:r>
      <w:r w:rsidRPr="00C941FA">
        <w:rPr>
          <w:i/>
          <w:iCs/>
        </w:rPr>
        <w:t>See</w:t>
      </w:r>
      <w:r w:rsidRPr="00C941FA">
        <w:t xml:space="preserve"> </w:t>
      </w:r>
      <w:r w:rsidRPr="00C941FA" w:rsidR="00C941FA">
        <w:t>87 FR 74102</w:t>
      </w:r>
      <w:r w:rsidRPr="00C941FA">
        <w:t xml:space="preserve"> (Dec. 2, 202</w:t>
      </w:r>
      <w:r w:rsidRPr="00C941FA" w:rsidR="00415D6A">
        <w:t>2</w:t>
      </w:r>
      <w:r w:rsidRPr="00C941FA">
        <w:t>).</w:t>
      </w:r>
    </w:p>
  </w:footnote>
  <w:footnote w:id="7">
    <w:p w:rsidR="001B2FA6" w:rsidRPr="00C941FA" w:rsidP="001B2FA6" w14:paraId="74F6DC31" w14:textId="77777777">
      <w:pPr>
        <w:pStyle w:val="FootnoteText"/>
      </w:pPr>
      <w:r w:rsidRPr="00C941FA">
        <w:rPr>
          <w:rStyle w:val="FootnoteReference"/>
          <w:sz w:val="20"/>
        </w:rPr>
        <w:footnoteRef/>
      </w:r>
      <w:r w:rsidRPr="00C941FA">
        <w:t xml:space="preserve"> </w:t>
      </w:r>
      <w:r w:rsidRPr="00C941FA">
        <w:rPr>
          <w:i/>
          <w:iCs/>
        </w:rPr>
        <w:t xml:space="preserve">See </w:t>
      </w:r>
      <w:r w:rsidRPr="00C941FA">
        <w:t>FCC, Electronic Filing of Documents in Rulemaking Proceedings, 63 Fed. Reg. 24121 (May 1, 1998).</w:t>
      </w:r>
    </w:p>
  </w:footnote>
  <w:footnote w:id="8">
    <w:p w:rsidR="00C13315" w:rsidRPr="00C941FA" w:rsidP="00C13315" w14:paraId="1D3FDA3C" w14:textId="77777777">
      <w:pPr>
        <w:pStyle w:val="FootnoteText"/>
        <w:widowControl w:val="0"/>
      </w:pPr>
      <w:r w:rsidRPr="00C941FA">
        <w:rPr>
          <w:rStyle w:val="FootnoteReference"/>
          <w:sz w:val="20"/>
        </w:rPr>
        <w:footnoteRef/>
      </w:r>
      <w:r w:rsidRPr="00C941FA">
        <w:t xml:space="preserve"> </w:t>
      </w:r>
      <w:r w:rsidRPr="00C941FA">
        <w:rPr>
          <w:i/>
          <w:iCs/>
        </w:rPr>
        <w:t>See</w:t>
      </w:r>
      <w:r w:rsidRPr="00C941FA">
        <w:t xml:space="preserve"> </w:t>
      </w:r>
      <w:r w:rsidRPr="00C941FA">
        <w:rPr>
          <w:i/>
          <w:iCs/>
        </w:rPr>
        <w:t>FCC Announces Closure of FCC Headquarters Open Window and Change in Hand-Delivery Policy</w:t>
      </w:r>
      <w:r w:rsidRPr="00C941FA">
        <w:t>, Public Notice, 35 FCC Rcd 2788 (2020).</w:t>
      </w:r>
    </w:p>
  </w:footnote>
  <w:footnote w:id="9">
    <w:p w:rsidR="001B2FA6" w:rsidRPr="00C941FA" w:rsidP="001B2FA6" w14:paraId="2D951095" w14:textId="77777777">
      <w:pPr>
        <w:pStyle w:val="FootnoteText"/>
        <w:rPr>
          <w:i/>
          <w:iCs/>
        </w:rPr>
      </w:pPr>
      <w:r w:rsidRPr="00C941FA">
        <w:rPr>
          <w:rStyle w:val="FootnoteReference"/>
          <w:sz w:val="20"/>
        </w:rPr>
        <w:footnoteRef/>
      </w:r>
      <w:r w:rsidRPr="00C941FA">
        <w:t xml:space="preserve"> 47 CFR §§ 1.1200 </w:t>
      </w:r>
      <w:r w:rsidRPr="00C941F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0AA" w14:paraId="0383FD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855" w:rsidP="00A67855" w14:paraId="351FA050" w14:textId="411CC70B">
    <w:pPr>
      <w:tabs>
        <w:tab w:val="center" w:pos="4680"/>
        <w:tab w:val="right" w:pos="9360"/>
      </w:tabs>
    </w:pPr>
    <w:r>
      <w:rPr>
        <w:b/>
      </w:rPr>
      <w:tab/>
      <w:t>Federal Communications Commission</w:t>
    </w:r>
    <w:r>
      <w:rPr>
        <w:b/>
      </w:rPr>
      <w:tab/>
      <w:t>DA 22-</w:t>
    </w:r>
    <w:r w:rsidR="002040AA">
      <w:rPr>
        <w:b/>
        <w:szCs w:val="22"/>
      </w:rPr>
      <w:t>1254</w:t>
    </w:r>
  </w:p>
  <w:p w:rsidR="00A67855" w:rsidP="00A67855" w14:paraId="1955DC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A30EF5" w:rsidP="00A30EF5" w14:paraId="5DC9A2CE" w14:textId="77777777">
    <w:pPr>
      <w:pStyle w:val="Header"/>
      <w:ind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870055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9397290" w14:textId="77777777">
                    <w:pPr>
                      <w:rPr>
                        <w:rFonts w:ascii="Arial" w:hAnsi="Arial"/>
                        <w:b/>
                      </w:rPr>
                    </w:pPr>
                    <w:r>
                      <w:rPr>
                        <w:rFonts w:ascii="Arial" w:hAnsi="Arial"/>
                        <w:b/>
                      </w:rPr>
                      <w:t>Federal Communications Commission</w:t>
                    </w:r>
                  </w:p>
                  <w:p w:rsidR="009838BC" w:rsidP="009838BC" w14:paraId="7BECA49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737AD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26E73">
      <w:rPr>
        <w:rFonts w:ascii="Arial" w:hAnsi="Arial" w:cs="Arial"/>
        <w:b/>
        <w:sz w:val="96"/>
      </w:rPr>
      <w:t>PUBLIC NOTICE</w:t>
    </w:r>
  </w:p>
  <w:p w:rsidR="009838BC" w:rsidRPr="00357D50" w:rsidP="009838BC" w14:paraId="0C8ACE1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9BF2099" w14:textId="77777777">
                    <w:pPr>
                      <w:spacing w:before="40"/>
                      <w:jc w:val="right"/>
                      <w:rPr>
                        <w:rFonts w:ascii="Arial" w:hAnsi="Arial"/>
                        <w:b/>
                        <w:sz w:val="16"/>
                      </w:rPr>
                    </w:pPr>
                    <w:r>
                      <w:rPr>
                        <w:rFonts w:ascii="Arial" w:hAnsi="Arial"/>
                        <w:b/>
                        <w:sz w:val="16"/>
                      </w:rPr>
                      <w:t>News Media Information 202 / 418-0500</w:t>
                    </w:r>
                  </w:p>
                  <w:p w:rsidR="009838BC" w:rsidP="009838BC" w14:paraId="64527D7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BA385E2" w14:textId="77777777">
                    <w:pPr>
                      <w:jc w:val="right"/>
                    </w:pPr>
                    <w:r>
                      <w:rPr>
                        <w:rFonts w:ascii="Arial" w:hAnsi="Arial"/>
                        <w:b/>
                        <w:sz w:val="16"/>
                      </w:rPr>
                      <w:t>TTY: 1-888-835-5322</w:t>
                    </w:r>
                  </w:p>
                </w:txbxContent>
              </v:textbox>
            </v:shape>
          </w:pict>
        </mc:Fallback>
      </mc:AlternateContent>
    </w:r>
  </w:p>
  <w:p w:rsidR="006F7393" w:rsidRPr="009838BC" w:rsidP="00A30EF5" w14:paraId="441184F3"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4B2875"/>
    <w:multiLevelType w:val="hybridMultilevel"/>
    <w:tmpl w:val="BBC4D7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5"/>
  </w:num>
  <w:num w:numId="4">
    <w:abstractNumId w:val="9"/>
  </w:num>
  <w:num w:numId="5">
    <w:abstractNumId w:val="3"/>
  </w:num>
  <w:num w:numId="6">
    <w:abstractNumId w:val="1"/>
  </w:num>
  <w:num w:numId="7">
    <w:abstractNumId w:val="8"/>
  </w:num>
  <w:num w:numId="8">
    <w:abstractNumId w:val="0"/>
  </w:num>
  <w:num w:numId="9">
    <w:abstractNumId w:val="1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F5"/>
    <w:rsid w:val="000348D2"/>
    <w:rsid w:val="0003623B"/>
    <w:rsid w:val="000564DE"/>
    <w:rsid w:val="00065EF7"/>
    <w:rsid w:val="00070090"/>
    <w:rsid w:val="000874A8"/>
    <w:rsid w:val="000914A9"/>
    <w:rsid w:val="000C3C4A"/>
    <w:rsid w:val="000E02E2"/>
    <w:rsid w:val="000E2D97"/>
    <w:rsid w:val="00114B0F"/>
    <w:rsid w:val="00123348"/>
    <w:rsid w:val="00146AB6"/>
    <w:rsid w:val="00156A51"/>
    <w:rsid w:val="00184869"/>
    <w:rsid w:val="001A1059"/>
    <w:rsid w:val="001A6F8A"/>
    <w:rsid w:val="001B2FA6"/>
    <w:rsid w:val="001C1C5B"/>
    <w:rsid w:val="002040AA"/>
    <w:rsid w:val="00240403"/>
    <w:rsid w:val="002479DA"/>
    <w:rsid w:val="00257F9E"/>
    <w:rsid w:val="00260AF5"/>
    <w:rsid w:val="00264EC3"/>
    <w:rsid w:val="002F7FC8"/>
    <w:rsid w:val="003063CD"/>
    <w:rsid w:val="00322D95"/>
    <w:rsid w:val="00326463"/>
    <w:rsid w:val="00335D0A"/>
    <w:rsid w:val="00342B07"/>
    <w:rsid w:val="00346B66"/>
    <w:rsid w:val="00357D50"/>
    <w:rsid w:val="00366362"/>
    <w:rsid w:val="0037075A"/>
    <w:rsid w:val="00373AD9"/>
    <w:rsid w:val="0039111F"/>
    <w:rsid w:val="00393CF0"/>
    <w:rsid w:val="003A4C15"/>
    <w:rsid w:val="003E7C23"/>
    <w:rsid w:val="003F1380"/>
    <w:rsid w:val="00405B49"/>
    <w:rsid w:val="00415D6A"/>
    <w:rsid w:val="00486C04"/>
    <w:rsid w:val="004902AA"/>
    <w:rsid w:val="00493A17"/>
    <w:rsid w:val="004A77D4"/>
    <w:rsid w:val="004B407E"/>
    <w:rsid w:val="004B42A1"/>
    <w:rsid w:val="004C5AA9"/>
    <w:rsid w:val="004E16B7"/>
    <w:rsid w:val="00501870"/>
    <w:rsid w:val="005222B6"/>
    <w:rsid w:val="0055614C"/>
    <w:rsid w:val="005632FF"/>
    <w:rsid w:val="00567F83"/>
    <w:rsid w:val="00570429"/>
    <w:rsid w:val="00571383"/>
    <w:rsid w:val="005B58DA"/>
    <w:rsid w:val="005E5C49"/>
    <w:rsid w:val="005F3ACB"/>
    <w:rsid w:val="0060684A"/>
    <w:rsid w:val="0061106A"/>
    <w:rsid w:val="00613A83"/>
    <w:rsid w:val="00636024"/>
    <w:rsid w:val="00655507"/>
    <w:rsid w:val="00673F02"/>
    <w:rsid w:val="00677636"/>
    <w:rsid w:val="006C52EB"/>
    <w:rsid w:val="006D0885"/>
    <w:rsid w:val="006F7393"/>
    <w:rsid w:val="00721172"/>
    <w:rsid w:val="00726E73"/>
    <w:rsid w:val="00732511"/>
    <w:rsid w:val="00751FAE"/>
    <w:rsid w:val="007579E1"/>
    <w:rsid w:val="007739A5"/>
    <w:rsid w:val="00785678"/>
    <w:rsid w:val="007902D7"/>
    <w:rsid w:val="007F4F7C"/>
    <w:rsid w:val="008321B9"/>
    <w:rsid w:val="008352C0"/>
    <w:rsid w:val="00841534"/>
    <w:rsid w:val="008432D1"/>
    <w:rsid w:val="00853D79"/>
    <w:rsid w:val="008545F5"/>
    <w:rsid w:val="008619CC"/>
    <w:rsid w:val="00863F45"/>
    <w:rsid w:val="00872158"/>
    <w:rsid w:val="0088258F"/>
    <w:rsid w:val="008A30DD"/>
    <w:rsid w:val="008B4D49"/>
    <w:rsid w:val="008F0522"/>
    <w:rsid w:val="008F1D76"/>
    <w:rsid w:val="008F6BA4"/>
    <w:rsid w:val="00910F12"/>
    <w:rsid w:val="00913A33"/>
    <w:rsid w:val="00923BE8"/>
    <w:rsid w:val="00930ECF"/>
    <w:rsid w:val="009575F7"/>
    <w:rsid w:val="009838BC"/>
    <w:rsid w:val="009A66F2"/>
    <w:rsid w:val="009B645B"/>
    <w:rsid w:val="009D39D6"/>
    <w:rsid w:val="00A24127"/>
    <w:rsid w:val="00A26517"/>
    <w:rsid w:val="00A30EF5"/>
    <w:rsid w:val="00A32289"/>
    <w:rsid w:val="00A4026D"/>
    <w:rsid w:val="00A67855"/>
    <w:rsid w:val="00A74153"/>
    <w:rsid w:val="00A866AC"/>
    <w:rsid w:val="00AB5713"/>
    <w:rsid w:val="00AF5C3D"/>
    <w:rsid w:val="00B11731"/>
    <w:rsid w:val="00B54B8F"/>
    <w:rsid w:val="00B800CB"/>
    <w:rsid w:val="00B87229"/>
    <w:rsid w:val="00BE38DC"/>
    <w:rsid w:val="00BF4BBD"/>
    <w:rsid w:val="00BF60E2"/>
    <w:rsid w:val="00BF6D83"/>
    <w:rsid w:val="00C11068"/>
    <w:rsid w:val="00C13315"/>
    <w:rsid w:val="00C3208E"/>
    <w:rsid w:val="00C41408"/>
    <w:rsid w:val="00C55AE5"/>
    <w:rsid w:val="00C742EA"/>
    <w:rsid w:val="00C85F6E"/>
    <w:rsid w:val="00C941FA"/>
    <w:rsid w:val="00CA0DCD"/>
    <w:rsid w:val="00CA3091"/>
    <w:rsid w:val="00CB7F40"/>
    <w:rsid w:val="00CD1EBE"/>
    <w:rsid w:val="00CD2213"/>
    <w:rsid w:val="00CD5BB5"/>
    <w:rsid w:val="00CD6282"/>
    <w:rsid w:val="00CF1DBF"/>
    <w:rsid w:val="00CF45D6"/>
    <w:rsid w:val="00D216CD"/>
    <w:rsid w:val="00D34622"/>
    <w:rsid w:val="00D47245"/>
    <w:rsid w:val="00D66A32"/>
    <w:rsid w:val="00D851E5"/>
    <w:rsid w:val="00D90C54"/>
    <w:rsid w:val="00D96E52"/>
    <w:rsid w:val="00DA30CB"/>
    <w:rsid w:val="00DB78B2"/>
    <w:rsid w:val="00DD2156"/>
    <w:rsid w:val="00DF4ABF"/>
    <w:rsid w:val="00DF670B"/>
    <w:rsid w:val="00E079F9"/>
    <w:rsid w:val="00E14E15"/>
    <w:rsid w:val="00E53E22"/>
    <w:rsid w:val="00E71AD7"/>
    <w:rsid w:val="00E74F71"/>
    <w:rsid w:val="00EA3569"/>
    <w:rsid w:val="00EB6155"/>
    <w:rsid w:val="00EC623D"/>
    <w:rsid w:val="00EF73D4"/>
    <w:rsid w:val="00F22CE5"/>
    <w:rsid w:val="00F51CD9"/>
    <w:rsid w:val="00F7148B"/>
    <w:rsid w:val="00F848F9"/>
    <w:rsid w:val="00FF4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71DA7C"/>
  <w15:docId w15:val="{7015C971-B186-445E-9996-50B90501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Char Char Char,Footnote Text Char Char Char,Footnote Text Char Char Char Char Char Char,Footnote Text Char1 Char,Footnote Text Char1 Char Char Char Char,Footnote Text Char2 Char Char Char,f,fn,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114B0F"/>
  </w:style>
  <w:style w:type="character" w:customStyle="1" w:styleId="UnresolvedMention1">
    <w:name w:val="Unresolved Mention1"/>
    <w:basedOn w:val="DefaultParagraphFont"/>
    <w:uiPriority w:val="99"/>
    <w:rsid w:val="00346B66"/>
    <w:rPr>
      <w:color w:val="605E5C"/>
      <w:shd w:val="clear" w:color="auto" w:fill="E1DFDD"/>
    </w:rPr>
  </w:style>
  <w:style w:type="character" w:styleId="CommentReference">
    <w:name w:val="annotation reference"/>
    <w:basedOn w:val="DefaultParagraphFont"/>
    <w:uiPriority w:val="99"/>
    <w:semiHidden/>
    <w:unhideWhenUsed/>
    <w:rsid w:val="00913A33"/>
    <w:rPr>
      <w:sz w:val="16"/>
      <w:szCs w:val="16"/>
    </w:rPr>
  </w:style>
  <w:style w:type="paragraph" w:styleId="CommentText">
    <w:name w:val="annotation text"/>
    <w:basedOn w:val="Normal"/>
    <w:link w:val="CommentTextChar"/>
    <w:uiPriority w:val="99"/>
    <w:semiHidden/>
    <w:unhideWhenUsed/>
    <w:rsid w:val="00913A33"/>
    <w:rPr>
      <w:sz w:val="20"/>
    </w:rPr>
  </w:style>
  <w:style w:type="character" w:customStyle="1" w:styleId="CommentTextChar">
    <w:name w:val="Comment Text Char"/>
    <w:basedOn w:val="DefaultParagraphFont"/>
    <w:link w:val="CommentText"/>
    <w:uiPriority w:val="99"/>
    <w:semiHidden/>
    <w:rsid w:val="00913A33"/>
    <w:rPr>
      <w:snapToGrid w:val="0"/>
      <w:kern w:val="28"/>
    </w:rPr>
  </w:style>
  <w:style w:type="paragraph" w:styleId="CommentSubject">
    <w:name w:val="annotation subject"/>
    <w:basedOn w:val="CommentText"/>
    <w:next w:val="CommentText"/>
    <w:link w:val="CommentSubjectChar"/>
    <w:uiPriority w:val="99"/>
    <w:semiHidden/>
    <w:unhideWhenUsed/>
    <w:rsid w:val="00913A33"/>
    <w:rPr>
      <w:b/>
      <w:bCs/>
    </w:rPr>
  </w:style>
  <w:style w:type="character" w:customStyle="1" w:styleId="CommentSubjectChar">
    <w:name w:val="Comment Subject Char"/>
    <w:basedOn w:val="CommentTextChar"/>
    <w:link w:val="CommentSubject"/>
    <w:uiPriority w:val="99"/>
    <w:semiHidden/>
    <w:rsid w:val="00913A33"/>
    <w:rPr>
      <w:b/>
      <w:bCs/>
      <w:snapToGrid w:val="0"/>
      <w:kern w:val="28"/>
    </w:rPr>
  </w:style>
  <w:style w:type="paragraph" w:styleId="BalloonText">
    <w:name w:val="Balloon Text"/>
    <w:basedOn w:val="Normal"/>
    <w:link w:val="BalloonTextChar"/>
    <w:uiPriority w:val="99"/>
    <w:semiHidden/>
    <w:unhideWhenUsed/>
    <w:rsid w:val="00913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33"/>
    <w:rPr>
      <w:rFonts w:ascii="Segoe UI" w:hAnsi="Segoe UI" w:cs="Segoe UI"/>
      <w:snapToGrid w:val="0"/>
      <w:kern w:val="28"/>
      <w:sz w:val="18"/>
      <w:szCs w:val="18"/>
    </w:rPr>
  </w:style>
  <w:style w:type="paragraph" w:styleId="ListParagraph">
    <w:name w:val="List Paragraph"/>
    <w:basedOn w:val="Normal"/>
    <w:uiPriority w:val="34"/>
    <w:qFormat/>
    <w:rsid w:val="00257F9E"/>
    <w:pPr>
      <w:ind w:left="720"/>
      <w:contextualSpacing/>
    </w:pPr>
  </w:style>
  <w:style w:type="character" w:styleId="UnresolvedMention">
    <w:name w:val="Unresolved Mention"/>
    <w:basedOn w:val="DefaultParagraphFont"/>
    <w:uiPriority w:val="99"/>
    <w:rsid w:val="009575F7"/>
    <w:rPr>
      <w:color w:val="605E5C"/>
      <w:shd w:val="clear" w:color="auto" w:fill="E1DFDD"/>
    </w:rPr>
  </w:style>
  <w:style w:type="character" w:styleId="FollowedHyperlink">
    <w:name w:val="FollowedHyperlink"/>
    <w:basedOn w:val="DefaultParagraphFont"/>
    <w:uiPriority w:val="99"/>
    <w:semiHidden/>
    <w:unhideWhenUsed/>
    <w:rsid w:val="00677636"/>
    <w:rPr>
      <w:color w:val="954F72" w:themeColor="followedHyperlink"/>
      <w:u w:val="single"/>
    </w:rPr>
  </w:style>
  <w:style w:type="character" w:customStyle="1" w:styleId="ParaNumChar">
    <w:name w:val="ParaNum Char"/>
    <w:link w:val="ParaNum"/>
    <w:locked/>
    <w:rsid w:val="00C1331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aswat.Misra@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