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BD0E46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7D6D3FB" w14:textId="77777777">
      <w:pPr>
        <w:pStyle w:val="StyleBoldCentered"/>
      </w:pPr>
      <w:r>
        <w:t>F</w:t>
      </w:r>
      <w:r>
        <w:rPr>
          <w:caps w:val="0"/>
        </w:rPr>
        <w:t>ederal Communications Commission</w:t>
      </w:r>
    </w:p>
    <w:p w:rsidR="004C2EE3" w:rsidP="00096D8C" w14:paraId="778EFD20" w14:textId="77777777">
      <w:pPr>
        <w:pStyle w:val="StyleBoldCentered"/>
      </w:pPr>
      <w:r>
        <w:rPr>
          <w:caps w:val="0"/>
        </w:rPr>
        <w:t>Washington, D.C. 20554</w:t>
      </w:r>
    </w:p>
    <w:p w:rsidR="004C2EE3" w:rsidP="0070224F" w14:paraId="4391B6A0" w14:textId="77777777"/>
    <w:p w:rsidR="004C2EE3" w:rsidP="0070224F" w14:paraId="4817F7A9" w14:textId="77777777"/>
    <w:tbl>
      <w:tblPr>
        <w:tblW w:w="0" w:type="auto"/>
        <w:tblLayout w:type="fixed"/>
        <w:tblLook w:val="0000"/>
      </w:tblPr>
      <w:tblGrid>
        <w:gridCol w:w="4698"/>
        <w:gridCol w:w="630"/>
        <w:gridCol w:w="4248"/>
      </w:tblGrid>
      <w:tr w14:paraId="317094D3" w14:textId="77777777">
        <w:tblPrEx>
          <w:tblW w:w="0" w:type="auto"/>
          <w:tblLayout w:type="fixed"/>
          <w:tblLook w:val="0000"/>
        </w:tblPrEx>
        <w:tc>
          <w:tcPr>
            <w:tcW w:w="4698" w:type="dxa"/>
          </w:tcPr>
          <w:p w:rsidR="004C2EE3" w14:paraId="5A84D892" w14:textId="77777777">
            <w:pPr>
              <w:tabs>
                <w:tab w:val="center" w:pos="4680"/>
              </w:tabs>
              <w:suppressAutoHyphens/>
              <w:rPr>
                <w:spacing w:val="-2"/>
              </w:rPr>
            </w:pPr>
            <w:r>
              <w:rPr>
                <w:spacing w:val="-2"/>
              </w:rPr>
              <w:t>In the Matter of</w:t>
            </w:r>
          </w:p>
          <w:p w:rsidR="004C2EE3" w14:paraId="35755280" w14:textId="77777777">
            <w:pPr>
              <w:tabs>
                <w:tab w:val="center" w:pos="4680"/>
              </w:tabs>
              <w:suppressAutoHyphens/>
              <w:rPr>
                <w:spacing w:val="-2"/>
              </w:rPr>
            </w:pPr>
          </w:p>
          <w:p w:rsidR="004C2EE3" w:rsidP="007115F7" w14:paraId="0F43B349" w14:textId="77777777">
            <w:pPr>
              <w:tabs>
                <w:tab w:val="center" w:pos="4680"/>
              </w:tabs>
              <w:suppressAutoHyphens/>
              <w:rPr>
                <w:spacing w:val="-2"/>
              </w:rPr>
            </w:pPr>
            <w:r w:rsidRPr="00F67BEA">
              <w:rPr>
                <w:spacing w:val="-2"/>
              </w:rPr>
              <w:t>Request for Review by Primary Healthcare Centers</w:t>
            </w:r>
          </w:p>
          <w:p w:rsidR="00F67BEA" w:rsidP="007115F7" w14:paraId="7B4C5328" w14:textId="77777777">
            <w:pPr>
              <w:tabs>
                <w:tab w:val="center" w:pos="4680"/>
              </w:tabs>
              <w:suppressAutoHyphens/>
              <w:rPr>
                <w:spacing w:val="-2"/>
              </w:rPr>
            </w:pPr>
          </w:p>
          <w:p w:rsidR="00F67BEA" w:rsidRPr="00717C31" w:rsidP="00F67BEA" w14:paraId="3A1F1C85" w14:textId="77777777">
            <w:pPr>
              <w:tabs>
                <w:tab w:val="center" w:pos="4680"/>
              </w:tabs>
              <w:suppressAutoHyphens/>
              <w:rPr>
                <w:spacing w:val="-2"/>
                <w:szCs w:val="22"/>
              </w:rPr>
            </w:pPr>
            <w:r w:rsidRPr="00717C31">
              <w:rPr>
                <w:spacing w:val="-2"/>
                <w:szCs w:val="22"/>
              </w:rPr>
              <w:t>Rural Health Care Universal Service Support Mechanism</w:t>
            </w:r>
          </w:p>
          <w:p w:rsidR="00F67BEA" w:rsidRPr="007115F7" w:rsidP="007115F7" w14:paraId="70EABCD5" w14:textId="3341B869">
            <w:pPr>
              <w:tabs>
                <w:tab w:val="center" w:pos="4680"/>
              </w:tabs>
              <w:suppressAutoHyphens/>
              <w:rPr>
                <w:spacing w:val="-2"/>
              </w:rPr>
            </w:pPr>
          </w:p>
        </w:tc>
        <w:tc>
          <w:tcPr>
            <w:tcW w:w="630" w:type="dxa"/>
          </w:tcPr>
          <w:p w:rsidR="004C2EE3" w14:paraId="785B2A64" w14:textId="77777777">
            <w:pPr>
              <w:tabs>
                <w:tab w:val="center" w:pos="4680"/>
              </w:tabs>
              <w:suppressAutoHyphens/>
              <w:rPr>
                <w:b/>
                <w:spacing w:val="-2"/>
              </w:rPr>
            </w:pPr>
            <w:r>
              <w:rPr>
                <w:b/>
                <w:spacing w:val="-2"/>
              </w:rPr>
              <w:t>)</w:t>
            </w:r>
          </w:p>
          <w:p w:rsidR="004C2EE3" w14:paraId="5C7637A3" w14:textId="77777777">
            <w:pPr>
              <w:tabs>
                <w:tab w:val="center" w:pos="4680"/>
              </w:tabs>
              <w:suppressAutoHyphens/>
              <w:rPr>
                <w:b/>
                <w:spacing w:val="-2"/>
              </w:rPr>
            </w:pPr>
            <w:r>
              <w:rPr>
                <w:b/>
                <w:spacing w:val="-2"/>
              </w:rPr>
              <w:t>)</w:t>
            </w:r>
          </w:p>
          <w:p w:rsidR="004C2EE3" w14:paraId="3E41450D" w14:textId="77777777">
            <w:pPr>
              <w:tabs>
                <w:tab w:val="center" w:pos="4680"/>
              </w:tabs>
              <w:suppressAutoHyphens/>
              <w:rPr>
                <w:b/>
                <w:spacing w:val="-2"/>
              </w:rPr>
            </w:pPr>
            <w:r>
              <w:rPr>
                <w:b/>
                <w:spacing w:val="-2"/>
              </w:rPr>
              <w:t>)</w:t>
            </w:r>
          </w:p>
          <w:p w:rsidR="004C2EE3" w14:paraId="6902DF95" w14:textId="77777777">
            <w:pPr>
              <w:tabs>
                <w:tab w:val="center" w:pos="4680"/>
              </w:tabs>
              <w:suppressAutoHyphens/>
              <w:rPr>
                <w:b/>
                <w:spacing w:val="-2"/>
              </w:rPr>
            </w:pPr>
            <w:r>
              <w:rPr>
                <w:b/>
                <w:spacing w:val="-2"/>
              </w:rPr>
              <w:t>)</w:t>
            </w:r>
          </w:p>
          <w:p w:rsidR="004C2EE3" w14:paraId="17B8A4C0" w14:textId="77777777">
            <w:pPr>
              <w:tabs>
                <w:tab w:val="center" w:pos="4680"/>
              </w:tabs>
              <w:suppressAutoHyphens/>
              <w:rPr>
                <w:b/>
                <w:spacing w:val="-2"/>
              </w:rPr>
            </w:pPr>
            <w:r>
              <w:rPr>
                <w:b/>
                <w:spacing w:val="-2"/>
              </w:rPr>
              <w:t>)</w:t>
            </w:r>
          </w:p>
          <w:p w:rsidR="00F67BEA" w14:paraId="741283BD" w14:textId="77777777">
            <w:pPr>
              <w:tabs>
                <w:tab w:val="center" w:pos="4680"/>
              </w:tabs>
              <w:suppressAutoHyphens/>
              <w:rPr>
                <w:b/>
                <w:spacing w:val="-2"/>
              </w:rPr>
            </w:pPr>
            <w:r>
              <w:rPr>
                <w:b/>
                <w:spacing w:val="-2"/>
              </w:rPr>
              <w:t>)</w:t>
            </w:r>
          </w:p>
          <w:p w:rsidR="00F67BEA" w:rsidRPr="00EA1999" w14:paraId="7A61E1CA" w14:textId="0554DD47">
            <w:pPr>
              <w:tabs>
                <w:tab w:val="center" w:pos="4680"/>
              </w:tabs>
              <w:suppressAutoHyphens/>
              <w:rPr>
                <w:b/>
                <w:spacing w:val="-2"/>
              </w:rPr>
            </w:pPr>
            <w:r>
              <w:rPr>
                <w:b/>
                <w:spacing w:val="-2"/>
              </w:rPr>
              <w:t>)</w:t>
            </w:r>
          </w:p>
        </w:tc>
        <w:tc>
          <w:tcPr>
            <w:tcW w:w="4248" w:type="dxa"/>
          </w:tcPr>
          <w:p w:rsidR="004C2EE3" w14:paraId="181FEF7B" w14:textId="77777777">
            <w:pPr>
              <w:tabs>
                <w:tab w:val="center" w:pos="4680"/>
              </w:tabs>
              <w:suppressAutoHyphens/>
              <w:rPr>
                <w:spacing w:val="-2"/>
              </w:rPr>
            </w:pPr>
          </w:p>
          <w:p w:rsidR="004C2EE3" w14:paraId="1C330725" w14:textId="77777777">
            <w:pPr>
              <w:pStyle w:val="TOAHeading"/>
              <w:tabs>
                <w:tab w:val="center" w:pos="4680"/>
                <w:tab w:val="clear" w:pos="9360"/>
              </w:tabs>
              <w:rPr>
                <w:spacing w:val="-2"/>
              </w:rPr>
            </w:pPr>
          </w:p>
          <w:p w:rsidR="00F67BEA" w14:paraId="4CB22F4D" w14:textId="77777777">
            <w:pPr>
              <w:tabs>
                <w:tab w:val="center" w:pos="4680"/>
              </w:tabs>
              <w:suppressAutoHyphens/>
              <w:rPr>
                <w:spacing w:val="-2"/>
              </w:rPr>
            </w:pPr>
          </w:p>
          <w:p w:rsidR="00F67BEA" w14:paraId="66D560EC" w14:textId="77777777">
            <w:pPr>
              <w:tabs>
                <w:tab w:val="center" w:pos="4680"/>
              </w:tabs>
              <w:suppressAutoHyphens/>
              <w:rPr>
                <w:spacing w:val="-2"/>
              </w:rPr>
            </w:pPr>
          </w:p>
          <w:p w:rsidR="004C2EE3" w14:paraId="6CA5D887" w14:textId="1C0F5396">
            <w:pPr>
              <w:tabs>
                <w:tab w:val="center" w:pos="4680"/>
              </w:tabs>
              <w:suppressAutoHyphens/>
              <w:rPr>
                <w:spacing w:val="-2"/>
              </w:rPr>
            </w:pPr>
            <w:r>
              <w:rPr>
                <w:spacing w:val="-2"/>
              </w:rPr>
              <w:t>WC Docket No. 02-60</w:t>
            </w:r>
          </w:p>
        </w:tc>
      </w:tr>
    </w:tbl>
    <w:p w:rsidR="004C2EE3" w:rsidP="0070224F" w14:paraId="470A3E24" w14:textId="77777777"/>
    <w:p w:rsidR="00841AB1" w:rsidP="00F021FA" w14:paraId="6EFEBC99" w14:textId="3DFC3513">
      <w:pPr>
        <w:pStyle w:val="StyleBoldCentered"/>
      </w:pPr>
      <w:r>
        <w:t>Order</w:t>
      </w:r>
    </w:p>
    <w:p w:rsidR="004C2EE3" w14:paraId="3D962B66" w14:textId="77777777">
      <w:pPr>
        <w:tabs>
          <w:tab w:val="left" w:pos="-720"/>
        </w:tabs>
        <w:suppressAutoHyphens/>
        <w:spacing w:line="227" w:lineRule="auto"/>
        <w:rPr>
          <w:spacing w:val="-2"/>
        </w:rPr>
      </w:pPr>
    </w:p>
    <w:p w:rsidR="004C2EE3" w:rsidP="00133F79" w14:paraId="450BBE99" w14:textId="707F4806">
      <w:pPr>
        <w:tabs>
          <w:tab w:val="left" w:pos="720"/>
          <w:tab w:val="right" w:pos="9360"/>
        </w:tabs>
        <w:suppressAutoHyphens/>
        <w:spacing w:line="227" w:lineRule="auto"/>
        <w:rPr>
          <w:spacing w:val="-2"/>
        </w:rPr>
      </w:pPr>
      <w:r>
        <w:rPr>
          <w:b/>
          <w:spacing w:val="-2"/>
        </w:rPr>
        <w:t xml:space="preserve">Adopted:  </w:t>
      </w:r>
      <w:r w:rsidR="000E56F2">
        <w:rPr>
          <w:b/>
          <w:spacing w:val="-2"/>
        </w:rPr>
        <w:t>December 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E56F2">
        <w:rPr>
          <w:b/>
          <w:spacing w:val="-2"/>
        </w:rPr>
        <w:t>December 5, 2022</w:t>
      </w:r>
    </w:p>
    <w:p w:rsidR="00822CE0" w14:paraId="6E9BC58D" w14:textId="77777777"/>
    <w:p w:rsidR="004C2EE3" w14:paraId="68F6A77C" w14:textId="41C1235F">
      <w:pPr>
        <w:rPr>
          <w:spacing w:val="-2"/>
        </w:rPr>
      </w:pPr>
      <w:r>
        <w:t xml:space="preserve">By </w:t>
      </w:r>
      <w:r w:rsidRPr="00836FB4" w:rsidR="00836FB4">
        <w:t>the Chief, Telecommunications Access Policy Division, Wireline Competition Bureau</w:t>
      </w:r>
      <w:r>
        <w:rPr>
          <w:spacing w:val="-2"/>
        </w:rPr>
        <w:t>:</w:t>
      </w:r>
    </w:p>
    <w:p w:rsidR="00822CE0" w14:paraId="5984243A" w14:textId="77777777">
      <w:pPr>
        <w:rPr>
          <w:spacing w:val="-2"/>
        </w:rPr>
      </w:pPr>
    </w:p>
    <w:p w:rsidR="00412FC5" w:rsidP="00C36B4C" w14:paraId="3D6E994A" w14:textId="19E3BEA3">
      <w:pPr>
        <w:pStyle w:val="Heading1"/>
      </w:pPr>
      <w:r>
        <w:t>Introduction</w:t>
      </w:r>
    </w:p>
    <w:p w:rsidR="00EA1999" w:rsidRPr="00B7168B" w:rsidP="00EA1999" w14:paraId="639EB3CE" w14:textId="77777777">
      <w:pPr>
        <w:pStyle w:val="ParaNum"/>
        <w:rPr>
          <w:szCs w:val="22"/>
        </w:rPr>
      </w:pPr>
      <w:r w:rsidRPr="00B7168B">
        <w:rPr>
          <w:szCs w:val="22"/>
        </w:rPr>
        <w:t>In this Order, we address a request for review or, in the alternative, request for waiver of the Commission’s Rural Health Care (RHC) Telecommunications (Telecom) Program rules filed by Primary Healthcare Centers (</w:t>
      </w:r>
      <w:r w:rsidRPr="00B7168B">
        <w:rPr>
          <w:szCs w:val="22"/>
        </w:rPr>
        <w:t>PHC</w:t>
      </w:r>
      <w:r w:rsidRPr="00B7168B">
        <w:rPr>
          <w:szCs w:val="22"/>
        </w:rPr>
        <w:t>).</w:t>
      </w:r>
      <w:r>
        <w:rPr>
          <w:rStyle w:val="FootnoteReference"/>
          <w:sz w:val="22"/>
          <w:szCs w:val="22"/>
        </w:rPr>
        <w:footnoteReference w:id="3"/>
      </w:r>
      <w:r>
        <w:rPr>
          <w:szCs w:val="22"/>
        </w:rPr>
        <w:t xml:space="preserve">  </w:t>
      </w:r>
      <w:r w:rsidRPr="00B7168B">
        <w:rPr>
          <w:szCs w:val="22"/>
        </w:rPr>
        <w:t>PHC</w:t>
      </w:r>
      <w:r w:rsidRPr="00B7168B">
        <w:rPr>
          <w:szCs w:val="22"/>
        </w:rPr>
        <w:t xml:space="preserve"> seeks review of eight funding requests denied by the Universal Service Administrative Company (USAC) for funding year (FY) 2016.</w:t>
      </w:r>
      <w:r>
        <w:rPr>
          <w:rStyle w:val="FootnoteReference"/>
          <w:sz w:val="22"/>
          <w:szCs w:val="22"/>
        </w:rPr>
        <w:footnoteReference w:id="4"/>
      </w:r>
      <w:r>
        <w:rPr>
          <w:szCs w:val="22"/>
        </w:rPr>
        <w:t xml:space="preserve">  </w:t>
      </w:r>
      <w:r w:rsidRPr="00B7168B">
        <w:rPr>
          <w:szCs w:val="22"/>
        </w:rPr>
        <w:t xml:space="preserve">Based on our review of the record, we conclude that USAC was correct in denying </w:t>
      </w:r>
      <w:r w:rsidRPr="00B7168B">
        <w:rPr>
          <w:szCs w:val="22"/>
        </w:rPr>
        <w:t>PHC’s</w:t>
      </w:r>
      <w:r w:rsidRPr="00B7168B">
        <w:rPr>
          <w:szCs w:val="22"/>
        </w:rPr>
        <w:t xml:space="preserve"> funding requests and find that </w:t>
      </w:r>
      <w:r w:rsidRPr="00B7168B">
        <w:rPr>
          <w:szCs w:val="22"/>
        </w:rPr>
        <w:t>PHC</w:t>
      </w:r>
      <w:r w:rsidRPr="00B7168B">
        <w:rPr>
          <w:szCs w:val="22"/>
        </w:rPr>
        <w:t xml:space="preserve"> and </w:t>
      </w:r>
      <w:r>
        <w:rPr>
          <w:szCs w:val="22"/>
        </w:rPr>
        <w:t xml:space="preserve">its selected telecommunications provider, </w:t>
      </w:r>
      <w:r w:rsidRPr="000C439B">
        <w:t>TeleQuality</w:t>
      </w:r>
      <w:r w:rsidRPr="000C439B">
        <w:t xml:space="preserve"> Communications LLC (</w:t>
      </w:r>
      <w:r w:rsidRPr="000C439B">
        <w:t>TeleQuality</w:t>
      </w:r>
      <w:r w:rsidRPr="000C439B">
        <w:t xml:space="preserve"> or Company), </w:t>
      </w:r>
      <w:r w:rsidRPr="00B7168B">
        <w:rPr>
          <w:szCs w:val="22"/>
        </w:rPr>
        <w:t>failed to comply with the Commission’s rules for rural rates.</w:t>
      </w:r>
      <w:r>
        <w:rPr>
          <w:szCs w:val="22"/>
        </w:rPr>
        <w:t xml:space="preserve">  </w:t>
      </w:r>
      <w:r w:rsidRPr="00B7168B">
        <w:rPr>
          <w:szCs w:val="22"/>
        </w:rPr>
        <w:t xml:space="preserve">We also find that </w:t>
      </w:r>
      <w:r w:rsidRPr="00B7168B">
        <w:rPr>
          <w:szCs w:val="22"/>
        </w:rPr>
        <w:t>PHC</w:t>
      </w:r>
      <w:r w:rsidRPr="00B7168B">
        <w:rPr>
          <w:szCs w:val="22"/>
        </w:rPr>
        <w:t xml:space="preserve"> </w:t>
      </w:r>
      <w:r>
        <w:rPr>
          <w:szCs w:val="22"/>
        </w:rPr>
        <w:t>has</w:t>
      </w:r>
      <w:r w:rsidRPr="00B7168B">
        <w:rPr>
          <w:szCs w:val="22"/>
        </w:rPr>
        <w:t xml:space="preserve"> not demonstrate</w:t>
      </w:r>
      <w:r>
        <w:rPr>
          <w:szCs w:val="22"/>
        </w:rPr>
        <w:t>d</w:t>
      </w:r>
      <w:r w:rsidRPr="00B7168B">
        <w:rPr>
          <w:szCs w:val="22"/>
        </w:rPr>
        <w:t xml:space="preserve"> special circumstances </w:t>
      </w:r>
      <w:r w:rsidRPr="00B7168B">
        <w:rPr>
          <w:snapToGrid/>
          <w:kern w:val="0"/>
          <w:szCs w:val="22"/>
        </w:rPr>
        <w:t>justifying a waiver of the Commission’s rules and has not otherwise demonstrated that such a waiver will serve the public interest</w:t>
      </w:r>
      <w:r w:rsidRPr="00B7168B">
        <w:rPr>
          <w:szCs w:val="22"/>
        </w:rPr>
        <w:t>.</w:t>
      </w:r>
      <w:r>
        <w:rPr>
          <w:szCs w:val="22"/>
        </w:rPr>
        <w:t xml:space="preserve">  </w:t>
      </w:r>
      <w:r w:rsidRPr="00B7168B">
        <w:rPr>
          <w:szCs w:val="22"/>
        </w:rPr>
        <w:t xml:space="preserve">We therefore deny </w:t>
      </w:r>
      <w:r>
        <w:rPr>
          <w:szCs w:val="22"/>
        </w:rPr>
        <w:t xml:space="preserve">both </w:t>
      </w:r>
      <w:r w:rsidRPr="00B7168B">
        <w:rPr>
          <w:szCs w:val="22"/>
        </w:rPr>
        <w:t>PHC’s</w:t>
      </w:r>
      <w:r w:rsidRPr="00B7168B">
        <w:rPr>
          <w:szCs w:val="22"/>
        </w:rPr>
        <w:t xml:space="preserve"> request for review and waiver.</w:t>
      </w:r>
    </w:p>
    <w:p w:rsidR="00EA1999" w:rsidP="00EA1999" w14:paraId="51152258" w14:textId="6732C0DD">
      <w:pPr>
        <w:pStyle w:val="Heading1"/>
      </w:pPr>
      <w:r>
        <w:t>Background</w:t>
      </w:r>
    </w:p>
    <w:p w:rsidR="00EA1999" w:rsidRPr="00743592" w:rsidP="00EA1999" w14:paraId="17068454" w14:textId="77777777">
      <w:pPr>
        <w:pStyle w:val="ParaNum"/>
        <w:rPr>
          <w:snapToGrid/>
          <w:kern w:val="0"/>
        </w:rPr>
      </w:pPr>
      <w:r w:rsidRPr="00743592">
        <w:t>The Telecom Program subsidizes the difference between the rates in a health care provider’s rural area and rates for comparable services available in urban areas within a health care provider’s state.</w:t>
      </w:r>
      <w:r>
        <w:rPr>
          <w:rStyle w:val="FootnoteReference"/>
          <w:sz w:val="22"/>
          <w:szCs w:val="22"/>
        </w:rPr>
        <w:footnoteReference w:id="5"/>
      </w:r>
      <w:r>
        <w:t xml:space="preserve">  </w:t>
      </w:r>
      <w:r w:rsidRPr="00743592">
        <w:t>Health care providers request funding by submitting an FCC Form 466 (Funding Request and Certification Form) that includes monthly urban and rural rates for the requested service.</w:t>
      </w:r>
      <w:r>
        <w:rPr>
          <w:rStyle w:val="FootnoteReference"/>
          <w:sz w:val="22"/>
          <w:szCs w:val="22"/>
        </w:rPr>
        <w:footnoteReference w:id="6"/>
      </w:r>
      <w:r w:rsidRPr="00743592">
        <w:t xml:space="preserve">  </w:t>
      </w:r>
    </w:p>
    <w:p w:rsidR="00EA1999" w:rsidRPr="00CE65D6" w:rsidP="000E56F2" w14:paraId="700F4CAD" w14:textId="77777777">
      <w:pPr>
        <w:pStyle w:val="ParaNum"/>
        <w:widowControl/>
      </w:pPr>
      <w:r w:rsidRPr="378560D9">
        <w:t>Under the Commission’s rules applicable in FY 2016, three methods could be used for calculating rural rates in the Telecom Program, depending on the circumstances.</w:t>
      </w:r>
      <w:r>
        <w:rPr>
          <w:rStyle w:val="FootnoteReference"/>
          <w:sz w:val="22"/>
          <w:szCs w:val="22"/>
        </w:rPr>
        <w:footnoteReference w:id="7"/>
      </w:r>
      <w:r>
        <w:rPr>
          <w:szCs w:val="22"/>
        </w:rPr>
        <w:t xml:space="preserve">  Specifically, </w:t>
      </w:r>
      <w:r w:rsidRPr="378560D9">
        <w:t>the Commission’s rules provided that the rural rate can be calculated based on one of the following three methods: (1) the average of rates that the carrier actually charges to other non-health care provider commercial customers for the same or similar services provided in the rural area where the health care provider is located (Method 1);</w:t>
      </w:r>
      <w:r>
        <w:rPr>
          <w:vertAlign w:val="superscript"/>
        </w:rPr>
        <w:footnoteReference w:id="8"/>
      </w:r>
      <w:r>
        <w:rPr>
          <w:szCs w:val="22"/>
        </w:rPr>
        <w:t xml:space="preserve"> </w:t>
      </w:r>
      <w:r w:rsidRPr="378560D9">
        <w:t>(2) if the carrier does not have any commercial customers in the health care provider’s rural area, the average of tariffed and other publicly available rates charged by other service providers for the same or similar services provided over the same distance in the rural health care provider’s area (Method 2); or (3) if there are no such rates or the carrier reasonably determines that those rates would be unfair, a cost-based rate that is approved by the Commission for interstate services (or the relevant state commission for intrastate services) (Method 3).</w:t>
      </w:r>
      <w:r>
        <w:rPr>
          <w:vertAlign w:val="superscript"/>
        </w:rPr>
        <w:footnoteReference w:id="9"/>
      </w:r>
      <w:r w:rsidRPr="378560D9">
        <w:t xml:space="preserve">  A carrier seeking approval of a rural rate under Method 3 is required to provide “a justification of the proposed rural rate that includes an itemization of the costs of providing the requested service.”</w:t>
      </w:r>
      <w:r>
        <w:rPr>
          <w:vertAlign w:val="superscript"/>
        </w:rPr>
        <w:footnoteReference w:id="10"/>
      </w:r>
      <w:r w:rsidRPr="00903417">
        <w:rPr>
          <w:szCs w:val="22"/>
        </w:rPr>
        <w:t xml:space="preserve">  </w:t>
      </w:r>
    </w:p>
    <w:p w:rsidR="00EA1999" w:rsidRPr="002B38AF" w:rsidP="00EA1999" w14:paraId="15FD719A" w14:textId="77777777">
      <w:pPr>
        <w:pStyle w:val="ParaNum"/>
        <w:rPr>
          <w:rStyle w:val="normaltextrun"/>
          <w:snapToGrid/>
          <w:kern w:val="0"/>
          <w:szCs w:val="22"/>
        </w:rPr>
      </w:pPr>
      <w:r w:rsidRPr="000C439B">
        <w:t xml:space="preserve">On May 5, 2016, </w:t>
      </w:r>
      <w:r w:rsidRPr="000C439B">
        <w:t>PHC</w:t>
      </w:r>
      <w:r w:rsidRPr="000C439B">
        <w:t xml:space="preserve"> submitted an FCC Form 465 (Description of Services Requested and Certification Form) requesting bids for services from potential service providers and initiating the 28-day competitive bidding process.</w:t>
      </w:r>
      <w:r>
        <w:rPr>
          <w:rStyle w:val="FootnoteReference"/>
          <w:sz w:val="22"/>
          <w:szCs w:val="22"/>
        </w:rPr>
        <w:footnoteReference w:id="11"/>
      </w:r>
      <w:r w:rsidRPr="000C439B">
        <w:t xml:space="preserve">  After reviewing the bids, </w:t>
      </w:r>
      <w:r w:rsidRPr="000C439B">
        <w:t>PHC</w:t>
      </w:r>
      <w:r w:rsidRPr="000C439B">
        <w:t xml:space="preserve"> selected </w:t>
      </w:r>
      <w:r w:rsidRPr="000C439B">
        <w:t>TeleQuality</w:t>
      </w:r>
      <w:r w:rsidRPr="000C439B">
        <w:t xml:space="preserve"> to provide services and submitted Forms 466 for each service.</w:t>
      </w:r>
      <w:r>
        <w:rPr>
          <w:rStyle w:val="FootnoteReference"/>
          <w:sz w:val="22"/>
          <w:szCs w:val="22"/>
        </w:rPr>
        <w:footnoteReference w:id="12"/>
      </w:r>
      <w:r w:rsidRPr="000C439B">
        <w:t xml:space="preserve">  </w:t>
      </w:r>
    </w:p>
    <w:p w:rsidR="00EA1999" w:rsidRPr="00CE65D6" w:rsidP="00232259" w14:paraId="36FBD206" w14:textId="77777777">
      <w:pPr>
        <w:pStyle w:val="ParaNum"/>
        <w:rPr>
          <w:rStyle w:val="normaltextrun"/>
          <w:snapToGrid/>
          <w:kern w:val="0"/>
        </w:rPr>
      </w:pPr>
      <w:r w:rsidRPr="000C439B">
        <w:t>T</w:t>
      </w:r>
      <w:r w:rsidRPr="378560D9">
        <w:t xml:space="preserve">he Commission’s Enforcement Bureau (EB) and </w:t>
      </w:r>
      <w:r w:rsidRPr="378560D9">
        <w:t>TeleQuality</w:t>
      </w:r>
      <w:r w:rsidRPr="378560D9">
        <w:t xml:space="preserve"> entered into a Consent Decree in February 2020 for the purposes of terminating EB’s investigation into whether </w:t>
      </w:r>
      <w:r w:rsidRPr="378560D9">
        <w:t>TeleQuality</w:t>
      </w:r>
      <w:r w:rsidRPr="378560D9">
        <w:t xml:space="preserve"> violated the Commission’s RHC Program rules.</w:t>
      </w:r>
      <w:r>
        <w:rPr>
          <w:rStyle w:val="FootnoteReference"/>
          <w:sz w:val="22"/>
          <w:szCs w:val="22"/>
        </w:rPr>
        <w:footnoteReference w:id="13"/>
      </w:r>
      <w:r>
        <w:rPr>
          <w:szCs w:val="22"/>
        </w:rPr>
        <w:t xml:space="preserve">  </w:t>
      </w:r>
      <w:r w:rsidRPr="378560D9">
        <w:t xml:space="preserve">Among many violations, </w:t>
      </w:r>
      <w:r w:rsidRPr="378560D9">
        <w:t>TeleQuality</w:t>
      </w:r>
      <w:r w:rsidRPr="378560D9">
        <w:t xml:space="preserve"> admitted to the Company’s failure to comply with any of the three methods outlined in section 54.607 of the Commission’s rules to determine its rural rates for the period of at least January 1, 2015, through December 31, 2018, which includes FY 2016, the FY for the request at issue in the instant appeal</w:t>
      </w:r>
      <w:r w:rsidRPr="00903417">
        <w:rPr>
          <w:szCs w:val="22"/>
        </w:rPr>
        <w:t>.</w:t>
      </w:r>
      <w:r>
        <w:rPr>
          <w:rStyle w:val="FootnoteReference"/>
          <w:sz w:val="22"/>
          <w:szCs w:val="22"/>
        </w:rPr>
        <w:footnoteReference w:id="14"/>
      </w:r>
      <w:r w:rsidRPr="00903417">
        <w:rPr>
          <w:szCs w:val="22"/>
        </w:rPr>
        <w:t xml:space="preserve"> </w:t>
      </w:r>
    </w:p>
    <w:p w:rsidR="00EA1999" w:rsidP="00EA1999" w14:paraId="75B5090B" w14:textId="77777777">
      <w:pPr>
        <w:pStyle w:val="ParaNum"/>
        <w:widowControl/>
        <w:rPr>
          <w:rStyle w:val="eop"/>
          <w:color w:val="000000"/>
        </w:rPr>
      </w:pPr>
      <w:r w:rsidRPr="378560D9">
        <w:rPr>
          <w:rStyle w:val="eop"/>
          <w:color w:val="000000"/>
        </w:rPr>
        <w:t>USAC sent information request</w:t>
      </w:r>
      <w:r>
        <w:rPr>
          <w:rStyle w:val="eop"/>
          <w:color w:val="000000"/>
        </w:rPr>
        <w:t>s</w:t>
      </w:r>
      <w:r w:rsidRPr="378560D9">
        <w:rPr>
          <w:rStyle w:val="eop"/>
          <w:color w:val="000000"/>
        </w:rPr>
        <w:t xml:space="preserve"> to </w:t>
      </w:r>
      <w:r w:rsidRPr="378560D9">
        <w:rPr>
          <w:rStyle w:val="eop"/>
          <w:color w:val="000000"/>
        </w:rPr>
        <w:t>PHC</w:t>
      </w:r>
      <w:r w:rsidRPr="378560D9">
        <w:rPr>
          <w:rStyle w:val="eop"/>
          <w:color w:val="000000"/>
        </w:rPr>
        <w:t xml:space="preserve"> requesting documentation demonstrating how the rural rates listed on </w:t>
      </w:r>
      <w:r w:rsidRPr="378560D9">
        <w:rPr>
          <w:rStyle w:val="eop"/>
          <w:color w:val="000000"/>
        </w:rPr>
        <w:t>PHC’s</w:t>
      </w:r>
      <w:r w:rsidRPr="378560D9">
        <w:rPr>
          <w:rStyle w:val="eop"/>
          <w:color w:val="000000"/>
        </w:rPr>
        <w:t xml:space="preserve"> filed Forms 466 were compliant with the Commission’s rules.</w:t>
      </w:r>
      <w:r>
        <w:rPr>
          <w:rStyle w:val="FootnoteReference"/>
          <w:sz w:val="22"/>
          <w:szCs w:val="22"/>
        </w:rPr>
        <w:footnoteReference w:id="15"/>
      </w:r>
      <w:r>
        <w:rPr>
          <w:szCs w:val="22"/>
        </w:rPr>
        <w:t xml:space="preserve">  </w:t>
      </w:r>
      <w:r w:rsidRPr="378560D9">
        <w:rPr>
          <w:rStyle w:val="eop"/>
          <w:color w:val="000000"/>
        </w:rPr>
        <w:t xml:space="preserve">In response to the information requests, </w:t>
      </w:r>
      <w:r w:rsidRPr="378560D9">
        <w:rPr>
          <w:rStyle w:val="eop"/>
          <w:color w:val="000000"/>
        </w:rPr>
        <w:t>PHC</w:t>
      </w:r>
      <w:r w:rsidRPr="378560D9">
        <w:rPr>
          <w:rStyle w:val="eop"/>
          <w:color w:val="000000"/>
        </w:rPr>
        <w:t xml:space="preserve"> provided a letter from </w:t>
      </w:r>
      <w:r w:rsidRPr="378560D9">
        <w:rPr>
          <w:rStyle w:val="eop"/>
          <w:color w:val="000000"/>
        </w:rPr>
        <w:t>TeleQuality</w:t>
      </w:r>
      <w:r w:rsidRPr="378560D9">
        <w:rPr>
          <w:rStyle w:val="eop"/>
          <w:color w:val="000000"/>
        </w:rPr>
        <w:t xml:space="preserve"> that detailed the type, cost, </w:t>
      </w:r>
      <w:r w:rsidRPr="378560D9">
        <w:rPr>
          <w:rStyle w:val="eop"/>
          <w:color w:val="000000"/>
        </w:rPr>
        <w:t>and dates of services.</w:t>
      </w:r>
      <w:r>
        <w:rPr>
          <w:rStyle w:val="FootnoteReference"/>
          <w:color w:val="000000"/>
          <w:sz w:val="22"/>
          <w:szCs w:val="22"/>
        </w:rPr>
        <w:footnoteReference w:id="16"/>
      </w:r>
      <w:r w:rsidRPr="378560D9">
        <w:rPr>
          <w:rStyle w:val="eop"/>
          <w:color w:val="000000"/>
        </w:rPr>
        <w:t xml:space="preserve"> </w:t>
      </w:r>
      <w:r w:rsidRPr="378560D9">
        <w:rPr>
          <w:rStyle w:val="StyleNumberedparagraphs11ptChar"/>
        </w:rPr>
        <w:t xml:space="preserve"> </w:t>
      </w:r>
      <w:r w:rsidRPr="378560D9">
        <w:rPr>
          <w:rStyle w:val="eop"/>
          <w:color w:val="000000"/>
        </w:rPr>
        <w:t xml:space="preserve">On December 6, 2016, USAC denied the funding requests finding that </w:t>
      </w:r>
      <w:r w:rsidRPr="378560D9">
        <w:rPr>
          <w:rStyle w:val="eop"/>
          <w:color w:val="000000"/>
        </w:rPr>
        <w:t>PHC</w:t>
      </w:r>
      <w:r w:rsidRPr="378560D9">
        <w:rPr>
          <w:rStyle w:val="eop"/>
          <w:color w:val="000000"/>
        </w:rPr>
        <w:t xml:space="preserve">: (1) </w:t>
      </w:r>
      <w:r w:rsidRPr="378560D9">
        <w:rPr>
          <w:snapToGrid/>
          <w:kern w:val="0"/>
        </w:rPr>
        <w:t>had not selected the most cost-effective method of providing the requested services</w:t>
      </w:r>
      <w:r w:rsidRPr="378560D9">
        <w:rPr>
          <w:rStyle w:val="eop"/>
          <w:color w:val="000000"/>
        </w:rPr>
        <w:t>; (2) did not provide documentation to support the rural rate “as required by the instructions on the form;” (3) and did not adequately respond to information requests related to rural rates.</w:t>
      </w:r>
      <w:r>
        <w:rPr>
          <w:rStyle w:val="FootnoteReference"/>
          <w:color w:val="000000"/>
          <w:sz w:val="22"/>
          <w:szCs w:val="22"/>
        </w:rPr>
        <w:footnoteReference w:id="17"/>
      </w:r>
    </w:p>
    <w:p w:rsidR="00EA1999" w:rsidRPr="00B7168B" w:rsidP="00232259" w14:paraId="3D28D52C" w14:textId="77777777">
      <w:pPr>
        <w:pStyle w:val="ParaNum"/>
        <w:rPr>
          <w:rStyle w:val="eop"/>
          <w:color w:val="000000"/>
        </w:rPr>
      </w:pPr>
      <w:r w:rsidRPr="378560D9">
        <w:rPr>
          <w:rStyle w:val="eop"/>
          <w:color w:val="000000"/>
        </w:rPr>
        <w:t xml:space="preserve">On January 17, 2017, </w:t>
      </w:r>
      <w:r w:rsidRPr="378560D9">
        <w:rPr>
          <w:rStyle w:val="eop"/>
          <w:color w:val="000000"/>
        </w:rPr>
        <w:t>PHC</w:t>
      </w:r>
      <w:r w:rsidRPr="378560D9">
        <w:rPr>
          <w:rStyle w:val="eop"/>
          <w:color w:val="000000"/>
        </w:rPr>
        <w:t xml:space="preserve"> appealed the denials to USAC arguing that the letter it submitted supported the rural rate and requested USAC to review the documentation.</w:t>
      </w:r>
      <w:r>
        <w:rPr>
          <w:rStyle w:val="FootnoteReference"/>
          <w:color w:val="000000"/>
          <w:sz w:val="22"/>
          <w:szCs w:val="22"/>
        </w:rPr>
        <w:footnoteReference w:id="18"/>
      </w:r>
      <w:r w:rsidRPr="378560D9">
        <w:rPr>
          <w:rStyle w:val="eop"/>
          <w:color w:val="000000"/>
        </w:rPr>
        <w:t xml:space="preserve">  </w:t>
      </w:r>
      <w:r w:rsidRPr="378560D9">
        <w:rPr>
          <w:rStyle w:val="eop"/>
          <w:color w:val="000000"/>
        </w:rPr>
        <w:t>PHC</w:t>
      </w:r>
      <w:r w:rsidRPr="378560D9">
        <w:rPr>
          <w:rStyle w:val="eop"/>
          <w:color w:val="000000"/>
        </w:rPr>
        <w:t xml:space="preserve"> also provided an analysis justifying how </w:t>
      </w:r>
      <w:r w:rsidRPr="378560D9">
        <w:rPr>
          <w:rStyle w:val="eop"/>
          <w:color w:val="000000"/>
        </w:rPr>
        <w:t>TeleQuality</w:t>
      </w:r>
      <w:r w:rsidRPr="378560D9">
        <w:rPr>
          <w:rStyle w:val="eop"/>
          <w:color w:val="000000"/>
        </w:rPr>
        <w:t xml:space="preserve"> was the most cost-effective service provider out of all the potential bidders.</w:t>
      </w:r>
      <w:r>
        <w:rPr>
          <w:rStyle w:val="FootnoteReference"/>
          <w:sz w:val="22"/>
          <w:szCs w:val="22"/>
        </w:rPr>
        <w:footnoteReference w:id="19"/>
      </w:r>
      <w:r w:rsidRPr="378560D9">
        <w:rPr>
          <w:rStyle w:val="eop"/>
          <w:color w:val="000000"/>
        </w:rPr>
        <w:t xml:space="preserve">  On September 13, 2018, USAC agreed with </w:t>
      </w:r>
      <w:r w:rsidRPr="378560D9">
        <w:rPr>
          <w:rStyle w:val="eop"/>
          <w:color w:val="000000"/>
        </w:rPr>
        <w:t>PHC’s</w:t>
      </w:r>
      <w:r w:rsidRPr="378560D9">
        <w:rPr>
          <w:rStyle w:val="eop"/>
          <w:color w:val="000000"/>
        </w:rPr>
        <w:t xml:space="preserve"> competitive bidding analysis and </w:t>
      </w:r>
      <w:r w:rsidRPr="378560D9">
        <w:rPr>
          <w:snapToGrid/>
          <w:kern w:val="0"/>
        </w:rPr>
        <w:t xml:space="preserve">found that </w:t>
      </w:r>
      <w:r w:rsidRPr="378560D9">
        <w:rPr>
          <w:snapToGrid/>
          <w:kern w:val="0"/>
        </w:rPr>
        <w:t>PHC</w:t>
      </w:r>
      <w:r w:rsidRPr="378560D9">
        <w:rPr>
          <w:snapToGrid/>
          <w:kern w:val="0"/>
        </w:rPr>
        <w:t xml:space="preserve"> selected the most cost-effective method of providing the service.</w:t>
      </w:r>
      <w:r>
        <w:rPr>
          <w:rStyle w:val="FootnoteReference"/>
          <w:snapToGrid/>
          <w:kern w:val="0"/>
          <w:sz w:val="22"/>
          <w:szCs w:val="22"/>
        </w:rPr>
        <w:footnoteReference w:id="20"/>
      </w:r>
      <w:r w:rsidRPr="378560D9">
        <w:rPr>
          <w:snapToGrid/>
          <w:kern w:val="0"/>
        </w:rPr>
        <w:t xml:space="preserve">  Nonetheless, USAC denied </w:t>
      </w:r>
      <w:r w:rsidRPr="378560D9">
        <w:rPr>
          <w:snapToGrid/>
          <w:kern w:val="0"/>
        </w:rPr>
        <w:t>PHC’s</w:t>
      </w:r>
      <w:r w:rsidRPr="378560D9">
        <w:rPr>
          <w:snapToGrid/>
          <w:kern w:val="0"/>
        </w:rPr>
        <w:t xml:space="preserve"> appeal, </w:t>
      </w:r>
      <w:r w:rsidRPr="378560D9">
        <w:rPr>
          <w:rStyle w:val="eop"/>
          <w:color w:val="000000"/>
        </w:rPr>
        <w:t xml:space="preserve">finding that the letter </w:t>
      </w:r>
      <w:r w:rsidRPr="378560D9">
        <w:rPr>
          <w:rStyle w:val="eop"/>
          <w:color w:val="000000"/>
        </w:rPr>
        <w:t>PHC</w:t>
      </w:r>
      <w:r w:rsidRPr="378560D9">
        <w:rPr>
          <w:rStyle w:val="eop"/>
          <w:color w:val="000000"/>
        </w:rPr>
        <w:t xml:space="preserve"> provided was insufficient to support the funding requests because it did not demonstrate how the rates were determine</w:t>
      </w:r>
      <w:r w:rsidRPr="378560D9">
        <w:t>d</w:t>
      </w:r>
      <w:r w:rsidRPr="378560D9">
        <w:rPr>
          <w:rStyle w:val="eop"/>
          <w:color w:val="000000"/>
        </w:rPr>
        <w:t>.</w:t>
      </w:r>
      <w:r>
        <w:rPr>
          <w:rStyle w:val="FootnoteReference"/>
          <w:color w:val="000000"/>
          <w:sz w:val="22"/>
          <w:szCs w:val="22"/>
        </w:rPr>
        <w:footnoteReference w:id="21"/>
      </w:r>
      <w:r w:rsidRPr="378560D9">
        <w:rPr>
          <w:rStyle w:val="eop"/>
          <w:color w:val="000000"/>
        </w:rPr>
        <w:t xml:space="preserve">  Specifically, USAC found that the letter did not show </w:t>
      </w:r>
      <w:r w:rsidRPr="378560D9">
        <w:rPr>
          <w:rStyle w:val="eop"/>
          <w:color w:val="000000"/>
        </w:rPr>
        <w:t>PHC</w:t>
      </w:r>
      <w:r w:rsidRPr="378560D9">
        <w:rPr>
          <w:rStyle w:val="eop"/>
          <w:color w:val="000000"/>
        </w:rPr>
        <w:t xml:space="preserve"> and </w:t>
      </w:r>
      <w:r w:rsidRPr="378560D9">
        <w:rPr>
          <w:rStyle w:val="eop"/>
          <w:color w:val="000000"/>
        </w:rPr>
        <w:t>TeleQuality’s</w:t>
      </w:r>
      <w:r w:rsidRPr="378560D9">
        <w:rPr>
          <w:rStyle w:val="eop"/>
          <w:color w:val="000000"/>
        </w:rPr>
        <w:t xml:space="preserve"> compliance with any of the three permissible methods for determining a rural rate.</w:t>
      </w:r>
      <w:r>
        <w:rPr>
          <w:rStyle w:val="FootnoteReference"/>
          <w:color w:val="000000"/>
          <w:sz w:val="22"/>
          <w:szCs w:val="22"/>
        </w:rPr>
        <w:footnoteReference w:id="22"/>
      </w:r>
    </w:p>
    <w:p w:rsidR="00EA1999" w:rsidRPr="00743592" w:rsidP="00EA1999" w14:paraId="6286BB4B" w14:textId="77777777">
      <w:pPr>
        <w:pStyle w:val="ParaNum"/>
        <w:rPr>
          <w:rStyle w:val="eop"/>
          <w:color w:val="000000"/>
          <w:szCs w:val="22"/>
        </w:rPr>
      </w:pPr>
      <w:r w:rsidRPr="00B7168B">
        <w:rPr>
          <w:rStyle w:val="eop"/>
          <w:color w:val="000000"/>
          <w:szCs w:val="22"/>
        </w:rPr>
        <w:t>PHC</w:t>
      </w:r>
      <w:r>
        <w:rPr>
          <w:rStyle w:val="eop"/>
          <w:color w:val="000000"/>
          <w:szCs w:val="22"/>
        </w:rPr>
        <w:t>’s</w:t>
      </w:r>
      <w:r>
        <w:rPr>
          <w:rStyle w:val="eop"/>
          <w:color w:val="000000"/>
          <w:szCs w:val="22"/>
        </w:rPr>
        <w:t xml:space="preserve"> appeal</w:t>
      </w:r>
      <w:r w:rsidRPr="00B7168B">
        <w:rPr>
          <w:rStyle w:val="eop"/>
          <w:color w:val="000000"/>
          <w:szCs w:val="22"/>
        </w:rPr>
        <w:t xml:space="preserve"> to the Commission </w:t>
      </w:r>
      <w:r>
        <w:rPr>
          <w:rStyle w:val="eop"/>
          <w:color w:val="000000"/>
          <w:szCs w:val="22"/>
        </w:rPr>
        <w:t>argues</w:t>
      </w:r>
      <w:r w:rsidRPr="00B7168B">
        <w:rPr>
          <w:rStyle w:val="eop"/>
          <w:color w:val="000000"/>
          <w:szCs w:val="22"/>
        </w:rPr>
        <w:t xml:space="preserve"> that </w:t>
      </w:r>
      <w:r>
        <w:rPr>
          <w:rStyle w:val="eop"/>
          <w:color w:val="000000"/>
          <w:szCs w:val="22"/>
        </w:rPr>
        <w:t xml:space="preserve">the documentation </w:t>
      </w:r>
      <w:r w:rsidRPr="00B7168B">
        <w:rPr>
          <w:rStyle w:val="eop"/>
          <w:color w:val="000000"/>
          <w:szCs w:val="22"/>
        </w:rPr>
        <w:t>did not need to demonstrate how the rate was determined because</w:t>
      </w:r>
      <w:r>
        <w:rPr>
          <w:rStyle w:val="eop"/>
          <w:color w:val="000000"/>
          <w:szCs w:val="22"/>
        </w:rPr>
        <w:t xml:space="preserve"> the documentation </w:t>
      </w:r>
      <w:r w:rsidRPr="00B7168B">
        <w:rPr>
          <w:rStyle w:val="eop"/>
          <w:color w:val="000000"/>
          <w:szCs w:val="22"/>
        </w:rPr>
        <w:t xml:space="preserve">complied with what </w:t>
      </w:r>
      <w:r>
        <w:rPr>
          <w:rStyle w:val="eop"/>
          <w:color w:val="000000"/>
          <w:szCs w:val="22"/>
        </w:rPr>
        <w:t>it</w:t>
      </w:r>
      <w:r w:rsidRPr="00B7168B">
        <w:rPr>
          <w:rStyle w:val="eop"/>
          <w:color w:val="000000"/>
          <w:szCs w:val="22"/>
        </w:rPr>
        <w:t xml:space="preserve"> claims was </w:t>
      </w:r>
      <w:r>
        <w:rPr>
          <w:rStyle w:val="eop"/>
          <w:color w:val="000000"/>
          <w:szCs w:val="22"/>
        </w:rPr>
        <w:t>a different</w:t>
      </w:r>
      <w:r w:rsidRPr="00B7168B">
        <w:rPr>
          <w:rStyle w:val="eop"/>
          <w:color w:val="000000"/>
          <w:szCs w:val="22"/>
        </w:rPr>
        <w:t xml:space="preserve"> </w:t>
      </w:r>
      <w:r>
        <w:rPr>
          <w:rStyle w:val="eop"/>
          <w:color w:val="000000"/>
          <w:szCs w:val="22"/>
        </w:rPr>
        <w:t xml:space="preserve">documentation </w:t>
      </w:r>
      <w:r w:rsidRPr="00B7168B">
        <w:rPr>
          <w:rStyle w:val="eop"/>
          <w:color w:val="000000"/>
          <w:szCs w:val="22"/>
        </w:rPr>
        <w:t>requirement in effect in FY 2016.</w:t>
      </w:r>
      <w:r>
        <w:rPr>
          <w:rStyle w:val="FootnoteReference"/>
          <w:sz w:val="22"/>
          <w:szCs w:val="22"/>
        </w:rPr>
        <w:footnoteReference w:id="23"/>
      </w:r>
      <w:r w:rsidRPr="00B7168B">
        <w:rPr>
          <w:rStyle w:val="eop"/>
          <w:color w:val="000000"/>
          <w:szCs w:val="22"/>
        </w:rPr>
        <w:t xml:space="preserve">  </w:t>
      </w:r>
      <w:r w:rsidRPr="00B7168B">
        <w:rPr>
          <w:rStyle w:val="eop"/>
          <w:color w:val="000000"/>
          <w:szCs w:val="22"/>
        </w:rPr>
        <w:t>PHC</w:t>
      </w:r>
      <w:r w:rsidRPr="00B7168B">
        <w:rPr>
          <w:rStyle w:val="eop"/>
          <w:color w:val="000000"/>
          <w:szCs w:val="22"/>
        </w:rPr>
        <w:t xml:space="preserve"> argues that documentation demonstrating how the rate was determined was not required until USAC announced new guidance on February 19, 2019.</w:t>
      </w:r>
      <w:r>
        <w:rPr>
          <w:rStyle w:val="FootnoteReference"/>
          <w:sz w:val="22"/>
          <w:szCs w:val="22"/>
        </w:rPr>
        <w:footnoteReference w:id="24"/>
      </w:r>
      <w:r w:rsidRPr="00B7168B">
        <w:rPr>
          <w:rStyle w:val="eop"/>
          <w:color w:val="000000"/>
          <w:szCs w:val="22"/>
        </w:rPr>
        <w:t xml:space="preserve">  Additionally, </w:t>
      </w:r>
      <w:r w:rsidRPr="00B7168B">
        <w:rPr>
          <w:rStyle w:val="eop"/>
          <w:color w:val="000000"/>
          <w:szCs w:val="22"/>
        </w:rPr>
        <w:t>PHC</w:t>
      </w:r>
      <w:r w:rsidRPr="00B7168B">
        <w:rPr>
          <w:rStyle w:val="eop"/>
          <w:color w:val="000000"/>
          <w:szCs w:val="22"/>
        </w:rPr>
        <w:t xml:space="preserve"> submits</w:t>
      </w:r>
      <w:r>
        <w:rPr>
          <w:rStyle w:val="eop"/>
          <w:color w:val="000000"/>
          <w:szCs w:val="22"/>
        </w:rPr>
        <w:t xml:space="preserve"> new</w:t>
      </w:r>
      <w:r w:rsidRPr="00B7168B">
        <w:rPr>
          <w:rStyle w:val="eop"/>
          <w:color w:val="000000"/>
          <w:szCs w:val="22"/>
        </w:rPr>
        <w:t xml:space="preserve"> documentation that it claims demonstrate</w:t>
      </w:r>
      <w:r>
        <w:rPr>
          <w:rStyle w:val="eop"/>
          <w:color w:val="000000"/>
          <w:szCs w:val="22"/>
        </w:rPr>
        <w:t>s</w:t>
      </w:r>
      <w:r w:rsidRPr="00B7168B">
        <w:rPr>
          <w:rStyle w:val="eop"/>
          <w:color w:val="000000"/>
          <w:szCs w:val="22"/>
        </w:rPr>
        <w:t xml:space="preserve"> that </w:t>
      </w:r>
      <w:r w:rsidRPr="00B7168B">
        <w:rPr>
          <w:rStyle w:val="eop"/>
          <w:color w:val="000000"/>
          <w:szCs w:val="22"/>
        </w:rPr>
        <w:t>TeleQuality</w:t>
      </w:r>
      <w:r w:rsidRPr="00B7168B">
        <w:rPr>
          <w:rStyle w:val="eop"/>
          <w:color w:val="000000"/>
          <w:szCs w:val="22"/>
        </w:rPr>
        <w:t xml:space="preserve"> used Method 3 to determine rates and filed the rates charged to </w:t>
      </w:r>
      <w:r w:rsidRPr="00B7168B">
        <w:rPr>
          <w:rStyle w:val="eop"/>
          <w:color w:val="000000"/>
          <w:szCs w:val="22"/>
        </w:rPr>
        <w:t>PHC</w:t>
      </w:r>
      <w:r w:rsidRPr="00B7168B">
        <w:rPr>
          <w:rStyle w:val="eop"/>
          <w:color w:val="000000"/>
          <w:szCs w:val="22"/>
        </w:rPr>
        <w:t xml:space="preserve"> with the Georgia Public Service Commission.</w:t>
      </w:r>
      <w:r>
        <w:rPr>
          <w:rStyle w:val="FootnoteReference"/>
          <w:sz w:val="22"/>
          <w:szCs w:val="22"/>
        </w:rPr>
        <w:footnoteReference w:id="25"/>
      </w:r>
      <w:r w:rsidRPr="00B7168B">
        <w:rPr>
          <w:rStyle w:val="eop"/>
          <w:color w:val="000000"/>
          <w:szCs w:val="22"/>
        </w:rPr>
        <w:t xml:space="preserve">  </w:t>
      </w:r>
      <w:r w:rsidRPr="00B7168B">
        <w:rPr>
          <w:rStyle w:val="eop"/>
          <w:color w:val="000000"/>
          <w:szCs w:val="22"/>
        </w:rPr>
        <w:t>PHC</w:t>
      </w:r>
      <w:r w:rsidRPr="00B7168B">
        <w:rPr>
          <w:rStyle w:val="eop"/>
          <w:color w:val="000000"/>
          <w:szCs w:val="22"/>
        </w:rPr>
        <w:t xml:space="preserve"> is now requesting </w:t>
      </w:r>
      <w:r>
        <w:rPr>
          <w:rStyle w:val="eop"/>
          <w:color w:val="000000"/>
          <w:szCs w:val="22"/>
        </w:rPr>
        <w:t xml:space="preserve">that </w:t>
      </w:r>
      <w:r w:rsidRPr="00B7168B">
        <w:rPr>
          <w:rStyle w:val="eop"/>
          <w:color w:val="000000"/>
          <w:szCs w:val="22"/>
        </w:rPr>
        <w:t>the Commission reevaluate USAC’s decision and</w:t>
      </w:r>
      <w:r>
        <w:rPr>
          <w:rStyle w:val="eop"/>
          <w:color w:val="000000"/>
          <w:szCs w:val="22"/>
        </w:rPr>
        <w:t>, in the alternative,</w:t>
      </w:r>
      <w:r w:rsidRPr="00B7168B">
        <w:rPr>
          <w:rStyle w:val="eop"/>
          <w:color w:val="000000"/>
          <w:szCs w:val="22"/>
        </w:rPr>
        <w:t xml:space="preserve"> grant a waiver of the rules in the event the Commission believes </w:t>
      </w:r>
      <w:r w:rsidRPr="00B7168B">
        <w:rPr>
          <w:rStyle w:val="eop"/>
          <w:color w:val="000000"/>
          <w:szCs w:val="22"/>
        </w:rPr>
        <w:t>PHC</w:t>
      </w:r>
      <w:r w:rsidRPr="00B7168B">
        <w:rPr>
          <w:rStyle w:val="eop"/>
          <w:color w:val="000000"/>
          <w:szCs w:val="22"/>
        </w:rPr>
        <w:t xml:space="preserve"> failed to comply with the rules.</w:t>
      </w:r>
    </w:p>
    <w:p w:rsidR="00EA1999" w:rsidP="00EA1999" w14:paraId="211DDE44" w14:textId="67562517">
      <w:pPr>
        <w:pStyle w:val="Heading1"/>
      </w:pPr>
      <w:r>
        <w:t>Discussion</w:t>
      </w:r>
    </w:p>
    <w:p w:rsidR="00EA1999" w:rsidRPr="00743592" w:rsidP="001107C0" w14:paraId="56E34079" w14:textId="77777777">
      <w:pPr>
        <w:pStyle w:val="ParaNum"/>
        <w:widowControl/>
        <w:rPr>
          <w:rStyle w:val="StyleNumberedparagraphs11ptChar"/>
          <w:szCs w:val="22"/>
        </w:rPr>
      </w:pPr>
      <w:r w:rsidRPr="00743592">
        <w:rPr>
          <w:rStyle w:val="StyleNumberedparagraphs11ptChar"/>
          <w:szCs w:val="22"/>
        </w:rPr>
        <w:t xml:space="preserve">We agree with USAC that </w:t>
      </w:r>
      <w:r w:rsidRPr="00743592">
        <w:rPr>
          <w:rStyle w:val="StyleNumberedparagraphs11ptChar"/>
          <w:szCs w:val="22"/>
        </w:rPr>
        <w:t>PHC</w:t>
      </w:r>
      <w:r w:rsidRPr="00743592">
        <w:rPr>
          <w:rStyle w:val="StyleNumberedparagraphs11ptChar"/>
          <w:szCs w:val="22"/>
        </w:rPr>
        <w:t xml:space="preserve"> failed to comply with the Telecom Program rules for the funding requests at issue</w:t>
      </w:r>
      <w:r>
        <w:rPr>
          <w:rStyle w:val="StyleNumberedparagraphs11ptChar"/>
          <w:szCs w:val="22"/>
        </w:rPr>
        <w:t xml:space="preserve"> because the rates for the funding requests were not calculated consistent with Commission rules</w:t>
      </w:r>
      <w:r w:rsidRPr="00743592">
        <w:rPr>
          <w:rStyle w:val="StyleNumberedparagraphs11ptChar"/>
          <w:szCs w:val="22"/>
        </w:rPr>
        <w:t xml:space="preserve">.  </w:t>
      </w:r>
      <w:r>
        <w:rPr>
          <w:rStyle w:val="StyleNumberedparagraphs11ptChar"/>
          <w:szCs w:val="22"/>
        </w:rPr>
        <w:t xml:space="preserve">The letter that </w:t>
      </w:r>
      <w:r w:rsidRPr="00743592">
        <w:rPr>
          <w:rStyle w:val="StyleNumberedparagraphs11ptChar"/>
          <w:szCs w:val="22"/>
        </w:rPr>
        <w:t>PHC</w:t>
      </w:r>
      <w:r w:rsidRPr="00743592">
        <w:rPr>
          <w:rStyle w:val="StyleNumberedparagraphs11ptChar"/>
          <w:szCs w:val="22"/>
        </w:rPr>
        <w:t xml:space="preserve"> provided </w:t>
      </w:r>
      <w:r>
        <w:rPr>
          <w:rStyle w:val="StyleNumberedparagraphs11ptChar"/>
          <w:szCs w:val="22"/>
        </w:rPr>
        <w:t>to USAC</w:t>
      </w:r>
      <w:r w:rsidRPr="00743592">
        <w:rPr>
          <w:rStyle w:val="StyleNumberedparagraphs11ptChar"/>
          <w:szCs w:val="22"/>
        </w:rPr>
        <w:t xml:space="preserve"> reflected the type of service, dates of service, and cost of service on signed letterhead from </w:t>
      </w:r>
      <w:r w:rsidRPr="00743592">
        <w:rPr>
          <w:rStyle w:val="StyleNumberedparagraphs11ptChar"/>
          <w:szCs w:val="22"/>
        </w:rPr>
        <w:t>TeleQuality</w:t>
      </w:r>
      <w:r w:rsidRPr="00743592">
        <w:rPr>
          <w:rStyle w:val="StyleNumberedparagraphs11ptChar"/>
          <w:szCs w:val="22"/>
        </w:rPr>
        <w:t xml:space="preserve"> </w:t>
      </w:r>
      <w:r>
        <w:rPr>
          <w:rStyle w:val="StyleNumberedparagraphs11ptChar"/>
          <w:szCs w:val="22"/>
        </w:rPr>
        <w:t xml:space="preserve">in an effort </w:t>
      </w:r>
      <w:r w:rsidRPr="00743592">
        <w:rPr>
          <w:rStyle w:val="StyleNumberedparagraphs11ptChar"/>
          <w:szCs w:val="22"/>
        </w:rPr>
        <w:t xml:space="preserve">to comply with the instructions on the FCC Form 466 </w:t>
      </w:r>
      <w:r>
        <w:rPr>
          <w:rStyle w:val="StyleNumberedparagraphs11ptChar"/>
          <w:szCs w:val="22"/>
        </w:rPr>
        <w:t>for</w:t>
      </w:r>
      <w:r w:rsidRPr="00743592">
        <w:rPr>
          <w:rStyle w:val="StyleNumberedparagraphs11ptChar"/>
          <w:szCs w:val="22"/>
        </w:rPr>
        <w:t xml:space="preserve"> FY 2016.</w:t>
      </w:r>
      <w:r>
        <w:rPr>
          <w:rStyle w:val="FootnoteReference"/>
          <w:szCs w:val="22"/>
        </w:rPr>
        <w:footnoteReference w:id="26"/>
      </w:r>
      <w:r w:rsidRPr="00743592">
        <w:rPr>
          <w:rStyle w:val="StyleNumberedparagraphs11ptChar"/>
          <w:szCs w:val="22"/>
        </w:rPr>
        <w:t xml:space="preserve">  This documentation demonstrated what the requested rural rate was, </w:t>
      </w:r>
      <w:r w:rsidRPr="00743592">
        <w:rPr>
          <w:rStyle w:val="StyleNumberedparagraphs11ptChar"/>
          <w:szCs w:val="22"/>
        </w:rPr>
        <w:t xml:space="preserve">but </w:t>
      </w:r>
      <w:r>
        <w:rPr>
          <w:rStyle w:val="StyleNumberedparagraphs11ptChar"/>
          <w:szCs w:val="22"/>
        </w:rPr>
        <w:t>did</w:t>
      </w:r>
      <w:r w:rsidRPr="00743592">
        <w:rPr>
          <w:rStyle w:val="StyleNumberedparagraphs11ptChar"/>
          <w:szCs w:val="22"/>
        </w:rPr>
        <w:t xml:space="preserve"> not </w:t>
      </w:r>
      <w:r>
        <w:rPr>
          <w:rStyle w:val="StyleNumberedparagraphs11ptChar"/>
          <w:szCs w:val="22"/>
        </w:rPr>
        <w:t>demonstrate</w:t>
      </w:r>
      <w:r w:rsidRPr="00743592">
        <w:rPr>
          <w:rStyle w:val="StyleNumberedparagraphs11ptChar"/>
          <w:szCs w:val="22"/>
        </w:rPr>
        <w:t xml:space="preserve"> that the requested rural rate complied with the Commission’s rules for the RHC Program.</w:t>
      </w:r>
      <w:r>
        <w:rPr>
          <w:rStyle w:val="FootnoteReference"/>
          <w:szCs w:val="22"/>
        </w:rPr>
        <w:footnoteReference w:id="27"/>
      </w:r>
      <w:r>
        <w:rPr>
          <w:rStyle w:val="StyleNumberedparagraphs11ptChar"/>
          <w:szCs w:val="22"/>
        </w:rPr>
        <w:t xml:space="preserve"> </w:t>
      </w:r>
    </w:p>
    <w:p w:rsidR="00EA1999" w:rsidP="00EA1999" w14:paraId="672D5472" w14:textId="77777777">
      <w:pPr>
        <w:pStyle w:val="ParaNum"/>
      </w:pPr>
      <w:r w:rsidRPr="00743592">
        <w:t xml:space="preserve">The rural rates listed on </w:t>
      </w:r>
      <w:r w:rsidRPr="00743592">
        <w:t>PHC’s</w:t>
      </w:r>
      <w:r w:rsidRPr="00743592">
        <w:t xml:space="preserve"> application do not comply with any of the three methods for calculating rural rates.  </w:t>
      </w:r>
      <w:r w:rsidRPr="00743592">
        <w:t>PHC</w:t>
      </w:r>
      <w:r w:rsidRPr="00743592">
        <w:t xml:space="preserve"> and </w:t>
      </w:r>
      <w:r w:rsidRPr="00743592">
        <w:t>TeleQuality</w:t>
      </w:r>
      <w:r w:rsidRPr="00743592">
        <w:t xml:space="preserve"> did not substantiate the rural rates under Method 1 because </w:t>
      </w:r>
      <w:r>
        <w:t>no</w:t>
      </w:r>
      <w:r w:rsidRPr="00743592">
        <w:t xml:space="preserve"> documentation </w:t>
      </w:r>
      <w:r>
        <w:t xml:space="preserve">was provided </w:t>
      </w:r>
      <w:r w:rsidRPr="00743592">
        <w:t>showing the average of rates being charged to commercial customers other than health care providers for identical or similar services.</w:t>
      </w:r>
      <w:r>
        <w:rPr>
          <w:rStyle w:val="FootnoteReference"/>
        </w:rPr>
        <w:footnoteReference w:id="28"/>
      </w:r>
      <w:r w:rsidRPr="00743592">
        <w:t xml:space="preserve">  </w:t>
      </w:r>
      <w:r>
        <w:t>PHC</w:t>
      </w:r>
      <w:r>
        <w:t xml:space="preserve"> and </w:t>
      </w:r>
      <w:r>
        <w:t>TeleQuality</w:t>
      </w:r>
      <w:r>
        <w:t xml:space="preserve"> also</w:t>
      </w:r>
      <w:r w:rsidRPr="00743592">
        <w:t xml:space="preserve"> did not justify the rural rates under Method 2 because </w:t>
      </w:r>
      <w:r>
        <w:t>no documentation was provided</w:t>
      </w:r>
      <w:r w:rsidRPr="00743592">
        <w:t xml:space="preserve"> demonstrat</w:t>
      </w:r>
      <w:r>
        <w:t>ing</w:t>
      </w:r>
      <w:r w:rsidRPr="00743592">
        <w:t xml:space="preserve"> that </w:t>
      </w:r>
      <w:r w:rsidRPr="00743592">
        <w:t>TeleQuality</w:t>
      </w:r>
      <w:r w:rsidRPr="00743592">
        <w:t xml:space="preserve"> did not provide identical or similar services in </w:t>
      </w:r>
      <w:r w:rsidRPr="00743592">
        <w:t>PHC’s</w:t>
      </w:r>
      <w:r w:rsidRPr="00743592">
        <w:t xml:space="preserve"> rural area and they did not provide documentation showing the average of tariffed and other publicly available rates for the same or similar services by other carriers</w:t>
      </w:r>
      <w:r>
        <w:t>.</w:t>
      </w:r>
      <w:r>
        <w:rPr>
          <w:rStyle w:val="FootnoteReference"/>
        </w:rPr>
        <w:footnoteReference w:id="29"/>
      </w:r>
      <w:r>
        <w:t xml:space="preserve"> </w:t>
      </w:r>
    </w:p>
    <w:p w:rsidR="00EA1999" w:rsidP="00EA1999" w14:paraId="510D883B" w14:textId="77777777">
      <w:pPr>
        <w:pStyle w:val="ParaNum"/>
      </w:pPr>
      <w:r>
        <w:t>Commission rules allow carriers to use Method 3 only when Method 1 and Method 2 are unavailable.</w:t>
      </w:r>
      <w:r>
        <w:rPr>
          <w:rStyle w:val="FootnoteReference"/>
        </w:rPr>
        <w:footnoteReference w:id="30"/>
      </w:r>
      <w:r>
        <w:t xml:space="preserve">  </w:t>
      </w:r>
      <w:r>
        <w:t>PHC</w:t>
      </w:r>
      <w:r>
        <w:t xml:space="preserve"> and </w:t>
      </w:r>
      <w:r>
        <w:t>TeleQuality</w:t>
      </w:r>
      <w:r>
        <w:t xml:space="preserve"> did not establish, or even assert, that Method 1 and Method 2 were unavailable and therefore cannot rely upon Method 3 to justify the rates in question.</w:t>
      </w:r>
      <w:r>
        <w:rPr>
          <w:rStyle w:val="FootnoteReference"/>
        </w:rPr>
        <w:footnoteReference w:id="31"/>
      </w:r>
      <w:r>
        <w:t xml:space="preserve">  In any event, even if Method 3 was applicable, </w:t>
      </w:r>
      <w:r>
        <w:t>PHC</w:t>
      </w:r>
      <w:r>
        <w:t xml:space="preserve"> and </w:t>
      </w:r>
      <w:r>
        <w:t>TeleQuality</w:t>
      </w:r>
      <w:r>
        <w:t xml:space="preserve"> failed to demonstrate that the rates in question were calculated pursuant to Method 3.  </w:t>
      </w:r>
      <w:r w:rsidRPr="00743592">
        <w:t>PHC</w:t>
      </w:r>
      <w:r w:rsidRPr="00743592">
        <w:t xml:space="preserve"> provided new documentation on appeal that it claims demonstrates that </w:t>
      </w:r>
      <w:r w:rsidRPr="00743592">
        <w:t>TeleQuality</w:t>
      </w:r>
      <w:r w:rsidRPr="00743592">
        <w:t xml:space="preserve"> calculated the rural rates using a cost-based approach and filed the rates with the Georgia Public Service Commission for approval according to </w:t>
      </w:r>
      <w:r>
        <w:t>Commission rules</w:t>
      </w:r>
      <w:r w:rsidRPr="00743592">
        <w:t>.</w:t>
      </w:r>
      <w:r>
        <w:rPr>
          <w:rStyle w:val="FootnoteReference"/>
          <w:sz w:val="22"/>
          <w:szCs w:val="22"/>
        </w:rPr>
        <w:footnoteReference w:id="32"/>
      </w:r>
      <w:r w:rsidRPr="00743592">
        <w:t xml:space="preserve">  The documentation is a tariff sheet </w:t>
      </w:r>
      <w:r w:rsidRPr="00743592">
        <w:t>TeleQuality</w:t>
      </w:r>
      <w:r w:rsidRPr="00743592">
        <w:t xml:space="preserve"> filed with the Georgia Public Service Commission</w:t>
      </w:r>
      <w:r>
        <w:t>.</w:t>
      </w:r>
      <w:r>
        <w:rPr>
          <w:rStyle w:val="FootnoteReference"/>
        </w:rPr>
        <w:footnoteReference w:id="33"/>
      </w:r>
      <w:r>
        <w:t xml:space="preserve">  This tariff sheet does not satisfy the requirements for a Method 3 submission because it does not provide</w:t>
      </w:r>
      <w:r w:rsidRPr="00296694">
        <w:t xml:space="preserve"> </w:t>
      </w:r>
      <w:r>
        <w:t>a</w:t>
      </w:r>
      <w:r w:rsidRPr="00743592">
        <w:t xml:space="preserve"> “justification of the proposed rural rate, including an itemization of the costs of providing the requested service” as required by Commission rules.</w:t>
      </w:r>
      <w:r>
        <w:rPr>
          <w:rStyle w:val="FootnoteReference"/>
          <w:sz w:val="22"/>
          <w:szCs w:val="22"/>
        </w:rPr>
        <w:footnoteReference w:id="34"/>
      </w:r>
      <w:r>
        <w:t xml:space="preserve">  Moreover, the tariff sheet submitted to the Georgia Public Service Commission could not be used to substantiate the rural rate in this instance under any method because the tariff sheet was not effective until February 9, 2017, five months after </w:t>
      </w:r>
      <w:r>
        <w:t>PHC</w:t>
      </w:r>
      <w:r>
        <w:t xml:space="preserve"> and </w:t>
      </w:r>
      <w:r>
        <w:t>TeleQuality</w:t>
      </w:r>
      <w:r>
        <w:t xml:space="preserve"> filed the Forms 466 on September 1, 2016 for the funding requests at issue.</w:t>
      </w:r>
      <w:r>
        <w:rPr>
          <w:rStyle w:val="FootnoteReference"/>
        </w:rPr>
        <w:footnoteReference w:id="35"/>
      </w:r>
      <w:r>
        <w:t xml:space="preserve">  </w:t>
      </w:r>
    </w:p>
    <w:p w:rsidR="00EA1999" w:rsidP="00EA1999" w14:paraId="0F303214" w14:textId="77777777">
      <w:pPr>
        <w:pStyle w:val="ParaNum"/>
      </w:pPr>
      <w:r w:rsidRPr="378560D9">
        <w:rPr>
          <w:rStyle w:val="StyleNumberedparagraphs11ptChar"/>
        </w:rPr>
        <w:t>PHC’s</w:t>
      </w:r>
      <w:r w:rsidRPr="378560D9">
        <w:rPr>
          <w:rStyle w:val="StyleNumberedparagraphs11ptChar"/>
        </w:rPr>
        <w:t xml:space="preserve"> claim that it complied with the relevant USAC documentation instructions in place at the time is unavailing even if it is accurate,</w:t>
      </w:r>
      <w:r>
        <w:rPr>
          <w:rStyle w:val="FootnoteReference"/>
        </w:rPr>
        <w:footnoteReference w:id="36"/>
      </w:r>
      <w:r w:rsidRPr="378560D9">
        <w:rPr>
          <w:rStyle w:val="StyleNumberedparagraphs11ptChar"/>
        </w:rPr>
        <w:t xml:space="preserve"> which we need not decide here.  Commission rules have required carriers to calculate rural rates in accordance with Method 1, Method 2 or Method 3 since the inception of the Telecom Program.</w:t>
      </w:r>
      <w:r>
        <w:rPr>
          <w:rStyle w:val="FootnoteReference"/>
          <w:sz w:val="22"/>
          <w:szCs w:val="22"/>
        </w:rPr>
        <w:footnoteReference w:id="37"/>
      </w:r>
      <w:r w:rsidRPr="378560D9">
        <w:rPr>
          <w:rStyle w:val="StyleNumberedparagraphs11ptChar"/>
        </w:rPr>
        <w:t xml:space="preserve">  Whether or not USAC’s documentation instructions in place at </w:t>
      </w:r>
      <w:r w:rsidRPr="378560D9">
        <w:rPr>
          <w:rStyle w:val="StyleNumberedparagraphs11ptChar"/>
        </w:rPr>
        <w:t xml:space="preserve">the time specifically called for applicants to demonstrate compliance with one of the three methods, </w:t>
      </w:r>
      <w:r w:rsidRPr="378560D9">
        <w:rPr>
          <w:rStyle w:val="StyleNumberedparagraphs11ptChar"/>
        </w:rPr>
        <w:t>PHC</w:t>
      </w:r>
      <w:r w:rsidRPr="378560D9">
        <w:rPr>
          <w:rStyle w:val="StyleNumberedparagraphs11ptChar"/>
        </w:rPr>
        <w:t xml:space="preserve"> had an underlying obligation under Commission rules to demonstrate such compliance and failed to do so.  Therefore, we deny </w:t>
      </w:r>
      <w:r w:rsidRPr="378560D9">
        <w:rPr>
          <w:rStyle w:val="StyleNumberedparagraphs11ptChar"/>
        </w:rPr>
        <w:t>PHC’s</w:t>
      </w:r>
      <w:r w:rsidRPr="378560D9">
        <w:rPr>
          <w:rStyle w:val="StyleNumberedparagraphs11ptChar"/>
        </w:rPr>
        <w:t xml:space="preserve"> request for review.</w:t>
      </w:r>
    </w:p>
    <w:p w:rsidR="00EA1999" w:rsidRPr="000D1503" w:rsidP="00EA1999" w14:paraId="46FDD94B" w14:textId="77777777">
      <w:pPr>
        <w:pStyle w:val="ParaNum"/>
        <w:widowControl/>
      </w:pPr>
      <w:r>
        <w:rPr>
          <w:rFonts w:eastAsia="Calibri"/>
          <w:snapToGrid/>
          <w:kern w:val="0"/>
        </w:rPr>
        <w:t xml:space="preserve">We also deny </w:t>
      </w:r>
      <w:r w:rsidRPr="000D1503">
        <w:rPr>
          <w:rFonts w:eastAsia="Calibri"/>
          <w:snapToGrid/>
          <w:kern w:val="0"/>
        </w:rPr>
        <w:t>PHC</w:t>
      </w:r>
      <w:r>
        <w:rPr>
          <w:rFonts w:eastAsia="Calibri"/>
          <w:snapToGrid/>
          <w:kern w:val="0"/>
        </w:rPr>
        <w:t>’s</w:t>
      </w:r>
      <w:r>
        <w:rPr>
          <w:rFonts w:eastAsia="Calibri"/>
          <w:snapToGrid/>
          <w:kern w:val="0"/>
        </w:rPr>
        <w:t xml:space="preserve"> request in the alternative for</w:t>
      </w:r>
      <w:r w:rsidRPr="000D1503">
        <w:t xml:space="preserve"> a waiver of the Telecom Program rules that prevent </w:t>
      </w:r>
      <w:r w:rsidRPr="000D1503">
        <w:t>PHC</w:t>
      </w:r>
      <w:r w:rsidRPr="000D1503">
        <w:t xml:space="preserve"> from receiving RHC Program support.</w:t>
      </w:r>
      <w:r>
        <w:rPr>
          <w:rStyle w:val="FootnoteReference"/>
        </w:rPr>
        <w:footnoteReference w:id="38"/>
      </w:r>
      <w:r w:rsidRPr="000D1503">
        <w:t xml:space="preserve"> </w:t>
      </w:r>
      <w:r>
        <w:t xml:space="preserve"> </w:t>
      </w:r>
      <w:r w:rsidRPr="000D1503">
        <w:t>Generally, Commission’s rules may be waived or suspended for good cause shown.</w:t>
      </w:r>
      <w:r>
        <w:rPr>
          <w:vertAlign w:val="superscript"/>
        </w:rPr>
        <w:footnoteReference w:id="39"/>
      </w:r>
      <w:r w:rsidRPr="000D1503">
        <w:t xml:space="preserve">  The Commission may exercise its discretion to waive a rule where the particular facts make strict compliance inconsistent with the public interest.</w:t>
      </w:r>
      <w:r>
        <w:rPr>
          <w:vertAlign w:val="superscript"/>
        </w:rPr>
        <w:footnoteReference w:id="40"/>
      </w:r>
      <w:r w:rsidRPr="000D1503">
        <w:t xml:space="preserve">  In addition, the Commission may take into account considerations of hardship, equity, or more effective implementation of overall policy on an individual basis.</w:t>
      </w:r>
      <w:r>
        <w:rPr>
          <w:vertAlign w:val="superscript"/>
        </w:rPr>
        <w:footnoteReference w:id="41"/>
      </w:r>
      <w:r w:rsidRPr="000D1503">
        <w:t xml:space="preserve">  Waiver of the Commission’s rules is appropriate only if both (1) special circumstances warrant a deviation from the general rule, and (2) such deviation will serve the public interest.</w:t>
      </w:r>
      <w:r>
        <w:rPr>
          <w:vertAlign w:val="superscript"/>
        </w:rPr>
        <w:footnoteReference w:id="42"/>
      </w:r>
      <w:r w:rsidRPr="000D1503">
        <w:t xml:space="preserve">  </w:t>
      </w:r>
    </w:p>
    <w:p w:rsidR="00EA1999" w:rsidRPr="000D1503" w:rsidP="00EA1999" w14:paraId="1385FCA6" w14:textId="77777777">
      <w:pPr>
        <w:pStyle w:val="ParaNum"/>
      </w:pPr>
      <w:r w:rsidRPr="000D1503">
        <w:rPr>
          <w:snapToGrid/>
        </w:rPr>
        <w:t>PHC</w:t>
      </w:r>
      <w:r w:rsidRPr="000D1503">
        <w:rPr>
          <w:snapToGrid/>
        </w:rPr>
        <w:t xml:space="preserve"> has not demonstrated special circumstances justifying a waiver of the Commission’s rules and has not otherwise demonstrated that such a waiver will serve the public interest.</w:t>
      </w:r>
      <w:r>
        <w:rPr>
          <w:rStyle w:val="FootnoteReference"/>
          <w:snapToGrid/>
          <w:kern w:val="0"/>
          <w:sz w:val="22"/>
          <w:szCs w:val="22"/>
        </w:rPr>
        <w:footnoteReference w:id="43"/>
      </w:r>
      <w:r w:rsidRPr="000D1503">
        <w:rPr>
          <w:snapToGrid/>
        </w:rPr>
        <w:t xml:space="preserve">  </w:t>
      </w:r>
      <w:r w:rsidRPr="000D1503">
        <w:rPr>
          <w:snapToGrid/>
        </w:rPr>
        <w:t>PHC</w:t>
      </w:r>
      <w:r w:rsidRPr="000D1503">
        <w:rPr>
          <w:snapToGrid/>
        </w:rPr>
        <w:t xml:space="preserve"> argues for a waiver because of the negative impact that a denial of funding would have on its budget.</w:t>
      </w:r>
      <w:r>
        <w:rPr>
          <w:rStyle w:val="FootnoteReference"/>
          <w:snapToGrid/>
          <w:kern w:val="0"/>
          <w:sz w:val="22"/>
          <w:szCs w:val="22"/>
        </w:rPr>
        <w:footnoteReference w:id="44"/>
      </w:r>
      <w:r w:rsidRPr="000D1503">
        <w:rPr>
          <w:snapToGrid/>
        </w:rPr>
        <w:t xml:space="preserve">  If the negative impact on a petitioner’s budget </w:t>
      </w:r>
      <w:r>
        <w:rPr>
          <w:snapToGrid/>
        </w:rPr>
        <w:t xml:space="preserve">resulting </w:t>
      </w:r>
      <w:r w:rsidRPr="000D1503">
        <w:rPr>
          <w:snapToGrid/>
        </w:rPr>
        <w:t>from a denial of funding amounted to special circumstances justifying a waiver</w:t>
      </w:r>
      <w:r>
        <w:rPr>
          <w:snapToGrid/>
        </w:rPr>
        <w:t xml:space="preserve"> of Commission rules</w:t>
      </w:r>
      <w:r w:rsidRPr="000D1503">
        <w:rPr>
          <w:snapToGrid/>
        </w:rPr>
        <w:t xml:space="preserve">, RHC Program participants would have little incentive to follow program rules </w:t>
      </w:r>
      <w:r>
        <w:rPr>
          <w:snapToGrid/>
        </w:rPr>
        <w:t>given that</w:t>
      </w:r>
      <w:r w:rsidRPr="000D1503">
        <w:rPr>
          <w:snapToGrid/>
        </w:rPr>
        <w:t xml:space="preserve"> </w:t>
      </w:r>
      <w:r>
        <w:rPr>
          <w:snapToGrid/>
        </w:rPr>
        <w:t xml:space="preserve">the denial of funding associated with </w:t>
      </w:r>
      <w:r w:rsidRPr="000D1503">
        <w:rPr>
          <w:snapToGrid/>
        </w:rPr>
        <w:t>most</w:t>
      </w:r>
      <w:r>
        <w:rPr>
          <w:snapToGrid/>
        </w:rPr>
        <w:t xml:space="preserve"> rule</w:t>
      </w:r>
      <w:r w:rsidRPr="000D1503">
        <w:rPr>
          <w:snapToGrid/>
        </w:rPr>
        <w:t xml:space="preserve"> violations would </w:t>
      </w:r>
      <w:r>
        <w:rPr>
          <w:snapToGrid/>
        </w:rPr>
        <w:t xml:space="preserve">result in a negative impact on the participant’s budget, and would undermine </w:t>
      </w:r>
      <w:r w:rsidRPr="000D1503">
        <w:rPr>
          <w:snapToGrid/>
        </w:rPr>
        <w:t>our obligation to protect Universal Service funds against waste, fraud</w:t>
      </w:r>
      <w:r>
        <w:rPr>
          <w:snapToGrid/>
        </w:rPr>
        <w:t>,</w:t>
      </w:r>
      <w:r w:rsidRPr="000D1503">
        <w:rPr>
          <w:snapToGrid/>
        </w:rPr>
        <w:t xml:space="preserve"> and abuse.  </w:t>
      </w:r>
    </w:p>
    <w:p w:rsidR="00EA1999" w:rsidP="00EA1999" w14:paraId="6ED9C0B7" w14:textId="1FF23615">
      <w:pPr>
        <w:pStyle w:val="Heading1"/>
      </w:pPr>
      <w:r>
        <w:t>Ordering Clause</w:t>
      </w:r>
    </w:p>
    <w:p w:rsidR="00232259" w:rsidRPr="004F5C1E" w:rsidP="00232259" w14:paraId="6F1E86F8" w14:textId="77777777">
      <w:pPr>
        <w:pStyle w:val="ParaNum"/>
      </w:pPr>
      <w:bookmarkStart w:id="0" w:name="_Hlk506896637"/>
      <w:r w:rsidRPr="00042292">
        <w:rPr>
          <w:rStyle w:val="StyleNumberedparagraphs11ptChar"/>
          <w:szCs w:val="22"/>
        </w:rPr>
        <w:t xml:space="preserve">ACCORDINGLY, IT IS ORDERED </w:t>
      </w:r>
      <w:bookmarkEnd w:id="0"/>
      <w:r>
        <w:rPr>
          <w:rStyle w:val="StyleNumberedparagraphs11ptChar"/>
          <w:szCs w:val="22"/>
        </w:rPr>
        <w:t xml:space="preserve">that, </w:t>
      </w:r>
      <w:r w:rsidRPr="00B7168B">
        <w:rPr>
          <w:szCs w:val="22"/>
        </w:rPr>
        <w:t xml:space="preserve">pursuant to the authority contained in sections 1-4 and 254 of the Communications Act of 1934, as amended, 47 U.S.C. §§ 151-154 and 254, and sections 0.91, 0.291, 54.607 and 54.722(a) of the Commission’s rules, 47 CFR §§ 0.91, 0.291, 54.607 and 54.722(a)(2018), that </w:t>
      </w:r>
      <w:r w:rsidRPr="00B7168B">
        <w:rPr>
          <w:rFonts w:eastAsia="Batang"/>
          <w:szCs w:val="22"/>
          <w:lang w:eastAsia="ja-JP"/>
        </w:rPr>
        <w:t xml:space="preserve">the Request for Review and Waiver filed by Primary Healthcare Centers </w:t>
      </w:r>
      <w:r w:rsidRPr="00B7168B">
        <w:rPr>
          <w:szCs w:val="22"/>
        </w:rPr>
        <w:t xml:space="preserve">on November 3, 2018 </w:t>
      </w:r>
      <w:r w:rsidRPr="00B7168B">
        <w:rPr>
          <w:rFonts w:eastAsia="Batang"/>
          <w:szCs w:val="22"/>
          <w:lang w:eastAsia="ja-JP"/>
        </w:rPr>
        <w:t>IS DENIED.</w:t>
      </w:r>
    </w:p>
    <w:p w:rsidR="00232259" w:rsidP="00836FB4" w14:paraId="012CC9B0" w14:textId="77777777">
      <w:pPr>
        <w:pStyle w:val="ParaNum"/>
        <w:rPr>
          <w:rStyle w:val="StyleNumberedparagraphs11ptChar"/>
          <w:szCs w:val="22"/>
        </w:rPr>
      </w:pPr>
      <w:r w:rsidRPr="00B7168B">
        <w:t>IT IS FURTHER ORDERED that, pursuant to the authority delegated in section 1.102(b)(1) of the Commission’s rules, 47 CFR</w:t>
      </w:r>
      <w:r w:rsidRPr="00B7168B">
        <w:rPr>
          <w:rStyle w:val="StyleNumberedparagraphs11ptChar"/>
          <w:szCs w:val="22"/>
        </w:rPr>
        <w:t xml:space="preserve"> § 1.102(b)(1), this order SHALL BE EFFECTIVE upon release.</w:t>
      </w:r>
    </w:p>
    <w:p w:rsidR="00232259" w:rsidRPr="00F87D5F" w:rsidP="00232259" w14:paraId="2E422680" w14:textId="77777777">
      <w:pPr>
        <w:pStyle w:val="ParaNum"/>
        <w:numPr>
          <w:ilvl w:val="0"/>
          <w:numId w:val="0"/>
        </w:numPr>
        <w:ind w:left="720"/>
        <w:rPr>
          <w:rStyle w:val="StyleNumberedparagraphs11ptChar"/>
          <w:szCs w:val="22"/>
        </w:rPr>
      </w:pPr>
    </w:p>
    <w:p w:rsidR="00232259" w:rsidRPr="00B83C7C" w:rsidP="00232259" w14:paraId="3ACBD3DE" w14:textId="77777777">
      <w:pPr>
        <w:rPr>
          <w:szCs w:val="22"/>
        </w:rPr>
      </w:pPr>
      <w:r w:rsidRPr="00B83C7C">
        <w:rPr>
          <w:szCs w:val="22"/>
        </w:rPr>
        <w:tab/>
      </w:r>
      <w:r w:rsidRPr="00B83C7C">
        <w:rPr>
          <w:szCs w:val="22"/>
        </w:rPr>
        <w:tab/>
      </w:r>
      <w:r w:rsidRPr="00B83C7C">
        <w:rPr>
          <w:szCs w:val="22"/>
        </w:rPr>
        <w:tab/>
      </w:r>
      <w:r w:rsidRPr="00B83C7C">
        <w:rPr>
          <w:szCs w:val="22"/>
        </w:rPr>
        <w:tab/>
      </w:r>
      <w:r w:rsidRPr="00B83C7C">
        <w:rPr>
          <w:szCs w:val="22"/>
        </w:rPr>
        <w:tab/>
      </w:r>
      <w:r w:rsidRPr="00B83C7C">
        <w:rPr>
          <w:szCs w:val="22"/>
        </w:rPr>
        <w:tab/>
        <w:t>FEDERAL COMMUNICATIONS COMMISSION</w:t>
      </w:r>
    </w:p>
    <w:p w:rsidR="00232259" w:rsidRPr="00B83C7C" w:rsidP="00232259" w14:paraId="388BC90C" w14:textId="77777777">
      <w:pPr>
        <w:rPr>
          <w:szCs w:val="22"/>
        </w:rPr>
      </w:pPr>
    </w:p>
    <w:p w:rsidR="00232259" w:rsidRPr="00B83C7C" w:rsidP="00232259" w14:paraId="65ACA7F9" w14:textId="77777777">
      <w:pPr>
        <w:rPr>
          <w:szCs w:val="22"/>
        </w:rPr>
      </w:pPr>
    </w:p>
    <w:p w:rsidR="00232259" w:rsidRPr="00B83C7C" w:rsidP="00232259" w14:paraId="2BB4FAC3" w14:textId="77777777">
      <w:pPr>
        <w:keepNext/>
        <w:keepLines/>
        <w:ind w:left="3600" w:firstLine="720"/>
        <w:outlineLvl w:val="0"/>
        <w:rPr>
          <w:szCs w:val="22"/>
        </w:rPr>
      </w:pPr>
    </w:p>
    <w:p w:rsidR="00232259" w:rsidRPr="00B83C7C" w:rsidP="00232259" w14:paraId="5904D59E" w14:textId="77777777">
      <w:pPr>
        <w:keepNext/>
        <w:keepLines/>
        <w:ind w:left="3600" w:firstLine="720"/>
        <w:outlineLvl w:val="0"/>
        <w:rPr>
          <w:szCs w:val="22"/>
        </w:rPr>
      </w:pPr>
    </w:p>
    <w:p w:rsidR="00232259" w:rsidRPr="00BB3BEF" w:rsidP="00232259" w14:paraId="2983F2E1" w14:textId="77777777">
      <w:pPr>
        <w:pStyle w:val="ParaNum"/>
        <w:numPr>
          <w:ilvl w:val="0"/>
          <w:numId w:val="0"/>
        </w:numPr>
        <w:spacing w:after="0"/>
        <w:ind w:left="3600" w:firstLine="720"/>
      </w:pPr>
      <w:r>
        <w:t>Jodie C. Griffin</w:t>
      </w:r>
    </w:p>
    <w:p w:rsidR="00232259" w:rsidRPr="00BB3BEF" w:rsidP="00232259" w14:paraId="46096B78" w14:textId="77777777">
      <w:pPr>
        <w:pStyle w:val="ParaNum"/>
        <w:numPr>
          <w:ilvl w:val="0"/>
          <w:numId w:val="0"/>
        </w:numPr>
        <w:spacing w:after="0"/>
        <w:ind w:left="3600" w:firstLine="720"/>
      </w:pPr>
      <w:r>
        <w:t>Chief, Telecommunications Access Policy Division</w:t>
      </w:r>
    </w:p>
    <w:p w:rsidR="00EA1999" w:rsidRPr="00836FB4" w:rsidP="00836FB4" w14:paraId="2A1174B5" w14:textId="0993C1FC">
      <w:pPr>
        <w:pStyle w:val="ParaNum"/>
        <w:numPr>
          <w:ilvl w:val="0"/>
          <w:numId w:val="0"/>
        </w:numPr>
        <w:ind w:left="3600" w:firstLine="720"/>
        <w:rPr>
          <w:szCs w:val="22"/>
        </w:rPr>
      </w:pPr>
      <w:r w:rsidRPr="00BB3BEF">
        <w:t>Wireline Competition Burea</w:t>
      </w:r>
      <w:r>
        <w:rPr>
          <w:szCs w:val="22"/>
        </w:rPr>
        <w:t>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9917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158E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FA974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E121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1999" w14:paraId="56FB8C04" w14:textId="77777777">
      <w:r>
        <w:separator/>
      </w:r>
    </w:p>
  </w:footnote>
  <w:footnote w:type="continuationSeparator" w:id="1">
    <w:p w:rsidR="00EA1999" w:rsidP="00C721AC" w14:paraId="642BDEF1" w14:textId="77777777">
      <w:pPr>
        <w:spacing w:before="120"/>
        <w:rPr>
          <w:sz w:val="20"/>
        </w:rPr>
      </w:pPr>
      <w:r>
        <w:rPr>
          <w:sz w:val="20"/>
        </w:rPr>
        <w:t xml:space="preserve">(Continued from previous page)  </w:t>
      </w:r>
      <w:r>
        <w:rPr>
          <w:sz w:val="20"/>
        </w:rPr>
        <w:separator/>
      </w:r>
    </w:p>
  </w:footnote>
  <w:footnote w:type="continuationNotice" w:id="2">
    <w:p w:rsidR="00EA1999" w:rsidP="00C721AC" w14:paraId="6EE094BA" w14:textId="77777777">
      <w:pPr>
        <w:jc w:val="right"/>
        <w:rPr>
          <w:sz w:val="20"/>
        </w:rPr>
      </w:pPr>
      <w:r>
        <w:rPr>
          <w:sz w:val="20"/>
        </w:rPr>
        <w:t>(continued….)</w:t>
      </w:r>
    </w:p>
  </w:footnote>
  <w:footnote w:id="3">
    <w:p w:rsidR="00EA1999" w:rsidRPr="00F07BC5" w:rsidP="00EA1999" w14:paraId="5A64C538" w14:textId="77777777">
      <w:pPr>
        <w:pStyle w:val="FootnoteText"/>
        <w:spacing w:before="120"/>
      </w:pPr>
      <w:r w:rsidRPr="00F07BC5">
        <w:rPr>
          <w:rStyle w:val="FootnoteReference"/>
        </w:rPr>
        <w:footnoteRef/>
      </w:r>
      <w:r w:rsidRPr="00F07BC5">
        <w:t xml:space="preserve"> </w:t>
      </w:r>
      <w:r w:rsidRPr="00F07BC5">
        <w:rPr>
          <w:i/>
          <w:iCs/>
        </w:rPr>
        <w:t>See</w:t>
      </w:r>
      <w:r w:rsidRPr="00F07BC5">
        <w:t xml:space="preserve"> </w:t>
      </w:r>
      <w:r w:rsidRPr="00F07BC5">
        <w:rPr>
          <w:i/>
          <w:iCs/>
        </w:rPr>
        <w:t>Request for Review and/or Waiver by Primary Healthcare Centers of Funding Decisions by the Universal Service Administrative Company</w:t>
      </w:r>
      <w:r w:rsidRPr="00F07BC5">
        <w:t>, WC Docket No. 02-60 (filed November 13, 2018) (</w:t>
      </w:r>
      <w:r w:rsidRPr="00CE65D6">
        <w:rPr>
          <w:i/>
          <w:iCs/>
        </w:rPr>
        <w:t>Request for Review</w:t>
      </w:r>
      <w:r w:rsidRPr="00F07BC5">
        <w:t xml:space="preserve">). </w:t>
      </w:r>
    </w:p>
  </w:footnote>
  <w:footnote w:id="4">
    <w:p w:rsidR="00EA1999" w:rsidRPr="00F07BC5" w:rsidP="00EA1999" w14:paraId="66EED7F3" w14:textId="77777777">
      <w:pPr>
        <w:widowControl/>
        <w:autoSpaceDE w:val="0"/>
        <w:autoSpaceDN w:val="0"/>
        <w:adjustRightInd w:val="0"/>
        <w:spacing w:before="120"/>
        <w:rPr>
          <w:snapToGrid/>
          <w:kern w:val="0"/>
          <w:sz w:val="20"/>
        </w:rPr>
      </w:pPr>
      <w:r w:rsidRPr="00F07BC5">
        <w:rPr>
          <w:rStyle w:val="FootnoteReference"/>
        </w:rPr>
        <w:footnoteRef/>
      </w:r>
      <w:r w:rsidRPr="00F07BC5">
        <w:rPr>
          <w:sz w:val="20"/>
        </w:rPr>
        <w:t xml:space="preserve">  </w:t>
      </w:r>
      <w:r w:rsidRPr="00F07BC5">
        <w:rPr>
          <w:snapToGrid/>
          <w:kern w:val="0"/>
          <w:sz w:val="20"/>
        </w:rPr>
        <w:t xml:space="preserve">Funding Request Numbers 1688401, 1688417, 1688419, 1688421, 1688424, 1688427, </w:t>
      </w:r>
      <w:r w:rsidRPr="00F07BC5">
        <w:rPr>
          <w:sz w:val="20"/>
        </w:rPr>
        <w:t>1688429</w:t>
      </w:r>
      <w:r w:rsidRPr="00F07BC5">
        <w:rPr>
          <w:snapToGrid/>
          <w:kern w:val="0"/>
          <w:sz w:val="20"/>
        </w:rPr>
        <w:t xml:space="preserve">, and 1688431. </w:t>
      </w:r>
      <w:r w:rsidRPr="00F07BC5">
        <w:rPr>
          <w:i/>
          <w:iCs/>
          <w:sz w:val="20"/>
        </w:rPr>
        <w:t>Id.</w:t>
      </w:r>
      <w:r>
        <w:rPr>
          <w:sz w:val="20"/>
        </w:rPr>
        <w:t xml:space="preserve">, </w:t>
      </w:r>
      <w:r>
        <w:rPr>
          <w:sz w:val="20"/>
        </w:rPr>
        <w:t>Exh</w:t>
      </w:r>
      <w:r>
        <w:rPr>
          <w:sz w:val="20"/>
        </w:rPr>
        <w:t>. 1 at Appx.</w:t>
      </w:r>
      <w:r w:rsidRPr="00F07BC5">
        <w:rPr>
          <w:sz w:val="20"/>
        </w:rPr>
        <w:t xml:space="preserve"> A.  </w:t>
      </w:r>
      <w:r w:rsidRPr="00F07BC5">
        <w:rPr>
          <w:i/>
          <w:iCs/>
          <w:sz w:val="20"/>
        </w:rPr>
        <w:t>See</w:t>
      </w:r>
      <w:r>
        <w:rPr>
          <w:i/>
          <w:iCs/>
          <w:sz w:val="20"/>
        </w:rPr>
        <w:t xml:space="preserve"> id.</w:t>
      </w:r>
      <w:r>
        <w:rPr>
          <w:sz w:val="20"/>
        </w:rPr>
        <w:t xml:space="preserve">, </w:t>
      </w:r>
      <w:r w:rsidRPr="00F07BC5">
        <w:rPr>
          <w:snapToGrid/>
          <w:kern w:val="0"/>
          <w:sz w:val="20"/>
        </w:rPr>
        <w:t>Exh</w:t>
      </w:r>
      <w:r>
        <w:rPr>
          <w:snapToGrid/>
          <w:kern w:val="0"/>
          <w:sz w:val="20"/>
        </w:rPr>
        <w:t>.</w:t>
      </w:r>
      <w:r w:rsidRPr="00F07BC5">
        <w:rPr>
          <w:snapToGrid/>
          <w:kern w:val="0"/>
          <w:sz w:val="20"/>
        </w:rPr>
        <w:t xml:space="preserve"> 1</w:t>
      </w:r>
      <w:r>
        <w:rPr>
          <w:snapToGrid/>
          <w:kern w:val="0"/>
          <w:sz w:val="20"/>
        </w:rPr>
        <w:t xml:space="preserve"> (</w:t>
      </w:r>
      <w:r w:rsidRPr="00F07BC5">
        <w:rPr>
          <w:snapToGrid/>
          <w:kern w:val="0"/>
          <w:sz w:val="20"/>
        </w:rPr>
        <w:t>Letter from USAC, Rural Health Care Division, to Melanie Forsythe, Primary Healthcare Centers (September 13, 2018)</w:t>
      </w:r>
      <w:r>
        <w:rPr>
          <w:snapToGrid/>
          <w:kern w:val="0"/>
          <w:sz w:val="20"/>
        </w:rPr>
        <w:t xml:space="preserve"> </w:t>
      </w:r>
      <w:r w:rsidRPr="00F07BC5">
        <w:rPr>
          <w:snapToGrid/>
          <w:kern w:val="0"/>
          <w:sz w:val="20"/>
        </w:rPr>
        <w:t>(USAC Appeal Denial)</w:t>
      </w:r>
      <w:r>
        <w:rPr>
          <w:snapToGrid/>
          <w:kern w:val="0"/>
          <w:sz w:val="20"/>
        </w:rPr>
        <w:t>.</w:t>
      </w:r>
    </w:p>
  </w:footnote>
  <w:footnote w:id="5">
    <w:p w:rsidR="00EA1999" w:rsidRPr="00F07BC5" w:rsidP="00EA1999" w14:paraId="65CC22EE" w14:textId="77777777">
      <w:pPr>
        <w:pStyle w:val="FootnoteText"/>
        <w:spacing w:before="120"/>
      </w:pPr>
      <w:r w:rsidRPr="00F07BC5">
        <w:rPr>
          <w:rStyle w:val="FootnoteReference"/>
        </w:rPr>
        <w:footnoteRef/>
      </w:r>
      <w:r w:rsidRPr="00F07BC5">
        <w:t xml:space="preserve"> </w:t>
      </w:r>
      <w:r w:rsidRPr="00F07BC5">
        <w:rPr>
          <w:i/>
          <w:iCs/>
        </w:rPr>
        <w:t xml:space="preserve">See </w:t>
      </w:r>
      <w:r w:rsidRPr="00F07BC5">
        <w:t xml:space="preserve">47 U.S.C. § 254(h)(1)(A); </w:t>
      </w:r>
      <w:r w:rsidRPr="00F07BC5">
        <w:rPr>
          <w:i/>
          <w:iCs/>
        </w:rPr>
        <w:t>Federal-State Joint Board on Universal Service</w:t>
      </w:r>
      <w:r w:rsidRPr="00F07BC5">
        <w:t xml:space="preserve">, CC Docket No. 96-45, Report and Order, 12 FCC </w:t>
      </w:r>
      <w:r w:rsidRPr="00F07BC5">
        <w:t>Rcd</w:t>
      </w:r>
      <w:r w:rsidRPr="00F07BC5">
        <w:t xml:space="preserve"> 8776, 9093-161, paras. 608-749 (1997) (</w:t>
      </w:r>
      <w:r w:rsidRPr="00F07BC5">
        <w:rPr>
          <w:i/>
        </w:rPr>
        <w:t>Universal Service First Report and Order</w:t>
      </w:r>
      <w:r w:rsidRPr="00F07BC5">
        <w:rPr>
          <w:iCs/>
        </w:rPr>
        <w:t>)</w:t>
      </w:r>
      <w:r w:rsidRPr="00F07BC5">
        <w:t>.</w:t>
      </w:r>
    </w:p>
  </w:footnote>
  <w:footnote w:id="6">
    <w:p w:rsidR="00EA1999" w:rsidRPr="00F07BC5" w:rsidP="00EA1999" w14:paraId="6364F9DF" w14:textId="77777777">
      <w:pPr>
        <w:pStyle w:val="FootnoteText"/>
        <w:spacing w:before="120"/>
      </w:pPr>
      <w:r w:rsidRPr="00F07BC5">
        <w:rPr>
          <w:rStyle w:val="FootnoteReference"/>
        </w:rPr>
        <w:footnoteRef/>
      </w:r>
      <w:r w:rsidRPr="00F07BC5">
        <w:t xml:space="preserve"> </w:t>
      </w:r>
      <w:r w:rsidRPr="00F07BC5">
        <w:rPr>
          <w:i/>
          <w:iCs/>
        </w:rPr>
        <w:t>See</w:t>
      </w:r>
      <w:r w:rsidRPr="00F07BC5">
        <w:t xml:space="preserve"> Health Care Providers Universal Service, Funding Request and Certification Form (FCC Form 466), </w:t>
      </w:r>
      <w:r w:rsidRPr="00F07BC5">
        <w:rPr>
          <w:i/>
          <w:iCs/>
        </w:rPr>
        <w:t xml:space="preserve">available at </w:t>
      </w:r>
      <w:hyperlink r:id="rId1" w:history="1">
        <w:r w:rsidRPr="00F07BC5">
          <w:rPr>
            <w:rStyle w:val="Hyperlink"/>
          </w:rPr>
          <w:t>https://www.usac.org/wp-content/uploads/rural-health-care/documents/FCC-Forms/Form_466_2019.pdf</w:t>
        </w:r>
      </w:hyperlink>
      <w:r w:rsidRPr="00F07BC5">
        <w:t xml:space="preserve"> (last visited </w:t>
      </w:r>
      <w:r>
        <w:t>January</w:t>
      </w:r>
      <w:r w:rsidRPr="00F07BC5">
        <w:t xml:space="preserve"> </w:t>
      </w:r>
      <w:r>
        <w:t>14</w:t>
      </w:r>
      <w:r w:rsidRPr="00F07BC5">
        <w:t>, 202</w:t>
      </w:r>
      <w:r>
        <w:t>2</w:t>
      </w:r>
      <w:r w:rsidRPr="00F07BC5">
        <w:t>).</w:t>
      </w:r>
    </w:p>
  </w:footnote>
  <w:footnote w:id="7">
    <w:p w:rsidR="00EA1999" w:rsidRPr="00E24EEB" w:rsidP="00EA1999" w14:paraId="33D2D20E" w14:textId="77777777">
      <w:pPr>
        <w:pStyle w:val="FootnoteText"/>
      </w:pPr>
      <w:r w:rsidRPr="00E24EEB">
        <w:rPr>
          <w:rStyle w:val="FootnoteReference"/>
        </w:rPr>
        <w:footnoteRef/>
      </w:r>
      <w:r w:rsidRPr="00E24EEB">
        <w:t xml:space="preserve"> </w:t>
      </w:r>
      <w:r w:rsidRPr="00E24EEB">
        <w:rPr>
          <w:i/>
          <w:iCs/>
        </w:rPr>
        <w:t xml:space="preserve">See </w:t>
      </w:r>
      <w:r w:rsidRPr="00E24EEB">
        <w:t>47 CFR § 54.607 (201</w:t>
      </w:r>
      <w:r>
        <w:t>7</w:t>
      </w:r>
      <w:r w:rsidRPr="00E24EEB">
        <w:t xml:space="preserve">).  All references herein to section 54.607 refer to this version of the rule and its subparts as set forth in the Commission’s rules prior to the effective date of the Rural Health Care Program reforms adopted in 2019. </w:t>
      </w:r>
      <w:r>
        <w:t xml:space="preserve"> </w:t>
      </w:r>
      <w:r w:rsidRPr="00E24EEB">
        <w:rPr>
          <w:i/>
          <w:iCs/>
        </w:rPr>
        <w:t>See</w:t>
      </w:r>
      <w:r>
        <w:rPr>
          <w:i/>
          <w:iCs/>
        </w:rPr>
        <w:t xml:space="preserve"> also</w:t>
      </w:r>
      <w:r w:rsidRPr="00E24EEB">
        <w:rPr>
          <w:i/>
          <w:iCs/>
        </w:rPr>
        <w:t xml:space="preserve"> Wireline Competition Bureau Provides Guidance on the Implementation Schedule for Reforms Adopted by the Rural Health Care Program Promoting Telehealth Report and Order</w:t>
      </w:r>
      <w:r w:rsidRPr="00E24EEB">
        <w:t xml:space="preserve">, WC Docket No. 17-310, Public Notice, 34 FCC </w:t>
      </w:r>
      <w:r w:rsidRPr="00E24EEB">
        <w:t>Rcd</w:t>
      </w:r>
      <w:r w:rsidRPr="00E24EEB">
        <w:t xml:space="preserve"> 11983, 11985 (WCB 2019) (</w:t>
      </w:r>
      <w:r w:rsidRPr="00E24EEB">
        <w:rPr>
          <w:i/>
          <w:iCs/>
        </w:rPr>
        <w:t>Promoting Telehealth Implementation Public Notice</w:t>
      </w:r>
      <w:r w:rsidRPr="00E24EEB">
        <w:t xml:space="preserve">) (announcing the effective date of section 54.605(a), which replaces section 54.607 as the means for determining rural rates, at the beginning of the </w:t>
      </w:r>
      <w:r>
        <w:t>FY</w:t>
      </w:r>
      <w:r w:rsidRPr="00E24EEB">
        <w:t xml:space="preserve"> 2021 competitive bidding period).</w:t>
      </w:r>
      <w:r>
        <w:t xml:space="preserve">  These rules have since been waived for FYs 2021 and 2022.  </w:t>
      </w:r>
      <w:r>
        <w:rPr>
          <w:i/>
          <w:iCs/>
        </w:rPr>
        <w:t>Promoting Telehealth in Rural America,</w:t>
      </w:r>
      <w:r w:rsidRPr="000431CD">
        <w:t xml:space="preserve"> WC Docket No. 17-310, Order, DA 21-394 at </w:t>
      </w:r>
      <w:r>
        <w:t>6</w:t>
      </w:r>
      <w:r w:rsidRPr="000431CD">
        <w:t xml:space="preserve">, para. </w:t>
      </w:r>
      <w:r>
        <w:t>12</w:t>
      </w:r>
      <w:r w:rsidRPr="000431CD">
        <w:t xml:space="preserve"> (WCB April 8, 2021)</w:t>
      </w:r>
      <w:r>
        <w:t>.</w:t>
      </w:r>
    </w:p>
  </w:footnote>
  <w:footnote w:id="8">
    <w:p w:rsidR="00EA1999" w:rsidRPr="00E24EEB" w:rsidP="00EA1999" w14:paraId="39D12818" w14:textId="77777777">
      <w:pPr>
        <w:pStyle w:val="FootnoteText"/>
      </w:pPr>
      <w:r w:rsidRPr="00E24EEB">
        <w:rPr>
          <w:rStyle w:val="FootnoteReference"/>
        </w:rPr>
        <w:footnoteRef/>
      </w:r>
      <w:r w:rsidRPr="00E24EEB">
        <w:t xml:space="preserve"> For the purposes of section 254 of the Communications Act, a “rate” is a single rate for a complete end-to-end service, and not rates for components of a service.  </w:t>
      </w:r>
      <w:r w:rsidRPr="00E24EEB">
        <w:rPr>
          <w:i/>
        </w:rPr>
        <w:t>See Universal Service First Report and Order</w:t>
      </w:r>
      <w:r w:rsidRPr="00E24EEB">
        <w:t xml:space="preserve">, 12 FCC </w:t>
      </w:r>
      <w:r w:rsidRPr="00E24EEB">
        <w:t>Rcd</w:t>
      </w:r>
      <w:r w:rsidRPr="00E24EEB">
        <w:t xml:space="preserve"> at 9128, paras. 674-75.</w:t>
      </w:r>
    </w:p>
  </w:footnote>
  <w:footnote w:id="9">
    <w:p w:rsidR="00EA1999" w:rsidRPr="00E24EEB" w:rsidP="00EA1999" w14:paraId="27FC05B9" w14:textId="77777777">
      <w:pPr>
        <w:pStyle w:val="FootnoteText"/>
      </w:pPr>
      <w:r w:rsidRPr="00E24EEB">
        <w:rPr>
          <w:rStyle w:val="FootnoteReference"/>
        </w:rPr>
        <w:footnoteRef/>
      </w:r>
      <w:r w:rsidRPr="00E24EEB">
        <w:t xml:space="preserve"> 47 CFR § 54.607(a),</w:t>
      </w:r>
      <w:r>
        <w:t xml:space="preserve"> </w:t>
      </w:r>
      <w:r w:rsidRPr="00E24EEB">
        <w:t>(b) (201</w:t>
      </w:r>
      <w:r>
        <w:t>7</w:t>
      </w:r>
      <w:r w:rsidRPr="00E24EEB">
        <w:t>).</w:t>
      </w:r>
    </w:p>
  </w:footnote>
  <w:footnote w:id="10">
    <w:p w:rsidR="00EA1999" w:rsidRPr="00E24EEB" w:rsidP="00EA1999" w14:paraId="0A745E5B" w14:textId="77777777">
      <w:pPr>
        <w:pStyle w:val="FootnoteText"/>
      </w:pPr>
      <w:r w:rsidRPr="00E24EEB">
        <w:rPr>
          <w:rStyle w:val="FootnoteReference"/>
        </w:rPr>
        <w:footnoteRef/>
      </w:r>
      <w:r w:rsidRPr="00E24EEB">
        <w:t xml:space="preserve"> 47 CFR § 54.607(b)(1) (201</w:t>
      </w:r>
      <w:r>
        <w:t>7</w:t>
      </w:r>
      <w:r w:rsidRPr="00E24EEB">
        <w:t xml:space="preserve">). </w:t>
      </w:r>
    </w:p>
  </w:footnote>
  <w:footnote w:id="11">
    <w:p w:rsidR="00EA1999" w:rsidRPr="00F07BC5" w:rsidP="00EA1999" w14:paraId="2D547BDD" w14:textId="77777777">
      <w:pPr>
        <w:pStyle w:val="FootnoteText"/>
        <w:spacing w:before="120"/>
      </w:pPr>
      <w:r w:rsidRPr="00F07BC5">
        <w:rPr>
          <w:rStyle w:val="FootnoteReference"/>
        </w:rPr>
        <w:footnoteRef/>
      </w:r>
      <w:r w:rsidRPr="00F07BC5">
        <w:t xml:space="preserve"> </w:t>
      </w:r>
      <w:r w:rsidRPr="00F07BC5">
        <w:rPr>
          <w:i/>
          <w:iCs/>
        </w:rPr>
        <w:t>See</w:t>
      </w:r>
      <w:r w:rsidRPr="00F07BC5">
        <w:t xml:space="preserve"> </w:t>
      </w:r>
      <w:r w:rsidRPr="00F07BC5">
        <w:rPr>
          <w:i/>
          <w:iCs/>
        </w:rPr>
        <w:t>Request for Review</w:t>
      </w:r>
      <w:r>
        <w:t xml:space="preserve"> </w:t>
      </w:r>
      <w:r w:rsidRPr="00F07BC5">
        <w:t>at</w:t>
      </w:r>
      <w:r w:rsidRPr="00F07BC5">
        <w:rPr>
          <w:i/>
          <w:iCs/>
        </w:rPr>
        <w:t xml:space="preserve"> </w:t>
      </w:r>
      <w:r w:rsidRPr="00F07BC5">
        <w:t>4</w:t>
      </w:r>
      <w:r w:rsidRPr="00F07BC5">
        <w:rPr>
          <w:i/>
          <w:iCs/>
        </w:rPr>
        <w:t>.</w:t>
      </w:r>
    </w:p>
  </w:footnote>
  <w:footnote w:id="12">
    <w:p w:rsidR="00EA1999" w:rsidRPr="00F07BC5" w:rsidP="00EA1999" w14:paraId="1D20869C" w14:textId="77777777">
      <w:pPr>
        <w:pStyle w:val="FootnoteText"/>
        <w:spacing w:before="120"/>
      </w:pPr>
      <w:r w:rsidRPr="00F07BC5">
        <w:rPr>
          <w:rStyle w:val="FootnoteReference"/>
        </w:rPr>
        <w:footnoteRef/>
      </w:r>
      <w:r w:rsidRPr="00F07BC5">
        <w:t xml:space="preserve">  </w:t>
      </w:r>
      <w:r w:rsidRPr="00F07BC5">
        <w:rPr>
          <w:i/>
          <w:iCs/>
        </w:rPr>
        <w:t>Id</w:t>
      </w:r>
      <w:r w:rsidRPr="00F07BC5">
        <w:t>.</w:t>
      </w:r>
    </w:p>
  </w:footnote>
  <w:footnote w:id="13">
    <w:p w:rsidR="00EA1999" w:rsidP="00EA1999" w14:paraId="03D8C06E" w14:textId="77777777">
      <w:pPr>
        <w:pStyle w:val="FootnoteText"/>
      </w:pPr>
      <w:r>
        <w:rPr>
          <w:rStyle w:val="FootnoteReference"/>
        </w:rPr>
        <w:footnoteRef/>
      </w:r>
      <w:r>
        <w:t xml:space="preserve"> </w:t>
      </w:r>
      <w:r>
        <w:rPr>
          <w:i/>
          <w:iCs/>
        </w:rPr>
        <w:t>TeleQuality</w:t>
      </w:r>
      <w:r>
        <w:rPr>
          <w:i/>
          <w:iCs/>
        </w:rPr>
        <w:t xml:space="preserve"> Communications</w:t>
      </w:r>
      <w:r>
        <w:t xml:space="preserve">, Order and Consent Decree, DA 20-69, 35 FCC </w:t>
      </w:r>
      <w:r>
        <w:t>Rcd</w:t>
      </w:r>
      <w:r>
        <w:t xml:space="preserve"> 503 (EB 2020) (</w:t>
      </w:r>
      <w:r>
        <w:rPr>
          <w:i/>
          <w:iCs/>
        </w:rPr>
        <w:t>TeleQuality</w:t>
      </w:r>
      <w:r>
        <w:rPr>
          <w:i/>
          <w:iCs/>
        </w:rPr>
        <w:t xml:space="preserve"> Consent Decree</w:t>
      </w:r>
      <w:r>
        <w:t>).</w:t>
      </w:r>
    </w:p>
  </w:footnote>
  <w:footnote w:id="14">
    <w:p w:rsidR="00EA1999" w:rsidP="00EA1999" w14:paraId="2D5AE074" w14:textId="77777777">
      <w:pPr>
        <w:pStyle w:val="FootnoteText"/>
      </w:pPr>
      <w:r>
        <w:rPr>
          <w:rStyle w:val="FootnoteReference"/>
        </w:rPr>
        <w:footnoteRef/>
      </w:r>
      <w:r>
        <w:t xml:space="preserve">  </w:t>
      </w:r>
      <w:r w:rsidRPr="009B4C85">
        <w:rPr>
          <w:i/>
          <w:iCs/>
        </w:rPr>
        <w:t>Id</w:t>
      </w:r>
      <w:r>
        <w:t xml:space="preserve">. at 504, para. 2. </w:t>
      </w:r>
      <w:r w:rsidRPr="009B4C85">
        <w:rPr>
          <w:i/>
          <w:iCs/>
        </w:rPr>
        <w:t>See</w:t>
      </w:r>
      <w:r>
        <w:t xml:space="preserve"> </w:t>
      </w:r>
      <w:r w:rsidRPr="009B4C85">
        <w:rPr>
          <w:i/>
          <w:iCs/>
        </w:rPr>
        <w:t>also</w:t>
      </w:r>
      <w:r>
        <w:t xml:space="preserve"> </w:t>
      </w:r>
      <w:r>
        <w:rPr>
          <w:i/>
          <w:iCs/>
        </w:rPr>
        <w:t>i</w:t>
      </w:r>
      <w:r w:rsidRPr="009B4C85">
        <w:rPr>
          <w:i/>
          <w:iCs/>
        </w:rPr>
        <w:t>d</w:t>
      </w:r>
      <w:r>
        <w:t>. at 514, para.13.C.</w:t>
      </w:r>
    </w:p>
  </w:footnote>
  <w:footnote w:id="15">
    <w:p w:rsidR="00EA1999" w:rsidRPr="007022F5" w:rsidP="00EA1999" w14:paraId="1261873A" w14:textId="77777777">
      <w:pPr>
        <w:widowControl/>
        <w:autoSpaceDE w:val="0"/>
        <w:autoSpaceDN w:val="0"/>
        <w:adjustRightInd w:val="0"/>
        <w:spacing w:before="120"/>
        <w:rPr>
          <w:snapToGrid/>
          <w:kern w:val="0"/>
          <w:sz w:val="20"/>
        </w:rPr>
      </w:pPr>
      <w:r w:rsidRPr="00F07BC5">
        <w:rPr>
          <w:rStyle w:val="FootnoteReference"/>
        </w:rPr>
        <w:footnoteRef/>
      </w:r>
      <w:r w:rsidRPr="00F07BC5">
        <w:rPr>
          <w:sz w:val="20"/>
        </w:rPr>
        <w:t xml:space="preserve"> </w:t>
      </w:r>
      <w:r>
        <w:rPr>
          <w:i/>
          <w:iCs/>
          <w:snapToGrid/>
          <w:kern w:val="0"/>
          <w:sz w:val="20"/>
        </w:rPr>
        <w:t xml:space="preserve">See </w:t>
      </w:r>
      <w:r w:rsidRPr="00CE65D6">
        <w:rPr>
          <w:i/>
          <w:iCs/>
          <w:sz w:val="20"/>
        </w:rPr>
        <w:t>Request for Review</w:t>
      </w:r>
      <w:r>
        <w:rPr>
          <w:sz w:val="20"/>
        </w:rPr>
        <w:t xml:space="preserve"> at 5. </w:t>
      </w:r>
      <w:r w:rsidRPr="00F07BC5">
        <w:rPr>
          <w:i/>
          <w:iCs/>
          <w:sz w:val="20"/>
        </w:rPr>
        <w:t>See</w:t>
      </w:r>
      <w:r w:rsidRPr="00F07BC5">
        <w:rPr>
          <w:sz w:val="20"/>
        </w:rPr>
        <w:t xml:space="preserve"> </w:t>
      </w:r>
      <w:r w:rsidRPr="00F07BC5">
        <w:rPr>
          <w:i/>
          <w:iCs/>
          <w:sz w:val="20"/>
        </w:rPr>
        <w:t>also</w:t>
      </w:r>
      <w:r w:rsidRPr="00F07BC5">
        <w:rPr>
          <w:sz w:val="20"/>
        </w:rPr>
        <w:t xml:space="preserve"> </w:t>
      </w:r>
      <w:r w:rsidRPr="00F07BC5">
        <w:rPr>
          <w:i/>
          <w:iCs/>
          <w:sz w:val="20"/>
        </w:rPr>
        <w:t>id</w:t>
      </w:r>
      <w:r w:rsidRPr="00F07BC5">
        <w:rPr>
          <w:sz w:val="20"/>
        </w:rPr>
        <w:t>.</w:t>
      </w:r>
      <w:r>
        <w:rPr>
          <w:sz w:val="20"/>
        </w:rPr>
        <w:t xml:space="preserve">, </w:t>
      </w:r>
      <w:r w:rsidRPr="00F07BC5">
        <w:rPr>
          <w:sz w:val="20"/>
        </w:rPr>
        <w:t>Exh</w:t>
      </w:r>
      <w:r>
        <w:rPr>
          <w:sz w:val="20"/>
        </w:rPr>
        <w:t>.</w:t>
      </w:r>
      <w:r w:rsidRPr="00F07BC5">
        <w:rPr>
          <w:sz w:val="20"/>
        </w:rPr>
        <w:t xml:space="preserve"> 2.</w:t>
      </w:r>
    </w:p>
  </w:footnote>
  <w:footnote w:id="16">
    <w:p w:rsidR="00EA1999" w:rsidRPr="00413E8B" w:rsidP="00EA1999" w14:paraId="428D81AE" w14:textId="77777777">
      <w:pPr>
        <w:autoSpaceDE w:val="0"/>
        <w:autoSpaceDN w:val="0"/>
        <w:adjustRightInd w:val="0"/>
        <w:spacing w:before="120"/>
        <w:rPr>
          <w:sz w:val="20"/>
        </w:rPr>
      </w:pPr>
      <w:r w:rsidRPr="00F07BC5">
        <w:rPr>
          <w:rStyle w:val="FootnoteReference"/>
        </w:rPr>
        <w:footnoteRef/>
      </w:r>
      <w:r>
        <w:rPr>
          <w:sz w:val="20"/>
        </w:rPr>
        <w:t xml:space="preserve"> </w:t>
      </w:r>
      <w:r>
        <w:rPr>
          <w:i/>
          <w:iCs/>
          <w:sz w:val="20"/>
        </w:rPr>
        <w:t>See i</w:t>
      </w:r>
      <w:r w:rsidRPr="001E6770">
        <w:rPr>
          <w:i/>
          <w:iCs/>
          <w:sz w:val="20"/>
        </w:rPr>
        <w:t>d</w:t>
      </w:r>
      <w:r>
        <w:rPr>
          <w:sz w:val="20"/>
        </w:rPr>
        <w:t xml:space="preserve">., </w:t>
      </w:r>
      <w:r>
        <w:rPr>
          <w:sz w:val="20"/>
        </w:rPr>
        <w:t>Exh</w:t>
      </w:r>
      <w:r>
        <w:rPr>
          <w:sz w:val="20"/>
        </w:rPr>
        <w:t>. 3.</w:t>
      </w:r>
    </w:p>
  </w:footnote>
  <w:footnote w:id="17">
    <w:p w:rsidR="00EA1999" w:rsidRPr="00F07BC5" w:rsidP="00EA1999" w14:paraId="49B4C03C" w14:textId="77777777">
      <w:pPr>
        <w:pStyle w:val="FootnoteText"/>
        <w:spacing w:before="120"/>
      </w:pPr>
      <w:r w:rsidRPr="00F07BC5">
        <w:rPr>
          <w:rStyle w:val="FootnoteReference"/>
        </w:rPr>
        <w:footnoteRef/>
      </w:r>
      <w:r w:rsidRPr="00F07BC5">
        <w:t xml:space="preserve"> Funding Request Denial Letters (sent Dec. 6, 2016)</w:t>
      </w:r>
      <w:r>
        <w:t xml:space="preserve">. </w:t>
      </w:r>
      <w:r>
        <w:rPr>
          <w:i/>
          <w:iCs/>
        </w:rPr>
        <w:t>Id.</w:t>
      </w:r>
      <w:r>
        <w:t xml:space="preserve">, </w:t>
      </w:r>
      <w:r w:rsidRPr="00F07BC5">
        <w:t>Exh</w:t>
      </w:r>
      <w:r>
        <w:t>.</w:t>
      </w:r>
      <w:r w:rsidRPr="00F07BC5">
        <w:t xml:space="preserve"> 4. </w:t>
      </w:r>
      <w:r>
        <w:t xml:space="preserve"> </w:t>
      </w:r>
    </w:p>
  </w:footnote>
  <w:footnote w:id="18">
    <w:p w:rsidR="00EA1999" w:rsidRPr="00F07BC5" w:rsidP="00EA1999" w14:paraId="363F9756" w14:textId="77777777">
      <w:pPr>
        <w:pStyle w:val="FootnoteText"/>
        <w:spacing w:before="120"/>
      </w:pPr>
      <w:r w:rsidRPr="00F07BC5">
        <w:rPr>
          <w:rStyle w:val="FootnoteReference"/>
        </w:rPr>
        <w:footnoteRef/>
      </w:r>
      <w:r w:rsidRPr="00F07BC5">
        <w:t xml:space="preserve">  </w:t>
      </w:r>
      <w:r w:rsidRPr="006505FB">
        <w:rPr>
          <w:i/>
          <w:iCs/>
        </w:rPr>
        <w:t>See</w:t>
      </w:r>
      <w:r>
        <w:t xml:space="preserve"> </w:t>
      </w:r>
      <w:r w:rsidRPr="006505FB">
        <w:rPr>
          <w:i/>
          <w:iCs/>
        </w:rPr>
        <w:t>id</w:t>
      </w:r>
      <w:r>
        <w:t xml:space="preserve">. at 5. </w:t>
      </w:r>
      <w:r w:rsidRPr="00F07BC5">
        <w:rPr>
          <w:i/>
          <w:iCs/>
        </w:rPr>
        <w:t>See</w:t>
      </w:r>
      <w:r w:rsidRPr="00F07BC5">
        <w:t xml:space="preserve"> </w:t>
      </w:r>
      <w:r w:rsidRPr="006505FB">
        <w:rPr>
          <w:i/>
          <w:iCs/>
        </w:rPr>
        <w:t>also</w:t>
      </w:r>
      <w:r>
        <w:t xml:space="preserve"> </w:t>
      </w:r>
      <w:r w:rsidRPr="00F07BC5">
        <w:rPr>
          <w:i/>
          <w:iCs/>
        </w:rPr>
        <w:t>id</w:t>
      </w:r>
      <w:r w:rsidRPr="00F07BC5">
        <w:t>.</w:t>
      </w:r>
      <w:r>
        <w:t xml:space="preserve">, </w:t>
      </w:r>
      <w:r w:rsidRPr="00F07BC5">
        <w:t>Exh</w:t>
      </w:r>
      <w:r>
        <w:t>.</w:t>
      </w:r>
      <w:r w:rsidRPr="00F07BC5">
        <w:t xml:space="preserve"> 5.</w:t>
      </w:r>
    </w:p>
  </w:footnote>
  <w:footnote w:id="19">
    <w:p w:rsidR="00EA1999" w:rsidRPr="00F07BC5" w:rsidP="00EA1999" w14:paraId="409D9A67" w14:textId="77777777">
      <w:pPr>
        <w:pStyle w:val="FootnoteText"/>
        <w:spacing w:before="120"/>
      </w:pPr>
      <w:r w:rsidRPr="00F07BC5">
        <w:rPr>
          <w:rStyle w:val="FootnoteReference"/>
        </w:rPr>
        <w:footnoteRef/>
      </w:r>
      <w:r w:rsidRPr="00F07BC5">
        <w:t xml:space="preserve"> </w:t>
      </w:r>
      <w:r w:rsidRPr="00F07BC5">
        <w:rPr>
          <w:i/>
          <w:iCs/>
        </w:rPr>
        <w:t>Id</w:t>
      </w:r>
      <w:r w:rsidRPr="00F07BC5">
        <w:t>.</w:t>
      </w:r>
      <w:r>
        <w:t xml:space="preserve">, </w:t>
      </w:r>
      <w:r>
        <w:t>Exh</w:t>
      </w:r>
      <w:r>
        <w:t>. 5 at 2-4.</w:t>
      </w:r>
    </w:p>
  </w:footnote>
  <w:footnote w:id="20">
    <w:p w:rsidR="00EA1999" w:rsidRPr="00F07BC5" w:rsidP="00EA1999" w14:paraId="79394B4A" w14:textId="77777777">
      <w:pPr>
        <w:pStyle w:val="FootnoteText"/>
        <w:spacing w:before="120"/>
      </w:pPr>
      <w:r w:rsidRPr="00F07BC5">
        <w:rPr>
          <w:rStyle w:val="FootnoteReference"/>
        </w:rPr>
        <w:footnoteRef/>
      </w:r>
      <w:r w:rsidRPr="00F07BC5">
        <w:t xml:space="preserve"> Letter from USAC to Ms. Melanie Forsythe, Primary Health Care Centers</w:t>
      </w:r>
      <w:r>
        <w:t xml:space="preserve"> </w:t>
      </w:r>
      <w:r w:rsidRPr="00F07BC5">
        <w:t>(Sep. 13, 2018)</w:t>
      </w:r>
      <w:r>
        <w:t>.</w:t>
      </w:r>
      <w:r w:rsidRPr="00F07BC5">
        <w:t xml:space="preserve"> </w:t>
      </w:r>
      <w:r w:rsidRPr="00F07BC5">
        <w:rPr>
          <w:i/>
          <w:iCs/>
        </w:rPr>
        <w:t>See</w:t>
      </w:r>
      <w:r w:rsidRPr="00F07BC5">
        <w:t xml:space="preserve"> </w:t>
      </w:r>
      <w:r>
        <w:rPr>
          <w:i/>
          <w:iCs/>
        </w:rPr>
        <w:t>id</w:t>
      </w:r>
      <w:r>
        <w:t>.,</w:t>
      </w:r>
      <w:r w:rsidRPr="00F07BC5">
        <w:t xml:space="preserve"> </w:t>
      </w:r>
      <w:r w:rsidRPr="00F07BC5">
        <w:t>Ex</w:t>
      </w:r>
      <w:r>
        <w:t>h</w:t>
      </w:r>
      <w:r>
        <w:t>.</w:t>
      </w:r>
      <w:r w:rsidRPr="00F07BC5">
        <w:t xml:space="preserve"> 1</w:t>
      </w:r>
      <w:r>
        <w:t xml:space="preserve"> at 4</w:t>
      </w:r>
      <w:r w:rsidRPr="00F07BC5">
        <w:t xml:space="preserve">. </w:t>
      </w:r>
    </w:p>
  </w:footnote>
  <w:footnote w:id="21">
    <w:p w:rsidR="00EA1999" w:rsidRPr="00F07BC5" w:rsidP="00EA1999" w14:paraId="260A48F9" w14:textId="77777777">
      <w:pPr>
        <w:pStyle w:val="FootnoteText"/>
        <w:spacing w:before="120"/>
      </w:pPr>
      <w:r w:rsidRPr="00F07BC5">
        <w:rPr>
          <w:rStyle w:val="FootnoteReference"/>
        </w:rPr>
        <w:footnoteRef/>
      </w:r>
      <w:r w:rsidRPr="00F07BC5">
        <w:t xml:space="preserve"> </w:t>
      </w:r>
      <w:r w:rsidRPr="009326A4">
        <w:rPr>
          <w:i/>
          <w:iCs/>
        </w:rPr>
        <w:t>Id</w:t>
      </w:r>
      <w:r>
        <w:t xml:space="preserve">., </w:t>
      </w:r>
      <w:r>
        <w:t>Exh</w:t>
      </w:r>
      <w:r>
        <w:t>. 1</w:t>
      </w:r>
      <w:r w:rsidRPr="00F07BC5">
        <w:t xml:space="preserve"> at 4-5</w:t>
      </w:r>
      <w:r>
        <w:t>.</w:t>
      </w:r>
    </w:p>
  </w:footnote>
  <w:footnote w:id="22">
    <w:p w:rsidR="00EA1999" w:rsidRPr="00F07BC5" w:rsidP="00EA1999" w14:paraId="739E524B" w14:textId="77777777">
      <w:pPr>
        <w:pStyle w:val="FootnoteText"/>
        <w:spacing w:before="120"/>
      </w:pPr>
      <w:r w:rsidRPr="00F07BC5">
        <w:rPr>
          <w:rStyle w:val="FootnoteReference"/>
        </w:rPr>
        <w:footnoteRef/>
      </w:r>
      <w:r w:rsidRPr="00F07BC5">
        <w:t xml:space="preserve"> 47 C.F.R. § 54.607(b).</w:t>
      </w:r>
      <w:r w:rsidRPr="00F07BC5">
        <w:rPr>
          <w:i/>
          <w:iCs/>
        </w:rPr>
        <w:t xml:space="preserve"> </w:t>
      </w:r>
      <w:r>
        <w:rPr>
          <w:i/>
          <w:iCs/>
        </w:rPr>
        <w:t>Id</w:t>
      </w:r>
      <w:r w:rsidRPr="00F07BC5">
        <w:t>.</w:t>
      </w:r>
    </w:p>
  </w:footnote>
  <w:footnote w:id="23">
    <w:p w:rsidR="00EA1999" w:rsidRPr="00F07BC5" w:rsidP="00EA1999" w14:paraId="1BC7FF49" w14:textId="77777777">
      <w:pPr>
        <w:pStyle w:val="FootnoteText"/>
        <w:spacing w:before="120"/>
      </w:pPr>
      <w:r w:rsidRPr="00F07BC5">
        <w:rPr>
          <w:rStyle w:val="FootnoteReference"/>
        </w:rPr>
        <w:footnoteRef/>
      </w:r>
      <w:r w:rsidRPr="00F07BC5">
        <w:t xml:space="preserve"> </w:t>
      </w:r>
      <w:r w:rsidRPr="00F07BC5">
        <w:rPr>
          <w:i/>
          <w:iCs/>
        </w:rPr>
        <w:t>See</w:t>
      </w:r>
      <w:r w:rsidRPr="00F07BC5">
        <w:t xml:space="preserve"> </w:t>
      </w:r>
      <w:r w:rsidRPr="00F07BC5">
        <w:rPr>
          <w:i/>
          <w:iCs/>
        </w:rPr>
        <w:t xml:space="preserve">Request for Review </w:t>
      </w:r>
      <w:r w:rsidRPr="00F07BC5">
        <w:t>at 9.</w:t>
      </w:r>
    </w:p>
  </w:footnote>
  <w:footnote w:id="24">
    <w:p w:rsidR="00EA1999" w:rsidRPr="00F07BC5" w:rsidP="00EA1999" w14:paraId="629946B2" w14:textId="77777777">
      <w:pPr>
        <w:pStyle w:val="FootnoteText"/>
        <w:spacing w:before="120"/>
      </w:pPr>
      <w:r w:rsidRPr="00F07BC5">
        <w:rPr>
          <w:rStyle w:val="FootnoteReference"/>
        </w:rPr>
        <w:footnoteRef/>
      </w:r>
      <w:r w:rsidRPr="00F07BC5">
        <w:t xml:space="preserve"> </w:t>
      </w:r>
      <w:r w:rsidRPr="00F07BC5">
        <w:rPr>
          <w:i/>
          <w:iCs/>
        </w:rPr>
        <w:t>Id.</w:t>
      </w:r>
      <w:r w:rsidRPr="00F07BC5">
        <w:t xml:space="preserve"> </w:t>
      </w:r>
      <w:r>
        <w:t xml:space="preserve"> </w:t>
      </w:r>
      <w:r w:rsidRPr="00F07BC5">
        <w:rPr>
          <w:i/>
          <w:iCs/>
        </w:rPr>
        <w:t>See</w:t>
      </w:r>
      <w:r w:rsidRPr="00F07BC5">
        <w:t xml:space="preserve"> </w:t>
      </w:r>
      <w:r w:rsidRPr="00F07BC5">
        <w:rPr>
          <w:i/>
          <w:iCs/>
        </w:rPr>
        <w:t>The Wireline Competition Bureau Provides Guidance Regarding the Commission’s Rules for Determining Rural Rates in the Rural Health Care Telecommunications Program</w:t>
      </w:r>
      <w:r w:rsidRPr="00F07BC5">
        <w:t>, WC Docket No. 02-60,</w:t>
      </w:r>
      <w:r>
        <w:t xml:space="preserve"> 34 FCC </w:t>
      </w:r>
      <w:r>
        <w:t>Rcd</w:t>
      </w:r>
      <w:r>
        <w:t xml:space="preserve"> 533</w:t>
      </w:r>
      <w:r w:rsidRPr="00F07BC5">
        <w:t xml:space="preserve"> Public Notice (WCB 2019) (</w:t>
      </w:r>
      <w:r w:rsidRPr="00F07BC5">
        <w:rPr>
          <w:i/>
          <w:iCs/>
        </w:rPr>
        <w:t>WCB Guidance Letter</w:t>
      </w:r>
      <w:r w:rsidRPr="00F07BC5">
        <w:t>), https://www.fcc.gov/document/wcb-provides-guidance-rural-rates-rhc-telecommunications-program.</w:t>
      </w:r>
    </w:p>
  </w:footnote>
  <w:footnote w:id="25">
    <w:p w:rsidR="00EA1999" w:rsidRPr="00F07BC5" w:rsidP="00EA1999" w14:paraId="2D39F6D4" w14:textId="77777777">
      <w:pPr>
        <w:pStyle w:val="FootnoteText"/>
        <w:spacing w:before="120"/>
      </w:pPr>
      <w:r w:rsidRPr="00F07BC5">
        <w:rPr>
          <w:rStyle w:val="FootnoteReference"/>
        </w:rPr>
        <w:footnoteRef/>
      </w:r>
      <w:r w:rsidRPr="00F07BC5">
        <w:t xml:space="preserve"> </w:t>
      </w:r>
      <w:r w:rsidRPr="00F07BC5">
        <w:rPr>
          <w:i/>
          <w:iCs/>
        </w:rPr>
        <w:t>See</w:t>
      </w:r>
      <w:r w:rsidRPr="00F07BC5">
        <w:t xml:space="preserve"> </w:t>
      </w:r>
      <w:r w:rsidRPr="00F07BC5">
        <w:rPr>
          <w:i/>
          <w:iCs/>
        </w:rPr>
        <w:t>Request for Review</w:t>
      </w:r>
      <w:r>
        <w:t xml:space="preserve">, </w:t>
      </w:r>
      <w:r w:rsidRPr="00F07BC5">
        <w:t>Exh</w:t>
      </w:r>
      <w:r>
        <w:t xml:space="preserve">. </w:t>
      </w:r>
      <w:r w:rsidRPr="00F07BC5">
        <w:t>7.</w:t>
      </w:r>
    </w:p>
  </w:footnote>
  <w:footnote w:id="26">
    <w:p w:rsidR="00EA1999" w:rsidRPr="00413E8B" w:rsidP="00EA1999" w14:paraId="163A1D16" w14:textId="77777777">
      <w:pPr>
        <w:pStyle w:val="FootnoteText"/>
      </w:pPr>
      <w:r>
        <w:rPr>
          <w:rStyle w:val="FootnoteReference"/>
        </w:rPr>
        <w:footnoteRef/>
      </w:r>
      <w:r>
        <w:t xml:space="preserve"> </w:t>
      </w:r>
      <w:r w:rsidRPr="004A3E2D">
        <w:rPr>
          <w:i/>
          <w:iCs/>
        </w:rPr>
        <w:t>See</w:t>
      </w:r>
      <w:r>
        <w:t xml:space="preserve"> </w:t>
      </w:r>
      <w:r>
        <w:rPr>
          <w:i/>
          <w:iCs/>
        </w:rPr>
        <w:t>i</w:t>
      </w:r>
      <w:r w:rsidRPr="00413E8B">
        <w:rPr>
          <w:i/>
          <w:iCs/>
        </w:rPr>
        <w:t>d</w:t>
      </w:r>
      <w:r>
        <w:t xml:space="preserve">. </w:t>
      </w:r>
      <w:r>
        <w:rPr>
          <w:i/>
          <w:iCs/>
        </w:rPr>
        <w:t>See also id</w:t>
      </w:r>
      <w:r>
        <w:t>. at 9.</w:t>
      </w:r>
    </w:p>
  </w:footnote>
  <w:footnote w:id="27">
    <w:p w:rsidR="00EA1999" w:rsidP="00EA1999" w14:paraId="4E7A91FC" w14:textId="77777777">
      <w:pPr>
        <w:pStyle w:val="FootnoteText"/>
      </w:pPr>
      <w:r>
        <w:rPr>
          <w:rStyle w:val="FootnoteReference"/>
        </w:rPr>
        <w:footnoteRef/>
      </w:r>
      <w:r>
        <w:t xml:space="preserve"> </w:t>
      </w:r>
      <w:r w:rsidRPr="004A3E2D">
        <w:rPr>
          <w:i/>
          <w:iCs/>
        </w:rPr>
        <w:t>See</w:t>
      </w:r>
      <w:r>
        <w:t xml:space="preserve"> </w:t>
      </w:r>
      <w:r w:rsidRPr="00F07BC5">
        <w:t>47 C.F.R. § 54.607(</w:t>
      </w:r>
      <w:r>
        <w:t xml:space="preserve">a)(b). </w:t>
      </w:r>
      <w:r w:rsidRPr="004A3E2D">
        <w:rPr>
          <w:i/>
          <w:iCs/>
        </w:rPr>
        <w:t>See</w:t>
      </w:r>
      <w:r>
        <w:t xml:space="preserve"> </w:t>
      </w:r>
      <w:r w:rsidRPr="004A3E2D">
        <w:rPr>
          <w:i/>
          <w:iCs/>
        </w:rPr>
        <w:t>also</w:t>
      </w:r>
      <w:r>
        <w:t xml:space="preserve"> </w:t>
      </w:r>
      <w:r>
        <w:rPr>
          <w:i/>
          <w:iCs/>
        </w:rPr>
        <w:t>id.</w:t>
      </w:r>
      <w:r>
        <w:t xml:space="preserve">, </w:t>
      </w:r>
      <w:r>
        <w:t>Exh</w:t>
      </w:r>
      <w:r>
        <w:t>. 7.</w:t>
      </w:r>
    </w:p>
  </w:footnote>
  <w:footnote w:id="28">
    <w:p w:rsidR="00EA1999" w:rsidP="00EA1999" w14:paraId="4F3F44D7" w14:textId="77777777">
      <w:pPr>
        <w:pStyle w:val="FootnoteText"/>
      </w:pPr>
      <w:r>
        <w:rPr>
          <w:rStyle w:val="FootnoteReference"/>
        </w:rPr>
        <w:footnoteRef/>
      </w:r>
      <w:r>
        <w:t xml:space="preserve"> </w:t>
      </w:r>
      <w:r w:rsidRPr="00413E8B">
        <w:rPr>
          <w:i/>
          <w:iCs/>
        </w:rPr>
        <w:t>See</w:t>
      </w:r>
      <w:r>
        <w:t xml:space="preserve"> </w:t>
      </w:r>
      <w:r w:rsidRPr="00F07BC5">
        <w:t>47 C.F.R. § 54.607(</w:t>
      </w:r>
      <w:r>
        <w:t>a).</w:t>
      </w:r>
    </w:p>
  </w:footnote>
  <w:footnote w:id="29">
    <w:p w:rsidR="00EA1999" w:rsidP="00EA1999" w14:paraId="4940D335" w14:textId="77777777">
      <w:pPr>
        <w:pStyle w:val="FootnoteText"/>
      </w:pPr>
      <w:r>
        <w:rPr>
          <w:rStyle w:val="FootnoteReference"/>
        </w:rPr>
        <w:footnoteRef/>
      </w:r>
      <w:r>
        <w:t xml:space="preserve"> </w:t>
      </w:r>
      <w:r w:rsidRPr="00413E8B">
        <w:rPr>
          <w:i/>
          <w:iCs/>
        </w:rPr>
        <w:t>See</w:t>
      </w:r>
      <w:r>
        <w:t xml:space="preserve"> </w:t>
      </w:r>
      <w:r w:rsidRPr="00F07BC5">
        <w:t>47 C.F.R. § 54.607(b</w:t>
      </w:r>
      <w:r>
        <w:t>).</w:t>
      </w:r>
    </w:p>
  </w:footnote>
  <w:footnote w:id="30">
    <w:p w:rsidR="00EA1999" w:rsidP="00EA1999" w14:paraId="56F36FB2" w14:textId="77777777">
      <w:pPr>
        <w:pStyle w:val="FootnoteText"/>
      </w:pPr>
      <w:r>
        <w:rPr>
          <w:rStyle w:val="FootnoteReference"/>
        </w:rPr>
        <w:footnoteRef/>
      </w:r>
      <w:r>
        <w:t xml:space="preserve"> </w:t>
      </w:r>
      <w:r w:rsidRPr="00413E8B">
        <w:rPr>
          <w:i/>
          <w:iCs/>
        </w:rPr>
        <w:t>See</w:t>
      </w:r>
      <w:r>
        <w:t xml:space="preserve"> </w:t>
      </w:r>
      <w:r w:rsidRPr="00E24EEB">
        <w:t>47 CFR § 54.607(a)</w:t>
      </w:r>
      <w:r>
        <w:t>-</w:t>
      </w:r>
      <w:r w:rsidRPr="00E24EEB">
        <w:t>(b)</w:t>
      </w:r>
      <w:r>
        <w:t>.</w:t>
      </w:r>
    </w:p>
  </w:footnote>
  <w:footnote w:id="31">
    <w:p w:rsidR="00EA1999" w:rsidP="00EA1999" w14:paraId="5410D887" w14:textId="77777777">
      <w:pPr>
        <w:pStyle w:val="FootnoteText"/>
      </w:pPr>
      <w:r>
        <w:rPr>
          <w:rStyle w:val="FootnoteReference"/>
        </w:rPr>
        <w:footnoteRef/>
      </w:r>
      <w:r>
        <w:t xml:space="preserve"> </w:t>
      </w:r>
      <w:r w:rsidRPr="00413E8B">
        <w:rPr>
          <w:i/>
          <w:iCs/>
        </w:rPr>
        <w:t>See</w:t>
      </w:r>
      <w:r>
        <w:t xml:space="preserve"> </w:t>
      </w:r>
      <w:r w:rsidRPr="00E24EEB">
        <w:t>47 CFR § 54.607(a)</w:t>
      </w:r>
      <w:r>
        <w:t xml:space="preserve"> (“If the telecommunications carrier serving the health care provider is not providing any identical or similar services in the rural area, then the rural rate shall be the average of the tariffed and other publicly available rates, not including any rates reduced by universal service programs, charged for the same or similar services in that rural area over the same distance as the eligible service by other carriers.”); </w:t>
      </w:r>
      <w:r>
        <w:rPr>
          <w:i/>
          <w:iCs/>
        </w:rPr>
        <w:t>see also</w:t>
      </w:r>
      <w:r>
        <w:t xml:space="preserve"> </w:t>
      </w:r>
      <w:r w:rsidRPr="00F07BC5">
        <w:t>§</w:t>
      </w:r>
      <w:r>
        <w:t xml:space="preserve"> 54.607(b) (“If there are no tariffed or publicly available rates for such services in that rural areas, or if the carrier reasonably determines that this method for calculating the rural rate is unfair, the carrier shall submit for the state commission’s approval, for intrastate rates, or the Commission’s approval, for interstate rates, a cost-based rate for the provision of the service in the most economically efficient, reasonably available manner.”).  </w:t>
      </w:r>
    </w:p>
  </w:footnote>
  <w:footnote w:id="32">
    <w:p w:rsidR="00EA1999" w:rsidRPr="00F07BC5" w:rsidP="00EA1999" w14:paraId="254F9D38" w14:textId="77777777">
      <w:pPr>
        <w:pStyle w:val="FootnoteText"/>
        <w:spacing w:before="120"/>
      </w:pPr>
      <w:r w:rsidRPr="00F07BC5">
        <w:rPr>
          <w:rStyle w:val="FootnoteReference"/>
        </w:rPr>
        <w:footnoteRef/>
      </w:r>
      <w:r w:rsidRPr="00F07BC5">
        <w:t xml:space="preserve"> </w:t>
      </w:r>
      <w:r w:rsidRPr="00D33A27">
        <w:rPr>
          <w:i/>
          <w:iCs/>
        </w:rPr>
        <w:t>See</w:t>
      </w:r>
      <w:r>
        <w:t xml:space="preserve"> </w:t>
      </w:r>
      <w:r w:rsidRPr="00F07BC5">
        <w:t>47 C.F.R. § 54.607(b)</w:t>
      </w:r>
      <w:r>
        <w:t>(1)-(2)</w:t>
      </w:r>
      <w:r w:rsidRPr="00F07BC5">
        <w:t>.</w:t>
      </w:r>
      <w:r w:rsidRPr="00F07BC5">
        <w:rPr>
          <w:i/>
          <w:iCs/>
        </w:rPr>
        <w:t xml:space="preserve"> </w:t>
      </w:r>
    </w:p>
  </w:footnote>
  <w:footnote w:id="33">
    <w:p w:rsidR="00EA1999" w:rsidP="00EA1999" w14:paraId="7A4F2F94" w14:textId="77777777">
      <w:pPr>
        <w:pStyle w:val="FootnoteText"/>
      </w:pPr>
      <w:r>
        <w:rPr>
          <w:rStyle w:val="FootnoteReference"/>
        </w:rPr>
        <w:footnoteRef/>
      </w:r>
      <w:r>
        <w:t xml:space="preserve"> </w:t>
      </w:r>
      <w:r w:rsidRPr="00F07BC5">
        <w:rPr>
          <w:i/>
          <w:iCs/>
        </w:rPr>
        <w:t>See</w:t>
      </w:r>
      <w:r w:rsidRPr="00F07BC5">
        <w:t xml:space="preserve"> </w:t>
      </w:r>
      <w:r w:rsidRPr="00F07BC5">
        <w:rPr>
          <w:i/>
          <w:iCs/>
        </w:rPr>
        <w:t>Request for Review</w:t>
      </w:r>
      <w:r>
        <w:t xml:space="preserve">, </w:t>
      </w:r>
      <w:r w:rsidRPr="00F07BC5">
        <w:t>Exh</w:t>
      </w:r>
      <w:r>
        <w:t>.</w:t>
      </w:r>
      <w:r w:rsidRPr="00F07BC5">
        <w:t xml:space="preserve"> 7</w:t>
      </w:r>
      <w:r>
        <w:t>.</w:t>
      </w:r>
    </w:p>
  </w:footnote>
  <w:footnote w:id="34">
    <w:p w:rsidR="00EA1999" w:rsidP="00EA1999" w14:paraId="4AE1307C" w14:textId="77777777">
      <w:pPr>
        <w:pStyle w:val="FootnoteText"/>
      </w:pPr>
      <w:r>
        <w:rPr>
          <w:rStyle w:val="FootnoteReference"/>
        </w:rPr>
        <w:footnoteRef/>
      </w:r>
      <w:r>
        <w:t xml:space="preserve"> </w:t>
      </w:r>
      <w:r w:rsidRPr="378560D9">
        <w:rPr>
          <w:i/>
          <w:iCs/>
        </w:rPr>
        <w:t>See</w:t>
      </w:r>
      <w:r>
        <w:t xml:space="preserve"> 47 CFR </w:t>
      </w:r>
      <w:r w:rsidRPr="00F07BC5">
        <w:t>§</w:t>
      </w:r>
      <w:r>
        <w:t xml:space="preserve"> 54.607(b)(1)-(2); </w:t>
      </w:r>
      <w:r w:rsidRPr="003B30B6">
        <w:rPr>
          <w:i/>
          <w:iCs/>
        </w:rPr>
        <w:t>see</w:t>
      </w:r>
      <w:r>
        <w:t xml:space="preserve"> </w:t>
      </w:r>
      <w:r w:rsidRPr="003B30B6">
        <w:rPr>
          <w:i/>
          <w:iCs/>
        </w:rPr>
        <w:t>also</w:t>
      </w:r>
      <w:r>
        <w:t xml:space="preserve"> </w:t>
      </w:r>
      <w:r w:rsidRPr="003B30B6">
        <w:rPr>
          <w:i/>
          <w:iCs/>
        </w:rPr>
        <w:t>Request for Review</w:t>
      </w:r>
      <w:r>
        <w:t xml:space="preserve">, </w:t>
      </w:r>
      <w:r>
        <w:t>Exh</w:t>
      </w:r>
      <w:r>
        <w:t>. 7.</w:t>
      </w:r>
    </w:p>
  </w:footnote>
  <w:footnote w:id="35">
    <w:p w:rsidR="00EA1999" w:rsidP="00EA1999" w14:paraId="3C0DD84B" w14:textId="77777777">
      <w:pPr>
        <w:pStyle w:val="FootnoteText"/>
      </w:pPr>
      <w:r>
        <w:rPr>
          <w:rStyle w:val="FootnoteReference"/>
        </w:rPr>
        <w:footnoteRef/>
      </w:r>
      <w:r>
        <w:t xml:space="preserve"> </w:t>
      </w:r>
      <w:r w:rsidRPr="00A4267E">
        <w:rPr>
          <w:i/>
          <w:iCs/>
        </w:rPr>
        <w:t>See Request for Review</w:t>
      </w:r>
      <w:r>
        <w:t xml:space="preserve"> at 4. </w:t>
      </w:r>
      <w:r w:rsidRPr="00F07BC5">
        <w:rPr>
          <w:i/>
          <w:iCs/>
        </w:rPr>
        <w:t>See</w:t>
      </w:r>
      <w:r>
        <w:rPr>
          <w:i/>
          <w:iCs/>
        </w:rPr>
        <w:t xml:space="preserve"> also</w:t>
      </w:r>
      <w:r w:rsidRPr="00F07BC5">
        <w:t xml:space="preserve"> </w:t>
      </w:r>
      <w:r>
        <w:rPr>
          <w:i/>
          <w:iCs/>
        </w:rPr>
        <w:t>id.</w:t>
      </w:r>
      <w:r>
        <w:t xml:space="preserve">, </w:t>
      </w:r>
      <w:r w:rsidRPr="00F07BC5">
        <w:t>Exh</w:t>
      </w:r>
      <w:r>
        <w:t>.</w:t>
      </w:r>
      <w:r w:rsidRPr="00F07BC5">
        <w:t xml:space="preserve"> 7</w:t>
      </w:r>
      <w:r>
        <w:t>.</w:t>
      </w:r>
    </w:p>
  </w:footnote>
  <w:footnote w:id="36">
    <w:p w:rsidR="00EA1999" w:rsidP="00EA1999" w14:paraId="7A2F8784" w14:textId="77777777">
      <w:pPr>
        <w:pStyle w:val="FootnoteText"/>
      </w:pPr>
      <w:r>
        <w:rPr>
          <w:rStyle w:val="FootnoteReference"/>
        </w:rPr>
        <w:footnoteRef/>
      </w:r>
      <w:r>
        <w:t xml:space="preserve"> </w:t>
      </w:r>
      <w:r w:rsidRPr="00F07BC5">
        <w:rPr>
          <w:i/>
          <w:iCs/>
        </w:rPr>
        <w:t>See</w:t>
      </w:r>
      <w:r w:rsidRPr="00F07BC5">
        <w:t xml:space="preserve"> </w:t>
      </w:r>
      <w:r>
        <w:rPr>
          <w:i/>
          <w:iCs/>
        </w:rPr>
        <w:t>id</w:t>
      </w:r>
      <w:r>
        <w:t>.</w:t>
      </w:r>
      <w:r w:rsidRPr="00F07BC5">
        <w:rPr>
          <w:i/>
          <w:iCs/>
        </w:rPr>
        <w:t xml:space="preserve"> </w:t>
      </w:r>
      <w:r w:rsidRPr="00F07BC5">
        <w:t>at 9.</w:t>
      </w:r>
    </w:p>
  </w:footnote>
  <w:footnote w:id="37">
    <w:p w:rsidR="00EA1999" w:rsidP="00EA1999" w14:paraId="0C6EBDBB" w14:textId="77777777">
      <w:pPr>
        <w:pStyle w:val="FootnoteText"/>
      </w:pPr>
      <w:r>
        <w:rPr>
          <w:rStyle w:val="FootnoteReference"/>
        </w:rPr>
        <w:footnoteRef/>
      </w:r>
      <w:r>
        <w:t xml:space="preserve"> </w:t>
      </w:r>
      <w:r w:rsidRPr="00CE65D6">
        <w:rPr>
          <w:i/>
          <w:iCs/>
        </w:rPr>
        <w:t>See</w:t>
      </w:r>
      <w:r>
        <w:t xml:space="preserve"> </w:t>
      </w:r>
      <w:r>
        <w:rPr>
          <w:i/>
          <w:iCs/>
        </w:rPr>
        <w:t>Universal Service First Report and Order</w:t>
      </w:r>
      <w:r>
        <w:t>, 9120- 21, paras. 658, 662 (1997).</w:t>
      </w:r>
    </w:p>
  </w:footnote>
  <w:footnote w:id="38">
    <w:p w:rsidR="00EA1999" w:rsidP="00EA1999" w14:paraId="0F715C45" w14:textId="77777777">
      <w:pPr>
        <w:pStyle w:val="FootnoteText"/>
      </w:pPr>
      <w:r>
        <w:rPr>
          <w:rStyle w:val="FootnoteReference"/>
        </w:rPr>
        <w:footnoteRef/>
      </w:r>
      <w:r>
        <w:t xml:space="preserve"> </w:t>
      </w:r>
      <w:r w:rsidRPr="00413E8B">
        <w:rPr>
          <w:i/>
          <w:iCs/>
        </w:rPr>
        <w:t>See Request for Review</w:t>
      </w:r>
      <w:r>
        <w:t xml:space="preserve"> at 10-12.</w:t>
      </w:r>
    </w:p>
  </w:footnote>
  <w:footnote w:id="39">
    <w:p w:rsidR="00EA1999" w:rsidRPr="00F07BC5" w:rsidP="00EA1999" w14:paraId="0AED726D" w14:textId="77777777">
      <w:pPr>
        <w:pStyle w:val="FootnoteText"/>
        <w:spacing w:before="120"/>
      </w:pPr>
      <w:r w:rsidRPr="00F07BC5">
        <w:rPr>
          <w:rStyle w:val="FootnoteReference"/>
        </w:rPr>
        <w:footnoteRef/>
      </w:r>
      <w:r w:rsidRPr="00F07BC5">
        <w:t xml:space="preserve"> 47 CFR § 1.3. </w:t>
      </w:r>
    </w:p>
  </w:footnote>
  <w:footnote w:id="40">
    <w:p w:rsidR="00EA1999" w:rsidRPr="00F07BC5" w:rsidP="00EA1999" w14:paraId="524B6B48" w14:textId="77777777">
      <w:pPr>
        <w:pStyle w:val="FootnoteText"/>
        <w:spacing w:before="120"/>
      </w:pPr>
      <w:r w:rsidRPr="00F07BC5">
        <w:rPr>
          <w:rStyle w:val="FootnoteReference"/>
        </w:rPr>
        <w:footnoteRef/>
      </w:r>
      <w:r w:rsidRPr="00F07BC5">
        <w:t xml:space="preserve"> </w:t>
      </w:r>
      <w:r w:rsidRPr="00F07BC5">
        <w:rPr>
          <w:i/>
        </w:rPr>
        <w:t>Northeast Cellular Telephone Co. v. FCC</w:t>
      </w:r>
      <w:r w:rsidRPr="00F07BC5">
        <w:t>, 897 F.2d 1164, 1166 (D.C. Cir. 1990) (</w:t>
      </w:r>
      <w:r w:rsidRPr="00F07BC5">
        <w:rPr>
          <w:i/>
        </w:rPr>
        <w:t>Northeast Cellular</w:t>
      </w:r>
      <w:r w:rsidRPr="00F07BC5">
        <w:t xml:space="preserve">). </w:t>
      </w:r>
    </w:p>
  </w:footnote>
  <w:footnote w:id="41">
    <w:p w:rsidR="00EA1999" w:rsidRPr="00F07BC5" w:rsidP="00EA1999" w14:paraId="325F7F06" w14:textId="77777777">
      <w:pPr>
        <w:pStyle w:val="FootnoteText"/>
        <w:spacing w:before="120"/>
      </w:pPr>
      <w:r w:rsidRPr="00F07BC5">
        <w:rPr>
          <w:rStyle w:val="FootnoteReference"/>
        </w:rPr>
        <w:footnoteRef/>
      </w:r>
      <w:r w:rsidRPr="00F07BC5">
        <w:t xml:space="preserve"> </w:t>
      </w:r>
      <w:r w:rsidRPr="00F07BC5">
        <w:rPr>
          <w:i/>
        </w:rPr>
        <w:t>WAIT Radio v. FCC</w:t>
      </w:r>
      <w:r w:rsidRPr="00F07BC5">
        <w:t xml:space="preserve">, 418 F.2d 1153, 1159 (D.C. Cir. 1969); </w:t>
      </w:r>
      <w:r w:rsidRPr="00F07BC5">
        <w:rPr>
          <w:i/>
        </w:rPr>
        <w:t>Northeast Cellular</w:t>
      </w:r>
      <w:r w:rsidRPr="00F07BC5">
        <w:t>, 897 F.2d at 1166.</w:t>
      </w:r>
    </w:p>
  </w:footnote>
  <w:footnote w:id="42">
    <w:p w:rsidR="00EA1999" w:rsidRPr="00F07BC5" w:rsidP="00EA1999" w14:paraId="1498E92A" w14:textId="77777777">
      <w:pPr>
        <w:pStyle w:val="FootnoteText"/>
        <w:spacing w:before="120"/>
      </w:pPr>
      <w:r w:rsidRPr="00F07BC5">
        <w:rPr>
          <w:rStyle w:val="FootnoteReference"/>
        </w:rPr>
        <w:footnoteRef/>
      </w:r>
      <w:r w:rsidRPr="00F07BC5">
        <w:t xml:space="preserve"> </w:t>
      </w:r>
      <w:r w:rsidRPr="00F07BC5">
        <w:rPr>
          <w:i/>
        </w:rPr>
        <w:t>Northeast Cellular</w:t>
      </w:r>
      <w:r w:rsidRPr="00F07BC5">
        <w:t>, 897 F.2d at 1166.</w:t>
      </w:r>
    </w:p>
  </w:footnote>
  <w:footnote w:id="43">
    <w:p w:rsidR="00EA1999" w:rsidP="00EA1999" w14:paraId="4935BDE2" w14:textId="77777777">
      <w:pPr>
        <w:pStyle w:val="FootnoteText"/>
      </w:pPr>
      <w:r>
        <w:rPr>
          <w:rStyle w:val="FootnoteReference"/>
        </w:rPr>
        <w:footnoteRef/>
      </w:r>
      <w:r>
        <w:t xml:space="preserve"> </w:t>
      </w:r>
      <w:r w:rsidRPr="00CE65D6">
        <w:rPr>
          <w:i/>
          <w:iCs/>
        </w:rPr>
        <w:t>Id</w:t>
      </w:r>
      <w:r>
        <w:t>.</w:t>
      </w:r>
    </w:p>
  </w:footnote>
  <w:footnote w:id="44">
    <w:p w:rsidR="00EA1999" w:rsidP="00EA1999" w14:paraId="2DC267D6" w14:textId="77777777">
      <w:pPr>
        <w:pStyle w:val="FootnoteText"/>
      </w:pPr>
      <w:r>
        <w:rPr>
          <w:rStyle w:val="FootnoteReference"/>
        </w:rPr>
        <w:footnoteRef/>
      </w:r>
      <w:r>
        <w:t xml:space="preserve"> </w:t>
      </w:r>
      <w:r w:rsidRPr="00CE65D6">
        <w:rPr>
          <w:i/>
          <w:iCs/>
        </w:rPr>
        <w:t>Request for Revie</w:t>
      </w:r>
      <w:r>
        <w:rPr>
          <w:i/>
          <w:iCs/>
        </w:rPr>
        <w:t>w</w:t>
      </w:r>
      <w:r>
        <w:t xml:space="preserve"> at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6F47EF" w14:textId="1047B1C2">
    <w:pPr>
      <w:pStyle w:val="Header"/>
      <w:rPr>
        <w:b w:val="0"/>
      </w:rPr>
    </w:pPr>
    <w:r>
      <w:tab/>
      <w:t>Federal Communications Commission</w:t>
    </w:r>
    <w:r>
      <w:tab/>
    </w:r>
    <w:r w:rsidR="00F67BEA">
      <w:t>DA 22-1264</w:t>
    </w:r>
  </w:p>
  <w:p w:rsidR="00D25FB5" w14:paraId="09275DB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641F5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948A72" w14:textId="7D0BF79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67BEA">
      <w:rPr>
        <w:spacing w:val="-2"/>
      </w:rPr>
      <w:t>DA 22-1264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99"/>
    <w:rsid w:val="00036039"/>
    <w:rsid w:val="00037F90"/>
    <w:rsid w:val="00042292"/>
    <w:rsid w:val="000431CD"/>
    <w:rsid w:val="000875BF"/>
    <w:rsid w:val="00096D8C"/>
    <w:rsid w:val="000C0B65"/>
    <w:rsid w:val="000C439B"/>
    <w:rsid w:val="000D1503"/>
    <w:rsid w:val="000E05FE"/>
    <w:rsid w:val="000E3D42"/>
    <w:rsid w:val="000E56F2"/>
    <w:rsid w:val="001107C0"/>
    <w:rsid w:val="00122BD5"/>
    <w:rsid w:val="00133F79"/>
    <w:rsid w:val="00194A66"/>
    <w:rsid w:val="001D6BCF"/>
    <w:rsid w:val="001E01CA"/>
    <w:rsid w:val="001E6770"/>
    <w:rsid w:val="00232259"/>
    <w:rsid w:val="00275CF5"/>
    <w:rsid w:val="0028301F"/>
    <w:rsid w:val="00285017"/>
    <w:rsid w:val="00296694"/>
    <w:rsid w:val="002A2D2E"/>
    <w:rsid w:val="002B38AF"/>
    <w:rsid w:val="002C00E8"/>
    <w:rsid w:val="00343749"/>
    <w:rsid w:val="003660ED"/>
    <w:rsid w:val="003B0550"/>
    <w:rsid w:val="003B30B6"/>
    <w:rsid w:val="003B694F"/>
    <w:rsid w:val="003F171C"/>
    <w:rsid w:val="004129F2"/>
    <w:rsid w:val="00412FC5"/>
    <w:rsid w:val="00413E8B"/>
    <w:rsid w:val="00422276"/>
    <w:rsid w:val="004242F1"/>
    <w:rsid w:val="00445A00"/>
    <w:rsid w:val="00451B0F"/>
    <w:rsid w:val="004A3E2D"/>
    <w:rsid w:val="004C2EE3"/>
    <w:rsid w:val="004E4A22"/>
    <w:rsid w:val="004F5C1E"/>
    <w:rsid w:val="00511968"/>
    <w:rsid w:val="0055614C"/>
    <w:rsid w:val="00566D06"/>
    <w:rsid w:val="005E14C2"/>
    <w:rsid w:val="00607BA5"/>
    <w:rsid w:val="0061180A"/>
    <w:rsid w:val="00626EB6"/>
    <w:rsid w:val="006505FB"/>
    <w:rsid w:val="00655D03"/>
    <w:rsid w:val="00683388"/>
    <w:rsid w:val="00683F84"/>
    <w:rsid w:val="006A6A81"/>
    <w:rsid w:val="006F7393"/>
    <w:rsid w:val="0070224F"/>
    <w:rsid w:val="007022F5"/>
    <w:rsid w:val="007115F7"/>
    <w:rsid w:val="00717C31"/>
    <w:rsid w:val="00743592"/>
    <w:rsid w:val="00785689"/>
    <w:rsid w:val="0079754B"/>
    <w:rsid w:val="007A1E6D"/>
    <w:rsid w:val="007B0EB2"/>
    <w:rsid w:val="00810B6F"/>
    <w:rsid w:val="00822CE0"/>
    <w:rsid w:val="00836FB4"/>
    <w:rsid w:val="00841AB1"/>
    <w:rsid w:val="008C68F1"/>
    <w:rsid w:val="00903417"/>
    <w:rsid w:val="00921803"/>
    <w:rsid w:val="00926503"/>
    <w:rsid w:val="009326A4"/>
    <w:rsid w:val="009726D8"/>
    <w:rsid w:val="009B4C85"/>
    <w:rsid w:val="009D7308"/>
    <w:rsid w:val="009F76DB"/>
    <w:rsid w:val="00A32C3B"/>
    <w:rsid w:val="00A4267E"/>
    <w:rsid w:val="00A45F4F"/>
    <w:rsid w:val="00A600A9"/>
    <w:rsid w:val="00AA55B7"/>
    <w:rsid w:val="00AA5B9E"/>
    <w:rsid w:val="00AB2407"/>
    <w:rsid w:val="00AB53DF"/>
    <w:rsid w:val="00B07E5C"/>
    <w:rsid w:val="00B7168B"/>
    <w:rsid w:val="00B811F7"/>
    <w:rsid w:val="00B83C7C"/>
    <w:rsid w:val="00BA5DC6"/>
    <w:rsid w:val="00BA6196"/>
    <w:rsid w:val="00BB3BEF"/>
    <w:rsid w:val="00BC6D8C"/>
    <w:rsid w:val="00C34006"/>
    <w:rsid w:val="00C36B4C"/>
    <w:rsid w:val="00C426B1"/>
    <w:rsid w:val="00C66160"/>
    <w:rsid w:val="00C721AC"/>
    <w:rsid w:val="00C90D6A"/>
    <w:rsid w:val="00CA247E"/>
    <w:rsid w:val="00CA6D21"/>
    <w:rsid w:val="00CC72B6"/>
    <w:rsid w:val="00CE65D6"/>
    <w:rsid w:val="00D0218D"/>
    <w:rsid w:val="00D25FB5"/>
    <w:rsid w:val="00D33A27"/>
    <w:rsid w:val="00D44223"/>
    <w:rsid w:val="00DA2529"/>
    <w:rsid w:val="00DB130A"/>
    <w:rsid w:val="00DB2EBB"/>
    <w:rsid w:val="00DC10A1"/>
    <w:rsid w:val="00DC655F"/>
    <w:rsid w:val="00DD0B59"/>
    <w:rsid w:val="00DD7EBD"/>
    <w:rsid w:val="00DF62B6"/>
    <w:rsid w:val="00E07225"/>
    <w:rsid w:val="00E24EEB"/>
    <w:rsid w:val="00E5409F"/>
    <w:rsid w:val="00EA1999"/>
    <w:rsid w:val="00EE6488"/>
    <w:rsid w:val="00F021FA"/>
    <w:rsid w:val="00F07BC5"/>
    <w:rsid w:val="00F62E97"/>
    <w:rsid w:val="00F64209"/>
    <w:rsid w:val="00F67BEA"/>
    <w:rsid w:val="00F87D5F"/>
    <w:rsid w:val="00F93BF5"/>
    <w:rsid w:val="378560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F6254B"/>
  <w15:chartTrackingRefBased/>
  <w15:docId w15:val="{A0B55AB5-8BAF-4492-B700-2487CC2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EA1999"/>
  </w:style>
  <w:style w:type="character" w:customStyle="1" w:styleId="ParaNumChar">
    <w:name w:val="ParaNum Char"/>
    <w:link w:val="ParaNum"/>
    <w:locked/>
    <w:rsid w:val="00EA1999"/>
    <w:rPr>
      <w:snapToGrid w:val="0"/>
      <w:kern w:val="28"/>
      <w:sz w:val="22"/>
    </w:rPr>
  </w:style>
  <w:style w:type="character" w:customStyle="1" w:styleId="normaltextrun">
    <w:name w:val="normaltextrun"/>
    <w:basedOn w:val="DefaultParagraphFont"/>
    <w:rsid w:val="00EA1999"/>
  </w:style>
  <w:style w:type="character" w:customStyle="1" w:styleId="StyleNumberedparagraphs11ptChar">
    <w:name w:val="Style Numbered paragraphs + 11 pt Char"/>
    <w:rsid w:val="00EA1999"/>
    <w:rPr>
      <w:noProof w:val="0"/>
      <w:sz w:val="22"/>
      <w:lang w:val="en-US" w:eastAsia="en-US" w:bidi="ar-SA"/>
    </w:rPr>
  </w:style>
  <w:style w:type="character" w:customStyle="1" w:styleId="eop">
    <w:name w:val="eop"/>
    <w:basedOn w:val="DefaultParagraphFont"/>
    <w:rsid w:val="00EA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wp-content/uploads/rural-health-care/documents/FCC-Forms/Form_466_201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