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30FD7" w:rsidRPr="00BE70CC" w:rsidP="00A30FD7" w14:paraId="7FA41ECA" w14:textId="77777777">
      <w:pPr>
        <w:widowControl/>
        <w:jc w:val="center"/>
        <w:rPr>
          <w:b/>
        </w:rPr>
      </w:pPr>
      <w:r w:rsidRPr="00BE70CC">
        <w:rPr>
          <w:b/>
          <w:kern w:val="0"/>
          <w:szCs w:val="22"/>
        </w:rPr>
        <w:t>Before</w:t>
      </w:r>
      <w:r w:rsidRPr="00BE70CC">
        <w:rPr>
          <w:b/>
        </w:rPr>
        <w:t xml:space="preserve"> the</w:t>
      </w:r>
    </w:p>
    <w:p w:rsidR="00A30FD7" w:rsidRPr="00BE70CC" w:rsidP="00A30FD7" w14:paraId="563E15A1"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A30FD7" w:rsidRPr="00BE70CC" w:rsidP="00A30FD7" w14:paraId="26D0B135" w14:textId="77777777">
      <w:pPr>
        <w:pStyle w:val="StyleBoldCentered"/>
        <w:widowControl/>
        <w:rPr>
          <w:rFonts w:ascii="Times New Roman" w:hAnsi="Times New Roman"/>
        </w:rPr>
      </w:pPr>
      <w:r w:rsidRPr="00BE70CC">
        <w:rPr>
          <w:rFonts w:ascii="Times New Roman" w:hAnsi="Times New Roman"/>
          <w:caps w:val="0"/>
        </w:rPr>
        <w:t>Washington</w:t>
      </w:r>
      <w:r>
        <w:rPr>
          <w:rFonts w:ascii="Times New Roman" w:hAnsi="Times New Roman"/>
        </w:rPr>
        <w:t>, D.C.</w:t>
      </w:r>
      <w:r w:rsidRPr="00BE70CC">
        <w:rPr>
          <w:rFonts w:ascii="Times New Roman" w:hAnsi="Times New Roman"/>
        </w:rPr>
        <w:t xml:space="preserve"> 20554</w:t>
      </w:r>
    </w:p>
    <w:p w:rsidR="00A30FD7" w:rsidRPr="00BE70CC" w:rsidP="00A30FD7" w14:paraId="2F2B116D" w14:textId="77777777">
      <w:pPr>
        <w:widowControl/>
      </w:pPr>
    </w:p>
    <w:tbl>
      <w:tblPr>
        <w:tblW w:w="0" w:type="auto"/>
        <w:tblLayout w:type="fixed"/>
        <w:tblLook w:val="0000"/>
      </w:tblPr>
      <w:tblGrid>
        <w:gridCol w:w="4698"/>
        <w:gridCol w:w="630"/>
        <w:gridCol w:w="4248"/>
      </w:tblGrid>
      <w:tr w14:paraId="7012C4E0" w14:textId="77777777" w:rsidTr="00447B59">
        <w:tblPrEx>
          <w:tblW w:w="0" w:type="auto"/>
          <w:tblLayout w:type="fixed"/>
          <w:tblLook w:val="0000"/>
        </w:tblPrEx>
        <w:tc>
          <w:tcPr>
            <w:tcW w:w="4698" w:type="dxa"/>
          </w:tcPr>
          <w:p w:rsidR="00A30FD7" w:rsidRPr="00BE70CC" w:rsidP="00447B59" w14:paraId="22484DE7" w14:textId="77777777">
            <w:pPr>
              <w:widowControl/>
              <w:suppressAutoHyphens/>
              <w:rPr>
                <w:spacing w:val="-2"/>
              </w:rPr>
            </w:pPr>
            <w:r w:rsidRPr="00BE70CC">
              <w:rPr>
                <w:spacing w:val="-2"/>
              </w:rPr>
              <w:t>In the Matter of</w:t>
            </w:r>
          </w:p>
          <w:p w:rsidR="00A30FD7" w:rsidRPr="00BE70CC" w:rsidP="00447B59" w14:paraId="4AE15F73" w14:textId="77777777">
            <w:pPr>
              <w:widowControl/>
              <w:suppressAutoHyphens/>
              <w:rPr>
                <w:spacing w:val="-2"/>
              </w:rPr>
            </w:pPr>
          </w:p>
          <w:p w:rsidR="00A30FD7" w:rsidRPr="00BE70CC" w:rsidP="00447B59" w14:paraId="43179206" w14:textId="33E7AEBC">
            <w:pPr>
              <w:widowControl/>
              <w:suppressAutoHyphens/>
              <w:rPr>
                <w:spacing w:val="-2"/>
              </w:rPr>
            </w:pPr>
            <w:r>
              <w:rPr>
                <w:spacing w:val="-2"/>
              </w:rPr>
              <w:t>B&amp;H Foto &amp; Electronics Corp</w:t>
            </w:r>
            <w:r w:rsidR="004F5B46">
              <w:rPr>
                <w:spacing w:val="-2"/>
              </w:rPr>
              <w:t>oration</w:t>
            </w:r>
          </w:p>
        </w:tc>
        <w:tc>
          <w:tcPr>
            <w:tcW w:w="630" w:type="dxa"/>
          </w:tcPr>
          <w:p w:rsidR="00A30FD7" w:rsidRPr="00BE70CC" w:rsidP="00447B59" w14:paraId="7A49C273" w14:textId="77777777">
            <w:pPr>
              <w:widowControl/>
              <w:suppressAutoHyphens/>
              <w:rPr>
                <w:spacing w:val="-2"/>
              </w:rPr>
            </w:pPr>
            <w:r w:rsidRPr="00BE70CC">
              <w:rPr>
                <w:spacing w:val="-2"/>
              </w:rPr>
              <w:t>)</w:t>
            </w:r>
          </w:p>
          <w:p w:rsidR="00A30FD7" w:rsidRPr="00BE70CC" w:rsidP="00447B59" w14:paraId="7AB5A08C" w14:textId="77777777">
            <w:pPr>
              <w:widowControl/>
              <w:suppressAutoHyphens/>
              <w:rPr>
                <w:spacing w:val="-2"/>
              </w:rPr>
            </w:pPr>
            <w:r w:rsidRPr="00BE70CC">
              <w:rPr>
                <w:spacing w:val="-2"/>
              </w:rPr>
              <w:t>)</w:t>
            </w:r>
          </w:p>
          <w:p w:rsidR="00A30FD7" w:rsidRPr="00BE70CC" w:rsidP="00447B59" w14:paraId="24DD14EB" w14:textId="77777777">
            <w:pPr>
              <w:widowControl/>
              <w:suppressAutoHyphens/>
              <w:rPr>
                <w:spacing w:val="-2"/>
              </w:rPr>
            </w:pPr>
            <w:r w:rsidRPr="00BE70CC">
              <w:rPr>
                <w:spacing w:val="-2"/>
              </w:rPr>
              <w:t>)</w:t>
            </w:r>
          </w:p>
          <w:p w:rsidR="00A30FD7" w:rsidRPr="00BE70CC" w:rsidP="00447B59" w14:paraId="5078512A" w14:textId="77777777">
            <w:pPr>
              <w:widowControl/>
              <w:suppressAutoHyphens/>
              <w:rPr>
                <w:spacing w:val="-2"/>
              </w:rPr>
            </w:pPr>
            <w:r w:rsidRPr="00BE70CC">
              <w:rPr>
                <w:spacing w:val="-2"/>
              </w:rPr>
              <w:t>)</w:t>
            </w:r>
          </w:p>
          <w:p w:rsidR="00A30FD7" w:rsidRPr="00BE70CC" w:rsidP="00447B59" w14:paraId="32CE9146" w14:textId="77777777">
            <w:pPr>
              <w:widowControl/>
              <w:suppressAutoHyphens/>
              <w:rPr>
                <w:spacing w:val="-2"/>
              </w:rPr>
            </w:pPr>
          </w:p>
        </w:tc>
        <w:tc>
          <w:tcPr>
            <w:tcW w:w="4248" w:type="dxa"/>
          </w:tcPr>
          <w:p w:rsidR="00A30FD7" w:rsidRPr="00BE70CC" w:rsidP="00447B59" w14:paraId="39A7FC2D" w14:textId="77777777">
            <w:pPr>
              <w:widowControl/>
              <w:suppressAutoHyphens/>
              <w:rPr>
                <w:spacing w:val="-2"/>
              </w:rPr>
            </w:pPr>
          </w:p>
          <w:p w:rsidR="00A30FD7" w:rsidRPr="00BE70CC" w:rsidP="00447B59" w14:paraId="7C822AB4" w14:textId="77777777">
            <w:pPr>
              <w:widowControl/>
              <w:suppressAutoHyphens/>
              <w:rPr>
                <w:spacing w:val="-2"/>
              </w:rPr>
            </w:pPr>
          </w:p>
          <w:p w:rsidR="00A30FD7" w:rsidRPr="00BE70CC" w:rsidP="00447B59" w14:paraId="28AD2BDC" w14:textId="242C43DB">
            <w:pPr>
              <w:widowControl/>
              <w:suppressAutoHyphens/>
              <w:ind w:left="432"/>
              <w:rPr>
                <w:spacing w:val="-2"/>
              </w:rPr>
            </w:pPr>
            <w:r w:rsidRPr="00BE70CC">
              <w:rPr>
                <w:spacing w:val="-2"/>
              </w:rPr>
              <w:t>File No.:  EB-</w:t>
            </w:r>
            <w:r>
              <w:rPr>
                <w:spacing w:val="-2"/>
              </w:rPr>
              <w:t>SED-20-00031344</w:t>
            </w:r>
          </w:p>
          <w:p w:rsidR="00A30FD7" w:rsidRPr="00BE70CC" w:rsidP="00A30FD7" w14:paraId="237F920D" w14:textId="77777777">
            <w:pPr>
              <w:widowControl/>
              <w:suppressAutoHyphens/>
              <w:ind w:left="432"/>
              <w:rPr>
                <w:spacing w:val="-2"/>
              </w:rPr>
            </w:pPr>
          </w:p>
        </w:tc>
      </w:tr>
    </w:tbl>
    <w:p w:rsidR="00E273E3" w:rsidRPr="00BE70CC" w:rsidP="006A2009" w14:paraId="11B83010" w14:textId="77777777">
      <w:pPr>
        <w:pStyle w:val="StyleBoldCentered"/>
        <w:widowControl/>
        <w:spacing w:after="220"/>
      </w:pPr>
      <w:r w:rsidRPr="00BE70CC">
        <w:t xml:space="preserve">CITATION AND </w:t>
      </w:r>
      <w:r w:rsidRPr="00BE70CC">
        <w:t>ORDER</w:t>
      </w:r>
    </w:p>
    <w:p w:rsidR="005321F0" w:rsidRPr="00BE70CC" w:rsidP="005321F0" w14:paraId="62189E1E" w14:textId="54644701">
      <w:pPr>
        <w:spacing w:after="240"/>
        <w:jc w:val="center"/>
        <w:rPr>
          <w:b/>
          <w:szCs w:val="22"/>
        </w:rPr>
      </w:pPr>
      <w:r>
        <w:rPr>
          <w:b/>
          <w:szCs w:val="22"/>
        </w:rPr>
        <w:t>ILLEGAL MARKETING OF UNAUTHORIZED RADIO FREQUENCY DEVICES</w:t>
      </w:r>
    </w:p>
    <w:p w:rsidR="006B2659" w:rsidP="006B2659" w14:paraId="59F8E02D" w14:textId="067F9BE8">
      <w:pPr>
        <w:tabs>
          <w:tab w:val="left" w:pos="720"/>
          <w:tab w:val="right" w:pos="9360"/>
        </w:tabs>
        <w:suppressAutoHyphens/>
        <w:spacing w:line="227" w:lineRule="auto"/>
        <w:rPr>
          <w:spacing w:val="-2"/>
        </w:rPr>
      </w:pPr>
      <w:r>
        <w:rPr>
          <w:b/>
          <w:spacing w:val="-2"/>
        </w:rPr>
        <w:t xml:space="preserve">Adopted:  </w:t>
      </w:r>
      <w:r>
        <w:rPr>
          <w:b/>
          <w:spacing w:val="-2"/>
        </w:rPr>
        <w:t>December 7, 2022</w:t>
      </w:r>
      <w:r>
        <w:rPr>
          <w:b/>
          <w:spacing w:val="-2"/>
        </w:rPr>
        <w:tab/>
        <w:t xml:space="preserve">Released:  </w:t>
      </w:r>
      <w:r>
        <w:rPr>
          <w:b/>
          <w:spacing w:val="-2"/>
        </w:rPr>
        <w:t>December 7, 2022</w:t>
      </w:r>
    </w:p>
    <w:p w:rsidR="00E273E3" w:rsidRPr="00BE70CC" w:rsidP="00EE05DB" w14:paraId="1920F795" w14:textId="77777777">
      <w:pPr>
        <w:widowControl/>
        <w:jc w:val="center"/>
      </w:pPr>
    </w:p>
    <w:p w:rsidR="00E273E3" w:rsidP="002659F3" w14:paraId="20C6D26B" w14:textId="13EBD573">
      <w:pPr>
        <w:widowControl/>
        <w:rPr>
          <w:spacing w:val="-2"/>
          <w:szCs w:val="22"/>
        </w:rPr>
      </w:pPr>
      <w:r w:rsidRPr="00BE70CC">
        <w:t xml:space="preserve">By the </w:t>
      </w:r>
      <w:r w:rsidR="00F27F07">
        <w:t>Chief, Spectrum Enforcement Division</w:t>
      </w:r>
      <w:r w:rsidRPr="002D3E96" w:rsidR="00F51ACA">
        <w:rPr>
          <w:spacing w:val="-2"/>
          <w:szCs w:val="22"/>
        </w:rPr>
        <w:t>, Enforcement Bureau</w:t>
      </w:r>
      <w:r w:rsidRPr="006D73F2" w:rsidR="00EE36BE">
        <w:rPr>
          <w:spacing w:val="-2"/>
          <w:szCs w:val="22"/>
        </w:rPr>
        <w:t>:</w:t>
      </w:r>
    </w:p>
    <w:p w:rsidR="00E3690F" w:rsidP="002659F3" w14:paraId="71C9904D" w14:textId="5CB1DD52">
      <w:pPr>
        <w:widowControl/>
        <w:rPr>
          <w:spacing w:val="-2"/>
          <w:szCs w:val="22"/>
        </w:rPr>
      </w:pPr>
    </w:p>
    <w:p w:rsidR="00E273E3" w:rsidRPr="00BE70CC" w:rsidP="00226191" w14:paraId="6C3E0E80" w14:textId="77777777">
      <w:pPr>
        <w:pStyle w:val="Heading1"/>
      </w:pPr>
      <w:bookmarkStart w:id="0" w:name="_Toc379288998"/>
      <w:bookmarkStart w:id="1" w:name="_Toc379365499"/>
      <w:r w:rsidRPr="00BE70CC">
        <w:t>NOTICE OF CITATION</w:t>
      </w:r>
      <w:bookmarkEnd w:id="0"/>
      <w:bookmarkEnd w:id="1"/>
    </w:p>
    <w:p w:rsidR="00A204BA" w:rsidRPr="00BE70CC" w:rsidP="005A05DF" w14:paraId="23BF3B6A" w14:textId="72C9E6CA">
      <w:pPr>
        <w:pStyle w:val="ParaNum"/>
        <w:widowControl/>
      </w:pPr>
      <w:r>
        <w:t>T</w:t>
      </w:r>
      <w:r w:rsidRPr="00BE70CC" w:rsidR="00500FF2">
        <w:t xml:space="preserve">his </w:t>
      </w:r>
      <w:r w:rsidRPr="00BE70CC" w:rsidR="00500FF2">
        <w:rPr>
          <w:b/>
        </w:rPr>
        <w:t>CITATION AND ORDER</w:t>
      </w:r>
      <w:r w:rsidRPr="00BE70CC" w:rsidR="00716E89">
        <w:rPr>
          <w:b/>
        </w:rPr>
        <w:t xml:space="preserve"> </w:t>
      </w:r>
      <w:r w:rsidRPr="00BE70CC" w:rsidR="00716E89">
        <w:t>(Citation)</w:t>
      </w:r>
      <w:r>
        <w:t>, notifies</w:t>
      </w:r>
      <w:r w:rsidRPr="00BE70CC" w:rsidR="00500FF2">
        <w:t xml:space="preserve"> </w:t>
      </w:r>
      <w:r w:rsidR="00F27F07">
        <w:t>B&amp;H Foto &amp; Electronics Corporation (</w:t>
      </w:r>
      <w:r w:rsidR="001543D2">
        <w:t>“</w:t>
      </w:r>
      <w:r w:rsidR="00F27F07">
        <w:t>B&amp;H</w:t>
      </w:r>
      <w:r w:rsidR="001543D2">
        <w:t>”</w:t>
      </w:r>
      <w:r w:rsidR="00F27F07">
        <w:t xml:space="preserve"> or </w:t>
      </w:r>
      <w:r w:rsidR="001543D2">
        <w:t>“</w:t>
      </w:r>
      <w:r w:rsidR="00F27F07">
        <w:t>Company</w:t>
      </w:r>
      <w:r w:rsidR="001543D2">
        <w:t>”</w:t>
      </w:r>
      <w:r w:rsidR="00F27F07">
        <w:t>)</w:t>
      </w:r>
      <w:r w:rsidRPr="00BE70CC" w:rsidR="00E273E3">
        <w:t xml:space="preserve"> </w:t>
      </w:r>
      <w:r w:rsidRPr="00BE70CC" w:rsidR="00500FF2">
        <w:t xml:space="preserve">that it </w:t>
      </w:r>
      <w:r w:rsidR="00362891">
        <w:t>unlawfully marketed</w:t>
      </w:r>
      <w:r>
        <w:rPr>
          <w:rStyle w:val="FootnoteReference"/>
        </w:rPr>
        <w:footnoteReference w:id="3"/>
      </w:r>
      <w:r w:rsidR="00D06C94">
        <w:t xml:space="preserve"> seven</w:t>
      </w:r>
      <w:r w:rsidR="00362891">
        <w:t xml:space="preserve"> </w:t>
      </w:r>
      <w:r w:rsidR="00EA631F">
        <w:t xml:space="preserve">radio frequency devices that: </w:t>
      </w:r>
      <w:r w:rsidR="009A641A">
        <w:t>(i)</w:t>
      </w:r>
      <w:r w:rsidR="00D06C94">
        <w:t> </w:t>
      </w:r>
      <w:r w:rsidR="00562DC4">
        <w:t>did not use a permanently attached antenna or an antenna that uses a unique connector</w:t>
      </w:r>
      <w:r w:rsidR="00D064DA">
        <w:t>;</w:t>
      </w:r>
      <w:r w:rsidR="00562DC4">
        <w:t xml:space="preserve"> </w:t>
      </w:r>
      <w:r w:rsidR="00EA631F">
        <w:t xml:space="preserve">(ii) </w:t>
      </w:r>
      <w:r w:rsidR="00562DC4">
        <w:t xml:space="preserve">lacked </w:t>
      </w:r>
      <w:r w:rsidR="000D12BA">
        <w:t xml:space="preserve">an </w:t>
      </w:r>
      <w:r w:rsidR="00562DC4">
        <w:t>equipment authorization</w:t>
      </w:r>
      <w:r w:rsidR="00D064DA">
        <w:t>;</w:t>
      </w:r>
      <w:r w:rsidR="00562DC4">
        <w:t xml:space="preserve"> </w:t>
      </w:r>
      <w:r w:rsidR="00EA631F">
        <w:t xml:space="preserve">(iii) </w:t>
      </w:r>
      <w:r w:rsidR="00562DC4">
        <w:t>lacked the appropriate labeling and user manual disclosures</w:t>
      </w:r>
      <w:r w:rsidR="009A641A">
        <w:t>; (i</w:t>
      </w:r>
      <w:r w:rsidR="00EA631F">
        <w:t>v</w:t>
      </w:r>
      <w:r w:rsidR="009A641A">
        <w:t xml:space="preserve">) </w:t>
      </w:r>
      <w:r w:rsidR="00EA631F">
        <w:t>operated in bands not authorized by the device’s</w:t>
      </w:r>
      <w:r w:rsidR="009A641A">
        <w:t xml:space="preserve"> certifications; </w:t>
      </w:r>
      <w:r w:rsidR="00D064DA">
        <w:t>and</w:t>
      </w:r>
      <w:r w:rsidR="00D06C94">
        <w:t>/or</w:t>
      </w:r>
      <w:r w:rsidR="00D064DA">
        <w:t xml:space="preserve"> </w:t>
      </w:r>
      <w:r w:rsidR="009A641A">
        <w:t xml:space="preserve">(iv) </w:t>
      </w:r>
      <w:r w:rsidR="00D06C94">
        <w:t xml:space="preserve">were </w:t>
      </w:r>
      <w:r w:rsidR="009A641A">
        <w:t xml:space="preserve">capable of operating outside of the FM frequency band.  </w:t>
      </w:r>
      <w:r w:rsidR="00562DC4">
        <w:t xml:space="preserve">Specifically, B&amp;H marketed </w:t>
      </w:r>
      <w:r w:rsidR="00857461">
        <w:t xml:space="preserve">the Rolls HR70 FM Broadcast Transmitter </w:t>
      </w:r>
      <w:r w:rsidR="006A2009">
        <w:t>(</w:t>
      </w:r>
      <w:r w:rsidR="00857461">
        <w:t>HR70</w:t>
      </w:r>
      <w:r w:rsidR="006A2009">
        <w:t>)</w:t>
      </w:r>
      <w:r w:rsidR="00857461">
        <w:t xml:space="preserve">, </w:t>
      </w:r>
      <w:r w:rsidR="000F40AB">
        <w:t xml:space="preserve">Scosche BTFreq Handsfree Car Kit with FM Transmitter, Scosche Universal Bluetooth Hands-Free Car Kit with FM Transmitter, Scosche Bluetooth Hands-Free Car Kit with FM Transmitter &amp; USB Charging Port, Scosche BTFreq Pro Bluetooth FM Transmitter with Power Delivery, </w:t>
      </w:r>
      <w:r w:rsidR="009C6B6D">
        <w:t>HyperGear Intelli</w:t>
      </w:r>
      <w:r w:rsidR="00E24BA3">
        <w:t>C</w:t>
      </w:r>
      <w:r w:rsidR="009C6B6D">
        <w:t>ast FM Transmitter and Car C</w:t>
      </w:r>
      <w:r w:rsidR="00744F03">
        <w:t>harger, and Aluratek Universal Bluetooth Audio Receiver and FM Transmitter in violation of section 302</w:t>
      </w:r>
      <w:r w:rsidR="00F02E9D">
        <w:t>(b)</w:t>
      </w:r>
      <w:r w:rsidR="00744F03">
        <w:t xml:space="preserve"> of the Communications Act of 1934, as amended (Act) and</w:t>
      </w:r>
      <w:r w:rsidR="00D06C94">
        <w:t>/or</w:t>
      </w:r>
      <w:r w:rsidR="00744F03">
        <w:t xml:space="preserve"> sections 2.803, 2.92</w:t>
      </w:r>
      <w:r w:rsidR="00010D10">
        <w:t>5</w:t>
      </w:r>
      <w:r w:rsidR="00744F03">
        <w:t>, 15.19, 15.21, 15.201, 15.203, and 15.239 of the Commission’s rules.</w:t>
      </w:r>
      <w:r>
        <w:rPr>
          <w:rStyle w:val="FootnoteReference"/>
        </w:rPr>
        <w:footnoteReference w:id="4"/>
      </w:r>
      <w:r w:rsidR="00744F03">
        <w:t xml:space="preserve">  We therefore direct</w:t>
      </w:r>
      <w:r w:rsidR="006C51C8">
        <w:t xml:space="preserve"> B&amp;H to take immediate steps to comply with the Commission’s equipment authorization and marketing rules and to cease marketing any unauthorized radio frequency devices in the United States.  If the Company fails to comply with the</w:t>
      </w:r>
      <w:r w:rsidR="00563167">
        <w:t>s</w:t>
      </w:r>
      <w:r w:rsidR="006C51C8">
        <w:t xml:space="preserve">e laws, it may be liable for significant fines </w:t>
      </w:r>
      <w:r w:rsidR="004602F9">
        <w:t xml:space="preserve">of </w:t>
      </w:r>
      <w:r w:rsidR="006C51C8">
        <w:t>up to $2</w:t>
      </w:r>
      <w:r w:rsidR="0008655C">
        <w:t>2,021</w:t>
      </w:r>
      <w:r w:rsidR="006C51C8">
        <w:t xml:space="preserve"> per day for each unauthorized model marketed, as well as other sanctions.</w:t>
      </w:r>
      <w:r>
        <w:rPr>
          <w:rStyle w:val="FootnoteReference"/>
        </w:rPr>
        <w:footnoteReference w:id="5"/>
      </w:r>
      <w:r w:rsidRPr="00BE70CC" w:rsidR="008B27C1">
        <w:t xml:space="preserve"> </w:t>
      </w:r>
    </w:p>
    <w:p w:rsidR="005F042A" w:rsidRPr="00BE70CC" w:rsidP="005A05DF" w14:paraId="5C41C403" w14:textId="1E9AE59E">
      <w:pPr>
        <w:pStyle w:val="ParaNum"/>
        <w:widowControl/>
        <w:rPr>
          <w:kern w:val="0"/>
        </w:rPr>
      </w:pPr>
      <w:r w:rsidRPr="00BE70CC">
        <w:rPr>
          <w:b/>
          <w:i/>
        </w:rPr>
        <w:t xml:space="preserve">Notice of Duty to Comply with </w:t>
      </w:r>
      <w:r w:rsidRPr="00BE70CC" w:rsidR="00F6754D">
        <w:rPr>
          <w:b/>
          <w:i/>
        </w:rPr>
        <w:t>the Law</w:t>
      </w:r>
      <w:r w:rsidRPr="00BE70CC">
        <w:t xml:space="preserve">:  </w:t>
      </w:r>
      <w:r w:rsidRPr="00BE70CC" w:rsidR="00716E89">
        <w:t xml:space="preserve">We issue this Citation pursuant to </w:t>
      </w:r>
      <w:r w:rsidR="002141E6">
        <w:t>s</w:t>
      </w:r>
      <w:r w:rsidRPr="00BE70CC" w:rsidR="00716E89">
        <w:t xml:space="preserve">ection 503(b)(5) of the Act, which </w:t>
      </w:r>
      <w:r w:rsidRPr="00BE70CC" w:rsidR="00727F4F">
        <w:t xml:space="preserve">states that the Commission may not impose </w:t>
      </w:r>
      <w:r w:rsidRPr="00BE70CC" w:rsidR="00716E89">
        <w:t>monetary forfeitures against non-regulatees who violate Commission rules or the Act</w:t>
      </w:r>
      <w:r w:rsidRPr="00BE70CC" w:rsidR="00727F4F">
        <w:t xml:space="preserve"> </w:t>
      </w:r>
      <w:r w:rsidRPr="00BE70CC" w:rsidR="00C42D39">
        <w:t>unless and until</w:t>
      </w:r>
      <w:r w:rsidRPr="00BE70CC" w:rsidR="00BF39AF">
        <w:t xml:space="preserve">: </w:t>
      </w:r>
      <w:r w:rsidRPr="00BE70CC" w:rsidR="00716E89">
        <w:t xml:space="preserve"> (a)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6"/>
      </w:r>
      <w:r w:rsidRPr="00BE70CC" w:rsidR="00716E89">
        <w:t xml:space="preserve">  </w:t>
      </w:r>
      <w:r w:rsidRPr="00BE70CC" w:rsidR="006E6234">
        <w:t xml:space="preserve">Accordingly, </w:t>
      </w:r>
      <w:r w:rsidR="00195B9D">
        <w:t xml:space="preserve">B&amp;H </w:t>
      </w:r>
      <w:r w:rsidRPr="00BE70CC" w:rsidR="00BF790E">
        <w:rPr>
          <w:kern w:val="2"/>
        </w:rPr>
        <w:t xml:space="preserve">is hereby on </w:t>
      </w:r>
      <w:r w:rsidRPr="00BE70CC" w:rsidR="00BF790E">
        <w:rPr>
          <w:kern w:val="2"/>
        </w:rPr>
        <w:t xml:space="preserve">notice that it must comply with </w:t>
      </w:r>
      <w:r w:rsidRPr="00BE70CC" w:rsidR="0027183B">
        <w:rPr>
          <w:color w:val="000000"/>
          <w:kern w:val="2"/>
        </w:rPr>
        <w:t xml:space="preserve">of the </w:t>
      </w:r>
      <w:r w:rsidR="00F02E9D">
        <w:t>section 302</w:t>
      </w:r>
      <w:r w:rsidR="005D043A">
        <w:t>(</w:t>
      </w:r>
      <w:r w:rsidR="00F02E9D">
        <w:t>b</w:t>
      </w:r>
      <w:r w:rsidR="009F5929">
        <w:t>)</w:t>
      </w:r>
      <w:r w:rsidR="00F02E9D">
        <w:t xml:space="preserve"> of the Act and sections 2.803, 2.92</w:t>
      </w:r>
      <w:r w:rsidR="00010D10">
        <w:t>5</w:t>
      </w:r>
      <w:r w:rsidR="00F02E9D">
        <w:t>, 15.19, 15.21, 15.201, 15.203, and 15.239 of the Commission’s rules</w:t>
      </w:r>
      <w:r w:rsidRPr="00BE70CC" w:rsidR="00BF790E">
        <w:rPr>
          <w:color w:val="000000"/>
          <w:kern w:val="2"/>
        </w:rPr>
        <w:t>.</w:t>
      </w:r>
      <w:r>
        <w:rPr>
          <w:rStyle w:val="FootnoteReference"/>
          <w:kern w:val="2"/>
        </w:rPr>
        <w:footnoteReference w:id="7"/>
      </w:r>
      <w:r w:rsidRPr="00BE70CC" w:rsidR="00BF790E">
        <w:rPr>
          <w:color w:val="000000"/>
          <w:kern w:val="2"/>
        </w:rPr>
        <w:t xml:space="preserve">  I</w:t>
      </w:r>
      <w:r w:rsidRPr="00BE70CC" w:rsidR="00BF790E">
        <w:t xml:space="preserve">f </w:t>
      </w:r>
      <w:r w:rsidR="001F7819">
        <w:t xml:space="preserve">B&amp;H </w:t>
      </w:r>
      <w:r w:rsidRPr="00BE70CC" w:rsidR="00BF790E">
        <w:rPr>
          <w:kern w:val="2"/>
        </w:rPr>
        <w:t xml:space="preserve">subsequently engages in any conduct of the type </w:t>
      </w:r>
      <w:r w:rsidRPr="00BE70CC" w:rsidR="00C42D39">
        <w:rPr>
          <w:kern w:val="2"/>
        </w:rPr>
        <w:t>this Citation describes</w:t>
      </w:r>
      <w:r w:rsidR="001F7819">
        <w:rPr>
          <w:kern w:val="2"/>
        </w:rPr>
        <w:t xml:space="preserve">, </w:t>
      </w:r>
      <w:r w:rsidR="00B72F73">
        <w:rPr>
          <w:kern w:val="2"/>
        </w:rPr>
        <w:t xml:space="preserve">including </w:t>
      </w:r>
      <w:r w:rsidRPr="00BE70CC" w:rsidR="00BF790E">
        <w:rPr>
          <w:kern w:val="2"/>
        </w:rPr>
        <w:t>specifically any violation of</w:t>
      </w:r>
      <w:r w:rsidR="001F7819">
        <w:rPr>
          <w:kern w:val="2"/>
        </w:rPr>
        <w:t xml:space="preserve"> </w:t>
      </w:r>
      <w:r w:rsidR="001F7819">
        <w:t>section 302</w:t>
      </w:r>
      <w:r w:rsidR="005D043A">
        <w:t>(</w:t>
      </w:r>
      <w:r w:rsidR="001F7819">
        <w:t>b</w:t>
      </w:r>
      <w:r w:rsidR="005D043A">
        <w:t>)</w:t>
      </w:r>
      <w:r w:rsidR="001F7819">
        <w:t xml:space="preserve"> of the Act </w:t>
      </w:r>
      <w:r w:rsidR="00B72F73">
        <w:t xml:space="preserve">or </w:t>
      </w:r>
      <w:r w:rsidR="001F7819">
        <w:t>section</w:t>
      </w:r>
      <w:r w:rsidR="00B72F73">
        <w:t>(</w:t>
      </w:r>
      <w:r w:rsidR="001F7819">
        <w:t>s</w:t>
      </w:r>
      <w:r w:rsidR="00B72F73">
        <w:t>)</w:t>
      </w:r>
      <w:r w:rsidR="001F7819">
        <w:t xml:space="preserve"> 2.803, 2.925, 15.19, 15.21, 15.201, 15.203, </w:t>
      </w:r>
      <w:r w:rsidR="00B72F73">
        <w:t>or</w:t>
      </w:r>
      <w:r w:rsidR="001F7819">
        <w:t xml:space="preserve"> 15.239 of the Commission’s rules, B&amp;H </w:t>
      </w:r>
      <w:r w:rsidRPr="00BE70CC" w:rsidR="00BF790E">
        <w:rPr>
          <w:kern w:val="2"/>
        </w:rPr>
        <w:t>may be subject to civil penalties, including but not limited to, substantial monetary forfeitures.  In assessing such forfeitures, the Commission may consider both the conduct that led to this Citation and the conduct following it.</w:t>
      </w:r>
      <w:r>
        <w:rPr>
          <w:kern w:val="2"/>
          <w:vertAlign w:val="superscript"/>
        </w:rPr>
        <w:footnoteReference w:id="8"/>
      </w:r>
      <w:r w:rsidR="001F7819">
        <w:rPr>
          <w:kern w:val="2"/>
        </w:rPr>
        <w:t xml:space="preserve">  B&amp;H </w:t>
      </w:r>
      <w:r w:rsidR="00B72F73">
        <w:rPr>
          <w:kern w:val="2"/>
        </w:rPr>
        <w:t xml:space="preserve">must </w:t>
      </w:r>
      <w:r w:rsidR="001F7819">
        <w:rPr>
          <w:kern w:val="2"/>
        </w:rPr>
        <w:t xml:space="preserve">take immediate steps to ensure that </w:t>
      </w:r>
      <w:r w:rsidR="00B72F73">
        <w:rPr>
          <w:kern w:val="2"/>
        </w:rPr>
        <w:t xml:space="preserve">any and </w:t>
      </w:r>
      <w:r w:rsidR="001F7819">
        <w:rPr>
          <w:kern w:val="2"/>
        </w:rPr>
        <w:t xml:space="preserve">all radio frequency equipment in its inventory that is marketed to U.S. consumers is authorized for sale in the United States and compliant with all </w:t>
      </w:r>
      <w:r w:rsidR="00B72F73">
        <w:rPr>
          <w:kern w:val="2"/>
        </w:rPr>
        <w:t xml:space="preserve">Commission equipment marketing </w:t>
      </w:r>
      <w:r w:rsidR="001F7819">
        <w:rPr>
          <w:kern w:val="2"/>
        </w:rPr>
        <w:t>rules.</w:t>
      </w:r>
      <w:r>
        <w:rPr>
          <w:rStyle w:val="FootnoteReference"/>
          <w:kern w:val="2"/>
        </w:rPr>
        <w:footnoteReference w:id="9"/>
      </w:r>
    </w:p>
    <w:p w:rsidR="001E2FAC" w:rsidP="005A05DF" w14:paraId="00C23F6B" w14:textId="77777777">
      <w:pPr>
        <w:pStyle w:val="Heading1"/>
        <w:widowControl/>
      </w:pPr>
      <w:bookmarkStart w:id="2" w:name="_Toc379288999"/>
      <w:bookmarkStart w:id="3" w:name="_Toc379365500"/>
      <w:r w:rsidRPr="00BE70CC">
        <w:t>BACKGROUND</w:t>
      </w:r>
      <w:bookmarkEnd w:id="2"/>
      <w:bookmarkEnd w:id="3"/>
    </w:p>
    <w:p w:rsidR="00771254" w:rsidP="005A05DF" w14:paraId="0E2D5DCC" w14:textId="1BD84A1A">
      <w:pPr>
        <w:pStyle w:val="ParaNum"/>
        <w:widowControl/>
      </w:pPr>
      <w:r w:rsidRPr="001C45A8">
        <w:rPr>
          <w:u w:val="single"/>
        </w:rPr>
        <w:t>Legal Background</w:t>
      </w:r>
      <w:r>
        <w:t xml:space="preserve">.  </w:t>
      </w:r>
      <w:r w:rsidRPr="00713F52">
        <w:t xml:space="preserve">To best accommodate the diversity of radio communication needs, the Commission </w:t>
      </w:r>
      <w:r w:rsidR="00694239">
        <w:t xml:space="preserve">allocates </w:t>
      </w:r>
      <w:r w:rsidRPr="00713F52">
        <w:t xml:space="preserve">radio frequency spectrum, and creates different radio services, each with different operating parameters.  </w:t>
      </w:r>
      <w:r w:rsidR="001E2FAC">
        <w:t xml:space="preserve">Under </w:t>
      </w:r>
      <w:r w:rsidRPr="00151901" w:rsidR="000C2FD7">
        <w:t xml:space="preserve">the Commission’s rules, radio frequency devices marketed in the United States must operate within certain technical parameters, otherwise they may interfere with </w:t>
      </w:r>
      <w:r w:rsidR="00B72F73">
        <w:t xml:space="preserve">other </w:t>
      </w:r>
      <w:r w:rsidRPr="00151901" w:rsidR="000C2FD7">
        <w:t>authorized communications systems.  Consistent with these rules, the Commission has established an equipment authorization program, which generally requires that radio frequency devices undergo testing to verify that they comply with FCC-prescribed technical requirements before such devices can be marketed in the United States.</w:t>
      </w:r>
      <w:r>
        <w:rPr>
          <w:rStyle w:val="FootnoteReference"/>
        </w:rPr>
        <w:footnoteReference w:id="10"/>
      </w:r>
      <w:r w:rsidRPr="00151901" w:rsidR="000C2FD7">
        <w:t xml:space="preserve"> </w:t>
      </w:r>
      <w:r w:rsidR="000C2FD7">
        <w:t xml:space="preserve"> </w:t>
      </w:r>
      <w:r w:rsidRPr="00151901" w:rsidR="000C2FD7">
        <w:t>The Commission’s equipment authorization and labeling rules ensure that radio frequency devices meet the Commission’s technical requirements.</w:t>
      </w:r>
      <w:r>
        <w:rPr>
          <w:rStyle w:val="FootnoteReference"/>
        </w:rPr>
        <w:footnoteReference w:id="11"/>
      </w:r>
      <w:r w:rsidRPr="00151901" w:rsidR="000C2FD7">
        <w:t xml:space="preserve"> </w:t>
      </w:r>
      <w:r w:rsidR="000C2FD7">
        <w:t xml:space="preserve"> </w:t>
      </w:r>
      <w:r w:rsidRPr="00151901" w:rsidR="000C2FD7">
        <w:t>As such, marketers must ensure that radio frequen</w:t>
      </w:r>
      <w:r w:rsidR="000C2FD7">
        <w:t>c</w:t>
      </w:r>
      <w:r w:rsidRPr="00151901" w:rsidR="000C2FD7">
        <w:t>y</w:t>
      </w:r>
      <w:r w:rsidR="000C2FD7">
        <w:t xml:space="preserve"> </w:t>
      </w:r>
      <w:r w:rsidRPr="00151901" w:rsidR="000C2FD7">
        <w:t>devices are properly authorized and comply with all applicable technical, labeling, and identification requirements prior to being offered for sale in the United States.</w:t>
      </w:r>
      <w:r w:rsidR="00853D95">
        <w:t xml:space="preserve">  </w:t>
      </w:r>
    </w:p>
    <w:p w:rsidR="00047B3E" w:rsidRPr="00047B3E" w:rsidP="005A05DF" w14:paraId="74E32007" w14:textId="2E76DA26">
      <w:pPr>
        <w:pStyle w:val="ParaNum"/>
        <w:widowControl/>
      </w:pPr>
      <w:r>
        <w:rPr>
          <w:szCs w:val="22"/>
        </w:rPr>
        <w:t xml:space="preserve">Section 15.201 of the Commission’s rules requires an authorization </w:t>
      </w:r>
      <w:r w:rsidR="00033DDA">
        <w:rPr>
          <w:szCs w:val="22"/>
        </w:rPr>
        <w:t xml:space="preserve">termed a </w:t>
      </w:r>
      <w:r>
        <w:rPr>
          <w:szCs w:val="22"/>
        </w:rPr>
        <w:t>certification for the devices at issue in this Citation.</w:t>
      </w:r>
      <w:r>
        <w:rPr>
          <w:rStyle w:val="FootnoteReference"/>
          <w:szCs w:val="22"/>
        </w:rPr>
        <w:footnoteReference w:id="12"/>
      </w:r>
      <w:r>
        <w:rPr>
          <w:szCs w:val="22"/>
        </w:rPr>
        <w:t xml:space="preserve">  </w:t>
      </w:r>
      <w:r>
        <w:rPr>
          <w:szCs w:val="22"/>
        </w:rPr>
        <w:t>Section 2.925(a) of the Commission’s rules requires labeling of the device with the FCC Identifier</w:t>
      </w:r>
      <w:r w:rsidR="00D63B9A">
        <w:rPr>
          <w:szCs w:val="22"/>
        </w:rPr>
        <w:t>.</w:t>
      </w:r>
      <w:r>
        <w:rPr>
          <w:rStyle w:val="FootnoteReference"/>
          <w:szCs w:val="22"/>
        </w:rPr>
        <w:footnoteReference w:id="13"/>
      </w:r>
      <w:r>
        <w:rPr>
          <w:szCs w:val="22"/>
        </w:rPr>
        <w:t xml:space="preserve">  Section 15.19(a)(3) requires </w:t>
      </w:r>
      <w:r w:rsidR="00A63319">
        <w:rPr>
          <w:szCs w:val="22"/>
        </w:rPr>
        <w:t xml:space="preserve">labeling of the device </w:t>
      </w:r>
      <w:r>
        <w:rPr>
          <w:szCs w:val="22"/>
        </w:rPr>
        <w:t>“in a conspicuous location on the device” with the following statement “[t]</w:t>
      </w:r>
      <w:r w:rsidRPr="00233CC4">
        <w:rPr>
          <w:szCs w:val="22"/>
        </w:rPr>
        <w:t>his device complies with part 15 of the FCC Rules. Operation is subject to the following two conditions: (1) This device may not cause harmful interference, and (2) this device must accept any interference received, including interference that may cause undesired operation</w:t>
      </w:r>
      <w:r>
        <w:rPr>
          <w:szCs w:val="22"/>
        </w:rPr>
        <w:t>.”</w:t>
      </w:r>
      <w:r>
        <w:rPr>
          <w:rStyle w:val="FootnoteReference"/>
          <w:szCs w:val="22"/>
        </w:rPr>
        <w:footnoteReference w:id="14"/>
      </w:r>
    </w:p>
    <w:p w:rsidR="00624402" w:rsidP="005A05DF" w14:paraId="148C822D" w14:textId="209BB361">
      <w:pPr>
        <w:pStyle w:val="ParaNum"/>
        <w:widowControl/>
      </w:pPr>
      <w:r>
        <w:t>Under part 15, “[t]</w:t>
      </w:r>
      <w:r w:rsidRPr="00853D95">
        <w:t>he users manual or instruction manual for an intentional or unintentional radiator shall caution the user that changes or modifications not expressly approved by the party responsible for compliance could void the user</w:t>
      </w:r>
      <w:r w:rsidR="00033DDA">
        <w:t>’</w:t>
      </w:r>
      <w:r w:rsidRPr="00853D95">
        <w:t>s authority to operate the equipment.</w:t>
      </w:r>
      <w:r>
        <w:t>”</w:t>
      </w:r>
      <w:r>
        <w:rPr>
          <w:rStyle w:val="FootnoteReference"/>
        </w:rPr>
        <w:footnoteReference w:id="15"/>
      </w:r>
      <w:r>
        <w:t xml:space="preserve">  </w:t>
      </w:r>
      <w:r w:rsidR="0040533C">
        <w:t>The Commission’s rules for intentional radiators under part 15 state that “[a]</w:t>
      </w:r>
      <w:r w:rsidRPr="0040533C" w:rsidR="0040533C">
        <w:t>n intentional radiator shall be designed to ensure that no antenna other than that furnished by the responsible party shall be used with the device.</w:t>
      </w:r>
      <w:r w:rsidR="00033DDA">
        <w:t xml:space="preserve"> </w:t>
      </w:r>
      <w:r w:rsidRPr="0040533C" w:rsidR="0040533C">
        <w:t xml:space="preserve"> The use of a permanently attached antenna or of an antenna that uses a unique coupling to the intentional radiator shall be considered sufficient to comply with the provisions of this section</w:t>
      </w:r>
      <w:r w:rsidR="0040533C">
        <w:t>.”</w:t>
      </w:r>
      <w:r>
        <w:rPr>
          <w:rStyle w:val="FootnoteReference"/>
        </w:rPr>
        <w:footnoteReference w:id="16"/>
      </w:r>
      <w:r w:rsidR="00E8125B">
        <w:t xml:space="preserve">  Under section 15.239(a) of the Commission’s rules, emissions from intentional radiators that operate within the 88-108 MHz band must be “confined within a band 200 kHz wide . . . and lie wholly within the frequency range of 88-108 MHz.”</w:t>
      </w:r>
      <w:r>
        <w:rPr>
          <w:rStyle w:val="FootnoteReference"/>
        </w:rPr>
        <w:footnoteReference w:id="17"/>
      </w:r>
      <w:r w:rsidR="0040533C">
        <w:t xml:space="preserve">  </w:t>
      </w:r>
    </w:p>
    <w:p w:rsidR="00FF26BA" w:rsidP="005A05DF" w14:paraId="5DEB930F" w14:textId="6C15D02C">
      <w:pPr>
        <w:pStyle w:val="ParaNum"/>
        <w:widowControl/>
      </w:pPr>
      <w:r w:rsidRPr="001C45A8">
        <w:rPr>
          <w:u w:val="single"/>
        </w:rPr>
        <w:t>Factual Background</w:t>
      </w:r>
      <w:r>
        <w:t xml:space="preserve">.  </w:t>
      </w:r>
      <w:r w:rsidRPr="00274740" w:rsidR="00624402">
        <w:t>B&amp;H is a privately</w:t>
      </w:r>
      <w:r w:rsidR="00624402">
        <w:t xml:space="preserve"> held </w:t>
      </w:r>
      <w:r w:rsidR="003261CF">
        <w:t xml:space="preserve">New York </w:t>
      </w:r>
      <w:r w:rsidR="00624402">
        <w:t>co</w:t>
      </w:r>
      <w:r w:rsidR="00F541C4">
        <w:t>rporation</w:t>
      </w:r>
      <w:r w:rsidR="00624402">
        <w:t xml:space="preserve">, incorporated in </w:t>
      </w:r>
      <w:r w:rsidR="00F541C4">
        <w:t>1973.</w:t>
      </w:r>
      <w:r>
        <w:rPr>
          <w:rStyle w:val="FootnoteReference"/>
        </w:rPr>
        <w:footnoteReference w:id="18"/>
      </w:r>
      <w:r w:rsidR="00AE6F3C">
        <w:t xml:space="preserve">  The Spectrum Enforcement Division </w:t>
      </w:r>
      <w:r>
        <w:t xml:space="preserve">(Division) </w:t>
      </w:r>
      <w:r w:rsidR="00AE6F3C">
        <w:t xml:space="preserve">received </w:t>
      </w:r>
      <w:r w:rsidR="00C962FF">
        <w:t xml:space="preserve">a referral indicating that </w:t>
      </w:r>
      <w:r w:rsidR="009C1CC4">
        <w:t>the Rolls HR70 FM Broadcast Transmitter</w:t>
      </w:r>
      <w:r w:rsidR="009452C9">
        <w:t xml:space="preserve"> (HR70)</w:t>
      </w:r>
      <w:r w:rsidR="009C1CC4">
        <w:t xml:space="preserve">, marketed by B&amp;H, operated outside of the FM frequency band </w:t>
      </w:r>
      <w:r w:rsidR="0049270C">
        <w:t xml:space="preserve">(88 to 108 MHz) in the United States </w:t>
      </w:r>
      <w:r w:rsidR="0096351E">
        <w:t>and did not use a permanently attached antenna or an antenna that uses a unique connector.</w:t>
      </w:r>
      <w:r w:rsidR="00502169">
        <w:rPr>
          <w:rStyle w:val="CommentReference"/>
        </w:rPr>
        <w:t xml:space="preserve"> </w:t>
      </w:r>
      <w:r w:rsidR="0096351E">
        <w:t xml:space="preserve"> </w:t>
      </w:r>
      <w:r>
        <w:t>The Division subsequently sent a letter of inquiry (LOI) to B&amp;H on December 2, 2020, and issued follow-up questions</w:t>
      </w:r>
      <w:r w:rsidR="00D56212">
        <w:t xml:space="preserve"> on April 2, 2021.</w:t>
      </w:r>
      <w:r>
        <w:rPr>
          <w:rStyle w:val="FootnoteReference"/>
        </w:rPr>
        <w:footnoteReference w:id="19"/>
      </w:r>
      <w:r w:rsidR="00405358">
        <w:t xml:space="preserve">  B&amp;H timely responded to each of the Division’s inquiries.</w:t>
      </w:r>
      <w:r>
        <w:rPr>
          <w:rStyle w:val="FootnoteReference"/>
        </w:rPr>
        <w:footnoteReference w:id="20"/>
      </w:r>
    </w:p>
    <w:p w:rsidR="0096351E" w:rsidP="005A05DF" w14:paraId="1AF70EE5" w14:textId="492C07B7">
      <w:pPr>
        <w:pStyle w:val="ParaNum"/>
        <w:widowControl/>
      </w:pPr>
      <w:r>
        <w:t>B&amp;H</w:t>
      </w:r>
      <w:r w:rsidR="00352960">
        <w:t xml:space="preserve"> acknowledged that it marketed the HR70, identified in the LOI.</w:t>
      </w:r>
      <w:r>
        <w:rPr>
          <w:rStyle w:val="FootnoteReference"/>
        </w:rPr>
        <w:footnoteReference w:id="21"/>
      </w:r>
      <w:r w:rsidR="009452C9">
        <w:t xml:space="preserve">  </w:t>
      </w:r>
      <w:r w:rsidR="00A3705A">
        <w:t>B&amp;H stated that according to the manufacturer of the HR70, Rolls Corporation</w:t>
      </w:r>
      <w:r w:rsidR="00D528CD">
        <w:t xml:space="preserve"> (Rolls)</w:t>
      </w:r>
      <w:r w:rsidR="00A3705A">
        <w:t xml:space="preserve">, </w:t>
      </w:r>
      <w:r w:rsidR="00CB7109">
        <w:t xml:space="preserve">testing and </w:t>
      </w:r>
      <w:r w:rsidR="00265BA0">
        <w:t xml:space="preserve">an </w:t>
      </w:r>
      <w:r w:rsidR="00CB7109">
        <w:t>authorization w</w:t>
      </w:r>
      <w:r w:rsidR="00265BA0">
        <w:t>as</w:t>
      </w:r>
      <w:r w:rsidR="00CB7109">
        <w:t xml:space="preserve"> not necessary for the HR70.</w:t>
      </w:r>
      <w:r>
        <w:rPr>
          <w:rStyle w:val="FootnoteReference"/>
        </w:rPr>
        <w:footnoteReference w:id="22"/>
      </w:r>
      <w:r w:rsidR="00CB7109">
        <w:t xml:space="preserve">  </w:t>
      </w:r>
      <w:r w:rsidR="0017726A">
        <w:t>In the LOI response,</w:t>
      </w:r>
      <w:r w:rsidR="00216C96">
        <w:t xml:space="preserve"> B&amp;H</w:t>
      </w:r>
      <w:r w:rsidR="00575E0B">
        <w:t xml:space="preserve"> </w:t>
      </w:r>
      <w:r w:rsidR="0017726A">
        <w:t xml:space="preserve">also said </w:t>
      </w:r>
      <w:r w:rsidR="00575E0B">
        <w:t xml:space="preserve">that the </w:t>
      </w:r>
      <w:r w:rsidR="0017726A">
        <w:t xml:space="preserve">manufacturer of the </w:t>
      </w:r>
      <w:r w:rsidR="00575E0B">
        <w:t xml:space="preserve">HR70 </w:t>
      </w:r>
      <w:r w:rsidR="0017726A">
        <w:t xml:space="preserve">said the device </w:t>
      </w:r>
      <w:r w:rsidR="00575E0B">
        <w:rPr>
          <w:szCs w:val="22"/>
        </w:rPr>
        <w:t>was capable of operating outside of the FM frequency band, and that a few units of the model did not use a permanently attached antenna or an antenna that uses a unique connector.</w:t>
      </w:r>
      <w:r>
        <w:rPr>
          <w:rStyle w:val="FootnoteReference"/>
          <w:szCs w:val="22"/>
        </w:rPr>
        <w:footnoteReference w:id="23"/>
      </w:r>
      <w:r w:rsidR="00F00260">
        <w:rPr>
          <w:szCs w:val="22"/>
        </w:rPr>
        <w:t xml:space="preserve">  </w:t>
      </w:r>
      <w:r w:rsidRPr="00A60AF8" w:rsidR="00F00260">
        <w:rPr>
          <w:szCs w:val="22"/>
        </w:rPr>
        <w:t xml:space="preserve">B&amp;H ceased marketing the HR70 </w:t>
      </w:r>
      <w:r w:rsidR="00F00260">
        <w:t>on January 27, 2021, after receiving the LOI.</w:t>
      </w:r>
      <w:r>
        <w:rPr>
          <w:rStyle w:val="FootnoteReference"/>
        </w:rPr>
        <w:footnoteReference w:id="24"/>
      </w:r>
      <w:r w:rsidR="00575E0B">
        <w:rPr>
          <w:szCs w:val="22"/>
        </w:rPr>
        <w:t xml:space="preserve">  </w:t>
      </w:r>
    </w:p>
    <w:p w:rsidR="001D5C9B" w:rsidP="005A05DF" w14:paraId="3E7F3045" w14:textId="777C2E72">
      <w:pPr>
        <w:pStyle w:val="ParaNum"/>
        <w:widowControl/>
      </w:pPr>
      <w:r>
        <w:t xml:space="preserve">B&amp;H also </w:t>
      </w:r>
      <w:r>
        <w:t>disclosed</w:t>
      </w:r>
      <w:r w:rsidR="00562031">
        <w:t xml:space="preserve"> </w:t>
      </w:r>
      <w:r>
        <w:t xml:space="preserve">that it marketed </w:t>
      </w:r>
      <w:r w:rsidR="00B72364">
        <w:t>six</w:t>
      </w:r>
      <w:r w:rsidR="0004534E">
        <w:t xml:space="preserve"> additional models of FM Transmitters that were capable of operating outside of the FM frequency band.</w:t>
      </w:r>
      <w:r>
        <w:rPr>
          <w:rStyle w:val="FootnoteReference"/>
        </w:rPr>
        <w:footnoteReference w:id="25"/>
      </w:r>
      <w:r w:rsidR="0004534E">
        <w:t xml:space="preserve">  Th</w:t>
      </w:r>
      <w:r w:rsidR="008C06D0">
        <w:t xml:space="preserve">ese models are </w:t>
      </w:r>
      <w:r w:rsidR="00B72364">
        <w:t xml:space="preserve">the:  (i) </w:t>
      </w:r>
      <w:r w:rsidR="0004534E">
        <w:t>Hypergear Intellicast FM Transmitter and Car Charger</w:t>
      </w:r>
      <w:r w:rsidR="00032CA1">
        <w:t>;</w:t>
      </w:r>
      <w:r w:rsidR="0004534E">
        <w:t xml:space="preserve"> </w:t>
      </w:r>
      <w:r w:rsidR="00B72364">
        <w:t>(ii) A</w:t>
      </w:r>
      <w:r w:rsidR="003E2F10">
        <w:t>luratek Universal Bluetooth Audio Receiver and FM Transmitter</w:t>
      </w:r>
      <w:r w:rsidR="00032CA1">
        <w:t xml:space="preserve">; </w:t>
      </w:r>
      <w:r w:rsidR="00912CD2">
        <w:t>(iii)</w:t>
      </w:r>
      <w:r w:rsidR="000315E3">
        <w:t xml:space="preserve"> Scosche BTFreq Handsfree Car Kit with FM Transmitter</w:t>
      </w:r>
      <w:r w:rsidR="00C50CB3">
        <w:t>; (iv)</w:t>
      </w:r>
      <w:r w:rsidRPr="000315E3" w:rsidR="000315E3">
        <w:t xml:space="preserve"> </w:t>
      </w:r>
      <w:r w:rsidR="000315E3">
        <w:t>Scosche Universal Bluetooth Hands-Free Car Kit with FM Transmitter</w:t>
      </w:r>
      <w:r w:rsidR="00912CD2">
        <w:t>; (v)</w:t>
      </w:r>
      <w:r w:rsidR="000315E3">
        <w:t xml:space="preserve"> </w:t>
      </w:r>
      <w:r w:rsidR="0083022C">
        <w:t>Scosche Bluetooth Hands-Free Car Kit with FM Transmitter &amp; USB Charging Port</w:t>
      </w:r>
      <w:r w:rsidR="000315E3">
        <w:t xml:space="preserve">; and (vi) </w:t>
      </w:r>
      <w:r w:rsidR="0083022C">
        <w:t>Scosche BTFreq Pro Bluetooth FM Transmitter with Power Delivery</w:t>
      </w:r>
      <w:r w:rsidR="003E2F10">
        <w:t>.</w:t>
      </w:r>
      <w:r>
        <w:rPr>
          <w:rStyle w:val="FootnoteReference"/>
        </w:rPr>
        <w:footnoteReference w:id="26"/>
      </w:r>
      <w:r w:rsidR="00E018AF">
        <w:t xml:space="preserve">  </w:t>
      </w:r>
      <w:r w:rsidR="009E3DF9">
        <w:t xml:space="preserve">  </w:t>
      </w:r>
    </w:p>
    <w:p w:rsidR="00D06C94" w:rsidP="005A05DF" w14:paraId="0D268636" w14:textId="144DB5B3">
      <w:pPr>
        <w:pStyle w:val="ParaNum"/>
        <w:widowControl/>
      </w:pPr>
      <w:r>
        <w:t>With respect to the</w:t>
      </w:r>
      <w:r w:rsidR="00641328">
        <w:t xml:space="preserve"> (i) Scosche BTFreq Handsfree Car Kit with FM Transmitter; (ii)</w:t>
      </w:r>
      <w:r w:rsidRPr="000315E3" w:rsidR="00641328">
        <w:t xml:space="preserve"> </w:t>
      </w:r>
      <w:r w:rsidR="00641328">
        <w:t>Scosche Universal Bluetooth Hands-Free Car Kit with FM Transmitter; (</w:t>
      </w:r>
      <w:r w:rsidR="009A3D56">
        <w:t>i</w:t>
      </w:r>
      <w:r w:rsidR="00641328">
        <w:t>ii) Scosche Bluetooth Hands-Free Car Kit with FM Transmitter &amp; USB Charging Port; and (iv) Scosche BTFreq Pro Bluetooth FM Transmitter with Power Delivery</w:t>
      </w:r>
      <w:r>
        <w:t xml:space="preserve"> </w:t>
      </w:r>
      <w:r w:rsidR="00641328">
        <w:t>models</w:t>
      </w:r>
      <w:r w:rsidR="005064FB">
        <w:t xml:space="preserve"> (</w:t>
      </w:r>
      <w:r>
        <w:t xml:space="preserve">the </w:t>
      </w:r>
      <w:r w:rsidR="005064FB">
        <w:t>Scosche models)</w:t>
      </w:r>
      <w:r w:rsidR="00641328">
        <w:t>, t</w:t>
      </w:r>
      <w:r w:rsidR="00A57236">
        <w:t>he Company supplied valid FCC Identifier</w:t>
      </w:r>
      <w:r w:rsidR="00641328">
        <w:t>s</w:t>
      </w:r>
      <w:r w:rsidR="00A57236">
        <w:t xml:space="preserve"> (FCC ID</w:t>
      </w:r>
      <w:r>
        <w:t>s</w:t>
      </w:r>
      <w:r w:rsidR="00A57236">
        <w:t xml:space="preserve">) and accompanying equipment authorization documentation for </w:t>
      </w:r>
      <w:r w:rsidR="00641328">
        <w:t xml:space="preserve">each model, </w:t>
      </w:r>
      <w:r w:rsidR="00A57236">
        <w:t>indicating that it had been certified as a Part 15 Subpart C intentional radiator</w:t>
      </w:r>
      <w:r w:rsidR="00A816F8">
        <w:t>, and certified to operate in 88.1 – 10</w:t>
      </w:r>
      <w:r w:rsidR="00685197">
        <w:t>7</w:t>
      </w:r>
      <w:r w:rsidR="00A816F8">
        <w:t>.9 MHz and in 2402.0 – 2480.0 MHz</w:t>
      </w:r>
      <w:r w:rsidR="00A57236">
        <w:t>.</w:t>
      </w:r>
      <w:r>
        <w:rPr>
          <w:rStyle w:val="FootnoteReference"/>
        </w:rPr>
        <w:footnoteReference w:id="27"/>
      </w:r>
      <w:r w:rsidR="0020207B">
        <w:t xml:space="preserve">  </w:t>
      </w:r>
      <w:bookmarkStart w:id="4" w:name="_Hlk116464044"/>
      <w:r w:rsidR="00306E57">
        <w:t xml:space="preserve">However, </w:t>
      </w:r>
      <w:r w:rsidR="005064FB">
        <w:t xml:space="preserve">B&amp;H </w:t>
      </w:r>
      <w:r>
        <w:t>stated</w:t>
      </w:r>
      <w:r w:rsidR="005064FB">
        <w:t xml:space="preserve"> that the Scosche models were capable of operating outside of the FM frequency band.</w:t>
      </w:r>
      <w:r>
        <w:rPr>
          <w:rStyle w:val="FootnoteReference"/>
        </w:rPr>
        <w:footnoteReference w:id="28"/>
      </w:r>
      <w:r w:rsidR="005064FB">
        <w:t xml:space="preserve">  </w:t>
      </w:r>
      <w:bookmarkEnd w:id="4"/>
      <w:r>
        <w:t>B&amp;H continues to market the Scosche models.</w:t>
      </w:r>
    </w:p>
    <w:p w:rsidR="00E018AF" w:rsidRPr="00BE70CC" w:rsidP="005A05DF" w14:paraId="45F20CD4" w14:textId="793BE4B9">
      <w:pPr>
        <w:pStyle w:val="ParaNum"/>
        <w:widowControl/>
      </w:pPr>
      <w:r>
        <w:t>B&amp;H acknowledged that</w:t>
      </w:r>
      <w:r w:rsidR="00033DDA">
        <w:t>,</w:t>
      </w:r>
      <w:r>
        <w:t xml:space="preserve"> after submitting its LOI Response, it followed-up with </w:t>
      </w:r>
      <w:r w:rsidR="00D36889">
        <w:t xml:space="preserve">Hypergear, </w:t>
      </w:r>
      <w:r>
        <w:t>t</w:t>
      </w:r>
      <w:r w:rsidR="00562031">
        <w:t xml:space="preserve">he manufacturer of the Hypergear Intellicast FM Transmitter and Car Charger, </w:t>
      </w:r>
      <w:r>
        <w:t xml:space="preserve">and </w:t>
      </w:r>
      <w:r w:rsidR="00033DDA">
        <w:t xml:space="preserve">that </w:t>
      </w:r>
      <w:r>
        <w:t xml:space="preserve">Hypergear </w:t>
      </w:r>
      <w:r w:rsidR="00562031">
        <w:t xml:space="preserve">indicated that </w:t>
      </w:r>
      <w:r w:rsidR="00AC6DD9">
        <w:t>th</w:t>
      </w:r>
      <w:r w:rsidR="00562031">
        <w:t>e device</w:t>
      </w:r>
      <w:r w:rsidR="00AC6DD9">
        <w:t xml:space="preserve"> was not authorized</w:t>
      </w:r>
      <w:r w:rsidR="00562031">
        <w:t>.</w:t>
      </w:r>
      <w:r>
        <w:rPr>
          <w:rStyle w:val="FootnoteReference"/>
        </w:rPr>
        <w:footnoteReference w:id="29"/>
      </w:r>
      <w:r w:rsidR="00562031">
        <w:t xml:space="preserve">  </w:t>
      </w:r>
      <w:r w:rsidR="001B2710">
        <w:t xml:space="preserve">B&amp;H </w:t>
      </w:r>
      <w:r>
        <w:t>also followed-up with</w:t>
      </w:r>
      <w:r w:rsidR="00CC010E">
        <w:t xml:space="preserve">, but did not receive a response from, </w:t>
      </w:r>
      <w:r>
        <w:t xml:space="preserve">the manufacturer of the Aluratek Universal Bluetooth Audio Receiver and FM Transmitter, </w:t>
      </w:r>
      <w:r w:rsidR="00CC010E">
        <w:t>r</w:t>
      </w:r>
      <w:r>
        <w:t>egarding an FCC ID for the model</w:t>
      </w:r>
      <w:r w:rsidR="00033DDA">
        <w:t>;</w:t>
      </w:r>
      <w:r>
        <w:t xml:space="preserve"> </w:t>
      </w:r>
      <w:r w:rsidR="008F77E5">
        <w:t xml:space="preserve">however B&amp;H reported that </w:t>
      </w:r>
      <w:r w:rsidR="00CC010E">
        <w:t xml:space="preserve">Aluratek </w:t>
      </w:r>
      <w:r w:rsidR="008F77E5">
        <w:t xml:space="preserve">claimed </w:t>
      </w:r>
      <w:r w:rsidR="00B26C61">
        <w:t>the model complies with the Commission’s rules</w:t>
      </w:r>
      <w:r w:rsidR="001B2710">
        <w:t>.</w:t>
      </w:r>
      <w:r>
        <w:rPr>
          <w:rStyle w:val="FootnoteReference"/>
        </w:rPr>
        <w:footnoteReference w:id="30"/>
      </w:r>
      <w:r w:rsidR="001B2710">
        <w:t xml:space="preserve">  </w:t>
      </w:r>
      <w:r>
        <w:t>After receipt of the LOI, B&amp;H ceased marketing the Hypergear Intellicast FM Transmitter and Car Charger and Aluratek Universal Bluetooth Audio Receiver and FM Transmitter.</w:t>
      </w:r>
      <w:r>
        <w:rPr>
          <w:rStyle w:val="FootnoteReference"/>
        </w:rPr>
        <w:footnoteReference w:id="31"/>
      </w:r>
      <w:r w:rsidR="001D5C9B">
        <w:t xml:space="preserve">  </w:t>
      </w:r>
    </w:p>
    <w:p w:rsidR="0096675D" w:rsidRPr="00BE70CC" w:rsidP="005A05DF" w14:paraId="3A7F5EA1" w14:textId="1437CD02">
      <w:pPr>
        <w:pStyle w:val="Heading1"/>
        <w:widowControl/>
      </w:pPr>
      <w:r w:rsidRPr="00BE70CC">
        <w:rPr>
          <w:caps w:val="0"/>
        </w:rPr>
        <w:t>APPLICABLE LAW AND VIOLATIONS</w:t>
      </w:r>
    </w:p>
    <w:p w:rsidR="00E513D5" w:rsidRPr="00EA5601" w:rsidP="005A05DF" w14:paraId="0CEA5FA9" w14:textId="539F7CB8">
      <w:pPr>
        <w:pStyle w:val="ParaNum"/>
        <w:widowControl/>
      </w:pPr>
      <w:r w:rsidRPr="00E513D5">
        <w:rPr>
          <w:szCs w:val="22"/>
        </w:rPr>
        <w:t>S</w:t>
      </w:r>
      <w:r w:rsidRPr="00151901">
        <w:t>ection 302 of the Act provides that “[n]o person shall manufacture, import, sell, offer for sale, or ship devices or home electronic equipment and systems, or use devices, which fail to comply with [Commission] regulations.”</w:t>
      </w:r>
      <w:r>
        <w:rPr>
          <w:vertAlign w:val="superscript"/>
        </w:rPr>
        <w:footnoteReference w:id="32"/>
      </w:r>
      <w:r w:rsidRPr="00151901">
        <w:t xml:space="preserve">  For devices requiring Commission authorization, section 2.803(b)(1) of the </w:t>
      </w:r>
      <w:r>
        <w:t>Commission’s r</w:t>
      </w:r>
      <w:r w:rsidRPr="00151901">
        <w:t>ules prohibits marketing devices unless they have been authorized in accordance with the Commission’s technical standards and properly identified and labeled.</w:t>
      </w:r>
      <w:r>
        <w:rPr>
          <w:vertAlign w:val="superscript"/>
        </w:rPr>
        <w:footnoteReference w:id="33"/>
      </w:r>
      <w:r w:rsidRPr="00EA5601">
        <w:t xml:space="preserve">  Sections 2.925, 15.19, and 15.21 of the </w:t>
      </w:r>
      <w:r>
        <w:t>Commission’s r</w:t>
      </w:r>
      <w:r w:rsidRPr="00EA5601">
        <w:t>ules set forth the identification, labeling, and user manual requirements for devices requiring Commission authorization.</w:t>
      </w:r>
      <w:r>
        <w:rPr>
          <w:vertAlign w:val="superscript"/>
        </w:rPr>
        <w:footnoteReference w:id="34"/>
      </w:r>
      <w:r w:rsidR="0024710B">
        <w:t xml:space="preserve">  </w:t>
      </w:r>
      <w:r w:rsidR="007C79C0">
        <w:rPr>
          <w:szCs w:val="22"/>
        </w:rPr>
        <w:t>Section 15.201 of the Commission’s rules requires a certification for the devices at issue in this Citation.</w:t>
      </w:r>
      <w:r>
        <w:rPr>
          <w:rStyle w:val="FootnoteReference"/>
          <w:szCs w:val="22"/>
        </w:rPr>
        <w:footnoteReference w:id="35"/>
      </w:r>
      <w:r w:rsidR="007C79C0">
        <w:rPr>
          <w:szCs w:val="22"/>
        </w:rPr>
        <w:t xml:space="preserve">  </w:t>
      </w:r>
      <w:r w:rsidR="0024710B">
        <w:t xml:space="preserve">The Commission’s rules for intentional radiators under </w:t>
      </w:r>
      <w:r w:rsidR="004B2B67">
        <w:t>section</w:t>
      </w:r>
      <w:r w:rsidR="0024710B">
        <w:t>15</w:t>
      </w:r>
      <w:r w:rsidR="004B2B67">
        <w:t>.203</w:t>
      </w:r>
      <w:r w:rsidR="0024710B">
        <w:t xml:space="preserve"> state that “[a]</w:t>
      </w:r>
      <w:r w:rsidRPr="0040533C" w:rsidR="0024710B">
        <w:t>n intentional radiator shall be designed to ensure that no antenna other than that furnished by the responsible party shall be used with the device.</w:t>
      </w:r>
      <w:r w:rsidR="0024710B">
        <w:t xml:space="preserve"> </w:t>
      </w:r>
      <w:r w:rsidRPr="0040533C" w:rsidR="0024710B">
        <w:t xml:space="preserve"> The use of a permanently attached antenna or of an antenna that uses a unique coupling to the intentional radiator shall be considered sufficient to comply with the provisions of this section</w:t>
      </w:r>
      <w:r w:rsidR="0024710B">
        <w:t>.”</w:t>
      </w:r>
      <w:r>
        <w:rPr>
          <w:rStyle w:val="FootnoteReference"/>
        </w:rPr>
        <w:footnoteReference w:id="36"/>
      </w:r>
      <w:r w:rsidR="0024710B">
        <w:t xml:space="preserve">  Under section 15.239(a) of the Commission’s rules, emissions from intentional radiators that operate within the 88-108 MHz band must be “confined within a band 200 kHz wide . . . and lie wholly within the frequency range of 88-108 MHz.”</w:t>
      </w:r>
      <w:r>
        <w:rPr>
          <w:rStyle w:val="FootnoteReference"/>
        </w:rPr>
        <w:footnoteReference w:id="37"/>
      </w:r>
      <w:r w:rsidR="00D20F12">
        <w:t xml:space="preserve">  </w:t>
      </w:r>
    </w:p>
    <w:p w:rsidR="00E513D5" w:rsidRPr="00ED6BF9" w:rsidP="005A05DF" w14:paraId="435E1E61" w14:textId="26A79025">
      <w:pPr>
        <w:pStyle w:val="ParaNum"/>
        <w:widowControl/>
        <w:rPr>
          <w:kern w:val="0"/>
        </w:rPr>
      </w:pPr>
      <w:r w:rsidRPr="00EA5601">
        <w:t xml:space="preserve">Intentional radiators, such as </w:t>
      </w:r>
      <w:r>
        <w:t xml:space="preserve">the devices </w:t>
      </w:r>
      <w:r w:rsidRPr="00EA5601">
        <w:t>at issue</w:t>
      </w:r>
      <w:r>
        <w:t xml:space="preserve"> here</w:t>
      </w:r>
      <w:r w:rsidRPr="00EA5601">
        <w:t>, must be properly authorized and labeled in accordance with the Commission’s equipment certification process.</w:t>
      </w:r>
      <w:r>
        <w:rPr>
          <w:rStyle w:val="FootnoteReference"/>
          <w:sz w:val="22"/>
        </w:rPr>
        <w:footnoteReference w:id="38"/>
      </w:r>
      <w:r w:rsidRPr="00151901">
        <w:t xml:space="preserve">  No intentional radiator may be marketed unless and until the device has been properly authorized and is properly labeled.</w:t>
      </w:r>
      <w:r>
        <w:rPr>
          <w:rStyle w:val="FootnoteReference"/>
          <w:sz w:val="22"/>
        </w:rPr>
        <w:footnoteReference w:id="39"/>
      </w:r>
      <w:r w:rsidR="002C18E9">
        <w:t xml:space="preserve">  The Commission’s rules for intentional radiators </w:t>
      </w:r>
      <w:r w:rsidR="0081546C">
        <w:t xml:space="preserve">requires </w:t>
      </w:r>
      <w:r w:rsidR="002C18E9">
        <w:t>the “</w:t>
      </w:r>
      <w:r w:rsidRPr="0040533C" w:rsidR="002C18E9">
        <w:t>use of a permanently attached antenna or of an antenna that uses a unique coupling to the intentional radiator</w:t>
      </w:r>
      <w:r w:rsidR="002C18E9">
        <w:t>.”</w:t>
      </w:r>
      <w:r>
        <w:rPr>
          <w:rStyle w:val="FootnoteReference"/>
        </w:rPr>
        <w:footnoteReference w:id="40"/>
      </w:r>
      <w:r w:rsidR="00987322">
        <w:t xml:space="preserve">  Emissions from intentional radiators that operate within the 88-108 MHz band must be “confined within a band 200 kHz wide . . . and lie wholly within the frequency range of 88-108 MHz.”</w:t>
      </w:r>
      <w:r>
        <w:rPr>
          <w:rStyle w:val="FootnoteReference"/>
        </w:rPr>
        <w:footnoteReference w:id="41"/>
      </w:r>
    </w:p>
    <w:p w:rsidR="0019751C" w:rsidRPr="001B26E5" w:rsidP="005A05DF" w14:paraId="0594462B" w14:textId="22A14E0A">
      <w:pPr>
        <w:pStyle w:val="ParaNum"/>
        <w:widowControl/>
        <w:rPr>
          <w:kern w:val="0"/>
        </w:rPr>
      </w:pPr>
      <w:r>
        <w:t xml:space="preserve">The record reflects that B&amp;H marketed the HR70 </w:t>
      </w:r>
      <w:r w:rsidRPr="001B26E5">
        <w:rPr>
          <w:szCs w:val="22"/>
        </w:rPr>
        <w:t xml:space="preserve">that lacked the required equipment authorization, </w:t>
      </w:r>
      <w:r w:rsidRPr="001B26E5" w:rsidR="0069494E">
        <w:rPr>
          <w:szCs w:val="22"/>
        </w:rPr>
        <w:t xml:space="preserve">was capable of </w:t>
      </w:r>
      <w:r w:rsidRPr="001B26E5">
        <w:rPr>
          <w:szCs w:val="22"/>
        </w:rPr>
        <w:t>operat</w:t>
      </w:r>
      <w:r w:rsidRPr="001B26E5" w:rsidR="0069494E">
        <w:rPr>
          <w:szCs w:val="22"/>
        </w:rPr>
        <w:t>ing</w:t>
      </w:r>
      <w:r w:rsidRPr="001B26E5">
        <w:rPr>
          <w:szCs w:val="22"/>
        </w:rPr>
        <w:t xml:space="preserve"> outside of the FM frequency band, and did not use a permanently attached antenna or an antenna that uses a unique connector</w:t>
      </w:r>
      <w:r w:rsidRPr="001B26E5" w:rsidR="00D528CD">
        <w:rPr>
          <w:szCs w:val="22"/>
        </w:rPr>
        <w:t xml:space="preserve">.  </w:t>
      </w:r>
      <w:r w:rsidRPr="001B26E5" w:rsidR="00047B3E">
        <w:rPr>
          <w:szCs w:val="22"/>
        </w:rPr>
        <w:t>Section 302(b) of the Act states that “[n]o person shall manufacture, import, sell, offer for sale, or ship devices or home electronic equipment and systems, or use devices, which fail to comply with regulations promulgated pursuant to this section.</w:t>
      </w:r>
      <w:r>
        <w:rPr>
          <w:rStyle w:val="FootnoteReference"/>
          <w:szCs w:val="22"/>
        </w:rPr>
        <w:footnoteReference w:id="42"/>
      </w:r>
      <w:r w:rsidRPr="001B26E5" w:rsidR="00047B3E">
        <w:rPr>
          <w:szCs w:val="22"/>
        </w:rPr>
        <w:t xml:space="preserve">  Section 2.803(b) of the Commission’s rules prohibits marketing devices unless they have been authorized in accordance with the Commission’s technical standards and properly identified and labeled.</w:t>
      </w:r>
      <w:r>
        <w:rPr>
          <w:rStyle w:val="FootnoteReference"/>
          <w:szCs w:val="22"/>
        </w:rPr>
        <w:footnoteReference w:id="43"/>
      </w:r>
      <w:r w:rsidRPr="001B26E5" w:rsidR="00D63B9A">
        <w:rPr>
          <w:szCs w:val="22"/>
        </w:rPr>
        <w:t xml:space="preserve">  </w:t>
      </w:r>
      <w:r w:rsidRPr="001B26E5" w:rsidR="00987322">
        <w:rPr>
          <w:szCs w:val="22"/>
        </w:rPr>
        <w:t>Pursuant to section 15.201(b) of the Commission’s rules, intentional radiators</w:t>
      </w:r>
      <w:r w:rsidRPr="001B26E5" w:rsidR="006638AB">
        <w:rPr>
          <w:szCs w:val="22"/>
        </w:rPr>
        <w:t>, such as the HR70</w:t>
      </w:r>
      <w:r w:rsidRPr="001B26E5" w:rsidR="00BB5E56">
        <w:rPr>
          <w:szCs w:val="22"/>
        </w:rPr>
        <w:t>, must be authorized in accordance with the Commission’s certification procedures before marketing is initiated in the United States.</w:t>
      </w:r>
      <w:r>
        <w:rPr>
          <w:rStyle w:val="FootnoteReference"/>
          <w:szCs w:val="22"/>
        </w:rPr>
        <w:footnoteReference w:id="44"/>
      </w:r>
      <w:r w:rsidRPr="001B26E5" w:rsidR="004D6E9D">
        <w:rPr>
          <w:szCs w:val="22"/>
        </w:rPr>
        <w:t xml:space="preserve">  </w:t>
      </w:r>
      <w:r w:rsidRPr="001B26E5" w:rsidR="00107A8F">
        <w:rPr>
          <w:szCs w:val="22"/>
        </w:rPr>
        <w:t xml:space="preserve">Moreover, section 2.925(a) of the Commission’s rules requires labeling of the device with </w:t>
      </w:r>
      <w:r w:rsidRPr="001B26E5" w:rsidR="00AC2F4D">
        <w:rPr>
          <w:szCs w:val="22"/>
        </w:rPr>
        <w:t xml:space="preserve">the </w:t>
      </w:r>
      <w:r w:rsidRPr="001B26E5" w:rsidR="00107A8F">
        <w:rPr>
          <w:szCs w:val="22"/>
        </w:rPr>
        <w:t>FCC Identifier</w:t>
      </w:r>
      <w:r w:rsidRPr="001B26E5" w:rsidR="00AC2F4D">
        <w:rPr>
          <w:szCs w:val="22"/>
        </w:rPr>
        <w:t xml:space="preserve"> and “[a]ny </w:t>
      </w:r>
      <w:r w:rsidRPr="001B26E5" w:rsidR="0026367A">
        <w:rPr>
          <w:szCs w:val="22"/>
        </w:rPr>
        <w:t>other statements or labeling requirements imposed by the rules governing the operation of the specific class of equipment, except that such statement(s) of compliance may appear on a separate label at the option of the applicant/grantee</w:t>
      </w:r>
      <w:r w:rsidRPr="001B26E5" w:rsidR="00107A8F">
        <w:rPr>
          <w:szCs w:val="22"/>
        </w:rPr>
        <w:t>.</w:t>
      </w:r>
      <w:r w:rsidRPr="001B26E5" w:rsidR="0026367A">
        <w:rPr>
          <w:szCs w:val="22"/>
        </w:rPr>
        <w:t>”</w:t>
      </w:r>
      <w:r>
        <w:rPr>
          <w:rStyle w:val="FootnoteReference"/>
          <w:szCs w:val="22"/>
        </w:rPr>
        <w:footnoteReference w:id="45"/>
      </w:r>
      <w:r w:rsidRPr="001B26E5" w:rsidR="003D34A6">
        <w:rPr>
          <w:szCs w:val="22"/>
        </w:rPr>
        <w:t xml:space="preserve">  </w:t>
      </w:r>
      <w:r w:rsidRPr="001B26E5" w:rsidR="00D91A45">
        <w:rPr>
          <w:szCs w:val="22"/>
        </w:rPr>
        <w:t xml:space="preserve">Section 15.19(a)(3) requires devices such as the HR70 to be labeled </w:t>
      </w:r>
      <w:r w:rsidRPr="001B26E5" w:rsidR="00707E47">
        <w:rPr>
          <w:szCs w:val="22"/>
        </w:rPr>
        <w:t>“in a conspicuous location on the device” with the following</w:t>
      </w:r>
      <w:r w:rsidRPr="001B26E5" w:rsidR="00233CC4">
        <w:rPr>
          <w:szCs w:val="22"/>
        </w:rPr>
        <w:t xml:space="preserve"> statement “[t]his device complies with part 15 of the FCC Rules. Operation is subject to the following two conditions: (1) This device may not cause harmful interference, and (2) this device must accept any interference received, including interference that may cause undesired operation.”</w:t>
      </w:r>
      <w:r>
        <w:rPr>
          <w:rStyle w:val="FootnoteReference"/>
          <w:szCs w:val="22"/>
        </w:rPr>
        <w:footnoteReference w:id="46"/>
      </w:r>
      <w:r w:rsidRPr="001B26E5" w:rsidR="00233CC4">
        <w:rPr>
          <w:szCs w:val="22"/>
        </w:rPr>
        <w:t xml:space="preserve">  </w:t>
      </w:r>
      <w:r w:rsidRPr="001B26E5" w:rsidR="005A440D">
        <w:rPr>
          <w:szCs w:val="22"/>
        </w:rPr>
        <w:t>Under section 15.21 of the Commission’s rules, the user’s manual “</w:t>
      </w:r>
      <w:r w:rsidRPr="00853D95" w:rsidR="003D34A6">
        <w:t>shall caution the user that changes or modifications not expressly approved by the party responsible for compliance could void the user's authority to operate the equipment.</w:t>
      </w:r>
      <w:r w:rsidR="003D34A6">
        <w:t>”</w:t>
      </w:r>
      <w:r>
        <w:rPr>
          <w:rStyle w:val="FootnoteReference"/>
        </w:rPr>
        <w:footnoteReference w:id="47"/>
      </w:r>
      <w:r w:rsidR="005A440D">
        <w:t xml:space="preserve">  </w:t>
      </w:r>
    </w:p>
    <w:p w:rsidR="00825165" w:rsidRPr="00D063FC" w:rsidP="005A05DF" w14:paraId="14FFA323" w14:textId="62388BE6">
      <w:pPr>
        <w:pStyle w:val="ParaNum"/>
        <w:widowControl/>
        <w:rPr>
          <w:kern w:val="0"/>
        </w:rPr>
      </w:pPr>
      <w:r w:rsidRPr="00A60AF8">
        <w:rPr>
          <w:szCs w:val="22"/>
        </w:rPr>
        <w:t xml:space="preserve">The Company confirmed </w:t>
      </w:r>
      <w:r w:rsidRPr="00A60AF8" w:rsidR="0036533E">
        <w:rPr>
          <w:szCs w:val="22"/>
        </w:rPr>
        <w:t xml:space="preserve">with </w:t>
      </w:r>
      <w:r w:rsidRPr="00A60AF8">
        <w:rPr>
          <w:szCs w:val="22"/>
        </w:rPr>
        <w:t>the model’s manufacturer, Rolls, that the device was capable of operating outside of the FM frequency band, that a few units of the model did not use a permanently attached antenna or an antenna that uses a unique connector</w:t>
      </w:r>
      <w:r w:rsidR="00D63B9A">
        <w:rPr>
          <w:szCs w:val="22"/>
        </w:rPr>
        <w:t>, and lacked the required labeling</w:t>
      </w:r>
      <w:r w:rsidRPr="00A60AF8">
        <w:rPr>
          <w:szCs w:val="22"/>
        </w:rPr>
        <w:t>.</w:t>
      </w:r>
      <w:r>
        <w:rPr>
          <w:rStyle w:val="FootnoteReference"/>
          <w:szCs w:val="22"/>
        </w:rPr>
        <w:footnoteReference w:id="48"/>
      </w:r>
      <w:r w:rsidRPr="00A60AF8" w:rsidR="00367173">
        <w:rPr>
          <w:szCs w:val="22"/>
        </w:rPr>
        <w:t xml:space="preserve">  </w:t>
      </w:r>
      <w:r w:rsidR="001E1A29">
        <w:t>B&amp;H therefore marketed a device that lacked the required equipment authorization, operated outside of the FM frequency band, and did not use a permanently attached antenna or an antenna that uses a unique connector.</w:t>
      </w:r>
      <w:r w:rsidR="00A60AF8">
        <w:t xml:space="preserve">  </w:t>
      </w:r>
    </w:p>
    <w:p w:rsidR="00386D23" w:rsidRPr="00A60AF8" w:rsidP="005A05DF" w14:paraId="7206D948" w14:textId="3C378AAF">
      <w:pPr>
        <w:pStyle w:val="ParaNum"/>
        <w:widowControl/>
        <w:rPr>
          <w:kern w:val="0"/>
        </w:rPr>
      </w:pPr>
      <w:r>
        <w:t xml:space="preserve">We find that B&amp;H </w:t>
      </w:r>
      <w:r w:rsidR="00DB551F">
        <w:t xml:space="preserve">violated section 302(b) of the Act and sections 2.803, 2.925, 15.19, 15.21, 15.201, 15.203, and 15.239 of the Commission’s rules, </w:t>
      </w:r>
      <w:r w:rsidR="00AA7BD0">
        <w:t xml:space="preserve">by marketing </w:t>
      </w:r>
      <w:r w:rsidR="00825165">
        <w:t xml:space="preserve">the HR70 </w:t>
      </w:r>
      <w:r w:rsidR="00AA7BD0">
        <w:t xml:space="preserve">device that was capable of operating outside of the FM frequency band (88 to 108 MHz), </w:t>
      </w:r>
      <w:r w:rsidR="00EF67AB">
        <w:t xml:space="preserve">a few units of the device </w:t>
      </w:r>
      <w:r w:rsidR="00AA7BD0">
        <w:t>did not use a permanently attached antenna or an antenna that uses a unique connector, lacked an equipment authorization, and lacked the appropriate labeling and user manual disclosures.</w:t>
      </w:r>
      <w:r>
        <w:rPr>
          <w:rStyle w:val="FootnoteReference"/>
        </w:rPr>
        <w:footnoteReference w:id="49"/>
      </w:r>
    </w:p>
    <w:p w:rsidR="00ED6BF9" w:rsidRPr="005C0ED4" w:rsidP="005A05DF" w14:paraId="62B0E24A" w14:textId="6AC8FBA1">
      <w:pPr>
        <w:pStyle w:val="ParaNum"/>
        <w:widowControl/>
        <w:rPr>
          <w:kern w:val="0"/>
        </w:rPr>
      </w:pPr>
      <w:r>
        <w:t xml:space="preserve">B&amp;H </w:t>
      </w:r>
      <w:r w:rsidR="007B5628">
        <w:t>admitted that it m</w:t>
      </w:r>
      <w:r>
        <w:t xml:space="preserve">arketed the </w:t>
      </w:r>
      <w:r w:rsidR="00771EA2">
        <w:t>(i) Scosche BTFreq Handsfree Car Kit with FM Transmitter; (ii)</w:t>
      </w:r>
      <w:r w:rsidRPr="000315E3" w:rsidR="00771EA2">
        <w:t xml:space="preserve"> </w:t>
      </w:r>
      <w:r w:rsidR="00771EA2">
        <w:t xml:space="preserve">Scosche Universal Bluetooth Hands-Free Car Kit with FM Transmitter; (ii) Scosche Bluetooth Hands-Free Car Kit with FM Transmitter &amp; USB Charging Port; and (iv) Scosche BTFreq Pro Bluetooth FM Transmitter with Power Delivery models </w:t>
      </w:r>
      <w:r w:rsidR="007D2C1B">
        <w:t>that w</w:t>
      </w:r>
      <w:r w:rsidR="00771EA2">
        <w:t xml:space="preserve">ere </w:t>
      </w:r>
      <w:r w:rsidR="007D2C1B">
        <w:t xml:space="preserve">capable of operating </w:t>
      </w:r>
      <w:r w:rsidR="00771EA2">
        <w:t xml:space="preserve">outside of the FM frequency band, </w:t>
      </w:r>
      <w:r w:rsidR="007D2C1B">
        <w:t>despite having certification</w:t>
      </w:r>
      <w:r w:rsidR="007B7E5F">
        <w:t>s</w:t>
      </w:r>
      <w:r w:rsidR="007D2C1B">
        <w:t xml:space="preserve"> to operate only in</w:t>
      </w:r>
      <w:r w:rsidR="006B12E1">
        <w:t xml:space="preserve"> 88.1 – 10</w:t>
      </w:r>
      <w:r w:rsidR="00685197">
        <w:t>7</w:t>
      </w:r>
      <w:r w:rsidR="006B12E1">
        <w:t xml:space="preserve">.9 MHz and </w:t>
      </w:r>
      <w:r w:rsidR="005C0ED4">
        <w:t xml:space="preserve">in </w:t>
      </w:r>
      <w:r w:rsidR="006B12E1">
        <w:t>2402.0 – 2480.0</w:t>
      </w:r>
      <w:r w:rsidR="001E3F89">
        <w:t xml:space="preserve"> MHz</w:t>
      </w:r>
      <w:r w:rsidR="006B12E1">
        <w:t>.</w:t>
      </w:r>
      <w:r>
        <w:rPr>
          <w:rStyle w:val="FootnoteReference"/>
        </w:rPr>
        <w:footnoteReference w:id="50"/>
      </w:r>
      <w:r w:rsidR="00B10DF8">
        <w:t xml:space="preserve">  </w:t>
      </w:r>
      <w:r w:rsidR="009D0545">
        <w:t xml:space="preserve"> </w:t>
      </w:r>
      <w:r w:rsidR="00824515">
        <w:t>B&amp;H therefore violat</w:t>
      </w:r>
      <w:r w:rsidR="00033DDA">
        <w:t>ed</w:t>
      </w:r>
      <w:r w:rsidR="00824515">
        <w:t xml:space="preserve"> section 302(b) of the Act and sections 2.803(b) and 15.239 of the Commission’s rules </w:t>
      </w:r>
      <w:r w:rsidR="00033DDA">
        <w:t>by</w:t>
      </w:r>
      <w:r w:rsidR="00824515">
        <w:t xml:space="preserve"> marketing a</w:t>
      </w:r>
      <w:r w:rsidR="00B10DF8">
        <w:t xml:space="preserve"> device that was capable of operating outside of its equipment authorization.</w:t>
      </w:r>
      <w:r>
        <w:rPr>
          <w:rStyle w:val="FootnoteReference"/>
        </w:rPr>
        <w:footnoteReference w:id="51"/>
      </w:r>
    </w:p>
    <w:p w:rsidR="007B5628" w:rsidP="005A05DF" w14:paraId="6E698655" w14:textId="0D2CB822">
      <w:pPr>
        <w:pStyle w:val="ParaNum"/>
        <w:widowControl/>
        <w:rPr>
          <w:kern w:val="0"/>
        </w:rPr>
      </w:pPr>
      <w:r>
        <w:rPr>
          <w:kern w:val="0"/>
        </w:rPr>
        <w:t xml:space="preserve">B&amp;H also marketed the </w:t>
      </w:r>
      <w:r>
        <w:t>Hypergear Intellicast FM Transmitter and Car Charger that lacked the required equipment authorization and was capable of operating outside of the FM frequency band.</w:t>
      </w:r>
      <w:r>
        <w:rPr>
          <w:rStyle w:val="FootnoteReference"/>
        </w:rPr>
        <w:footnoteReference w:id="52"/>
      </w:r>
      <w:r>
        <w:t xml:space="preserve">  </w:t>
      </w:r>
      <w:r w:rsidR="00BF4647">
        <w:t xml:space="preserve">Although B&amp;H does not acknowledge that it violated sections 2.803(b) and 15.201 by marketing a device without prior authorization, we </w:t>
      </w:r>
      <w:r w:rsidR="00A54313">
        <w:t>observe</w:t>
      </w:r>
      <w:r w:rsidR="00BF4647">
        <w:t xml:space="preserve"> that </w:t>
      </w:r>
      <w:r w:rsidR="00BF4647">
        <w:rPr>
          <w:kern w:val="0"/>
        </w:rPr>
        <w:t xml:space="preserve">the </w:t>
      </w:r>
      <w:r w:rsidR="00BF4647">
        <w:t xml:space="preserve">Hypergear Intellicast FM Transmitter and Car Charger could not have been authorized </w:t>
      </w:r>
      <w:r w:rsidR="00A54313">
        <w:t>because</w:t>
      </w:r>
      <w:r w:rsidR="00BF4647">
        <w:t xml:space="preserve"> it </w:t>
      </w:r>
      <w:r w:rsidR="00551EB6">
        <w:t xml:space="preserve">operated in a manner </w:t>
      </w:r>
      <w:r w:rsidR="003C578A">
        <w:t xml:space="preserve">that </w:t>
      </w:r>
      <w:r w:rsidR="00090091">
        <w:t>did not comply with the Commission’s rules</w:t>
      </w:r>
      <w:r w:rsidR="00A54313">
        <w:t xml:space="preserve"> and, in fact, is not authorized</w:t>
      </w:r>
      <w:r w:rsidR="00090091">
        <w:t xml:space="preserve">.  </w:t>
      </w:r>
      <w:r>
        <w:t xml:space="preserve">The Company thus violated </w:t>
      </w:r>
      <w:r w:rsidR="00F61D8A">
        <w:t>section 302(b) of the Act and sections 2.803, 2.925, 15.19, 15.21, 15.201, and 15.239 of the Commission’s rules, by marketing a device that was capable of operating outside of the FM frequency band (88 to 108 MHz), lacked an equipment authorization, and lacked the appropriate labeling and user manual disclosures.</w:t>
      </w:r>
      <w:r>
        <w:rPr>
          <w:rStyle w:val="FootnoteReference"/>
        </w:rPr>
        <w:footnoteReference w:id="53"/>
      </w:r>
    </w:p>
    <w:p w:rsidR="005C0ED4" w:rsidRPr="005C0ED4" w:rsidP="005A05DF" w14:paraId="50D96604" w14:textId="4CF0099E">
      <w:pPr>
        <w:pStyle w:val="ParaNum"/>
        <w:widowControl/>
        <w:rPr>
          <w:kern w:val="0"/>
        </w:rPr>
      </w:pPr>
      <w:r>
        <w:rPr>
          <w:kern w:val="0"/>
        </w:rPr>
        <w:t>Finally, t</w:t>
      </w:r>
      <w:r w:rsidR="00386D23">
        <w:rPr>
          <w:kern w:val="0"/>
        </w:rPr>
        <w:t xml:space="preserve">he Division’s investigation revealed that </w:t>
      </w:r>
      <w:r w:rsidR="0055219A">
        <w:rPr>
          <w:kern w:val="0"/>
        </w:rPr>
        <w:t>B&amp;H marketed</w:t>
      </w:r>
      <w:r w:rsidRPr="00BA232A" w:rsidR="0055219A">
        <w:rPr>
          <w:kern w:val="0"/>
        </w:rPr>
        <w:t xml:space="preserve"> </w:t>
      </w:r>
      <w:r w:rsidRPr="00BA232A" w:rsidR="00386D23">
        <w:rPr>
          <w:kern w:val="0"/>
        </w:rPr>
        <w:t xml:space="preserve">the </w:t>
      </w:r>
      <w:r w:rsidR="00386D23">
        <w:t>Aluratek Universal Bluetooth Audio Receiver and FM Transmitter</w:t>
      </w:r>
      <w:r>
        <w:t>,</w:t>
      </w:r>
      <w:r w:rsidR="00386D23">
        <w:t xml:space="preserve"> </w:t>
      </w:r>
      <w:r w:rsidR="0055219A">
        <w:t xml:space="preserve">which </w:t>
      </w:r>
      <w:r w:rsidR="00A60AF8">
        <w:t xml:space="preserve">was </w:t>
      </w:r>
      <w:r w:rsidR="00386D23">
        <w:t>capable of operating outside of the FM frequency band.</w:t>
      </w:r>
      <w:r>
        <w:rPr>
          <w:rStyle w:val="FootnoteReference"/>
        </w:rPr>
        <w:footnoteReference w:id="54"/>
      </w:r>
      <w:r w:rsidR="00386D23">
        <w:t xml:space="preserve">  </w:t>
      </w:r>
      <w:r w:rsidR="001B43E0">
        <w:t xml:space="preserve">The </w:t>
      </w:r>
      <w:r w:rsidR="00D91515">
        <w:t xml:space="preserve">Aluratek Universal Bluetooth Audio Receiver and FM Transmitter could not have been authorized, however, </w:t>
      </w:r>
      <w:r>
        <w:t xml:space="preserve">because </w:t>
      </w:r>
      <w:r w:rsidR="00D91515">
        <w:t xml:space="preserve">it operated in a manner that </w:t>
      </w:r>
      <w:r w:rsidR="00090091">
        <w:t xml:space="preserve">did not comply with the Commission’s rules.  </w:t>
      </w:r>
      <w:r w:rsidR="00824515">
        <w:t xml:space="preserve">The Company thus </w:t>
      </w:r>
      <w:r w:rsidR="00090091">
        <w:t>violated section 302(b) of the Act and sections 2.803, 2.925, 15.19, 15.21, 15.201, and 15.239 of the Commission’s rules, by marketing a device that was capable of operating outside of the FM frequency band (88 to 108 MHz), lacked an equipment authorization, and lacked the appropriate labeling and user manual disclosures.</w:t>
      </w:r>
      <w:r>
        <w:rPr>
          <w:rStyle w:val="FootnoteReference"/>
        </w:rPr>
        <w:footnoteReference w:id="55"/>
      </w:r>
    </w:p>
    <w:p w:rsidR="00E273E3" w:rsidRPr="00BE70CC" w:rsidP="005A05DF" w14:paraId="481F31AB" w14:textId="56953AB0">
      <w:pPr>
        <w:pStyle w:val="Heading1"/>
        <w:widowControl/>
      </w:pPr>
      <w:r w:rsidRPr="00BE70CC">
        <w:rPr>
          <w:caps w:val="0"/>
        </w:rPr>
        <w:t xml:space="preserve">REQUEST FOR INFORMATION </w:t>
      </w:r>
    </w:p>
    <w:p w:rsidR="006E6234" w:rsidRPr="00BE70CC" w:rsidP="005A05DF" w14:paraId="67589FAE" w14:textId="1B64A9EC">
      <w:pPr>
        <w:pStyle w:val="ParaNum"/>
        <w:widowControl/>
      </w:pPr>
      <w:r w:rsidRPr="00BE70CC">
        <w:t>W</w:t>
      </w:r>
      <w:r w:rsidRPr="00BE70CC" w:rsidR="005942FC">
        <w:t xml:space="preserve">e direct </w:t>
      </w:r>
      <w:r w:rsidR="00B26C61">
        <w:t xml:space="preserve">B&amp;H </w:t>
      </w:r>
      <w:r w:rsidRPr="00BE70CC" w:rsidR="005942FC">
        <w:t>to respond to the following inquir</w:t>
      </w:r>
      <w:r w:rsidR="00B26C61">
        <w:t xml:space="preserve">y </w:t>
      </w:r>
      <w:r w:rsidRPr="00BE70CC" w:rsidR="005942FC">
        <w:t xml:space="preserve">within 30 days from the release date of this Citation:  </w:t>
      </w:r>
    </w:p>
    <w:p w:rsidR="005942FC" w:rsidRPr="001D1FA4" w:rsidP="005A05DF" w14:paraId="75D3CC4D" w14:textId="714DFD06">
      <w:pPr>
        <w:pStyle w:val="ParaNum"/>
        <w:widowControl/>
        <w:numPr>
          <w:ilvl w:val="0"/>
          <w:numId w:val="20"/>
        </w:numPr>
        <w:tabs>
          <w:tab w:val="left" w:pos="1440"/>
        </w:tabs>
        <w:rPr>
          <w:szCs w:val="22"/>
        </w:rPr>
      </w:pPr>
      <w:r w:rsidRPr="00BE70CC">
        <w:rPr>
          <w:szCs w:val="22"/>
        </w:rPr>
        <w:t xml:space="preserve">Confirm in writing that </w:t>
      </w:r>
      <w:r w:rsidR="00B26C61">
        <w:rPr>
          <w:szCs w:val="22"/>
        </w:rPr>
        <w:t xml:space="preserve">B&amp;H </w:t>
      </w:r>
      <w:r w:rsidRPr="00BE70CC">
        <w:t xml:space="preserve">has ceased </w:t>
      </w:r>
      <w:r w:rsidR="00B26C61">
        <w:t xml:space="preserve">marketing the </w:t>
      </w:r>
      <w:r w:rsidR="009D0545">
        <w:t>(i) Scosche BTFreq Handsfree Car Kit with FM Transmitter; (ii)</w:t>
      </w:r>
      <w:r w:rsidRPr="000315E3" w:rsidR="009D0545">
        <w:t xml:space="preserve"> </w:t>
      </w:r>
      <w:r w:rsidR="009D0545">
        <w:t xml:space="preserve">Scosche Universal Bluetooth Hands-Free Car Kit with FM Transmitter; (ii) Scosche Bluetooth Hands-Free Car Kit with FM Transmitter &amp; USB Charging Port; and (iv) Scosche BTFreq Pro Bluetooth FM Transmitter with Power Delivery models that were </w:t>
      </w:r>
      <w:r w:rsidR="00B26C61">
        <w:t>capable of operating below 88.1 MHz, despite having certifications to operate only in 88.1 – 10</w:t>
      </w:r>
      <w:r w:rsidR="00153EBA">
        <w:t>7</w:t>
      </w:r>
      <w:r w:rsidR="00B26C61">
        <w:t>.9 MHz and in 2402.0 – 2480.0 MHz</w:t>
      </w:r>
      <w:r w:rsidRPr="00BE70CC">
        <w:t>.</w:t>
      </w:r>
      <w:r w:rsidR="00D06C94">
        <w:t xml:space="preserve">  If B&amp;H has not ceased marketing these models, explain why not.</w:t>
      </w:r>
    </w:p>
    <w:p w:rsidR="001D1FA4" w:rsidRPr="00BE70CC" w:rsidP="005A05DF" w14:paraId="1887DB63" w14:textId="2FADCDD0">
      <w:pPr>
        <w:pStyle w:val="ParaNum"/>
        <w:widowControl/>
        <w:numPr>
          <w:ilvl w:val="0"/>
          <w:numId w:val="20"/>
        </w:numPr>
        <w:tabs>
          <w:tab w:val="left" w:pos="1440"/>
        </w:tabs>
        <w:rPr>
          <w:szCs w:val="22"/>
        </w:rPr>
      </w:pPr>
      <w:r>
        <w:t>Confirm in writing whether B&amp;H has resumed marketing the Aluratek Universal Bluetooth Audio Receiver and FM transmitter.  If so, provide an FCC ID for the model, and the date on which B&amp;H resumed marketing the model.</w:t>
      </w:r>
    </w:p>
    <w:p w:rsidR="004D3233" w:rsidRPr="00BE70CC" w:rsidP="005A05DF" w14:paraId="58BEC999" w14:textId="02A42A15">
      <w:pPr>
        <w:pStyle w:val="Heading1"/>
        <w:widowControl/>
      </w:pPr>
      <w:bookmarkStart w:id="6" w:name="SR;716"/>
      <w:bookmarkStart w:id="7" w:name="SR;717"/>
      <w:bookmarkEnd w:id="6"/>
      <w:bookmarkEnd w:id="7"/>
      <w:r w:rsidRPr="00BE70CC">
        <w:rPr>
          <w:caps w:val="0"/>
        </w:rPr>
        <w:t>OPPORTUNITY TO RESPOND TO THIS CITATION</w:t>
      </w:r>
    </w:p>
    <w:p w:rsidR="00886C3A" w:rsidRPr="00BE70CC" w:rsidP="005A05DF" w14:paraId="2A48DF01" w14:textId="6C194B82">
      <w:pPr>
        <w:pStyle w:val="ParaNum"/>
        <w:widowControl/>
        <w:rPr>
          <w:kern w:val="2"/>
        </w:rPr>
      </w:pPr>
      <w:r>
        <w:t xml:space="preserve">B&amp;H </w:t>
      </w:r>
      <w:r w:rsidRPr="00BE70CC">
        <w:rPr>
          <w:kern w:val="2"/>
          <w:szCs w:val="22"/>
        </w:rPr>
        <w:t xml:space="preserve">may respond to this Citation within 30 calendar days from the </w:t>
      </w:r>
      <w:r w:rsidRPr="00BE70CC" w:rsidR="00B122C3">
        <w:rPr>
          <w:kern w:val="2"/>
          <w:szCs w:val="22"/>
        </w:rPr>
        <w:t xml:space="preserve">release date of this Citation by any of the following methods:  </w:t>
      </w:r>
      <w:r w:rsidRPr="00BE70CC">
        <w:rPr>
          <w:kern w:val="2"/>
          <w:szCs w:val="22"/>
        </w:rPr>
        <w:t xml:space="preserve">(1) </w:t>
      </w:r>
      <w:r w:rsidRPr="00BE70CC" w:rsidR="00B122C3">
        <w:rPr>
          <w:kern w:val="2"/>
          <w:szCs w:val="22"/>
        </w:rPr>
        <w:t xml:space="preserve">a </w:t>
      </w:r>
      <w:r w:rsidRPr="00BE70CC">
        <w:rPr>
          <w:kern w:val="2"/>
          <w:szCs w:val="22"/>
        </w:rPr>
        <w:t xml:space="preserve">written statement, (2) a teleconference interview, or (3) a personal interview at the Commission Field Office nearest to </w:t>
      </w:r>
      <w:r>
        <w:rPr>
          <w:kern w:val="2"/>
          <w:szCs w:val="22"/>
        </w:rPr>
        <w:t>B&amp;H</w:t>
      </w:r>
      <w:r w:rsidRPr="00BE70CC" w:rsidR="00F22E6D">
        <w:rPr>
          <w:kern w:val="2"/>
          <w:szCs w:val="22"/>
        </w:rPr>
        <w:t>’s place of business</w:t>
      </w:r>
      <w:r w:rsidR="0090510E">
        <w:rPr>
          <w:kern w:val="2"/>
          <w:szCs w:val="22"/>
        </w:rPr>
        <w:t>.  T</w:t>
      </w:r>
      <w:r w:rsidRPr="00BE70CC" w:rsidR="00F22E6D">
        <w:rPr>
          <w:kern w:val="2"/>
          <w:szCs w:val="22"/>
        </w:rPr>
        <w:t xml:space="preserve">he Commission Field Office nearest </w:t>
      </w:r>
      <w:r>
        <w:rPr>
          <w:kern w:val="2"/>
          <w:szCs w:val="22"/>
        </w:rPr>
        <w:t>B&amp;H i</w:t>
      </w:r>
      <w:r w:rsidR="00F50F55">
        <w:rPr>
          <w:kern w:val="2"/>
          <w:szCs w:val="22"/>
        </w:rPr>
        <w:t xml:space="preserve">s located in </w:t>
      </w:r>
      <w:r>
        <w:rPr>
          <w:kern w:val="2"/>
          <w:szCs w:val="22"/>
        </w:rPr>
        <w:t>New York, New York</w:t>
      </w:r>
      <w:r w:rsidRPr="00BE70CC" w:rsidR="00F22E6D">
        <w:rPr>
          <w:kern w:val="2"/>
          <w:szCs w:val="22"/>
        </w:rPr>
        <w:t>.</w:t>
      </w:r>
      <w:r w:rsidRPr="00BE70CC">
        <w:rPr>
          <w:kern w:val="2"/>
          <w:szCs w:val="22"/>
        </w:rPr>
        <w:t xml:space="preserve">     </w:t>
      </w:r>
    </w:p>
    <w:p w:rsidR="00886C3A" w:rsidRPr="00BE70CC" w:rsidP="005A05DF" w14:paraId="489FFCD5" w14:textId="0E454FA9">
      <w:pPr>
        <w:pStyle w:val="ParaNum"/>
        <w:widowControl/>
        <w:rPr>
          <w:kern w:val="2"/>
          <w:szCs w:val="22"/>
        </w:rPr>
      </w:pPr>
      <w:r w:rsidRPr="00BE70CC">
        <w:rPr>
          <w:kern w:val="2"/>
          <w:szCs w:val="22"/>
        </w:rPr>
        <w:t>If</w:t>
      </w:r>
      <w:r w:rsidR="00135CF4">
        <w:rPr>
          <w:kern w:val="2"/>
          <w:szCs w:val="22"/>
        </w:rPr>
        <w:t xml:space="preserve"> B&amp;H </w:t>
      </w:r>
      <w:r w:rsidRPr="00BE70CC" w:rsidR="00F22E6D">
        <w:rPr>
          <w:kern w:val="2"/>
          <w:szCs w:val="22"/>
        </w:rPr>
        <w:t>requests</w:t>
      </w:r>
      <w:r w:rsidRPr="00BE70CC">
        <w:rPr>
          <w:kern w:val="2"/>
          <w:szCs w:val="22"/>
        </w:rPr>
        <w:t xml:space="preserve"> a teleconference or pers</w:t>
      </w:r>
      <w:r w:rsidRPr="00BE70CC" w:rsidR="00F22E6D">
        <w:rPr>
          <w:kern w:val="2"/>
          <w:szCs w:val="22"/>
        </w:rPr>
        <w:t xml:space="preserve">onal interview, </w:t>
      </w:r>
      <w:r w:rsidR="00135CF4">
        <w:rPr>
          <w:kern w:val="2"/>
          <w:szCs w:val="22"/>
        </w:rPr>
        <w:t xml:space="preserve">it must </w:t>
      </w:r>
      <w:r w:rsidRPr="00BE70CC">
        <w:rPr>
          <w:kern w:val="2"/>
          <w:szCs w:val="22"/>
        </w:rPr>
        <w:t xml:space="preserve">contact </w:t>
      </w:r>
      <w:r w:rsidR="00135CF4">
        <w:rPr>
          <w:kern w:val="2"/>
          <w:szCs w:val="22"/>
        </w:rPr>
        <w:t xml:space="preserve">Kathy Harvey </w:t>
      </w:r>
      <w:r w:rsidRPr="00BE70CC">
        <w:rPr>
          <w:noProof/>
          <w:color w:val="000000"/>
          <w:szCs w:val="22"/>
        </w:rPr>
        <w:t>at</w:t>
      </w:r>
      <w:r w:rsidR="00135CF4">
        <w:rPr>
          <w:noProof/>
          <w:color w:val="000000"/>
          <w:szCs w:val="22"/>
        </w:rPr>
        <w:t xml:space="preserve"> </w:t>
      </w:r>
      <w:hyperlink r:id="rId5" w:history="1">
        <w:r w:rsidRPr="00F36AF2" w:rsidR="00135CF4">
          <w:rPr>
            <w:rStyle w:val="Hyperlink"/>
            <w:noProof/>
            <w:szCs w:val="22"/>
          </w:rPr>
          <w:t>kathy.harvey@fcc.gov</w:t>
        </w:r>
      </w:hyperlink>
      <w:r w:rsidR="00135CF4">
        <w:rPr>
          <w:noProof/>
          <w:color w:val="000000"/>
          <w:szCs w:val="22"/>
        </w:rPr>
        <w:t xml:space="preserve"> or 202-418-7514.</w:t>
      </w:r>
      <w:r w:rsidRPr="00BE70CC">
        <w:rPr>
          <w:kern w:val="2"/>
          <w:szCs w:val="22"/>
        </w:rPr>
        <w:t xml:space="preserve">  </w:t>
      </w:r>
      <w:r w:rsidRPr="00BE70CC" w:rsidR="00F22E6D">
        <w:rPr>
          <w:kern w:val="2"/>
          <w:szCs w:val="22"/>
        </w:rPr>
        <w:t xml:space="preserve">We </w:t>
      </w:r>
      <w:r w:rsidRPr="00BE70CC">
        <w:rPr>
          <w:kern w:val="2"/>
          <w:szCs w:val="22"/>
        </w:rPr>
        <w:t xml:space="preserve">note that such teleconference or interview must take place within 30 calendar days of the </w:t>
      </w:r>
      <w:r w:rsidRPr="00BE70CC" w:rsidR="00C22E21">
        <w:rPr>
          <w:kern w:val="2"/>
          <w:szCs w:val="22"/>
        </w:rPr>
        <w:t xml:space="preserve">release </w:t>
      </w:r>
      <w:r w:rsidRPr="00BE70CC">
        <w:rPr>
          <w:kern w:val="2"/>
          <w:szCs w:val="22"/>
        </w:rPr>
        <w:t xml:space="preserve">date of this Citation.  If </w:t>
      </w:r>
      <w:r w:rsidR="00135CF4">
        <w:rPr>
          <w:kern w:val="2"/>
          <w:szCs w:val="22"/>
        </w:rPr>
        <w:t xml:space="preserve">B&amp;H </w:t>
      </w:r>
      <w:r w:rsidRPr="00BE70CC">
        <w:rPr>
          <w:kern w:val="2"/>
          <w:szCs w:val="22"/>
        </w:rPr>
        <w:t xml:space="preserve">prefers to submit a written response with supporting documentation, it must send the response within 30 calendar days of the </w:t>
      </w:r>
      <w:r w:rsidRPr="00BE70CC" w:rsidR="00C22E21">
        <w:rPr>
          <w:kern w:val="2"/>
          <w:szCs w:val="22"/>
        </w:rPr>
        <w:t xml:space="preserve">release </w:t>
      </w:r>
      <w:r w:rsidRPr="00BE70CC">
        <w:rPr>
          <w:kern w:val="2"/>
          <w:szCs w:val="22"/>
        </w:rPr>
        <w:t>date of this Citation to the contact and address provided in paragraph</w:t>
      </w:r>
      <w:r w:rsidRPr="00BE70CC" w:rsidR="00D82A8B">
        <w:rPr>
          <w:kern w:val="2"/>
          <w:szCs w:val="22"/>
        </w:rPr>
        <w:t xml:space="preserve"> </w:t>
      </w:r>
      <w:r w:rsidRPr="00BE70CC">
        <w:rPr>
          <w:kern w:val="2"/>
          <w:szCs w:val="22"/>
        </w:rPr>
        <w:t>below.</w:t>
      </w:r>
    </w:p>
    <w:p w:rsidR="003A60F4" w:rsidRPr="00BE70CC" w:rsidP="005A05DF" w14:paraId="3CB35E8E" w14:textId="4F50BDD8">
      <w:pPr>
        <w:pStyle w:val="ParaNum"/>
        <w:widowControl/>
        <w:rPr>
          <w:noProof/>
        </w:rPr>
      </w:pPr>
      <w:r w:rsidRPr="00BE70CC">
        <w:rPr>
          <w:kern w:val="2"/>
          <w:szCs w:val="22"/>
        </w:rPr>
        <w:t xml:space="preserve">All written communications should be sent </w:t>
      </w:r>
      <w:r w:rsidR="00135CF4">
        <w:rPr>
          <w:kern w:val="2"/>
          <w:szCs w:val="22"/>
        </w:rPr>
        <w:t xml:space="preserve">via e-mail to </w:t>
      </w:r>
      <w:hyperlink r:id="rId5" w:history="1">
        <w:r w:rsidRPr="00F36AF2" w:rsidR="00135CF4">
          <w:rPr>
            <w:rStyle w:val="Hyperlink"/>
            <w:kern w:val="2"/>
            <w:szCs w:val="22"/>
          </w:rPr>
          <w:t>kathy.harvey@fcc.gov</w:t>
        </w:r>
      </w:hyperlink>
      <w:r w:rsidR="00135CF4">
        <w:rPr>
          <w:kern w:val="2"/>
          <w:szCs w:val="22"/>
        </w:rPr>
        <w:t xml:space="preserve"> and to </w:t>
      </w:r>
      <w:hyperlink r:id="rId6" w:history="1">
        <w:r w:rsidRPr="00F36AF2" w:rsidR="00135CF4">
          <w:rPr>
            <w:rStyle w:val="Hyperlink"/>
            <w:kern w:val="2"/>
            <w:szCs w:val="22"/>
          </w:rPr>
          <w:t>EB-SED-Response@fcc.gov</w:t>
        </w:r>
      </w:hyperlink>
      <w:r w:rsidR="00F90D04">
        <w:rPr>
          <w:kern w:val="2"/>
          <w:szCs w:val="22"/>
        </w:rPr>
        <w:t xml:space="preserve">, and the subject of the e-mail should specify the Company name and its investigation File Number, </w:t>
      </w:r>
      <w:r w:rsidRPr="003A60F4" w:rsidR="00F90D04">
        <w:rPr>
          <w:b/>
          <w:bCs/>
          <w:spacing w:val="-2"/>
        </w:rPr>
        <w:t>EB-SED-20-00031344</w:t>
      </w:r>
      <w:r w:rsidR="00135CF4">
        <w:rPr>
          <w:kern w:val="2"/>
          <w:szCs w:val="22"/>
        </w:rPr>
        <w:t xml:space="preserve">.  </w:t>
      </w:r>
      <w:r w:rsidRPr="006D051C">
        <w:rPr>
          <w:kern w:val="2"/>
        </w:rPr>
        <w:t>Due to network file size restrictions, the Company should partition the response into separate e</w:t>
      </w:r>
      <w:r>
        <w:rPr>
          <w:kern w:val="2"/>
        </w:rPr>
        <w:t>-</w:t>
      </w:r>
      <w:r w:rsidRPr="006D051C">
        <w:rPr>
          <w:kern w:val="2"/>
        </w:rPr>
        <w:t>mails of less than 10 MB, including attachments.  The Company should seek guidance in sufficient advance of the response deadline if it requires an alternative method of delivery.</w:t>
      </w:r>
    </w:p>
    <w:p w:rsidR="00886C3A" w:rsidRPr="00BE70CC" w:rsidP="005A05DF" w14:paraId="31DBF228" w14:textId="6DD2DB2A">
      <w:pPr>
        <w:pStyle w:val="ParaNum"/>
        <w:widowControl/>
        <w:rPr>
          <w:kern w:val="2"/>
          <w:szCs w:val="22"/>
        </w:rPr>
      </w:pPr>
      <w:r w:rsidRPr="00BE70CC">
        <w:rPr>
          <w:kern w:val="2"/>
          <w:szCs w:val="22"/>
        </w:rPr>
        <w:t xml:space="preserve">Upon request, the Commission will make reasonable accommodations for persons with disabilities.  If applicable, </w:t>
      </w:r>
      <w:r w:rsidR="003A60F4">
        <w:rPr>
          <w:kern w:val="2"/>
          <w:szCs w:val="22"/>
        </w:rPr>
        <w:t xml:space="preserve">B&amp;H </w:t>
      </w:r>
      <w:r w:rsidRPr="00BE70CC">
        <w:rPr>
          <w:kern w:val="2"/>
          <w:szCs w:val="22"/>
        </w:rPr>
        <w:t xml:space="preserve">should provide a description of the accommodation required, and include as much detail as possible, and also provide </w:t>
      </w:r>
      <w:r w:rsidRPr="00BE70CC" w:rsidR="00C22E21">
        <w:rPr>
          <w:kern w:val="2"/>
          <w:szCs w:val="22"/>
        </w:rPr>
        <w:t xml:space="preserve">a telephone number and other </w:t>
      </w:r>
      <w:r w:rsidRPr="00BE70CC">
        <w:rPr>
          <w:kern w:val="2"/>
          <w:szCs w:val="22"/>
        </w:rPr>
        <w:t xml:space="preserve">contact information.  </w:t>
      </w:r>
      <w:r w:rsidR="003A60F4">
        <w:rPr>
          <w:kern w:val="2"/>
          <w:szCs w:val="22"/>
        </w:rPr>
        <w:t xml:space="preserve">B&amp;H </w:t>
      </w:r>
      <w:r w:rsidRPr="00BE70CC" w:rsidR="00436E88">
        <w:rPr>
          <w:kern w:val="2"/>
          <w:szCs w:val="22"/>
        </w:rPr>
        <w:t xml:space="preserve">should allow at least five </w:t>
      </w:r>
      <w:r w:rsidRPr="00BE70CC">
        <w:rPr>
          <w:kern w:val="2"/>
          <w:szCs w:val="22"/>
        </w:rPr>
        <w:t xml:space="preserve">business days advance notice; last minute requests will be accepted, but may be impossible to fill.  </w:t>
      </w:r>
      <w:r w:rsidR="003A60F4">
        <w:rPr>
          <w:kern w:val="2"/>
          <w:szCs w:val="22"/>
        </w:rPr>
        <w:t xml:space="preserve">B&amp;H </w:t>
      </w:r>
      <w:r w:rsidRPr="00BE70CC">
        <w:rPr>
          <w:kern w:val="2"/>
          <w:szCs w:val="22"/>
        </w:rPr>
        <w:t xml:space="preserve">should send an e-mail to </w:t>
      </w:r>
      <w:hyperlink r:id="rId7" w:history="1">
        <w:r w:rsidRPr="00816CF1" w:rsidR="00897C54">
          <w:rPr>
            <w:rStyle w:val="Hyperlink"/>
            <w:kern w:val="2"/>
            <w:szCs w:val="22"/>
          </w:rPr>
          <w:t>fcc504@fcc.gov</w:t>
        </w:r>
      </w:hyperlink>
      <w:r w:rsidR="00897C54">
        <w:rPr>
          <w:kern w:val="2"/>
          <w:szCs w:val="22"/>
        </w:rPr>
        <w:t xml:space="preserve"> o</w:t>
      </w:r>
      <w:r w:rsidRPr="00BE70CC">
        <w:rPr>
          <w:kern w:val="2"/>
          <w:szCs w:val="22"/>
        </w:rPr>
        <w:t>r call the FCC’s Consumer &amp; Governmental Affairs Bureau:</w:t>
      </w:r>
    </w:p>
    <w:p w:rsidR="00886C3A" w:rsidRPr="00BE70CC" w:rsidP="005A05DF" w14:paraId="5DE5A513" w14:textId="77777777">
      <w:pPr>
        <w:widowControl/>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P="005A05DF" w14:paraId="4DFAB1C1" w14:textId="77777777">
      <w:pPr>
        <w:widowControl/>
        <w:spacing w:after="220"/>
        <w:rPr>
          <w:kern w:val="2"/>
          <w:szCs w:val="22"/>
        </w:rPr>
      </w:pPr>
      <w:r w:rsidRPr="00BE70CC">
        <w:rPr>
          <w:kern w:val="2"/>
          <w:szCs w:val="22"/>
        </w:rPr>
        <w:tab/>
      </w:r>
      <w:r w:rsidRPr="00BE70CC">
        <w:rPr>
          <w:kern w:val="2"/>
          <w:szCs w:val="22"/>
        </w:rPr>
        <w:tab/>
        <w:t>202-418-0530 (voice), 202-418-0432 (tty);</w:t>
      </w:r>
    </w:p>
    <w:p w:rsidR="00886C3A" w:rsidRPr="00BE70CC" w:rsidP="005A05DF" w14:paraId="25820983" w14:textId="77777777">
      <w:pPr>
        <w:widowControl/>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(tty).</w:t>
      </w:r>
      <w:r w:rsidRPr="00BE70CC">
        <w:rPr>
          <w:b/>
          <w:kern w:val="2"/>
          <w:szCs w:val="22"/>
        </w:rPr>
        <w:t xml:space="preserve">  </w:t>
      </w:r>
    </w:p>
    <w:p w:rsidR="00886C3A" w:rsidRPr="00BE70CC" w:rsidP="005A05DF" w14:paraId="08B3BC9C" w14:textId="7CC09A7E">
      <w:pPr>
        <w:pStyle w:val="ParaNum"/>
        <w:widowControl/>
        <w:rPr>
          <w:szCs w:val="22"/>
        </w:rPr>
      </w:pPr>
      <w:r w:rsidRPr="00BE70CC">
        <w:rPr>
          <w:kern w:val="2"/>
          <w:szCs w:val="22"/>
        </w:rPr>
        <w:t xml:space="preserve">We advise </w:t>
      </w:r>
      <w:r w:rsidR="003A60F4">
        <w:rPr>
          <w:kern w:val="2"/>
          <w:szCs w:val="22"/>
        </w:rPr>
        <w:t xml:space="preserve">B&amp;H </w:t>
      </w:r>
      <w:r w:rsidRPr="00BE70CC">
        <w:rPr>
          <w:kern w:val="2"/>
          <w:szCs w:val="22"/>
        </w:rPr>
        <w:t>th</w:t>
      </w:r>
      <w:r w:rsidRPr="00BE70CC">
        <w:rPr>
          <w:szCs w:val="22"/>
        </w:rPr>
        <w:t xml:space="preserve">at it is a violation of </w:t>
      </w:r>
      <w:r w:rsidR="002141E6">
        <w:rPr>
          <w:szCs w:val="22"/>
        </w:rPr>
        <w:t>s</w:t>
      </w:r>
      <w:r w:rsidRPr="00BE70CC">
        <w:rPr>
          <w:szCs w:val="22"/>
        </w:rPr>
        <w:t xml:space="preserve">ection 1.17 of the </w:t>
      </w:r>
      <w:r w:rsidR="002141E6">
        <w:rPr>
          <w:szCs w:val="22"/>
        </w:rPr>
        <w:t>Commission’s r</w:t>
      </w:r>
      <w:r w:rsidRPr="00BE70CC">
        <w:rPr>
          <w:szCs w:val="22"/>
        </w:rPr>
        <w:t>ules</w:t>
      </w:r>
      <w:r>
        <w:rPr>
          <w:rStyle w:val="FootnoteReference"/>
          <w:szCs w:val="22"/>
        </w:rPr>
        <w:footnoteReference w:id="56"/>
      </w:r>
      <w:r w:rsidRPr="00BE70CC">
        <w:rPr>
          <w:szCs w:val="22"/>
        </w:rPr>
        <w:t xml:space="preserve"> for any person to make any false or misleading written or oral statement of fact</w:t>
      </w:r>
      <w:r w:rsidR="00BE70CC">
        <w:rPr>
          <w:szCs w:val="22"/>
        </w:rPr>
        <w:t xml:space="preserve"> to the Commission</w:t>
      </w:r>
      <w:r w:rsidRPr="00BE70CC">
        <w:rPr>
          <w:szCs w:val="22"/>
        </w:rPr>
        <w:t>.  Specifically, no person shall:</w:t>
      </w:r>
    </w:p>
    <w:p w:rsidR="00886C3A" w:rsidRPr="00BE70CC" w:rsidP="005A05DF" w14:paraId="7257743A" w14:textId="77777777">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BE70CC" w:rsidP="005A05DF" w14:paraId="2012C0D2" w14:textId="77777777">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BE70CC" w:rsidP="005A05DF" w14:paraId="0A7BF390" w14:textId="77777777">
      <w:pPr>
        <w:pStyle w:val="ParaNum"/>
        <w:widowControl/>
        <w:rPr>
          <w:kern w:val="2"/>
          <w:szCs w:val="22"/>
        </w:rPr>
      </w:pPr>
      <w:r w:rsidRPr="00BE70CC">
        <w:rPr>
          <w:kern w:val="2"/>
          <w:szCs w:val="22"/>
        </w:rPr>
        <w:t>Further, the knowing and willful making of any false statement, or the concealment of any material fact, in reply to this Citation is punishable by fine or imprisonment</w:t>
      </w:r>
      <w:r w:rsidR="0090510E">
        <w:rPr>
          <w:kern w:val="2"/>
          <w:szCs w:val="22"/>
        </w:rPr>
        <w:t>.</w:t>
      </w:r>
      <w:r>
        <w:rPr>
          <w:rStyle w:val="FootnoteReference"/>
          <w:kern w:val="2"/>
          <w:szCs w:val="22"/>
        </w:rPr>
        <w:footnoteReference w:id="57"/>
      </w:r>
    </w:p>
    <w:p w:rsidR="00886C3A" w:rsidRPr="00BE70CC" w:rsidP="005A05DF" w14:paraId="503B826D" w14:textId="77777777">
      <w:pPr>
        <w:pStyle w:val="ParaNum"/>
        <w:widowControl/>
        <w:rPr>
          <w:kern w:val="2"/>
          <w:szCs w:val="22"/>
        </w:rPr>
      </w:pPr>
      <w:r w:rsidRPr="00BE70CC">
        <w:rPr>
          <w:kern w:val="2"/>
          <w:szCs w:val="22"/>
        </w:rPr>
        <w:t xml:space="preserve">Violations of </w:t>
      </w:r>
      <w:r w:rsidR="002141E6">
        <w:rPr>
          <w:kern w:val="2"/>
          <w:szCs w:val="22"/>
        </w:rPr>
        <w:t>s</w:t>
      </w:r>
      <w:r w:rsidRPr="00BE70CC">
        <w:rPr>
          <w:kern w:val="2"/>
          <w:szCs w:val="22"/>
        </w:rPr>
        <w:t xml:space="preserve">ection 1.17 of the </w:t>
      </w:r>
      <w:r w:rsidR="002141E6">
        <w:rPr>
          <w:kern w:val="2"/>
          <w:szCs w:val="22"/>
        </w:rPr>
        <w:t>Commission’s r</w:t>
      </w:r>
      <w:r w:rsidRPr="00BE70CC">
        <w:rPr>
          <w:kern w:val="2"/>
          <w:szCs w:val="22"/>
        </w:rPr>
        <w:t xml:space="preserve">ules or the criminal statute referenced above may result in further legal action, including monetary forfeitures pursuant to </w:t>
      </w:r>
      <w:r w:rsidR="002141E6">
        <w:rPr>
          <w:kern w:val="2"/>
          <w:szCs w:val="22"/>
        </w:rPr>
        <w:t>s</w:t>
      </w:r>
      <w:r w:rsidRPr="00BE70CC">
        <w:rPr>
          <w:kern w:val="2"/>
          <w:szCs w:val="22"/>
        </w:rPr>
        <w:t>ection 503 of the</w:t>
      </w:r>
      <w:r w:rsidR="003C4AD3">
        <w:rPr>
          <w:kern w:val="2"/>
          <w:szCs w:val="22"/>
        </w:rPr>
        <w:t xml:space="preserve"> </w:t>
      </w:r>
      <w:r w:rsidRPr="00BE70CC">
        <w:rPr>
          <w:kern w:val="2"/>
          <w:szCs w:val="22"/>
        </w:rPr>
        <w:t>Act.</w:t>
      </w:r>
    </w:p>
    <w:p w:rsidR="004D3233" w:rsidRPr="00BE70CC" w:rsidP="005A05DF" w14:paraId="16076265" w14:textId="333FCDAD">
      <w:pPr>
        <w:pStyle w:val="ParaNum"/>
        <w:keepNext/>
        <w:widowControl/>
        <w:rPr>
          <w:kern w:val="2"/>
          <w:szCs w:val="22"/>
        </w:rPr>
      </w:pPr>
      <w:r w:rsidRPr="00BE70CC">
        <w:rPr>
          <w:kern w:val="2"/>
          <w:szCs w:val="22"/>
        </w:rPr>
        <w:t xml:space="preserve">Finally, we warn </w:t>
      </w:r>
      <w:r w:rsidR="00114C2E">
        <w:rPr>
          <w:kern w:val="2"/>
          <w:szCs w:val="22"/>
        </w:rPr>
        <w:t xml:space="preserve">B&amp;H </w:t>
      </w:r>
      <w:r w:rsidRPr="00BE70CC">
        <w:rPr>
          <w:kern w:val="2"/>
          <w:szCs w:val="22"/>
        </w:rPr>
        <w:t xml:space="preserve">that, under the </w:t>
      </w:r>
      <w:r w:rsidRPr="00BE70CC" w:rsidR="00436E88">
        <w:rPr>
          <w:kern w:val="2"/>
          <w:szCs w:val="22"/>
        </w:rPr>
        <w:t>Privacy Act of 1974</w:t>
      </w:r>
      <w:r w:rsidR="003C4AD3">
        <w:rPr>
          <w:kern w:val="2"/>
          <w:szCs w:val="22"/>
        </w:rPr>
        <w:t>,</w:t>
      </w:r>
      <w:r>
        <w:rPr>
          <w:rStyle w:val="FootnoteReference"/>
          <w:kern w:val="2"/>
          <w:szCs w:val="22"/>
        </w:rPr>
        <w:footnoteReference w:id="58"/>
      </w:r>
      <w:r w:rsidRPr="00BE70CC" w:rsidR="00436E88">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114C2E">
        <w:rPr>
          <w:kern w:val="2"/>
          <w:szCs w:val="22"/>
        </w:rPr>
        <w:t>B&amp;H</w:t>
      </w:r>
      <w:r w:rsidRPr="00BE70CC">
        <w:rPr>
          <w:kern w:val="2"/>
          <w:szCs w:val="22"/>
        </w:rPr>
        <w:t xml:space="preserve">’s compliance with the Act and </w:t>
      </w:r>
      <w:r w:rsidR="002141E6">
        <w:rPr>
          <w:kern w:val="2"/>
          <w:szCs w:val="22"/>
        </w:rPr>
        <w:t>the Commission’s r</w:t>
      </w:r>
      <w:r w:rsidRPr="00BE70CC">
        <w:rPr>
          <w:kern w:val="2"/>
          <w:szCs w:val="22"/>
        </w:rPr>
        <w:t>ules.</w:t>
      </w:r>
      <w:bookmarkStart w:id="8" w:name="_Hlk62649332"/>
      <w:r>
        <w:rPr>
          <w:rStyle w:val="FootnoteReference"/>
        </w:rPr>
        <w:footnoteReference w:id="59"/>
      </w:r>
      <w:bookmarkEnd w:id="8"/>
    </w:p>
    <w:p w:rsidR="003343CA" w:rsidRPr="00BE70CC" w:rsidP="005A05DF" w14:paraId="34568B84" w14:textId="39135500">
      <w:pPr>
        <w:pStyle w:val="Heading1"/>
        <w:widowControl/>
      </w:pPr>
      <w:r w:rsidRPr="00BE70CC">
        <w:rPr>
          <w:caps w:val="0"/>
        </w:rPr>
        <w:t>FUTURE VIOLATIONS</w:t>
      </w:r>
    </w:p>
    <w:p w:rsidR="005B4CEA" w:rsidRPr="00BE70CC" w:rsidP="005A05DF" w14:paraId="77332416" w14:textId="3A26F442">
      <w:pPr>
        <w:pStyle w:val="ParaNum"/>
        <w:widowControl/>
      </w:pPr>
      <w:r w:rsidRPr="00BE70CC">
        <w:t xml:space="preserve">If, after receipt of this Citation, </w:t>
      </w:r>
      <w:r w:rsidR="00114C2E">
        <w:t xml:space="preserve">B&amp;H </w:t>
      </w:r>
      <w:r w:rsidRPr="00BE70CC">
        <w:t xml:space="preserve">again violates </w:t>
      </w:r>
      <w:r w:rsidR="002141E6">
        <w:t>s</w:t>
      </w:r>
      <w:r w:rsidRPr="00BE70CC" w:rsidR="0096675D">
        <w:t xml:space="preserve">ection </w:t>
      </w:r>
      <w:r w:rsidR="00503DB1">
        <w:t xml:space="preserve">302 </w:t>
      </w:r>
      <w:r w:rsidRPr="00BE70CC">
        <w:t xml:space="preserve">of the </w:t>
      </w:r>
      <w:r w:rsidR="003C4AD3">
        <w:t xml:space="preserve">Act or </w:t>
      </w:r>
      <w:r w:rsidR="00503DB1">
        <w:t>section</w:t>
      </w:r>
      <w:r w:rsidR="00A54313">
        <w:t>(</w:t>
      </w:r>
      <w:r w:rsidR="00503DB1">
        <w:t>s</w:t>
      </w:r>
      <w:r w:rsidR="00A54313">
        <w:t>)</w:t>
      </w:r>
      <w:r w:rsidR="00503DB1">
        <w:t xml:space="preserve"> </w:t>
      </w:r>
      <w:r w:rsidR="00EE71A1">
        <w:t xml:space="preserve">2.803, 2.925, 15.19, 15.21, 15.201, 15.203, </w:t>
      </w:r>
      <w:r w:rsidR="00A54313">
        <w:t>or</w:t>
      </w:r>
      <w:r w:rsidR="00EE71A1">
        <w:t xml:space="preserve"> 15.239 </w:t>
      </w:r>
      <w:r w:rsidR="00503DB1">
        <w:t xml:space="preserve">of </w:t>
      </w:r>
      <w:r w:rsidR="002141E6">
        <w:t>the Commission’s r</w:t>
      </w:r>
      <w:r w:rsidRPr="00BE70CC">
        <w:t>ules</w:t>
      </w:r>
      <w:r w:rsidR="0024710B">
        <w:t xml:space="preserve">, or any of the Commission’s </w:t>
      </w:r>
      <w:r w:rsidR="007C79C0">
        <w:t xml:space="preserve">equipment marketing </w:t>
      </w:r>
      <w:r w:rsidR="0024710B">
        <w:t xml:space="preserve">rules, </w:t>
      </w:r>
      <w:r w:rsidRPr="00BE70CC">
        <w:t xml:space="preserve">by engaging in conduct of the type described herein, the Commission may impose </w:t>
      </w:r>
      <w:r w:rsidRPr="00BE70CC" w:rsidR="00D05B66">
        <w:t xml:space="preserve">sanctions </w:t>
      </w:r>
      <w:r w:rsidRPr="00BE70CC">
        <w:t xml:space="preserve">for each such violation.  For example, the </w:t>
      </w:r>
      <w:r w:rsidRPr="00BE70CC" w:rsidR="00D05B66">
        <w:t>Commission m</w:t>
      </w:r>
      <w:r w:rsidRPr="00BE70CC" w:rsidR="00654D13">
        <w:t>ay impose monetary forfeitures</w:t>
      </w:r>
      <w:r w:rsidR="00503DB1">
        <w:t xml:space="preserve"> not to exceed $22,021 </w:t>
      </w:r>
      <w:r w:rsidRPr="003C4AD3" w:rsidR="00654D13">
        <w:rPr>
          <w:szCs w:val="22"/>
        </w:rPr>
        <w:t xml:space="preserve">for each such violation or each day of a continuing violation, and up to </w:t>
      </w:r>
      <w:r w:rsidR="00503DB1">
        <w:rPr>
          <w:szCs w:val="22"/>
        </w:rPr>
        <w:t>$165,159 for any single act or failure to act.</w:t>
      </w:r>
      <w:r>
        <w:rPr>
          <w:szCs w:val="22"/>
          <w:vertAlign w:val="superscript"/>
        </w:rPr>
        <w:footnoteReference w:id="60"/>
      </w:r>
      <w:r w:rsidRPr="00BE70CC" w:rsidR="0096675D">
        <w:t xml:space="preserve">  </w:t>
      </w:r>
      <w:r w:rsidRPr="00BE70CC">
        <w:t>The Commission may fur</w:t>
      </w:r>
      <w:r w:rsidRPr="00BE70CC" w:rsidR="00C22E21">
        <w:t xml:space="preserve">ther adjust the forfeiture reflecting </w:t>
      </w:r>
      <w:r w:rsidRPr="00BE70CC">
        <w:t xml:space="preserve">enumerated statutory factors, </w:t>
      </w:r>
      <w:r w:rsidRPr="003C4AD3">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Pr>
          <w:rStyle w:val="FootnoteReference"/>
          <w:szCs w:val="22"/>
        </w:rPr>
        <w:footnoteReference w:id="61"/>
      </w:r>
      <w:r w:rsidRPr="00BE70CC">
        <w:t xml:space="preserve">  Further, as discussed above, the Commission may assess forfeitures on both the conduct that led to this Citation and the conduct following it.</w:t>
      </w:r>
      <w:r>
        <w:rPr>
          <w:rStyle w:val="FootnoteReference"/>
          <w:szCs w:val="22"/>
        </w:rPr>
        <w:footnoteReference w:id="62"/>
      </w:r>
    </w:p>
    <w:p w:rsidR="003343CA" w:rsidRPr="00BE70CC" w:rsidP="005A05DF" w14:paraId="7FFC57B9" w14:textId="77777777">
      <w:pPr>
        <w:pStyle w:val="Heading1"/>
        <w:widowControl/>
      </w:pPr>
      <w:r w:rsidRPr="00BE70CC">
        <w:t>ORDERING CLAUSES</w:t>
      </w:r>
    </w:p>
    <w:p w:rsidR="0077073F" w:rsidRPr="00BE70CC" w:rsidP="005A05DF" w14:paraId="0EBE5E9A" w14:textId="12975549">
      <w:pPr>
        <w:pStyle w:val="ParaNum"/>
        <w:widowControl/>
        <w:rPr>
          <w:kern w:val="2"/>
          <w:szCs w:val="2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2141E6">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63"/>
      </w:r>
      <w:r w:rsidRPr="00BE70CC" w:rsidR="00C93DFC">
        <w:rPr>
          <w:noProof/>
          <w:color w:val="000000"/>
          <w:szCs w:val="22"/>
        </w:rPr>
        <w:t xml:space="preserve"> </w:t>
      </w:r>
      <w:r w:rsidR="00141EBA">
        <w:rPr>
          <w:noProof/>
          <w:color w:val="000000"/>
          <w:szCs w:val="22"/>
        </w:rPr>
        <w:t xml:space="preserve">B&amp;H </w:t>
      </w:r>
      <w:r w:rsidRPr="00BE70CC" w:rsidR="00C93DFC">
        <w:rPr>
          <w:noProof/>
          <w:color w:val="000000"/>
          <w:szCs w:val="22"/>
        </w:rPr>
        <w:t>must cease and desist from</w:t>
      </w:r>
      <w:r w:rsidR="00141EBA">
        <w:rPr>
          <w:noProof/>
          <w:color w:val="000000"/>
          <w:szCs w:val="22"/>
        </w:rPr>
        <w:t xml:space="preserve"> marketing noncompliant radio frequency devices in violation of </w:t>
      </w:r>
      <w:r w:rsidR="00141EBA">
        <w:t>s</w:t>
      </w:r>
      <w:r w:rsidRPr="00BE70CC" w:rsidR="00141EBA">
        <w:t xml:space="preserve">ection </w:t>
      </w:r>
      <w:r w:rsidR="00141EBA">
        <w:t xml:space="preserve">302 </w:t>
      </w:r>
      <w:r w:rsidRPr="00BE70CC" w:rsidR="00141EBA">
        <w:t xml:space="preserve">of the </w:t>
      </w:r>
      <w:r w:rsidR="00442997">
        <w:t xml:space="preserve">Communications </w:t>
      </w:r>
      <w:r w:rsidR="00141EBA">
        <w:t>Act and</w:t>
      </w:r>
      <w:r w:rsidR="00442997">
        <w:t xml:space="preserve"> </w:t>
      </w:r>
      <w:r w:rsidR="00141EBA">
        <w:t xml:space="preserve">sections </w:t>
      </w:r>
      <w:r w:rsidR="00EE71A1">
        <w:t>2.803, 2.925, 15.19, 15.21, 15.201, 15.203, and 15.239</w:t>
      </w:r>
      <w:r w:rsidR="00141EBA">
        <w:t xml:space="preserve"> of the Commission’s r</w:t>
      </w:r>
      <w:r w:rsidRPr="00BE70CC" w:rsidR="00141EBA">
        <w:t>ules</w:t>
      </w:r>
      <w:r w:rsidR="00442997">
        <w:t>.</w:t>
      </w:r>
      <w:r>
        <w:rPr>
          <w:rStyle w:val="FootnoteReference"/>
        </w:rPr>
        <w:footnoteReference w:id="64"/>
      </w:r>
      <w:r w:rsidRPr="00BE70CC" w:rsidR="00C93DFC">
        <w:rPr>
          <w:noProof/>
          <w:color w:val="000000"/>
          <w:szCs w:val="22"/>
        </w:rPr>
        <w:t xml:space="preserve">  </w:t>
      </w:r>
    </w:p>
    <w:p w:rsidR="003343CA" w:rsidRPr="00BE70CC" w:rsidP="005A05DF" w14:paraId="3840004E" w14:textId="2440FAE5">
      <w:pPr>
        <w:pStyle w:val="ParaNum"/>
        <w:widowControl/>
        <w:rPr>
          <w:noProof/>
        </w:rPr>
      </w:pPr>
      <w:r w:rsidRPr="00BE70CC">
        <w:rPr>
          <w:b/>
          <w:noProof/>
        </w:rPr>
        <w:t>IT IS FURTHER ORDERED</w:t>
      </w:r>
      <w:r w:rsidRPr="00BE70CC">
        <w:rPr>
          <w:noProof/>
        </w:rPr>
        <w:t xml:space="preserve"> that, pursuant to </w:t>
      </w:r>
      <w:r w:rsidR="002141E6">
        <w:rPr>
          <w:noProof/>
        </w:rPr>
        <w:t>s</w:t>
      </w:r>
      <w:r w:rsidRPr="00BE70CC" w:rsidR="008F21BF">
        <w:rPr>
          <w:noProof/>
        </w:rPr>
        <w:t>ections 4(i), 4(j), and 403 of the Act</w:t>
      </w:r>
      <w:r w:rsidRPr="00BE70CC">
        <w:rPr>
          <w:noProof/>
        </w:rPr>
        <w:t>,</w:t>
      </w:r>
      <w:r>
        <w:rPr>
          <w:rStyle w:val="FootnoteReference"/>
          <w:noProof/>
          <w:szCs w:val="22"/>
        </w:rPr>
        <w:footnoteReference w:id="65"/>
      </w:r>
      <w:r w:rsidRPr="00BE70CC">
        <w:rPr>
          <w:noProof/>
        </w:rPr>
        <w:t xml:space="preserve"> </w:t>
      </w:r>
      <w:r w:rsidR="00084C3F">
        <w:rPr>
          <w:noProof/>
        </w:rPr>
        <w:t xml:space="preserve">B&amp;H </w:t>
      </w:r>
      <w:r w:rsidRPr="00BE70CC">
        <w:rPr>
          <w:noProof/>
        </w:rPr>
        <w:t>must provide the written info</w:t>
      </w:r>
      <w:r w:rsidRPr="00BE70CC" w:rsidR="00DE45C6">
        <w:rPr>
          <w:noProof/>
        </w:rPr>
        <w:t>rmation requested in paragraph</w:t>
      </w:r>
      <w:r w:rsidR="00084C3F">
        <w:rPr>
          <w:noProof/>
        </w:rPr>
        <w:t xml:space="preserve"> </w:t>
      </w:r>
      <w:r w:rsidR="001B26E5">
        <w:rPr>
          <w:noProof/>
        </w:rPr>
        <w:t>19</w:t>
      </w:r>
      <w:r w:rsidRPr="00BE70CC" w:rsidR="00350389">
        <w:rPr>
          <w:noProof/>
        </w:rPr>
        <w:t xml:space="preserve">, above.  </w:t>
      </w:r>
      <w:r w:rsidR="00084C3F">
        <w:rPr>
          <w:noProof/>
        </w:rPr>
        <w:t xml:space="preserve">B&amp;H </w:t>
      </w:r>
      <w:r w:rsidRPr="00BE70CC" w:rsidR="00350389">
        <w:rPr>
          <w:noProof/>
        </w:rPr>
        <w:t xml:space="preserve">must </w:t>
      </w:r>
      <w:r w:rsidRPr="00BE70CC" w:rsidR="00350389">
        <w:rPr>
          <w:noProof/>
          <w:color w:val="000000"/>
          <w:szCs w:val="22"/>
        </w:rPr>
        <w:t>support its responses with an affidavit or declaration under penalty of perjury, signed and dat</w:t>
      </w:r>
      <w:r w:rsidRPr="00BE70CC" w:rsidR="008E2010">
        <w:rPr>
          <w:noProof/>
          <w:color w:val="000000"/>
          <w:szCs w:val="22"/>
        </w:rPr>
        <w:t>ed by an authorized officer of</w:t>
      </w:r>
      <w:r w:rsidR="00084C3F">
        <w:rPr>
          <w:noProof/>
          <w:color w:val="000000"/>
          <w:szCs w:val="22"/>
        </w:rPr>
        <w:t xml:space="preserve"> B&amp;H </w:t>
      </w:r>
      <w:r w:rsidRPr="00BE70CC" w:rsidR="00350389">
        <w:rPr>
          <w:noProof/>
          <w:color w:val="000000"/>
          <w:szCs w:val="22"/>
        </w:rPr>
        <w:t xml:space="preserve">with personal knowledge of the representations provided in the </w:t>
      </w:r>
      <w:r w:rsidRPr="00BE70CC" w:rsidR="008E2010">
        <w:rPr>
          <w:noProof/>
          <w:color w:val="000000"/>
          <w:szCs w:val="22"/>
        </w:rPr>
        <w:t>res</w:t>
      </w:r>
      <w:r w:rsidRPr="00BE70CC" w:rsidR="00350389">
        <w:rPr>
          <w:noProof/>
          <w:color w:val="000000"/>
          <w:szCs w:val="22"/>
        </w:rPr>
        <w:t xml:space="preserve">ponse, verifying the truth and accuracy of the information therein and that all of the </w:t>
      </w:r>
      <w:r w:rsidRPr="00BE70CC" w:rsidR="008E2010">
        <w:rPr>
          <w:noProof/>
          <w:color w:val="000000"/>
          <w:szCs w:val="22"/>
        </w:rPr>
        <w:t xml:space="preserve">information requested </w:t>
      </w:r>
      <w:r w:rsidRPr="00BE70CC" w:rsidR="00350389">
        <w:rPr>
          <w:noProof/>
          <w:color w:val="000000"/>
          <w:szCs w:val="22"/>
        </w:rPr>
        <w:t>ha</w:t>
      </w:r>
      <w:r w:rsidRPr="00BE70CC" w:rsidR="008E2010">
        <w:rPr>
          <w:noProof/>
          <w:color w:val="000000"/>
          <w:szCs w:val="22"/>
        </w:rPr>
        <w:t>s</w:t>
      </w:r>
      <w:r w:rsidRPr="00BE70CC" w:rsidR="00350389">
        <w:rPr>
          <w:noProof/>
          <w:color w:val="000000"/>
          <w:szCs w:val="22"/>
        </w:rPr>
        <w:t xml:space="preserve"> been produced</w:t>
      </w:r>
      <w:r w:rsidRPr="00BE70CC" w:rsidR="00350389">
        <w:rPr>
          <w:noProof/>
        </w:rPr>
        <w:t xml:space="preserve">.  </w:t>
      </w:r>
      <w:r w:rsidRPr="00BE70CC" w:rsidR="008E2010">
        <w:rPr>
          <w:szCs w:val="24"/>
        </w:rPr>
        <w:t xml:space="preserve">All such declarations provided must comply with </w:t>
      </w:r>
      <w:r w:rsidR="002141E6">
        <w:rPr>
          <w:szCs w:val="24"/>
        </w:rPr>
        <w:t>s</w:t>
      </w:r>
      <w:r w:rsidRPr="00BE70CC" w:rsidR="008E2010">
        <w:rPr>
          <w:szCs w:val="24"/>
        </w:rPr>
        <w:t>ection</w:t>
      </w:r>
      <w:r w:rsidR="002D63C3">
        <w:rPr>
          <w:szCs w:val="24"/>
        </w:rPr>
        <w:t xml:space="preserve"> 1.16 of the </w:t>
      </w:r>
      <w:r w:rsidR="002141E6">
        <w:rPr>
          <w:szCs w:val="24"/>
        </w:rPr>
        <w:t>Commission’s r</w:t>
      </w:r>
      <w:r w:rsidR="002D63C3">
        <w:rPr>
          <w:szCs w:val="24"/>
        </w:rPr>
        <w:t>ules</w:t>
      </w:r>
      <w:r w:rsidRPr="00BE70CC" w:rsidR="008E2010">
        <w:rPr>
          <w:szCs w:val="24"/>
        </w:rPr>
        <w:t xml:space="preserve"> and be substantially in the form set forth therein.</w:t>
      </w:r>
      <w:r>
        <w:rPr>
          <w:szCs w:val="24"/>
          <w:vertAlign w:val="superscript"/>
        </w:rPr>
        <w:footnoteReference w:id="66"/>
      </w:r>
      <w:r w:rsidRPr="00BE70CC" w:rsidR="008E2010">
        <w:rPr>
          <w:szCs w:val="24"/>
        </w:rPr>
        <w:t xml:space="preserve">  </w:t>
      </w:r>
      <w:r w:rsidRPr="00BE70CC" w:rsidR="00350389">
        <w:rPr>
          <w:noProof/>
        </w:rPr>
        <w:t xml:space="preserve">The </w:t>
      </w:r>
      <w:r w:rsidR="002D63C3">
        <w:rPr>
          <w:noProof/>
        </w:rPr>
        <w:t>FCC must receive the response within 30</w:t>
      </w:r>
      <w:r w:rsidRPr="00BE70CC">
        <w:rPr>
          <w:noProof/>
        </w:rPr>
        <w:t xml:space="preserve"> calendar days</w:t>
      </w:r>
      <w:r w:rsidR="002D63C3">
        <w:rPr>
          <w:noProof/>
        </w:rPr>
        <w:t xml:space="preserve"> of </w:t>
      </w:r>
      <w:r w:rsidRPr="00BE70CC">
        <w:rPr>
          <w:noProof/>
        </w:rPr>
        <w:t>the release date of this Citation and Order.</w:t>
      </w:r>
    </w:p>
    <w:p w:rsidR="003343CA" w:rsidRPr="00BE70CC" w:rsidP="005A05DF" w14:paraId="0A587952" w14:textId="3CC6D0C2">
      <w:pPr>
        <w:pStyle w:val="ParaNum"/>
        <w:keepNext/>
        <w:widowControl/>
      </w:pPr>
      <w:r w:rsidRPr="00BE70CC">
        <w:rPr>
          <w:b/>
        </w:rPr>
        <w:t>IT IS FURTHER ORDERED</w:t>
      </w:r>
      <w:r w:rsidRPr="00BE70CC">
        <w:t xml:space="preserve"> that a copy of this </w:t>
      </w:r>
      <w:r w:rsidRPr="00BE70CC" w:rsidR="009E53A5">
        <w:t>Citation and</w:t>
      </w:r>
      <w:r w:rsidRPr="00BE70CC">
        <w:t xml:space="preserve"> Order </w:t>
      </w:r>
      <w:r w:rsidRPr="00380C37" w:rsidR="00EE36BE">
        <w:rPr>
          <w:color w:val="000000" w:themeColor="text1"/>
          <w:szCs w:val="22"/>
        </w:rPr>
        <w:t>shall be sent by first class mail and certified mail, return receipt requested, to</w:t>
      </w:r>
      <w:r w:rsidR="00084C3F">
        <w:rPr>
          <w:color w:val="000000" w:themeColor="text1"/>
          <w:szCs w:val="22"/>
        </w:rPr>
        <w:t xml:space="preserve"> Sholom J. Prager, Associate Counsel for </w:t>
      </w:r>
      <w:r w:rsidRPr="00380C37" w:rsidR="00EE36BE">
        <w:rPr>
          <w:color w:val="000000" w:themeColor="text1"/>
          <w:szCs w:val="22"/>
        </w:rPr>
        <w:t xml:space="preserve"> </w:t>
      </w:r>
      <w:r w:rsidR="00084C3F">
        <w:rPr>
          <w:color w:val="000000" w:themeColor="text1"/>
          <w:szCs w:val="22"/>
        </w:rPr>
        <w:t>B&amp;H Foto &amp; Electronics Corporation, 420 Ninth Avenue, New York, New York 10001.</w:t>
      </w:r>
    </w:p>
    <w:p w:rsidR="003343CA" w:rsidRPr="00BE70CC" w:rsidP="00212665" w14:paraId="7F32EF1D" w14:textId="77777777">
      <w:pPr>
        <w:keepNext/>
        <w:widowControl/>
      </w:pPr>
    </w:p>
    <w:p w:rsidR="003343CA" w:rsidRPr="00BE70CC" w:rsidP="00212665" w14:paraId="600C31CE" w14:textId="77777777">
      <w:pPr>
        <w:keepNext/>
        <w:widowControl/>
      </w:pPr>
    </w:p>
    <w:p w:rsidR="003343CA" w:rsidRPr="00BE70CC" w:rsidP="00212665" w14:paraId="4EDF98DB" w14:textId="77777777">
      <w:pPr>
        <w:keepNext/>
        <w:widowControl/>
        <w:ind w:left="3600" w:firstLine="720"/>
      </w:pPr>
      <w:r w:rsidRPr="00BE70CC">
        <w:t>FEDERAL COMMUNICATIONS COMMISSION</w:t>
      </w:r>
    </w:p>
    <w:p w:rsidR="003343CA" w:rsidRPr="00BE70CC" w:rsidP="00212665" w14:paraId="72F7EE69" w14:textId="77777777">
      <w:pPr>
        <w:keepNext/>
        <w:widowControl/>
        <w:ind w:left="4410"/>
      </w:pPr>
    </w:p>
    <w:p w:rsidR="003343CA" w:rsidRPr="00BE70CC" w:rsidP="00212665" w14:paraId="2C821EB8" w14:textId="77777777">
      <w:pPr>
        <w:keepNext/>
        <w:widowControl/>
        <w:ind w:left="4410"/>
      </w:pPr>
    </w:p>
    <w:p w:rsidR="003343CA" w:rsidRPr="00BE70CC" w:rsidP="00212665" w14:paraId="16E133F7" w14:textId="77777777">
      <w:pPr>
        <w:keepNext/>
        <w:widowControl/>
        <w:ind w:left="4410"/>
      </w:pPr>
    </w:p>
    <w:p w:rsidR="003343CA" w:rsidRPr="00BE70CC" w:rsidP="00212665" w14:paraId="58934A45" w14:textId="77777777">
      <w:pPr>
        <w:keepNext/>
        <w:widowControl/>
        <w:ind w:left="4410"/>
      </w:pPr>
    </w:p>
    <w:p w:rsidR="00EE36BE" w:rsidRPr="006D73F2" w:rsidP="00212665" w14:paraId="2595141B" w14:textId="791ADBAE">
      <w:pPr>
        <w:keepNext/>
        <w:widowControl/>
        <w:tabs>
          <w:tab w:val="left" w:pos="0"/>
          <w:tab w:val="left" w:pos="720"/>
          <w:tab w:val="left" w:pos="1440"/>
        </w:tabs>
        <w:suppressAutoHyphens/>
        <w:spacing w:line="240" w:lineRule="atLeast"/>
        <w:ind w:left="4320"/>
        <w:rPr>
          <w:szCs w:val="22"/>
        </w:rPr>
      </w:pPr>
      <w:r>
        <w:rPr>
          <w:szCs w:val="22"/>
        </w:rPr>
        <w:t>Elizabeth Y. Mumaw</w:t>
      </w:r>
      <w:r w:rsidRPr="006D73F2">
        <w:rPr>
          <w:szCs w:val="22"/>
        </w:rPr>
        <w:t xml:space="preserve"> </w:t>
      </w:r>
    </w:p>
    <w:p w:rsidR="00EE36BE" w:rsidRPr="006D73F2" w:rsidP="003C4AD3" w14:paraId="63311DE2" w14:textId="77777777">
      <w:pPr>
        <w:ind w:left="4320"/>
        <w:rPr>
          <w:szCs w:val="22"/>
        </w:rPr>
      </w:pPr>
      <w:r w:rsidRPr="006D73F2">
        <w:rPr>
          <w:szCs w:val="22"/>
        </w:rPr>
        <w:t>Chief</w:t>
      </w:r>
    </w:p>
    <w:p w:rsidR="00084C3F" w:rsidP="003C4AD3" w14:paraId="0224DD5B" w14:textId="77777777">
      <w:pPr>
        <w:ind w:left="4320"/>
        <w:rPr>
          <w:szCs w:val="22"/>
        </w:rPr>
      </w:pPr>
      <w:r>
        <w:rPr>
          <w:szCs w:val="22"/>
        </w:rPr>
        <w:t>Spectrum Enforcement Division</w:t>
      </w:r>
    </w:p>
    <w:p w:rsidR="00EE36BE" w:rsidRPr="006D73F2" w:rsidP="003C4AD3" w14:paraId="6E544B47" w14:textId="0D75FAD8">
      <w:pPr>
        <w:ind w:left="4320"/>
        <w:rPr>
          <w:szCs w:val="22"/>
        </w:rPr>
      </w:pPr>
      <w:r w:rsidRPr="006D73F2">
        <w:rPr>
          <w:szCs w:val="22"/>
        </w:rPr>
        <w:t>Enforcement Bureau</w:t>
      </w:r>
    </w:p>
    <w:p w:rsidR="00EE36BE" w:rsidRPr="006D73F2" w:rsidP="003C4AD3" w14:paraId="32D8DD60" w14:textId="77777777">
      <w:pPr>
        <w:ind w:left="4320"/>
        <w:rPr>
          <w:szCs w:val="22"/>
        </w:rPr>
      </w:pPr>
    </w:p>
    <w:sectPr w:rsidSect="00A30FD7">
      <w:headerReference w:type="default" r:id="rId8"/>
      <w:footerReference w:type="even"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42559E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69BC1A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615F0C13" w14:textId="77777777">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14:paraId="165F0C59"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784A" w14:paraId="79663DA8" w14:textId="77777777">
      <w:r>
        <w:separator/>
      </w:r>
    </w:p>
  </w:footnote>
  <w:footnote w:type="continuationSeparator" w:id="1">
    <w:p w:rsidR="004D784A" w14:paraId="6EC0B245" w14:textId="77777777">
      <w:pPr>
        <w:rPr>
          <w:sz w:val="20"/>
        </w:rPr>
      </w:pPr>
      <w:r>
        <w:rPr>
          <w:sz w:val="20"/>
        </w:rPr>
        <w:t xml:space="preserve">(Continued from previous page)  </w:t>
      </w:r>
      <w:r>
        <w:rPr>
          <w:sz w:val="20"/>
        </w:rPr>
        <w:separator/>
      </w:r>
    </w:p>
  </w:footnote>
  <w:footnote w:type="continuationNotice" w:id="2">
    <w:p w:rsidR="004D784A" w14:paraId="6E573B39" w14:textId="77777777">
      <w:pPr>
        <w:rPr>
          <w:sz w:val="20"/>
        </w:rPr>
      </w:pPr>
      <w:r>
        <w:rPr>
          <w:sz w:val="20"/>
        </w:rPr>
        <w:t>(continued….)</w:t>
      </w:r>
    </w:p>
  </w:footnote>
  <w:footnote w:id="3">
    <w:p w:rsidR="00744F03" w14:paraId="61F74534" w14:textId="722C1BFA">
      <w:pPr>
        <w:pStyle w:val="FootnoteText"/>
      </w:pPr>
      <w:r>
        <w:rPr>
          <w:rStyle w:val="FootnoteReference"/>
        </w:rPr>
        <w:footnoteRef/>
      </w:r>
      <w:r>
        <w:t xml:space="preserve"> 47 CFR § 2.803(a) (defining marketing as the “sale or lease, or offering for sale of lease, including advertising for sale or lease, or importation, shipment or distribution for the purpose of selling or leasing or offering for sale or lease.”).</w:t>
      </w:r>
    </w:p>
  </w:footnote>
  <w:footnote w:id="4">
    <w:p w:rsidR="00744F03" w14:paraId="4A4F2227" w14:textId="0D9BA375">
      <w:pPr>
        <w:pStyle w:val="FootnoteText"/>
      </w:pPr>
      <w:r>
        <w:rPr>
          <w:rStyle w:val="FootnoteReference"/>
        </w:rPr>
        <w:footnoteRef/>
      </w:r>
      <w:r>
        <w:t xml:space="preserve"> 47 U.S.C. § 302a(b); 47 CFR §§ 2.803, 2.925, 15.19, 15.21, 15.201, 15.203, and 15.239.</w:t>
      </w:r>
    </w:p>
  </w:footnote>
  <w:footnote w:id="5">
    <w:p w:rsidR="006C51C8" w14:paraId="26FA43D5" w14:textId="2B09BFE0">
      <w:pPr>
        <w:pStyle w:val="FootnoteText"/>
      </w:pPr>
      <w:r>
        <w:rPr>
          <w:rStyle w:val="FootnoteReference"/>
        </w:rPr>
        <w:footnoteRef/>
      </w:r>
      <w:r>
        <w:t xml:space="preserve"> </w:t>
      </w:r>
      <w:r w:rsidRPr="004A10F9" w:rsidR="004A10F9">
        <w:rPr>
          <w:i/>
          <w:iCs/>
        </w:rPr>
        <w:t>See</w:t>
      </w:r>
      <w:r w:rsidR="004A10F9">
        <w:t xml:space="preserve"> </w:t>
      </w:r>
      <w:r>
        <w:t>47 U.S.C. § 503(b)(2)(D); 47 CFR 1.80(b)(</w:t>
      </w:r>
      <w:r w:rsidR="009108FE">
        <w:t>9</w:t>
      </w:r>
      <w:r>
        <w:t>).</w:t>
      </w:r>
      <w:r w:rsidR="009D09C3">
        <w:t xml:space="preserve">  These amounts reflect inflation adjustments to the forfeitures specified in section 503(b)(2)(D) of the Act ($10,000 per violation or per day of a continuing violation and a statutory maximum of $75,000 for a single act or failure to act).  </w:t>
      </w:r>
      <w:r w:rsidRPr="004A10F9" w:rsidR="009D09C3">
        <w:rPr>
          <w:i/>
          <w:iCs/>
        </w:rPr>
        <w:t xml:space="preserve">See Amendment of Section 1.80(b) of the Commission’s Rules, Adjustment of Civil Monetary </w:t>
      </w:r>
      <w:r w:rsidRPr="004A10F9" w:rsidR="004A10F9">
        <w:rPr>
          <w:i/>
          <w:iCs/>
        </w:rPr>
        <w:t>Penalties to Reflect Inflation</w:t>
      </w:r>
      <w:r w:rsidR="004A10F9">
        <w:t xml:space="preserve">, Order, DA 21-1631 (EB 2021); </w:t>
      </w:r>
      <w:r w:rsidRPr="004A10F9" w:rsidR="004A10F9">
        <w:rPr>
          <w:i/>
          <w:iCs/>
        </w:rPr>
        <w:t>see also Annual Adjustment of Civil Monetary Penalties to Reflect Inflation</w:t>
      </w:r>
      <w:r w:rsidR="004A10F9">
        <w:t>, 87 Fed. Reg. 396 (Jan. 5, 2022) (setting January 5, 2022, as the effective date of the increases).</w:t>
      </w:r>
    </w:p>
  </w:footnote>
  <w:footnote w:id="6">
    <w:p w:rsidR="005D1BA6" w:rsidRPr="002D63C3" w:rsidP="003C4AD3" w14:paraId="598C1AEA"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7">
    <w:p w:rsidR="005D1BA6" w:rsidRPr="002D63C3" w:rsidP="003C4AD3" w14:paraId="6EF165C3" w14:textId="49B7437E">
      <w:pPr>
        <w:pStyle w:val="FootnoteText"/>
      </w:pPr>
      <w:r w:rsidRPr="002D63C3">
        <w:rPr>
          <w:rStyle w:val="FootnoteReference"/>
        </w:rPr>
        <w:footnoteRef/>
      </w:r>
      <w:r w:rsidRPr="002D63C3" w:rsidR="00C42D39">
        <w:t xml:space="preserve"> </w:t>
      </w:r>
      <w:r w:rsidR="001D5C9B">
        <w:t>47 U.S.C. § 302a(b); 47 CFR §§ 2.803, 2.925, 15.19, 15.21, 15.201, 15.203, and 15.239.</w:t>
      </w:r>
    </w:p>
  </w:footnote>
  <w:footnote w:id="8">
    <w:p w:rsidR="005D1BA6" w:rsidRPr="002D63C3" w:rsidP="003C4AD3" w14:paraId="3DD9D31D"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9">
    <w:p w:rsidR="00694239" w14:paraId="26E7DF9B" w14:textId="76C8D1D6">
      <w:pPr>
        <w:pStyle w:val="FootnoteText"/>
      </w:pPr>
      <w:r>
        <w:rPr>
          <w:rStyle w:val="FootnoteReference"/>
        </w:rPr>
        <w:footnoteRef/>
      </w:r>
      <w:r>
        <w:t xml:space="preserve"> 47 U.S.C. § 302a(b); 47 CFR § 2.803</w:t>
      </w:r>
      <w:r w:rsidR="00343425">
        <w:t xml:space="preserve">; </w:t>
      </w:r>
      <w:r w:rsidR="00343425">
        <w:rPr>
          <w:i/>
          <w:iCs/>
        </w:rPr>
        <w:t>see also</w:t>
      </w:r>
      <w:r w:rsidR="00343425">
        <w:t xml:space="preserve"> parts 2, 15, and 18 of the Commission’s rules as applicable, 47 CFR part</w:t>
      </w:r>
      <w:r w:rsidR="002B2AF7">
        <w:t>s</w:t>
      </w:r>
      <w:r w:rsidR="00343425">
        <w:t xml:space="preserve"> 2, 15, and 18</w:t>
      </w:r>
      <w:r>
        <w:t>.</w:t>
      </w:r>
    </w:p>
  </w:footnote>
  <w:footnote w:id="10">
    <w:p w:rsidR="000D4DE0" w14:paraId="0ACC455B" w14:textId="6CE836A1">
      <w:pPr>
        <w:pStyle w:val="FootnoteText"/>
      </w:pPr>
      <w:r>
        <w:rPr>
          <w:rStyle w:val="FootnoteReference"/>
        </w:rPr>
        <w:footnoteRef/>
      </w:r>
      <w:r>
        <w:t xml:space="preserve"> 47 U.S.C. § 302a(b); 47 CFR §§</w:t>
      </w:r>
      <w:r w:rsidR="00552795">
        <w:t xml:space="preserve"> 2.803</w:t>
      </w:r>
      <w:r>
        <w:t>(b), (c)</w:t>
      </w:r>
      <w:r w:rsidR="00B444A0">
        <w:t>, 15.201</w:t>
      </w:r>
      <w:r>
        <w:t>.</w:t>
      </w:r>
    </w:p>
  </w:footnote>
  <w:footnote w:id="11">
    <w:p w:rsidR="00502169" w14:paraId="5086DCE1" w14:textId="109422AB">
      <w:pPr>
        <w:pStyle w:val="FootnoteText"/>
      </w:pPr>
      <w:r>
        <w:rPr>
          <w:rStyle w:val="FootnoteReference"/>
        </w:rPr>
        <w:footnoteRef/>
      </w:r>
      <w:r>
        <w:t xml:space="preserve"> 47 CFR §</w:t>
      </w:r>
      <w:r w:rsidR="00ED52B4">
        <w:t>§</w:t>
      </w:r>
      <w:r>
        <w:t xml:space="preserve"> </w:t>
      </w:r>
      <w:r w:rsidR="00ED52B4">
        <w:t xml:space="preserve">2.925, </w:t>
      </w:r>
      <w:r>
        <w:t>15.19</w:t>
      </w:r>
      <w:r w:rsidR="00552795">
        <w:t>(a)(3)-(5)</w:t>
      </w:r>
      <w:r>
        <w:t>.</w:t>
      </w:r>
    </w:p>
  </w:footnote>
  <w:footnote w:id="12">
    <w:p w:rsidR="00B444A0" w14:paraId="2BDA8113" w14:textId="3444BE09">
      <w:pPr>
        <w:pStyle w:val="FootnoteText"/>
      </w:pPr>
      <w:r>
        <w:rPr>
          <w:rStyle w:val="FootnoteReference"/>
        </w:rPr>
        <w:footnoteRef/>
      </w:r>
      <w:r>
        <w:t xml:space="preserve"> 47 CFR § 15.201.</w:t>
      </w:r>
    </w:p>
  </w:footnote>
  <w:footnote w:id="13">
    <w:p w:rsidR="00047B3E" w:rsidP="00047B3E" w14:paraId="1D37FE11" w14:textId="77777777">
      <w:pPr>
        <w:pStyle w:val="FootnoteText"/>
      </w:pPr>
      <w:r>
        <w:rPr>
          <w:rStyle w:val="FootnoteReference"/>
        </w:rPr>
        <w:footnoteRef/>
      </w:r>
      <w:r>
        <w:t xml:space="preserve"> 47 CFR § 2.925(a).</w:t>
      </w:r>
    </w:p>
  </w:footnote>
  <w:footnote w:id="14">
    <w:p w:rsidR="00047B3E" w:rsidP="00047B3E" w14:paraId="081A8821" w14:textId="77777777">
      <w:pPr>
        <w:pStyle w:val="FootnoteText"/>
      </w:pPr>
      <w:r>
        <w:rPr>
          <w:rStyle w:val="FootnoteReference"/>
        </w:rPr>
        <w:footnoteRef/>
      </w:r>
      <w:r>
        <w:t xml:space="preserve"> 47 CFR 15.19(a)(3).</w:t>
      </w:r>
    </w:p>
  </w:footnote>
  <w:footnote w:id="15">
    <w:p w:rsidR="00853D95" w14:paraId="5EA43368" w14:textId="100E7AEF">
      <w:pPr>
        <w:pStyle w:val="FootnoteText"/>
      </w:pPr>
      <w:r>
        <w:rPr>
          <w:rStyle w:val="FootnoteReference"/>
        </w:rPr>
        <w:footnoteRef/>
      </w:r>
      <w:r>
        <w:t xml:space="preserve"> 47 CFR § 15.21.</w:t>
      </w:r>
    </w:p>
  </w:footnote>
  <w:footnote w:id="16">
    <w:p w:rsidR="0040533C" w14:paraId="7CF23FFD" w14:textId="7D1221FC">
      <w:pPr>
        <w:pStyle w:val="FootnoteText"/>
      </w:pPr>
      <w:r>
        <w:rPr>
          <w:rStyle w:val="FootnoteReference"/>
        </w:rPr>
        <w:footnoteRef/>
      </w:r>
      <w:r>
        <w:t xml:space="preserve"> 47 CFR § 15.203.</w:t>
      </w:r>
    </w:p>
  </w:footnote>
  <w:footnote w:id="17">
    <w:p w:rsidR="00E8125B" w14:paraId="4ACF2FF5" w14:textId="00BC2263">
      <w:pPr>
        <w:pStyle w:val="FootnoteText"/>
      </w:pPr>
      <w:r>
        <w:rPr>
          <w:rStyle w:val="FootnoteReference"/>
        </w:rPr>
        <w:footnoteRef/>
      </w:r>
      <w:r>
        <w:t xml:space="preserve"> 47 CFR § 15.239(a).</w:t>
      </w:r>
    </w:p>
  </w:footnote>
  <w:footnote w:id="18">
    <w:p w:rsidR="007674B1" w14:paraId="3A49ADA4" w14:textId="04D2187B">
      <w:pPr>
        <w:pStyle w:val="FootnoteText"/>
      </w:pPr>
      <w:r>
        <w:rPr>
          <w:rStyle w:val="FootnoteReference"/>
        </w:rPr>
        <w:footnoteRef/>
      </w:r>
      <w:r>
        <w:t xml:space="preserve"> </w:t>
      </w:r>
      <w:r w:rsidRPr="003261CF">
        <w:rPr>
          <w:i/>
          <w:iCs/>
        </w:rPr>
        <w:t>See</w:t>
      </w:r>
      <w:r>
        <w:t xml:space="preserve"> Response to Letter of Inquiry, from Ryan </w:t>
      </w:r>
      <w:r w:rsidR="003261CF">
        <w:t>Marcus, Associate Legal Counsel, B&amp;H Foto &amp; Electronics Corp</w:t>
      </w:r>
      <w:r w:rsidR="00FC3319">
        <w:t>oration</w:t>
      </w:r>
      <w:r w:rsidR="003261CF">
        <w:t>, to JoAnn Lucanik, Deputy Chief, Spectrum Enforcement Division, FCC Enforcement Bureau, at 1, Response to Inquiry 1 (Feb. 1, 202</w:t>
      </w:r>
      <w:r w:rsidR="00973FA8">
        <w:t>1) (on file in EB-SED-20-00031344) (LOI Response).</w:t>
      </w:r>
    </w:p>
  </w:footnote>
  <w:footnote w:id="19">
    <w:p w:rsidR="00FC3319" w14:paraId="35183C53" w14:textId="4EEAB9F9">
      <w:pPr>
        <w:pStyle w:val="FootnoteText"/>
      </w:pPr>
      <w:r>
        <w:rPr>
          <w:rStyle w:val="FootnoteReference"/>
        </w:rPr>
        <w:footnoteRef/>
      </w:r>
      <w:r>
        <w:t xml:space="preserve"> Letter of Inquiry from JoAnn Lucanik, Deputy Chief, Spectrum Enforcement Division, FCC Enforcement Bureau, to Ryan Marcus, Associate Legal Counsel, B&amp;H Foto &amp; Electronics Corporation (Dec. 2, 2020) (LOI); </w:t>
      </w:r>
      <w:r w:rsidR="00394329">
        <w:t>E-mail from Kathy Harvey, Attorney Advisor, Spectrum Enforcement Division, FCC Enforcement Bur</w:t>
      </w:r>
      <w:r w:rsidR="0004534E">
        <w:t>e</w:t>
      </w:r>
      <w:r w:rsidR="00394329">
        <w:t xml:space="preserve">au, to Ryan Marcus, Associate Legal Counsel, B&amp;H Foto &amp; Electronics Corporation, (Apr. 2, 2021 18:27 </w:t>
      </w:r>
      <w:r w:rsidR="007A322D">
        <w:t>EDT) (</w:t>
      </w:r>
      <w:r w:rsidR="00AC6DD9">
        <w:t xml:space="preserve">both </w:t>
      </w:r>
      <w:r w:rsidR="007A322D">
        <w:t>on file in EB-SED-20-00031344)</w:t>
      </w:r>
      <w:r w:rsidR="00F16853">
        <w:t>.</w:t>
      </w:r>
    </w:p>
  </w:footnote>
  <w:footnote w:id="20">
    <w:p w:rsidR="00405358" w14:paraId="2C8A9788" w14:textId="79925BE8">
      <w:pPr>
        <w:pStyle w:val="FootnoteText"/>
      </w:pPr>
      <w:r>
        <w:rPr>
          <w:rStyle w:val="FootnoteReference"/>
        </w:rPr>
        <w:footnoteRef/>
      </w:r>
      <w:r>
        <w:t xml:space="preserve"> </w:t>
      </w:r>
      <w:r w:rsidRPr="00580B7B" w:rsidR="00D801F2">
        <w:rPr>
          <w:i/>
          <w:iCs/>
        </w:rPr>
        <w:t>See</w:t>
      </w:r>
      <w:r w:rsidR="00D801F2">
        <w:t xml:space="preserve"> LOI Response</w:t>
      </w:r>
      <w:r w:rsidR="00580B7B">
        <w:t xml:space="preserve">; Response from Sholom J. Prager, Associate Legal Counsel, B&amp;H Foto &amp; Electronics Corporation, to </w:t>
      </w:r>
      <w:r w:rsidR="00F9058F">
        <w:t>Kathy Harvey, Attorney Advisor, Sp</w:t>
      </w:r>
      <w:r w:rsidR="00580B7B">
        <w:t>ectrum Enforcement Division, FCC Enforcement Bureau</w:t>
      </w:r>
      <w:r w:rsidR="00F9058F">
        <w:t xml:space="preserve"> (Apr. 23, 2021) </w:t>
      </w:r>
      <w:r w:rsidR="00580B7B">
        <w:t>(</w:t>
      </w:r>
      <w:r w:rsidR="00332780">
        <w:t xml:space="preserve">both </w:t>
      </w:r>
      <w:r w:rsidR="00580B7B">
        <w:t>on file in EB-SED-20-00031344) (</w:t>
      </w:r>
      <w:r w:rsidR="00F9058F">
        <w:t>Follow-up Response).</w:t>
      </w:r>
    </w:p>
  </w:footnote>
  <w:footnote w:id="21">
    <w:p w:rsidR="00352960" w14:paraId="21209ADF" w14:textId="3A796F30">
      <w:pPr>
        <w:pStyle w:val="FootnoteText"/>
      </w:pPr>
      <w:r>
        <w:rPr>
          <w:rStyle w:val="FootnoteReference"/>
        </w:rPr>
        <w:footnoteRef/>
      </w:r>
      <w:r>
        <w:t xml:space="preserve"> LOI Response at Exhibit D, Response to Question 7.</w:t>
      </w:r>
    </w:p>
  </w:footnote>
  <w:footnote w:id="22">
    <w:p w:rsidR="00CB7109" w14:paraId="4940E309" w14:textId="4CB0E252">
      <w:pPr>
        <w:pStyle w:val="FootnoteText"/>
      </w:pPr>
      <w:r>
        <w:rPr>
          <w:rStyle w:val="FootnoteReference"/>
        </w:rPr>
        <w:footnoteRef/>
      </w:r>
      <w:r>
        <w:t xml:space="preserve"> LOI Response at Exhibit D, Response to Question 8.a.</w:t>
      </w:r>
    </w:p>
  </w:footnote>
  <w:footnote w:id="23">
    <w:p w:rsidR="00575E0B" w:rsidP="00575E0B" w14:paraId="6F5CAAFE" w14:textId="77777777">
      <w:pPr>
        <w:pStyle w:val="FootnoteText"/>
      </w:pPr>
      <w:r>
        <w:rPr>
          <w:rStyle w:val="FootnoteReference"/>
        </w:rPr>
        <w:footnoteRef/>
      </w:r>
      <w:r>
        <w:t xml:space="preserve"> LOI Response at Exhibit D, Response to Questions 13 and 14.</w:t>
      </w:r>
    </w:p>
  </w:footnote>
  <w:footnote w:id="24">
    <w:p w:rsidR="00F00260" w:rsidP="00F00260" w14:paraId="2749A150" w14:textId="2070532C">
      <w:pPr>
        <w:pStyle w:val="FootnoteText"/>
      </w:pPr>
      <w:r>
        <w:rPr>
          <w:rStyle w:val="FootnoteReference"/>
        </w:rPr>
        <w:footnoteRef/>
      </w:r>
      <w:r>
        <w:t xml:space="preserve"> LOI Response at Exhibit D, Response to Question 8.f.  </w:t>
      </w:r>
    </w:p>
  </w:footnote>
  <w:footnote w:id="25">
    <w:p w:rsidR="001E42F4" w14:paraId="0CBAB53B" w14:textId="62E28176">
      <w:pPr>
        <w:pStyle w:val="FootnoteText"/>
      </w:pPr>
      <w:r>
        <w:rPr>
          <w:rStyle w:val="FootnoteReference"/>
        </w:rPr>
        <w:footnoteRef/>
      </w:r>
      <w:r>
        <w:t xml:space="preserve"> LOI Response at Exhibit D, Response to Question 13.</w:t>
      </w:r>
    </w:p>
  </w:footnote>
  <w:footnote w:id="26">
    <w:p w:rsidR="00B53F84" w14:paraId="3B6B5F42" w14:textId="1033959B">
      <w:pPr>
        <w:pStyle w:val="FootnoteText"/>
      </w:pPr>
      <w:r>
        <w:rPr>
          <w:rStyle w:val="FootnoteReference"/>
        </w:rPr>
        <w:footnoteRef/>
      </w:r>
      <w:r>
        <w:t xml:space="preserve"> </w:t>
      </w:r>
      <w:r w:rsidRPr="001E42F4" w:rsidR="001E42F4">
        <w:rPr>
          <w:i/>
          <w:iCs/>
        </w:rPr>
        <w:t>Id</w:t>
      </w:r>
      <w:r w:rsidR="001E42F4">
        <w:t>.</w:t>
      </w:r>
    </w:p>
  </w:footnote>
  <w:footnote w:id="27">
    <w:p w:rsidR="0020207B" w14:paraId="48B37A7C" w14:textId="5DF4AA68">
      <w:pPr>
        <w:pStyle w:val="FootnoteText"/>
      </w:pPr>
      <w:r>
        <w:rPr>
          <w:rStyle w:val="FootnoteReference"/>
        </w:rPr>
        <w:footnoteRef/>
      </w:r>
      <w:r>
        <w:t xml:space="preserve"> </w:t>
      </w:r>
      <w:r w:rsidR="00D93BAB">
        <w:t>Follow-up Response at 1 and Exhibit A, Response to Question 1.</w:t>
      </w:r>
    </w:p>
  </w:footnote>
  <w:footnote w:id="28">
    <w:p w:rsidR="005064FB" w14:paraId="5EA04ECF" w14:textId="5E6A2457">
      <w:pPr>
        <w:pStyle w:val="FootnoteText"/>
      </w:pPr>
      <w:r>
        <w:rPr>
          <w:rStyle w:val="FootnoteReference"/>
        </w:rPr>
        <w:footnoteRef/>
      </w:r>
      <w:r>
        <w:t xml:space="preserve"> </w:t>
      </w:r>
      <w:bookmarkStart w:id="5" w:name="_Hlk116464085"/>
      <w:r>
        <w:t>LOI Response at Exhibit D, Response to Question 13.</w:t>
      </w:r>
      <w:bookmarkEnd w:id="5"/>
    </w:p>
  </w:footnote>
  <w:footnote w:id="29">
    <w:p w:rsidR="001B2710" w14:paraId="2F7A274C" w14:textId="42AB9701">
      <w:pPr>
        <w:pStyle w:val="FootnoteText"/>
      </w:pPr>
      <w:r>
        <w:rPr>
          <w:rStyle w:val="FootnoteReference"/>
        </w:rPr>
        <w:footnoteRef/>
      </w:r>
      <w:r w:rsidR="00D112AA">
        <w:t xml:space="preserve"> Follow-up Response at 1, Response to Question 1</w:t>
      </w:r>
      <w:r>
        <w:t>.</w:t>
      </w:r>
    </w:p>
  </w:footnote>
  <w:footnote w:id="30">
    <w:p w:rsidR="00D112AA" w14:paraId="3CFE543F" w14:textId="0F6FC377">
      <w:pPr>
        <w:pStyle w:val="FootnoteText"/>
      </w:pPr>
      <w:r>
        <w:rPr>
          <w:rStyle w:val="FootnoteReference"/>
        </w:rPr>
        <w:footnoteRef/>
      </w:r>
      <w:r>
        <w:t xml:space="preserve"> </w:t>
      </w:r>
      <w:r w:rsidRPr="00D112AA">
        <w:rPr>
          <w:i/>
          <w:iCs/>
        </w:rPr>
        <w:t>Id</w:t>
      </w:r>
      <w:r>
        <w:t>. at 2, Response to Question 1.</w:t>
      </w:r>
    </w:p>
  </w:footnote>
  <w:footnote w:id="31">
    <w:p w:rsidR="00E018AF" w14:paraId="2EB23A00" w14:textId="0ECA115D">
      <w:pPr>
        <w:pStyle w:val="FootnoteText"/>
      </w:pPr>
      <w:r>
        <w:rPr>
          <w:rStyle w:val="FootnoteReference"/>
        </w:rPr>
        <w:footnoteRef/>
      </w:r>
      <w:r>
        <w:t xml:space="preserve"> Follow-up Response</w:t>
      </w:r>
      <w:r w:rsidR="002354A2">
        <w:t xml:space="preserve"> at 2, Response to Question 2.</w:t>
      </w:r>
    </w:p>
  </w:footnote>
  <w:footnote w:id="32">
    <w:p w:rsidR="00E513D5" w:rsidP="00E513D5" w14:paraId="2C57472C" w14:textId="77777777">
      <w:pPr>
        <w:pStyle w:val="FootnoteText"/>
      </w:pPr>
      <w:r>
        <w:rPr>
          <w:rStyle w:val="FootnoteReference"/>
        </w:rPr>
        <w:footnoteRef/>
      </w:r>
      <w:r>
        <w:t xml:space="preserve"> </w:t>
      </w:r>
      <w:r w:rsidRPr="002D63C3">
        <w:rPr>
          <w:kern w:val="20"/>
        </w:rPr>
        <w:t xml:space="preserve">47 U.S.C </w:t>
      </w:r>
      <w:r w:rsidRPr="002D63C3">
        <w:rPr>
          <w:kern w:val="20"/>
          <w:szCs w:val="24"/>
        </w:rPr>
        <w:t>§ 3</w:t>
      </w:r>
      <w:r>
        <w:rPr>
          <w:kern w:val="20"/>
          <w:szCs w:val="24"/>
        </w:rPr>
        <w:t>02a</w:t>
      </w:r>
      <w:r w:rsidRPr="002D63C3">
        <w:rPr>
          <w:kern w:val="20"/>
          <w:szCs w:val="24"/>
        </w:rPr>
        <w:t>(b).</w:t>
      </w:r>
      <w:r w:rsidRPr="002D63C3">
        <w:rPr>
          <w:kern w:val="20"/>
        </w:rPr>
        <w:t xml:space="preserve">  </w:t>
      </w:r>
    </w:p>
  </w:footnote>
  <w:footnote w:id="33">
    <w:p w:rsidR="00E513D5" w:rsidP="00E513D5" w14:paraId="2B523B8D" w14:textId="77777777">
      <w:pPr>
        <w:pStyle w:val="FootnoteText"/>
      </w:pPr>
      <w:r>
        <w:rPr>
          <w:rStyle w:val="FootnoteReference"/>
        </w:rPr>
        <w:footnoteRef/>
      </w:r>
      <w:r>
        <w:t xml:space="preserve"> 47 CFR § 2.803(b)(1).</w:t>
      </w:r>
    </w:p>
  </w:footnote>
  <w:footnote w:id="34">
    <w:p w:rsidR="00E513D5" w:rsidRPr="009161EF" w:rsidP="00E513D5" w14:paraId="0CC35E87" w14:textId="77777777">
      <w:pPr>
        <w:pStyle w:val="FootnoteText"/>
      </w:pPr>
      <w:r>
        <w:rPr>
          <w:rStyle w:val="FootnoteReference"/>
        </w:rPr>
        <w:footnoteRef/>
      </w:r>
      <w:r>
        <w:t xml:space="preserve"> 47 CFR §§ 2.925, 15.19, 15.21.</w:t>
      </w:r>
    </w:p>
  </w:footnote>
  <w:footnote w:id="35">
    <w:p w:rsidR="007C79C0" w:rsidP="007C79C0" w14:paraId="1DFFF530" w14:textId="77777777">
      <w:pPr>
        <w:pStyle w:val="FootnoteText"/>
      </w:pPr>
      <w:r>
        <w:rPr>
          <w:rStyle w:val="FootnoteReference"/>
        </w:rPr>
        <w:footnoteRef/>
      </w:r>
      <w:r>
        <w:t xml:space="preserve"> 47 CFR § 15.201.</w:t>
      </w:r>
    </w:p>
  </w:footnote>
  <w:footnote w:id="36">
    <w:p w:rsidR="0024710B" w:rsidP="0024710B" w14:paraId="01BD6F4F" w14:textId="77777777">
      <w:pPr>
        <w:pStyle w:val="FootnoteText"/>
      </w:pPr>
      <w:r>
        <w:rPr>
          <w:rStyle w:val="FootnoteReference"/>
        </w:rPr>
        <w:footnoteRef/>
      </w:r>
      <w:r>
        <w:t xml:space="preserve"> 47 CFR § 15.203.</w:t>
      </w:r>
    </w:p>
  </w:footnote>
  <w:footnote w:id="37">
    <w:p w:rsidR="0024710B" w:rsidP="0024710B" w14:paraId="5B63DB86" w14:textId="77777777">
      <w:pPr>
        <w:pStyle w:val="FootnoteText"/>
      </w:pPr>
      <w:r>
        <w:rPr>
          <w:rStyle w:val="FootnoteReference"/>
        </w:rPr>
        <w:footnoteRef/>
      </w:r>
      <w:r>
        <w:t xml:space="preserve"> 47 CFR § 15.239(a).</w:t>
      </w:r>
    </w:p>
  </w:footnote>
  <w:footnote w:id="38">
    <w:p w:rsidR="00E513D5" w:rsidP="00E513D5" w14:paraId="3E0E0D67" w14:textId="77777777">
      <w:pPr>
        <w:pStyle w:val="FootnoteText"/>
      </w:pPr>
      <w:r>
        <w:rPr>
          <w:rStyle w:val="FootnoteReference"/>
        </w:rPr>
        <w:footnoteRef/>
      </w:r>
      <w:r>
        <w:t xml:space="preserve"> </w:t>
      </w:r>
      <w:r>
        <w:rPr>
          <w:i/>
        </w:rPr>
        <w:t xml:space="preserve">See </w:t>
      </w:r>
      <w:r>
        <w:t xml:space="preserve">47 CFR § 15.201(b).  </w:t>
      </w:r>
      <w:r w:rsidRPr="00CB2818">
        <w:t xml:space="preserve">An intentional radiator is “[a] device that intentionally generates and emits radio frequency energy by radiation or induction.”  </w:t>
      </w:r>
      <w:r w:rsidRPr="00CB2818">
        <w:rPr>
          <w:i/>
        </w:rPr>
        <w:t>Id</w:t>
      </w:r>
      <w:r w:rsidRPr="00CB2818">
        <w:t xml:space="preserve">. § 15.3(o).  A certification is an equipment authorization issued by the Commission or issued by a Telecommunication Certification Body (TCB) and authorized under the authority of the Commission, based on representations and test data submitted by the applicant.  </w:t>
      </w:r>
      <w:r>
        <w:rPr>
          <w:i/>
        </w:rPr>
        <w:t>I</w:t>
      </w:r>
      <w:r w:rsidRPr="00CB2818">
        <w:rPr>
          <w:i/>
        </w:rPr>
        <w:t>d</w:t>
      </w:r>
      <w:r w:rsidRPr="00CB2818">
        <w:t>. § 2.907(a).  The equipment certification procedures can be found in 47 CFR §§ 2.1031-2.1060.</w:t>
      </w:r>
    </w:p>
  </w:footnote>
  <w:footnote w:id="39">
    <w:p w:rsidR="00E513D5" w:rsidP="00E513D5" w14:paraId="3C24F046" w14:textId="77777777">
      <w:pPr>
        <w:pStyle w:val="FootnoteText"/>
      </w:pPr>
      <w:r>
        <w:rPr>
          <w:rStyle w:val="FootnoteReference"/>
        </w:rPr>
        <w:footnoteRef/>
      </w:r>
      <w:r>
        <w:t xml:space="preserve"> </w:t>
      </w:r>
      <w:r>
        <w:rPr>
          <w:i/>
        </w:rPr>
        <w:t xml:space="preserve">See </w:t>
      </w:r>
      <w:r>
        <w:t>47 CFR §§ 2.803, 15.19.</w:t>
      </w:r>
    </w:p>
  </w:footnote>
  <w:footnote w:id="40">
    <w:p w:rsidR="002C18E9" w:rsidP="002C18E9" w14:paraId="7F01ADD5" w14:textId="77777777">
      <w:pPr>
        <w:pStyle w:val="FootnoteText"/>
      </w:pPr>
      <w:r>
        <w:rPr>
          <w:rStyle w:val="FootnoteReference"/>
        </w:rPr>
        <w:footnoteRef/>
      </w:r>
      <w:r>
        <w:t xml:space="preserve"> 47 CFR § 15.203.</w:t>
      </w:r>
    </w:p>
  </w:footnote>
  <w:footnote w:id="41">
    <w:p w:rsidR="00987322" w:rsidP="00987322" w14:paraId="3A9B490B" w14:textId="77777777">
      <w:pPr>
        <w:pStyle w:val="FootnoteText"/>
      </w:pPr>
      <w:r>
        <w:rPr>
          <w:rStyle w:val="FootnoteReference"/>
        </w:rPr>
        <w:footnoteRef/>
      </w:r>
      <w:r>
        <w:t xml:space="preserve"> 47 CFR § 15.239(a).</w:t>
      </w:r>
    </w:p>
  </w:footnote>
  <w:footnote w:id="42">
    <w:p w:rsidR="00047B3E" w14:paraId="4F69CA4E" w14:textId="27943DB1">
      <w:pPr>
        <w:pStyle w:val="FootnoteText"/>
      </w:pPr>
      <w:r>
        <w:rPr>
          <w:rStyle w:val="FootnoteReference"/>
        </w:rPr>
        <w:footnoteRef/>
      </w:r>
      <w:r>
        <w:t xml:space="preserve"> 47 U.S.C. § 302a(b).</w:t>
      </w:r>
    </w:p>
  </w:footnote>
  <w:footnote w:id="43">
    <w:p w:rsidR="00047B3E" w14:paraId="1763CB95" w14:textId="5AF12B45">
      <w:pPr>
        <w:pStyle w:val="FootnoteText"/>
      </w:pPr>
      <w:r>
        <w:rPr>
          <w:rStyle w:val="FootnoteReference"/>
        </w:rPr>
        <w:footnoteRef/>
      </w:r>
      <w:r>
        <w:t xml:space="preserve"> 47 CFR §</w:t>
      </w:r>
      <w:r w:rsidR="00D63B9A">
        <w:t xml:space="preserve"> 2.803(b).</w:t>
      </w:r>
    </w:p>
  </w:footnote>
  <w:footnote w:id="44">
    <w:p w:rsidR="00BB5E56" w14:paraId="06F66FB0" w14:textId="6C512F52">
      <w:pPr>
        <w:pStyle w:val="FootnoteText"/>
      </w:pPr>
      <w:r>
        <w:rPr>
          <w:rStyle w:val="FootnoteReference"/>
        </w:rPr>
        <w:footnoteRef/>
      </w:r>
      <w:r>
        <w:t xml:space="preserve"> 47 CFR § </w:t>
      </w:r>
      <w:r w:rsidR="00302A75">
        <w:t>15.</w:t>
      </w:r>
      <w:r>
        <w:t>201(b).</w:t>
      </w:r>
    </w:p>
  </w:footnote>
  <w:footnote w:id="45">
    <w:p w:rsidR="00107A8F" w14:paraId="36900F4B" w14:textId="7EC4691D">
      <w:pPr>
        <w:pStyle w:val="FootnoteText"/>
      </w:pPr>
      <w:r>
        <w:rPr>
          <w:rStyle w:val="FootnoteReference"/>
        </w:rPr>
        <w:footnoteRef/>
      </w:r>
      <w:r>
        <w:t xml:space="preserve"> 47 CFR § 2.925(a).</w:t>
      </w:r>
    </w:p>
  </w:footnote>
  <w:footnote w:id="46">
    <w:p w:rsidR="00233CC4" w14:paraId="7B71D3EB" w14:textId="4271257D">
      <w:pPr>
        <w:pStyle w:val="FootnoteText"/>
      </w:pPr>
      <w:r>
        <w:rPr>
          <w:rStyle w:val="FootnoteReference"/>
        </w:rPr>
        <w:footnoteRef/>
      </w:r>
      <w:r>
        <w:t xml:space="preserve"> 47 CFR 15.19(a)(3).</w:t>
      </w:r>
    </w:p>
  </w:footnote>
  <w:footnote w:id="47">
    <w:p w:rsidR="005A440D" w14:paraId="07BA95ED" w14:textId="748AF307">
      <w:pPr>
        <w:pStyle w:val="FootnoteText"/>
      </w:pPr>
      <w:r>
        <w:rPr>
          <w:rStyle w:val="FootnoteReference"/>
        </w:rPr>
        <w:footnoteRef/>
      </w:r>
      <w:r>
        <w:t xml:space="preserve"> 47 CFR § 15.21.</w:t>
      </w:r>
    </w:p>
  </w:footnote>
  <w:footnote w:id="48">
    <w:p w:rsidR="00D528CD" w14:paraId="0FA293A3" w14:textId="106FD7D2">
      <w:pPr>
        <w:pStyle w:val="FootnoteText"/>
      </w:pPr>
      <w:r>
        <w:rPr>
          <w:rStyle w:val="FootnoteReference"/>
        </w:rPr>
        <w:footnoteRef/>
      </w:r>
      <w:r>
        <w:t xml:space="preserve"> LOI Response at Exhibit D, Response to Questions </w:t>
      </w:r>
      <w:r w:rsidR="00D63B9A">
        <w:t xml:space="preserve">11, </w:t>
      </w:r>
      <w:r>
        <w:t>13 and 14.</w:t>
      </w:r>
    </w:p>
  </w:footnote>
  <w:footnote w:id="49">
    <w:p w:rsidR="00AA7BD0" w14:paraId="70CDAB43" w14:textId="1D105153">
      <w:pPr>
        <w:pStyle w:val="FootnoteText"/>
      </w:pPr>
      <w:r>
        <w:rPr>
          <w:rStyle w:val="FootnoteReference"/>
        </w:rPr>
        <w:footnoteRef/>
      </w:r>
      <w:r>
        <w:t xml:space="preserve"> 47 U.S.C. § 302a(b); 47 CFR §§ 2.803, 2.925, 15.19, 15.21, 15.201, 15.203, and 15.239.</w:t>
      </w:r>
    </w:p>
  </w:footnote>
  <w:footnote w:id="50">
    <w:p w:rsidR="00A34585" w14:paraId="26E6A59F" w14:textId="35261390">
      <w:pPr>
        <w:pStyle w:val="FootnoteText"/>
      </w:pPr>
      <w:r>
        <w:rPr>
          <w:rStyle w:val="FootnoteReference"/>
        </w:rPr>
        <w:footnoteRef/>
      </w:r>
      <w:r>
        <w:t xml:space="preserve"> </w:t>
      </w:r>
      <w:r>
        <w:t xml:space="preserve">A listing for the </w:t>
      </w:r>
      <w:r w:rsidR="00B02ECA">
        <w:t xml:space="preserve">Scosche BTFreq Pro Bluetooth FM Transmitter with Power Delivery model </w:t>
      </w:r>
      <w:r>
        <w:t>on B&amp;H’s website indicates that the device is capable of operating at 87.</w:t>
      </w:r>
      <w:r w:rsidR="00670D78">
        <w:t>5</w:t>
      </w:r>
      <w:r>
        <w:t xml:space="preserve"> MHz.  </w:t>
      </w:r>
      <w:r w:rsidRPr="00670D78">
        <w:rPr>
          <w:i/>
          <w:iCs/>
        </w:rPr>
        <w:t>See</w:t>
      </w:r>
      <w:r>
        <w:t xml:space="preserve"> </w:t>
      </w:r>
      <w:hyperlink r:id="rId1" w:history="1">
        <w:r w:rsidRPr="0064515D" w:rsidR="007C2790">
          <w:rPr>
            <w:rStyle w:val="Hyperlink"/>
          </w:rPr>
          <w:t>https://www.bhphotovideo.com/c/product/1548097-REG/scosche_btfmpd3sr_sp_btfreq_pro_bluetooth_fm.html/specs</w:t>
        </w:r>
      </w:hyperlink>
      <w:r w:rsidR="007C2790">
        <w:t xml:space="preserve"> </w:t>
      </w:r>
      <w:r w:rsidR="00670D78">
        <w:t xml:space="preserve">(last visited </w:t>
      </w:r>
      <w:r w:rsidR="00B02ECA">
        <w:t xml:space="preserve">Sept. 26, </w:t>
      </w:r>
      <w:r w:rsidR="00670D78">
        <w:t>2022).</w:t>
      </w:r>
      <w:r w:rsidR="007C2790">
        <w:t xml:space="preserve">  </w:t>
      </w:r>
    </w:p>
  </w:footnote>
  <w:footnote w:id="51">
    <w:p w:rsidR="00824515" w14:paraId="34E9CAB1" w14:textId="650E17D2">
      <w:pPr>
        <w:pStyle w:val="FootnoteText"/>
      </w:pPr>
      <w:r>
        <w:rPr>
          <w:rStyle w:val="FootnoteReference"/>
        </w:rPr>
        <w:footnoteRef/>
      </w:r>
      <w:r>
        <w:t xml:space="preserve"> 47 U.S.C. § 302a(b); 47 CFR §§ 2.803 and 15.239.</w:t>
      </w:r>
    </w:p>
  </w:footnote>
  <w:footnote w:id="52">
    <w:p w:rsidR="006A3215" w14:paraId="72C714EF" w14:textId="1F9C7E02">
      <w:pPr>
        <w:pStyle w:val="FootnoteText"/>
      </w:pPr>
      <w:r>
        <w:rPr>
          <w:rStyle w:val="FootnoteReference"/>
        </w:rPr>
        <w:footnoteRef/>
      </w:r>
      <w:r>
        <w:t xml:space="preserve"> Follow-up Response at 1, Response to Question 1; LOI Response at Exhibit D, Response to Question 13.</w:t>
      </w:r>
    </w:p>
  </w:footnote>
  <w:footnote w:id="53">
    <w:p w:rsidR="00F61D8A" w:rsidP="00F61D8A" w14:paraId="77B29CD3" w14:textId="63FFB918">
      <w:pPr>
        <w:pStyle w:val="FootnoteText"/>
      </w:pPr>
      <w:r>
        <w:rPr>
          <w:rStyle w:val="FootnoteReference"/>
        </w:rPr>
        <w:footnoteRef/>
      </w:r>
      <w:r>
        <w:t xml:space="preserve"> 47 U.S.C. § 302a(b); 47 CFR §§ 2.803, 2.925, 15.19, 15.21, 15.201, and 15.239.</w:t>
      </w:r>
    </w:p>
  </w:footnote>
  <w:footnote w:id="54">
    <w:p w:rsidR="000E09E3" w14:paraId="34C2C1D4" w14:textId="79F2936B">
      <w:pPr>
        <w:pStyle w:val="FootnoteText"/>
      </w:pPr>
      <w:r>
        <w:rPr>
          <w:rStyle w:val="FootnoteReference"/>
        </w:rPr>
        <w:footnoteRef/>
      </w:r>
      <w:r>
        <w:t xml:space="preserve"> LOI Response at Exhibit D, Response to Question 13.</w:t>
      </w:r>
    </w:p>
  </w:footnote>
  <w:footnote w:id="55">
    <w:p w:rsidR="00090091" w:rsidP="00090091" w14:paraId="30350432" w14:textId="760F9677">
      <w:pPr>
        <w:pStyle w:val="FootnoteText"/>
      </w:pPr>
      <w:r>
        <w:rPr>
          <w:rStyle w:val="FootnoteReference"/>
        </w:rPr>
        <w:footnoteRef/>
      </w:r>
      <w:r>
        <w:t xml:space="preserve"> 47 U.S.C. § 302a(b); 47 CFR §§ 2.803, 2.925, 15.19, 15.21, 15.201, and 15.239.</w:t>
      </w:r>
    </w:p>
  </w:footnote>
  <w:footnote w:id="56">
    <w:p w:rsidR="0090510E" w14:paraId="3266F1A9"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57">
    <w:p w:rsidR="0090510E" w14:paraId="3251AFF8"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58">
    <w:p w:rsidR="003C4AD3" w14:paraId="02D89331"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59">
    <w:p w:rsidR="00CB0620" w:rsidP="00CB0620" w14:paraId="499366F6"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60">
    <w:p w:rsidR="005D1BA6" w:rsidRPr="002D63C3" w14:paraId="10685323" w14:textId="77777777">
      <w:pPr>
        <w:pStyle w:val="FootnoteText"/>
      </w:pPr>
      <w:r w:rsidRPr="002D63C3">
        <w:rPr>
          <w:rStyle w:val="FootnoteReference"/>
        </w:rPr>
        <w:footnoteRef/>
      </w:r>
      <w:r w:rsidRPr="002D63C3">
        <w:t xml:space="preserve"> </w:t>
      </w:r>
      <w:r w:rsidRPr="002D63C3">
        <w:rPr>
          <w:i/>
        </w:rPr>
        <w:t xml:space="preserve">See </w:t>
      </w:r>
      <w:r w:rsidRPr="002D63C3">
        <w:t xml:space="preserve">47 U.S.C. § 503; 47 </w:t>
      </w:r>
      <w:r w:rsidR="000516D6">
        <w:t>CFR</w:t>
      </w:r>
      <w:r w:rsidRPr="002D63C3">
        <w:t xml:space="preserve"> § 1.80(b).  This amount is subject to fu</w:t>
      </w:r>
      <w:r w:rsidRPr="002D63C3" w:rsidR="002D63C3">
        <w:t xml:space="preserve">rther adjustment for inflation.  </w:t>
      </w:r>
      <w:r w:rsidRPr="002D63C3" w:rsidR="002D63C3">
        <w:rPr>
          <w:i/>
        </w:rPr>
        <w:t>S</w:t>
      </w:r>
      <w:r w:rsidRPr="002D63C3">
        <w:rPr>
          <w:i/>
        </w:rPr>
        <w:t xml:space="preserve">ee </w:t>
      </w:r>
      <w:r w:rsidRPr="002D63C3">
        <w:t xml:space="preserve">47 </w:t>
      </w:r>
      <w:r w:rsidR="000516D6">
        <w:t>CFR</w:t>
      </w:r>
      <w:r w:rsidRPr="002D63C3">
        <w:t xml:space="preserve"> § 1.80(b)(9).    </w:t>
      </w:r>
    </w:p>
  </w:footnote>
  <w:footnote w:id="61">
    <w:p w:rsidR="005D1BA6" w:rsidRPr="002D63C3" w14:paraId="0D4A18AB" w14:textId="77777777">
      <w:pPr>
        <w:pStyle w:val="FootnoteText"/>
      </w:pPr>
      <w:r w:rsidRPr="002D63C3">
        <w:rPr>
          <w:rStyle w:val="FootnoteReference"/>
        </w:rPr>
        <w:footnoteRef/>
      </w:r>
      <w:r w:rsidRPr="002D63C3">
        <w:t xml:space="preserve"> </w:t>
      </w:r>
      <w:r w:rsidRPr="002D63C3">
        <w:rPr>
          <w:i/>
        </w:rPr>
        <w:t>See</w:t>
      </w:r>
      <w:r w:rsidRPr="002D63C3">
        <w:t xml:space="preserve"> 47 U.S.C. § 503(b)(2)(E); 47 </w:t>
      </w:r>
      <w:r w:rsidR="000516D6">
        <w:t>CFR</w:t>
      </w:r>
      <w:r w:rsidRPr="002D63C3">
        <w:t xml:space="preserve"> § 1.80(b)(8).</w:t>
      </w:r>
    </w:p>
  </w:footnote>
  <w:footnote w:id="62">
    <w:p w:rsidR="005D1BA6" w:rsidRPr="002D63C3" w14:paraId="6EA11F60" w14:textId="6AD614C7">
      <w:pPr>
        <w:pStyle w:val="FootnoteText"/>
      </w:pPr>
      <w:r w:rsidRPr="002D63C3">
        <w:rPr>
          <w:rStyle w:val="FootnoteReference"/>
        </w:rPr>
        <w:footnoteRef/>
      </w:r>
      <w:r w:rsidRPr="002D63C3">
        <w:t xml:space="preserve"> </w:t>
      </w:r>
      <w:r w:rsidRPr="002D63C3">
        <w:rPr>
          <w:i/>
        </w:rPr>
        <w:t>See</w:t>
      </w:r>
      <w:r w:rsidRPr="002D63C3">
        <w:t xml:space="preserve"> </w:t>
      </w:r>
      <w:r w:rsidRPr="002D63C3" w:rsidR="002D63C3">
        <w:rPr>
          <w:i/>
        </w:rPr>
        <w:t xml:space="preserve">supra </w:t>
      </w:r>
      <w:r w:rsidRPr="002D63C3">
        <w:t xml:space="preserve">paragraph </w:t>
      </w:r>
      <w:r w:rsidR="00141EBA">
        <w:t>2</w:t>
      </w:r>
      <w:r w:rsidRPr="002D63C3">
        <w:t xml:space="preserve">.  </w:t>
      </w:r>
    </w:p>
  </w:footnote>
  <w:footnote w:id="63">
    <w:p w:rsidR="005D1BA6" w:rsidRPr="002D63C3" w14:paraId="723572DB" w14:textId="77777777">
      <w:pPr>
        <w:pStyle w:val="FootnoteText"/>
      </w:pPr>
      <w:r w:rsidRPr="002D63C3">
        <w:rPr>
          <w:rStyle w:val="FootnoteReference"/>
        </w:rPr>
        <w:footnoteRef/>
      </w:r>
      <w:r w:rsidRPr="002D63C3">
        <w:t xml:space="preserve"> 47 U.S.C. § 154(i), (j).</w:t>
      </w:r>
    </w:p>
  </w:footnote>
  <w:footnote w:id="64">
    <w:p w:rsidR="003C4AD3" w14:paraId="078442F5" w14:textId="05A6601F">
      <w:pPr>
        <w:pStyle w:val="FootnoteText"/>
      </w:pPr>
      <w:r>
        <w:rPr>
          <w:rStyle w:val="FootnoteReference"/>
        </w:rPr>
        <w:footnoteRef/>
      </w:r>
      <w:r>
        <w:t xml:space="preserve"> </w:t>
      </w:r>
      <w:r w:rsidR="00EE71A1">
        <w:t>47 U.S.C. § 302a(b); 47 CFR §§ 2.803, 2.925, 15.19, 15.21, 15.201, 15.203, and 15.239.</w:t>
      </w:r>
    </w:p>
  </w:footnote>
  <w:footnote w:id="65">
    <w:p w:rsidR="005D1BA6" w:rsidRPr="002D63C3" w14:paraId="78096D2B" w14:textId="77777777">
      <w:pPr>
        <w:pStyle w:val="FootnoteText"/>
      </w:pPr>
      <w:r w:rsidRPr="002D63C3">
        <w:rPr>
          <w:rStyle w:val="FootnoteReference"/>
        </w:rPr>
        <w:footnoteRef/>
      </w:r>
      <w:r w:rsidRPr="002D63C3">
        <w:t xml:space="preserve"> 47 U.S.C. §§ 154(i)</w:t>
      </w:r>
      <w:r w:rsidR="002B04CB">
        <w:t>,</w:t>
      </w:r>
      <w:r w:rsidRPr="002D63C3">
        <w:t>(j), 403.</w:t>
      </w:r>
    </w:p>
  </w:footnote>
  <w:footnote w:id="66">
    <w:p w:rsidR="005D1BA6" w14:paraId="1CAE055B" w14:textId="77777777">
      <w:pPr>
        <w:pStyle w:val="FootnoteText"/>
      </w:pPr>
      <w:r w:rsidRPr="002D63C3">
        <w:rPr>
          <w:rStyle w:val="FootnoteReference"/>
        </w:rPr>
        <w:footnoteRef/>
      </w:r>
      <w:r w:rsidRPr="002D63C3">
        <w:t xml:space="preserve"> 47 </w:t>
      </w:r>
      <w:r w:rsidR="000516D6">
        <w:t>CFR</w:t>
      </w:r>
      <w:r w:rsidRPr="002D63C3">
        <w:t xml:space="preserve">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14:paraId="13BCB7E2" w14:textId="6840265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F50F55" w:rsidR="00BD5320">
      <w:rPr>
        <w:spacing w:val="-2"/>
      </w:rPr>
      <w:t xml:space="preserve">DA </w:t>
    </w:r>
    <w:r w:rsidR="00BD5320">
      <w:rPr>
        <w:spacing w:val="-2"/>
      </w:rPr>
      <w:t>22-1268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9" w:name="_Hlk102464589"/>
  <w:bookmarkStart w:id="10" w:name="_Hlk102464590"/>
  <w:bookmarkStart w:id="11" w:name="_Hlk102464595"/>
  <w:bookmarkStart w:id="12" w:name="_Hlk102464596"/>
  <w:p w:rsidR="005D1BA6" w:rsidRPr="001B048F" w:rsidP="00D260D6" w14:paraId="5582DE02" w14:textId="3FAA18EF">
    <w:pPr>
      <w:pStyle w:val="Header"/>
      <w:spacing w:after="120"/>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BD5320">
      <w:rPr>
        <w:spacing w:val="-2"/>
      </w:rPr>
      <w:t>22-1268</w:t>
    </w:r>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583C7A4A"/>
    <w:lvl w:ilvl="0">
      <w:start w:val="7"/>
      <w:numFmt w:val="decimal"/>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3"/>
  </w:num>
  <w:num w:numId="2">
    <w:abstractNumId w:val="6"/>
  </w:num>
  <w:num w:numId="3">
    <w:abstractNumId w:val="2"/>
  </w:num>
  <w:num w:numId="4">
    <w:abstractNumId w:val="9"/>
  </w:num>
  <w:num w:numId="5">
    <w:abstractNumId w:val="1"/>
  </w:num>
  <w:num w:numId="6">
    <w:abstractNumId w:val="7"/>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2"/>
  </w:num>
  <w:num w:numId="9">
    <w:abstractNumId w:val="11"/>
  </w:num>
  <w:num w:numId="10">
    <w:abstractNumId w:val="8"/>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lvlOverride w:ilvl="0">
      <w:startOverride w:val="1"/>
    </w:lvlOverride>
  </w:num>
  <w:num w:numId="18">
    <w:abstractNumId w:val="13"/>
    <w:lvlOverride w:ilvl="0">
      <w:startOverride w:val="1"/>
    </w:lvlOverride>
  </w:num>
  <w:num w:numId="19">
    <w:abstractNumId w:val="13"/>
  </w:num>
  <w:num w:numId="20">
    <w:abstractNumId w:val="14"/>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lvlOverride w:ilvl="0">
      <w:startOverride w:val="14"/>
    </w:lvlOverride>
  </w:num>
  <w:num w:numId="30">
    <w:abstractNumId w:val="13"/>
  </w:num>
  <w:num w:numId="31">
    <w:abstractNumId w:val="13"/>
    <w:lvlOverride w:ilvl="0">
      <w:startOverride w:val="1"/>
    </w:lvlOverride>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4"/>
  </w:num>
  <w:num w:numId="44">
    <w:abstractNumId w:val="10"/>
  </w:num>
  <w:num w:numId="45">
    <w:abstractNumId w:val="5"/>
  </w:num>
  <w:num w:numId="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5148"/>
    <w:rsid w:val="0000745F"/>
    <w:rsid w:val="00010D10"/>
    <w:rsid w:val="00012BFC"/>
    <w:rsid w:val="00014462"/>
    <w:rsid w:val="000174F9"/>
    <w:rsid w:val="00022C58"/>
    <w:rsid w:val="000264B4"/>
    <w:rsid w:val="000315E3"/>
    <w:rsid w:val="00031AE8"/>
    <w:rsid w:val="000321A0"/>
    <w:rsid w:val="00032CA1"/>
    <w:rsid w:val="00033DDA"/>
    <w:rsid w:val="00036D58"/>
    <w:rsid w:val="00041AA5"/>
    <w:rsid w:val="0004534E"/>
    <w:rsid w:val="00046E05"/>
    <w:rsid w:val="0004727B"/>
    <w:rsid w:val="00047B3E"/>
    <w:rsid w:val="000516D6"/>
    <w:rsid w:val="000604EB"/>
    <w:rsid w:val="0006278C"/>
    <w:rsid w:val="00062C44"/>
    <w:rsid w:val="000649FE"/>
    <w:rsid w:val="00065298"/>
    <w:rsid w:val="00070027"/>
    <w:rsid w:val="0007141C"/>
    <w:rsid w:val="00071A40"/>
    <w:rsid w:val="00071E3F"/>
    <w:rsid w:val="00072D7D"/>
    <w:rsid w:val="00074717"/>
    <w:rsid w:val="00080535"/>
    <w:rsid w:val="000824AC"/>
    <w:rsid w:val="00084228"/>
    <w:rsid w:val="00084C3F"/>
    <w:rsid w:val="000853AD"/>
    <w:rsid w:val="0008655C"/>
    <w:rsid w:val="00086824"/>
    <w:rsid w:val="00090091"/>
    <w:rsid w:val="00091AE4"/>
    <w:rsid w:val="00092506"/>
    <w:rsid w:val="00092781"/>
    <w:rsid w:val="00093117"/>
    <w:rsid w:val="000962DF"/>
    <w:rsid w:val="00096DA3"/>
    <w:rsid w:val="00097330"/>
    <w:rsid w:val="00097F82"/>
    <w:rsid w:val="000A3E68"/>
    <w:rsid w:val="000A4776"/>
    <w:rsid w:val="000B14C3"/>
    <w:rsid w:val="000B1C2B"/>
    <w:rsid w:val="000B29ED"/>
    <w:rsid w:val="000B7657"/>
    <w:rsid w:val="000C2FD7"/>
    <w:rsid w:val="000C5644"/>
    <w:rsid w:val="000C6050"/>
    <w:rsid w:val="000C6D08"/>
    <w:rsid w:val="000C74E5"/>
    <w:rsid w:val="000C78CB"/>
    <w:rsid w:val="000D12BA"/>
    <w:rsid w:val="000D1391"/>
    <w:rsid w:val="000D2ACB"/>
    <w:rsid w:val="000D4DE0"/>
    <w:rsid w:val="000E09E3"/>
    <w:rsid w:val="000E1951"/>
    <w:rsid w:val="000E2707"/>
    <w:rsid w:val="000E3600"/>
    <w:rsid w:val="000F1155"/>
    <w:rsid w:val="000F2F2C"/>
    <w:rsid w:val="000F40AB"/>
    <w:rsid w:val="00100646"/>
    <w:rsid w:val="00105A35"/>
    <w:rsid w:val="00107A8F"/>
    <w:rsid w:val="00111822"/>
    <w:rsid w:val="0011337B"/>
    <w:rsid w:val="00114C2E"/>
    <w:rsid w:val="001164C6"/>
    <w:rsid w:val="0011687C"/>
    <w:rsid w:val="001205FE"/>
    <w:rsid w:val="00122BB3"/>
    <w:rsid w:val="0012427E"/>
    <w:rsid w:val="00126C88"/>
    <w:rsid w:val="001356A3"/>
    <w:rsid w:val="00135CF4"/>
    <w:rsid w:val="00135F7F"/>
    <w:rsid w:val="00136476"/>
    <w:rsid w:val="00141B85"/>
    <w:rsid w:val="00141EBA"/>
    <w:rsid w:val="001426F0"/>
    <w:rsid w:val="00145E08"/>
    <w:rsid w:val="00151901"/>
    <w:rsid w:val="001532B1"/>
    <w:rsid w:val="00153904"/>
    <w:rsid w:val="00153CE0"/>
    <w:rsid w:val="00153EBA"/>
    <w:rsid w:val="001543D2"/>
    <w:rsid w:val="00162161"/>
    <w:rsid w:val="00164D9B"/>
    <w:rsid w:val="001715BD"/>
    <w:rsid w:val="001740BB"/>
    <w:rsid w:val="0017726A"/>
    <w:rsid w:val="00180026"/>
    <w:rsid w:val="001819AF"/>
    <w:rsid w:val="001829BE"/>
    <w:rsid w:val="00192DF0"/>
    <w:rsid w:val="00193D78"/>
    <w:rsid w:val="00195732"/>
    <w:rsid w:val="00195B9D"/>
    <w:rsid w:val="0019603D"/>
    <w:rsid w:val="0019751C"/>
    <w:rsid w:val="001A29EF"/>
    <w:rsid w:val="001A2F40"/>
    <w:rsid w:val="001A38A4"/>
    <w:rsid w:val="001A69BA"/>
    <w:rsid w:val="001A79FB"/>
    <w:rsid w:val="001B048F"/>
    <w:rsid w:val="001B26E5"/>
    <w:rsid w:val="001B2710"/>
    <w:rsid w:val="001B43E0"/>
    <w:rsid w:val="001B71ED"/>
    <w:rsid w:val="001C3156"/>
    <w:rsid w:val="001C3B35"/>
    <w:rsid w:val="001C42B3"/>
    <w:rsid w:val="001C45A8"/>
    <w:rsid w:val="001D1CEF"/>
    <w:rsid w:val="001D1FA4"/>
    <w:rsid w:val="001D2E23"/>
    <w:rsid w:val="001D4C1D"/>
    <w:rsid w:val="001D5C9B"/>
    <w:rsid w:val="001D6C80"/>
    <w:rsid w:val="001E135C"/>
    <w:rsid w:val="001E1906"/>
    <w:rsid w:val="001E1A29"/>
    <w:rsid w:val="001E2FAC"/>
    <w:rsid w:val="001E36EE"/>
    <w:rsid w:val="001E3F89"/>
    <w:rsid w:val="001E401B"/>
    <w:rsid w:val="001E42F4"/>
    <w:rsid w:val="001F279F"/>
    <w:rsid w:val="001F2B76"/>
    <w:rsid w:val="001F5AA4"/>
    <w:rsid w:val="001F7819"/>
    <w:rsid w:val="001F7EE0"/>
    <w:rsid w:val="0020207B"/>
    <w:rsid w:val="002107AE"/>
    <w:rsid w:val="00212665"/>
    <w:rsid w:val="0021315C"/>
    <w:rsid w:val="002141E6"/>
    <w:rsid w:val="002146E2"/>
    <w:rsid w:val="00216C96"/>
    <w:rsid w:val="00223173"/>
    <w:rsid w:val="0022618F"/>
    <w:rsid w:val="00226191"/>
    <w:rsid w:val="0022665A"/>
    <w:rsid w:val="00231BA3"/>
    <w:rsid w:val="00233CC4"/>
    <w:rsid w:val="002354A2"/>
    <w:rsid w:val="00236820"/>
    <w:rsid w:val="00240228"/>
    <w:rsid w:val="00246222"/>
    <w:rsid w:val="0024710B"/>
    <w:rsid w:val="00250CED"/>
    <w:rsid w:val="00250EDF"/>
    <w:rsid w:val="00252799"/>
    <w:rsid w:val="00256862"/>
    <w:rsid w:val="00256904"/>
    <w:rsid w:val="00256B42"/>
    <w:rsid w:val="0026367A"/>
    <w:rsid w:val="002659F3"/>
    <w:rsid w:val="00265BA0"/>
    <w:rsid w:val="00265FC9"/>
    <w:rsid w:val="00270CD1"/>
    <w:rsid w:val="002710C5"/>
    <w:rsid w:val="0027183B"/>
    <w:rsid w:val="002718D7"/>
    <w:rsid w:val="00274740"/>
    <w:rsid w:val="00276909"/>
    <w:rsid w:val="00283E59"/>
    <w:rsid w:val="00287564"/>
    <w:rsid w:val="00291843"/>
    <w:rsid w:val="0029315E"/>
    <w:rsid w:val="002966A1"/>
    <w:rsid w:val="00297424"/>
    <w:rsid w:val="002A1963"/>
    <w:rsid w:val="002B04CB"/>
    <w:rsid w:val="002B2AF7"/>
    <w:rsid w:val="002B7493"/>
    <w:rsid w:val="002C12AD"/>
    <w:rsid w:val="002C18E9"/>
    <w:rsid w:val="002C2218"/>
    <w:rsid w:val="002C66A2"/>
    <w:rsid w:val="002D3A88"/>
    <w:rsid w:val="002D3E96"/>
    <w:rsid w:val="002D4CD9"/>
    <w:rsid w:val="002D5048"/>
    <w:rsid w:val="002D63C3"/>
    <w:rsid w:val="002D6A81"/>
    <w:rsid w:val="002D74C4"/>
    <w:rsid w:val="002E046E"/>
    <w:rsid w:val="002E1671"/>
    <w:rsid w:val="002E2980"/>
    <w:rsid w:val="002E3DE5"/>
    <w:rsid w:val="002E43B6"/>
    <w:rsid w:val="002E6027"/>
    <w:rsid w:val="002F2ACB"/>
    <w:rsid w:val="00300797"/>
    <w:rsid w:val="00301D35"/>
    <w:rsid w:val="00302A75"/>
    <w:rsid w:val="00306C34"/>
    <w:rsid w:val="00306C50"/>
    <w:rsid w:val="00306E57"/>
    <w:rsid w:val="0032053D"/>
    <w:rsid w:val="0032244D"/>
    <w:rsid w:val="00323F41"/>
    <w:rsid w:val="00325463"/>
    <w:rsid w:val="003261CF"/>
    <w:rsid w:val="00331B47"/>
    <w:rsid w:val="00331D4E"/>
    <w:rsid w:val="00332780"/>
    <w:rsid w:val="003343CA"/>
    <w:rsid w:val="003368A3"/>
    <w:rsid w:val="003368E2"/>
    <w:rsid w:val="003400E9"/>
    <w:rsid w:val="00340246"/>
    <w:rsid w:val="00343425"/>
    <w:rsid w:val="00344871"/>
    <w:rsid w:val="00345F40"/>
    <w:rsid w:val="00346DCB"/>
    <w:rsid w:val="003472A7"/>
    <w:rsid w:val="00347397"/>
    <w:rsid w:val="00350389"/>
    <w:rsid w:val="0035129A"/>
    <w:rsid w:val="00352960"/>
    <w:rsid w:val="00353E9D"/>
    <w:rsid w:val="00361B43"/>
    <w:rsid w:val="003623B1"/>
    <w:rsid w:val="00362891"/>
    <w:rsid w:val="0036533E"/>
    <w:rsid w:val="00367173"/>
    <w:rsid w:val="00367723"/>
    <w:rsid w:val="00380C37"/>
    <w:rsid w:val="00383C2B"/>
    <w:rsid w:val="00386D23"/>
    <w:rsid w:val="0038725E"/>
    <w:rsid w:val="003927FC"/>
    <w:rsid w:val="00394329"/>
    <w:rsid w:val="0039768C"/>
    <w:rsid w:val="003977B5"/>
    <w:rsid w:val="003A07BF"/>
    <w:rsid w:val="003A4346"/>
    <w:rsid w:val="003A4767"/>
    <w:rsid w:val="003A5530"/>
    <w:rsid w:val="003A60F4"/>
    <w:rsid w:val="003A6F0A"/>
    <w:rsid w:val="003B10E0"/>
    <w:rsid w:val="003B18EB"/>
    <w:rsid w:val="003B4544"/>
    <w:rsid w:val="003B5341"/>
    <w:rsid w:val="003B5EF6"/>
    <w:rsid w:val="003B6F75"/>
    <w:rsid w:val="003C0BCF"/>
    <w:rsid w:val="003C2859"/>
    <w:rsid w:val="003C4AD3"/>
    <w:rsid w:val="003C578A"/>
    <w:rsid w:val="003C6559"/>
    <w:rsid w:val="003D1522"/>
    <w:rsid w:val="003D34A6"/>
    <w:rsid w:val="003D5B63"/>
    <w:rsid w:val="003D5BD6"/>
    <w:rsid w:val="003E2F10"/>
    <w:rsid w:val="003E36EC"/>
    <w:rsid w:val="003E3782"/>
    <w:rsid w:val="003E4BA1"/>
    <w:rsid w:val="003E5CB1"/>
    <w:rsid w:val="003E7003"/>
    <w:rsid w:val="003F226E"/>
    <w:rsid w:val="003F2F66"/>
    <w:rsid w:val="004016AD"/>
    <w:rsid w:val="00403B86"/>
    <w:rsid w:val="0040533C"/>
    <w:rsid w:val="00405358"/>
    <w:rsid w:val="00407DBA"/>
    <w:rsid w:val="00411B20"/>
    <w:rsid w:val="00415670"/>
    <w:rsid w:val="00416F51"/>
    <w:rsid w:val="004200CE"/>
    <w:rsid w:val="0042056B"/>
    <w:rsid w:val="00426316"/>
    <w:rsid w:val="00431572"/>
    <w:rsid w:val="00436A9E"/>
    <w:rsid w:val="00436E88"/>
    <w:rsid w:val="00442997"/>
    <w:rsid w:val="0044699D"/>
    <w:rsid w:val="00447B59"/>
    <w:rsid w:val="00450B64"/>
    <w:rsid w:val="00451AB3"/>
    <w:rsid w:val="00452C14"/>
    <w:rsid w:val="00457AE7"/>
    <w:rsid w:val="004602F9"/>
    <w:rsid w:val="00466CC6"/>
    <w:rsid w:val="00467066"/>
    <w:rsid w:val="0047221C"/>
    <w:rsid w:val="004736A1"/>
    <w:rsid w:val="00476E94"/>
    <w:rsid w:val="004806B0"/>
    <w:rsid w:val="004806B5"/>
    <w:rsid w:val="00491111"/>
    <w:rsid w:val="0049270C"/>
    <w:rsid w:val="00494E42"/>
    <w:rsid w:val="004A10F9"/>
    <w:rsid w:val="004B2B67"/>
    <w:rsid w:val="004C0F46"/>
    <w:rsid w:val="004C3EDB"/>
    <w:rsid w:val="004C4957"/>
    <w:rsid w:val="004C6454"/>
    <w:rsid w:val="004D3233"/>
    <w:rsid w:val="004D6E9D"/>
    <w:rsid w:val="004D784A"/>
    <w:rsid w:val="004E03C2"/>
    <w:rsid w:val="004E218D"/>
    <w:rsid w:val="004E4FD9"/>
    <w:rsid w:val="004E5C4D"/>
    <w:rsid w:val="004E5D01"/>
    <w:rsid w:val="004F0990"/>
    <w:rsid w:val="004F5B46"/>
    <w:rsid w:val="004F64C7"/>
    <w:rsid w:val="004F6A54"/>
    <w:rsid w:val="00500FF2"/>
    <w:rsid w:val="00502169"/>
    <w:rsid w:val="00503DB1"/>
    <w:rsid w:val="00505616"/>
    <w:rsid w:val="005064FB"/>
    <w:rsid w:val="00512A5C"/>
    <w:rsid w:val="00514466"/>
    <w:rsid w:val="00514B5F"/>
    <w:rsid w:val="00520F0B"/>
    <w:rsid w:val="005214C9"/>
    <w:rsid w:val="00522727"/>
    <w:rsid w:val="00523BB5"/>
    <w:rsid w:val="00526086"/>
    <w:rsid w:val="00526174"/>
    <w:rsid w:val="005321F0"/>
    <w:rsid w:val="00535D18"/>
    <w:rsid w:val="00537EE6"/>
    <w:rsid w:val="005415C8"/>
    <w:rsid w:val="0054220C"/>
    <w:rsid w:val="005440C1"/>
    <w:rsid w:val="00545EF8"/>
    <w:rsid w:val="00547654"/>
    <w:rsid w:val="00551EB6"/>
    <w:rsid w:val="0055219A"/>
    <w:rsid w:val="00552795"/>
    <w:rsid w:val="00552923"/>
    <w:rsid w:val="00556A8F"/>
    <w:rsid w:val="00557BF1"/>
    <w:rsid w:val="00560703"/>
    <w:rsid w:val="00562031"/>
    <w:rsid w:val="00562DC4"/>
    <w:rsid w:val="00563167"/>
    <w:rsid w:val="005645FC"/>
    <w:rsid w:val="0056704D"/>
    <w:rsid w:val="00567C95"/>
    <w:rsid w:val="00567D8D"/>
    <w:rsid w:val="00575B06"/>
    <w:rsid w:val="00575E0B"/>
    <w:rsid w:val="00580B7B"/>
    <w:rsid w:val="005942FC"/>
    <w:rsid w:val="005970D5"/>
    <w:rsid w:val="0059732E"/>
    <w:rsid w:val="005A05DF"/>
    <w:rsid w:val="005A440D"/>
    <w:rsid w:val="005A72DD"/>
    <w:rsid w:val="005B1C29"/>
    <w:rsid w:val="005B3158"/>
    <w:rsid w:val="005B4CEA"/>
    <w:rsid w:val="005B67ED"/>
    <w:rsid w:val="005C0ED4"/>
    <w:rsid w:val="005C2A5A"/>
    <w:rsid w:val="005C30D4"/>
    <w:rsid w:val="005D043A"/>
    <w:rsid w:val="005D1BA6"/>
    <w:rsid w:val="005D1E9E"/>
    <w:rsid w:val="005D250F"/>
    <w:rsid w:val="005D364B"/>
    <w:rsid w:val="005D4F7D"/>
    <w:rsid w:val="005E3D9F"/>
    <w:rsid w:val="005E6F60"/>
    <w:rsid w:val="005F042A"/>
    <w:rsid w:val="005F7995"/>
    <w:rsid w:val="00600EA1"/>
    <w:rsid w:val="006020E8"/>
    <w:rsid w:val="00603106"/>
    <w:rsid w:val="006168A4"/>
    <w:rsid w:val="00616EAA"/>
    <w:rsid w:val="00622396"/>
    <w:rsid w:val="00624402"/>
    <w:rsid w:val="00624EEA"/>
    <w:rsid w:val="0063038A"/>
    <w:rsid w:val="00634F84"/>
    <w:rsid w:val="00637D3F"/>
    <w:rsid w:val="00640EAA"/>
    <w:rsid w:val="00641328"/>
    <w:rsid w:val="00644983"/>
    <w:rsid w:val="0064498D"/>
    <w:rsid w:val="0064515D"/>
    <w:rsid w:val="006455E4"/>
    <w:rsid w:val="006472F4"/>
    <w:rsid w:val="00650C92"/>
    <w:rsid w:val="00651A3D"/>
    <w:rsid w:val="00653DFB"/>
    <w:rsid w:val="00654D13"/>
    <w:rsid w:val="006557D7"/>
    <w:rsid w:val="0065677C"/>
    <w:rsid w:val="006606A3"/>
    <w:rsid w:val="00661DE5"/>
    <w:rsid w:val="006638AB"/>
    <w:rsid w:val="0066537F"/>
    <w:rsid w:val="00670D78"/>
    <w:rsid w:val="00671666"/>
    <w:rsid w:val="00672014"/>
    <w:rsid w:val="006733A8"/>
    <w:rsid w:val="00673674"/>
    <w:rsid w:val="00674B18"/>
    <w:rsid w:val="00683E53"/>
    <w:rsid w:val="00685197"/>
    <w:rsid w:val="00686968"/>
    <w:rsid w:val="006877E7"/>
    <w:rsid w:val="00694239"/>
    <w:rsid w:val="0069494E"/>
    <w:rsid w:val="00694F46"/>
    <w:rsid w:val="006956FE"/>
    <w:rsid w:val="006A2009"/>
    <w:rsid w:val="006A3215"/>
    <w:rsid w:val="006A6FD0"/>
    <w:rsid w:val="006B080E"/>
    <w:rsid w:val="006B12E1"/>
    <w:rsid w:val="006B2659"/>
    <w:rsid w:val="006B730D"/>
    <w:rsid w:val="006C1DED"/>
    <w:rsid w:val="006C51C8"/>
    <w:rsid w:val="006D051C"/>
    <w:rsid w:val="006D2212"/>
    <w:rsid w:val="006D550A"/>
    <w:rsid w:val="006D73F2"/>
    <w:rsid w:val="006D7FF3"/>
    <w:rsid w:val="006E3B0D"/>
    <w:rsid w:val="006E6234"/>
    <w:rsid w:val="006E728E"/>
    <w:rsid w:val="006F1CD1"/>
    <w:rsid w:val="00704843"/>
    <w:rsid w:val="00707E47"/>
    <w:rsid w:val="007115F7"/>
    <w:rsid w:val="00713F52"/>
    <w:rsid w:val="00714FD7"/>
    <w:rsid w:val="00715666"/>
    <w:rsid w:val="00716E89"/>
    <w:rsid w:val="0072776E"/>
    <w:rsid w:val="00727F4F"/>
    <w:rsid w:val="00731211"/>
    <w:rsid w:val="0073326F"/>
    <w:rsid w:val="00743885"/>
    <w:rsid w:val="00743CDB"/>
    <w:rsid w:val="00744F03"/>
    <w:rsid w:val="00745AB4"/>
    <w:rsid w:val="007470E1"/>
    <w:rsid w:val="00747490"/>
    <w:rsid w:val="00747581"/>
    <w:rsid w:val="007479D6"/>
    <w:rsid w:val="00751D62"/>
    <w:rsid w:val="00752D0E"/>
    <w:rsid w:val="00753BD2"/>
    <w:rsid w:val="00755564"/>
    <w:rsid w:val="00757E63"/>
    <w:rsid w:val="00765619"/>
    <w:rsid w:val="007674B1"/>
    <w:rsid w:val="0077073F"/>
    <w:rsid w:val="00770813"/>
    <w:rsid w:val="0077103F"/>
    <w:rsid w:val="00771254"/>
    <w:rsid w:val="00771EA2"/>
    <w:rsid w:val="0077224C"/>
    <w:rsid w:val="00774542"/>
    <w:rsid w:val="00780B28"/>
    <w:rsid w:val="00782257"/>
    <w:rsid w:val="00785772"/>
    <w:rsid w:val="00787DBC"/>
    <w:rsid w:val="00791577"/>
    <w:rsid w:val="00793647"/>
    <w:rsid w:val="007A09E8"/>
    <w:rsid w:val="007A1FAB"/>
    <w:rsid w:val="007A2AF2"/>
    <w:rsid w:val="007A322D"/>
    <w:rsid w:val="007A4004"/>
    <w:rsid w:val="007A400F"/>
    <w:rsid w:val="007B058F"/>
    <w:rsid w:val="007B1B20"/>
    <w:rsid w:val="007B1C3F"/>
    <w:rsid w:val="007B25BE"/>
    <w:rsid w:val="007B5628"/>
    <w:rsid w:val="007B7E5F"/>
    <w:rsid w:val="007C197B"/>
    <w:rsid w:val="007C2790"/>
    <w:rsid w:val="007C3555"/>
    <w:rsid w:val="007C37CE"/>
    <w:rsid w:val="007C3802"/>
    <w:rsid w:val="007C3FB4"/>
    <w:rsid w:val="007C416C"/>
    <w:rsid w:val="007C79C0"/>
    <w:rsid w:val="007D0F5D"/>
    <w:rsid w:val="007D2C1B"/>
    <w:rsid w:val="007D4CAD"/>
    <w:rsid w:val="007D5BA0"/>
    <w:rsid w:val="007E040F"/>
    <w:rsid w:val="007E2368"/>
    <w:rsid w:val="007E2E4F"/>
    <w:rsid w:val="007E39BB"/>
    <w:rsid w:val="007F3C22"/>
    <w:rsid w:val="0080144D"/>
    <w:rsid w:val="00804AA7"/>
    <w:rsid w:val="0080680C"/>
    <w:rsid w:val="00806AEF"/>
    <w:rsid w:val="0081546C"/>
    <w:rsid w:val="00816CF1"/>
    <w:rsid w:val="00817123"/>
    <w:rsid w:val="008218CC"/>
    <w:rsid w:val="00823395"/>
    <w:rsid w:val="00824515"/>
    <w:rsid w:val="00825165"/>
    <w:rsid w:val="0083022C"/>
    <w:rsid w:val="00835377"/>
    <w:rsid w:val="00836DF6"/>
    <w:rsid w:val="008413E1"/>
    <w:rsid w:val="0084691E"/>
    <w:rsid w:val="00847650"/>
    <w:rsid w:val="00853D95"/>
    <w:rsid w:val="00854197"/>
    <w:rsid w:val="00857461"/>
    <w:rsid w:val="0086293F"/>
    <w:rsid w:val="00862B6D"/>
    <w:rsid w:val="008635E6"/>
    <w:rsid w:val="0086577A"/>
    <w:rsid w:val="008661A4"/>
    <w:rsid w:val="008666BC"/>
    <w:rsid w:val="00866C59"/>
    <w:rsid w:val="00874CFC"/>
    <w:rsid w:val="00880615"/>
    <w:rsid w:val="008809FA"/>
    <w:rsid w:val="00886C3A"/>
    <w:rsid w:val="00890DC3"/>
    <w:rsid w:val="00897C54"/>
    <w:rsid w:val="008A1A2C"/>
    <w:rsid w:val="008B1964"/>
    <w:rsid w:val="008B27C1"/>
    <w:rsid w:val="008B7FFE"/>
    <w:rsid w:val="008C06D0"/>
    <w:rsid w:val="008C0FB2"/>
    <w:rsid w:val="008C6831"/>
    <w:rsid w:val="008D6AFE"/>
    <w:rsid w:val="008E0D87"/>
    <w:rsid w:val="008E2010"/>
    <w:rsid w:val="008F0F79"/>
    <w:rsid w:val="008F21BF"/>
    <w:rsid w:val="008F3480"/>
    <w:rsid w:val="008F569A"/>
    <w:rsid w:val="008F77E5"/>
    <w:rsid w:val="009012DC"/>
    <w:rsid w:val="00901EA9"/>
    <w:rsid w:val="0090510E"/>
    <w:rsid w:val="009108FE"/>
    <w:rsid w:val="00912CD2"/>
    <w:rsid w:val="00913674"/>
    <w:rsid w:val="009150E9"/>
    <w:rsid w:val="009159EA"/>
    <w:rsid w:val="009161EF"/>
    <w:rsid w:val="00920FB9"/>
    <w:rsid w:val="00922BC7"/>
    <w:rsid w:val="00924198"/>
    <w:rsid w:val="009244F0"/>
    <w:rsid w:val="0093332C"/>
    <w:rsid w:val="0093638C"/>
    <w:rsid w:val="009378B7"/>
    <w:rsid w:val="00937A4E"/>
    <w:rsid w:val="009452C9"/>
    <w:rsid w:val="00955661"/>
    <w:rsid w:val="0096351E"/>
    <w:rsid w:val="0096675D"/>
    <w:rsid w:val="009714F0"/>
    <w:rsid w:val="0097280C"/>
    <w:rsid w:val="00973F84"/>
    <w:rsid w:val="00973FA8"/>
    <w:rsid w:val="009759C1"/>
    <w:rsid w:val="0097633D"/>
    <w:rsid w:val="009803CA"/>
    <w:rsid w:val="00980AA0"/>
    <w:rsid w:val="00981A39"/>
    <w:rsid w:val="009824C3"/>
    <w:rsid w:val="00985084"/>
    <w:rsid w:val="009868EF"/>
    <w:rsid w:val="00987322"/>
    <w:rsid w:val="00992A29"/>
    <w:rsid w:val="009A01CF"/>
    <w:rsid w:val="009A09C6"/>
    <w:rsid w:val="009A31E8"/>
    <w:rsid w:val="009A323D"/>
    <w:rsid w:val="009A3AE5"/>
    <w:rsid w:val="009A3D56"/>
    <w:rsid w:val="009A4C09"/>
    <w:rsid w:val="009A641A"/>
    <w:rsid w:val="009B1061"/>
    <w:rsid w:val="009B2227"/>
    <w:rsid w:val="009B2C59"/>
    <w:rsid w:val="009B3E58"/>
    <w:rsid w:val="009B6F55"/>
    <w:rsid w:val="009B78FB"/>
    <w:rsid w:val="009C1CC4"/>
    <w:rsid w:val="009C2411"/>
    <w:rsid w:val="009C3321"/>
    <w:rsid w:val="009C46AB"/>
    <w:rsid w:val="009C6AD9"/>
    <w:rsid w:val="009C6B6D"/>
    <w:rsid w:val="009D0545"/>
    <w:rsid w:val="009D09C3"/>
    <w:rsid w:val="009D0C63"/>
    <w:rsid w:val="009D130A"/>
    <w:rsid w:val="009D4E6C"/>
    <w:rsid w:val="009D5355"/>
    <w:rsid w:val="009E3DF9"/>
    <w:rsid w:val="009E44EE"/>
    <w:rsid w:val="009E53A5"/>
    <w:rsid w:val="009E60D8"/>
    <w:rsid w:val="009E708F"/>
    <w:rsid w:val="009E73FC"/>
    <w:rsid w:val="009F5929"/>
    <w:rsid w:val="00A002F4"/>
    <w:rsid w:val="00A00AE0"/>
    <w:rsid w:val="00A01D1A"/>
    <w:rsid w:val="00A03521"/>
    <w:rsid w:val="00A047AF"/>
    <w:rsid w:val="00A0567A"/>
    <w:rsid w:val="00A10460"/>
    <w:rsid w:val="00A14E35"/>
    <w:rsid w:val="00A174D4"/>
    <w:rsid w:val="00A204BA"/>
    <w:rsid w:val="00A20570"/>
    <w:rsid w:val="00A223C9"/>
    <w:rsid w:val="00A230E1"/>
    <w:rsid w:val="00A24CD1"/>
    <w:rsid w:val="00A26C54"/>
    <w:rsid w:val="00A30FD7"/>
    <w:rsid w:val="00A34585"/>
    <w:rsid w:val="00A35D97"/>
    <w:rsid w:val="00A36C01"/>
    <w:rsid w:val="00A3705A"/>
    <w:rsid w:val="00A3796D"/>
    <w:rsid w:val="00A41565"/>
    <w:rsid w:val="00A42341"/>
    <w:rsid w:val="00A45420"/>
    <w:rsid w:val="00A52CEE"/>
    <w:rsid w:val="00A54313"/>
    <w:rsid w:val="00A5529E"/>
    <w:rsid w:val="00A57236"/>
    <w:rsid w:val="00A60AF8"/>
    <w:rsid w:val="00A63319"/>
    <w:rsid w:val="00A70DEF"/>
    <w:rsid w:val="00A80B20"/>
    <w:rsid w:val="00A816F8"/>
    <w:rsid w:val="00A83EFC"/>
    <w:rsid w:val="00A8604A"/>
    <w:rsid w:val="00A92C53"/>
    <w:rsid w:val="00A95983"/>
    <w:rsid w:val="00A97EF7"/>
    <w:rsid w:val="00AA19E7"/>
    <w:rsid w:val="00AA1C42"/>
    <w:rsid w:val="00AA614F"/>
    <w:rsid w:val="00AA7BD0"/>
    <w:rsid w:val="00AB2A81"/>
    <w:rsid w:val="00AB3FF0"/>
    <w:rsid w:val="00AB736F"/>
    <w:rsid w:val="00AC08EF"/>
    <w:rsid w:val="00AC0A30"/>
    <w:rsid w:val="00AC262E"/>
    <w:rsid w:val="00AC2F4D"/>
    <w:rsid w:val="00AC4449"/>
    <w:rsid w:val="00AC5F9F"/>
    <w:rsid w:val="00AC6DD9"/>
    <w:rsid w:val="00AC7682"/>
    <w:rsid w:val="00AC7905"/>
    <w:rsid w:val="00AD35D3"/>
    <w:rsid w:val="00AD4B81"/>
    <w:rsid w:val="00AD525D"/>
    <w:rsid w:val="00AE4E71"/>
    <w:rsid w:val="00AE6CDF"/>
    <w:rsid w:val="00AE6F3C"/>
    <w:rsid w:val="00AF2483"/>
    <w:rsid w:val="00AF6122"/>
    <w:rsid w:val="00B02ECA"/>
    <w:rsid w:val="00B0354D"/>
    <w:rsid w:val="00B046DF"/>
    <w:rsid w:val="00B0601B"/>
    <w:rsid w:val="00B102D9"/>
    <w:rsid w:val="00B106C6"/>
    <w:rsid w:val="00B10DF8"/>
    <w:rsid w:val="00B122C3"/>
    <w:rsid w:val="00B13C2F"/>
    <w:rsid w:val="00B17F94"/>
    <w:rsid w:val="00B20811"/>
    <w:rsid w:val="00B21753"/>
    <w:rsid w:val="00B22B47"/>
    <w:rsid w:val="00B246DD"/>
    <w:rsid w:val="00B26603"/>
    <w:rsid w:val="00B2660E"/>
    <w:rsid w:val="00B26C61"/>
    <w:rsid w:val="00B307A4"/>
    <w:rsid w:val="00B444A0"/>
    <w:rsid w:val="00B52F5E"/>
    <w:rsid w:val="00B53F84"/>
    <w:rsid w:val="00B652B1"/>
    <w:rsid w:val="00B661C1"/>
    <w:rsid w:val="00B70A0B"/>
    <w:rsid w:val="00B71380"/>
    <w:rsid w:val="00B72364"/>
    <w:rsid w:val="00B72A6B"/>
    <w:rsid w:val="00B72F73"/>
    <w:rsid w:val="00B7385F"/>
    <w:rsid w:val="00B8042F"/>
    <w:rsid w:val="00B827B7"/>
    <w:rsid w:val="00B84DAA"/>
    <w:rsid w:val="00B856D9"/>
    <w:rsid w:val="00B85F3E"/>
    <w:rsid w:val="00BA0DEA"/>
    <w:rsid w:val="00BA232A"/>
    <w:rsid w:val="00BA3868"/>
    <w:rsid w:val="00BB18C9"/>
    <w:rsid w:val="00BB2B10"/>
    <w:rsid w:val="00BB4888"/>
    <w:rsid w:val="00BB5E56"/>
    <w:rsid w:val="00BB6D6F"/>
    <w:rsid w:val="00BB7E0F"/>
    <w:rsid w:val="00BC09DE"/>
    <w:rsid w:val="00BC10AC"/>
    <w:rsid w:val="00BC28D0"/>
    <w:rsid w:val="00BC3C88"/>
    <w:rsid w:val="00BC3FB6"/>
    <w:rsid w:val="00BD0B73"/>
    <w:rsid w:val="00BD5320"/>
    <w:rsid w:val="00BD5C10"/>
    <w:rsid w:val="00BD747D"/>
    <w:rsid w:val="00BE1F0F"/>
    <w:rsid w:val="00BE70CC"/>
    <w:rsid w:val="00BF0CB5"/>
    <w:rsid w:val="00BF2F4A"/>
    <w:rsid w:val="00BF39AF"/>
    <w:rsid w:val="00BF4647"/>
    <w:rsid w:val="00BF790E"/>
    <w:rsid w:val="00C02572"/>
    <w:rsid w:val="00C063BE"/>
    <w:rsid w:val="00C07653"/>
    <w:rsid w:val="00C07DC3"/>
    <w:rsid w:val="00C11CF4"/>
    <w:rsid w:val="00C1261A"/>
    <w:rsid w:val="00C128B3"/>
    <w:rsid w:val="00C135FF"/>
    <w:rsid w:val="00C14171"/>
    <w:rsid w:val="00C14EBB"/>
    <w:rsid w:val="00C211BD"/>
    <w:rsid w:val="00C21D23"/>
    <w:rsid w:val="00C22E21"/>
    <w:rsid w:val="00C2400C"/>
    <w:rsid w:val="00C26770"/>
    <w:rsid w:val="00C26850"/>
    <w:rsid w:val="00C30219"/>
    <w:rsid w:val="00C30B5C"/>
    <w:rsid w:val="00C31829"/>
    <w:rsid w:val="00C32B5E"/>
    <w:rsid w:val="00C42D39"/>
    <w:rsid w:val="00C47A34"/>
    <w:rsid w:val="00C50CB3"/>
    <w:rsid w:val="00C5256C"/>
    <w:rsid w:val="00C5575E"/>
    <w:rsid w:val="00C56DF8"/>
    <w:rsid w:val="00C710A4"/>
    <w:rsid w:val="00C72A39"/>
    <w:rsid w:val="00C7583B"/>
    <w:rsid w:val="00C8027D"/>
    <w:rsid w:val="00C80AB7"/>
    <w:rsid w:val="00C81248"/>
    <w:rsid w:val="00C81BFA"/>
    <w:rsid w:val="00C81DFC"/>
    <w:rsid w:val="00C82A24"/>
    <w:rsid w:val="00C835A2"/>
    <w:rsid w:val="00C855E5"/>
    <w:rsid w:val="00C879AA"/>
    <w:rsid w:val="00C930F0"/>
    <w:rsid w:val="00C93DFC"/>
    <w:rsid w:val="00C9559E"/>
    <w:rsid w:val="00C962FF"/>
    <w:rsid w:val="00C9673A"/>
    <w:rsid w:val="00C97F25"/>
    <w:rsid w:val="00CA03AC"/>
    <w:rsid w:val="00CA3A39"/>
    <w:rsid w:val="00CA74A0"/>
    <w:rsid w:val="00CB0620"/>
    <w:rsid w:val="00CB2818"/>
    <w:rsid w:val="00CB6E37"/>
    <w:rsid w:val="00CB7109"/>
    <w:rsid w:val="00CC010E"/>
    <w:rsid w:val="00CC660D"/>
    <w:rsid w:val="00CC6B2D"/>
    <w:rsid w:val="00CD042A"/>
    <w:rsid w:val="00CD7A1B"/>
    <w:rsid w:val="00CE12A3"/>
    <w:rsid w:val="00CE3004"/>
    <w:rsid w:val="00CF0BCD"/>
    <w:rsid w:val="00CF2340"/>
    <w:rsid w:val="00CF537E"/>
    <w:rsid w:val="00CF6B67"/>
    <w:rsid w:val="00D01871"/>
    <w:rsid w:val="00D05B66"/>
    <w:rsid w:val="00D063FC"/>
    <w:rsid w:val="00D064DA"/>
    <w:rsid w:val="00D06C94"/>
    <w:rsid w:val="00D112AA"/>
    <w:rsid w:val="00D137D5"/>
    <w:rsid w:val="00D159C0"/>
    <w:rsid w:val="00D15C2F"/>
    <w:rsid w:val="00D20F12"/>
    <w:rsid w:val="00D23943"/>
    <w:rsid w:val="00D249F3"/>
    <w:rsid w:val="00D260D6"/>
    <w:rsid w:val="00D33821"/>
    <w:rsid w:val="00D36889"/>
    <w:rsid w:val="00D417DA"/>
    <w:rsid w:val="00D51005"/>
    <w:rsid w:val="00D528CD"/>
    <w:rsid w:val="00D55192"/>
    <w:rsid w:val="00D56212"/>
    <w:rsid w:val="00D603A8"/>
    <w:rsid w:val="00D63B9A"/>
    <w:rsid w:val="00D70675"/>
    <w:rsid w:val="00D708C9"/>
    <w:rsid w:val="00D70FC6"/>
    <w:rsid w:val="00D74152"/>
    <w:rsid w:val="00D75D1C"/>
    <w:rsid w:val="00D77881"/>
    <w:rsid w:val="00D801F2"/>
    <w:rsid w:val="00D82A8B"/>
    <w:rsid w:val="00D91515"/>
    <w:rsid w:val="00D91A45"/>
    <w:rsid w:val="00D93BAB"/>
    <w:rsid w:val="00D96440"/>
    <w:rsid w:val="00DB04B0"/>
    <w:rsid w:val="00DB110F"/>
    <w:rsid w:val="00DB209B"/>
    <w:rsid w:val="00DB551F"/>
    <w:rsid w:val="00DC29B6"/>
    <w:rsid w:val="00DC68F5"/>
    <w:rsid w:val="00DD066D"/>
    <w:rsid w:val="00DD17B4"/>
    <w:rsid w:val="00DD355E"/>
    <w:rsid w:val="00DE069E"/>
    <w:rsid w:val="00DE45C6"/>
    <w:rsid w:val="00DF2FC3"/>
    <w:rsid w:val="00DF461A"/>
    <w:rsid w:val="00DF49C5"/>
    <w:rsid w:val="00E018AF"/>
    <w:rsid w:val="00E01DF0"/>
    <w:rsid w:val="00E03C5E"/>
    <w:rsid w:val="00E0401A"/>
    <w:rsid w:val="00E136B4"/>
    <w:rsid w:val="00E13B43"/>
    <w:rsid w:val="00E20614"/>
    <w:rsid w:val="00E216B3"/>
    <w:rsid w:val="00E21D32"/>
    <w:rsid w:val="00E24BA3"/>
    <w:rsid w:val="00E24F6B"/>
    <w:rsid w:val="00E273E3"/>
    <w:rsid w:val="00E30C38"/>
    <w:rsid w:val="00E32B89"/>
    <w:rsid w:val="00E34809"/>
    <w:rsid w:val="00E35FB5"/>
    <w:rsid w:val="00E3690F"/>
    <w:rsid w:val="00E37301"/>
    <w:rsid w:val="00E40344"/>
    <w:rsid w:val="00E41348"/>
    <w:rsid w:val="00E44BA5"/>
    <w:rsid w:val="00E467EC"/>
    <w:rsid w:val="00E513D5"/>
    <w:rsid w:val="00E51553"/>
    <w:rsid w:val="00E51F9F"/>
    <w:rsid w:val="00E57ED1"/>
    <w:rsid w:val="00E61780"/>
    <w:rsid w:val="00E64D28"/>
    <w:rsid w:val="00E650AE"/>
    <w:rsid w:val="00E6792A"/>
    <w:rsid w:val="00E74600"/>
    <w:rsid w:val="00E8125B"/>
    <w:rsid w:val="00E87690"/>
    <w:rsid w:val="00E87DD1"/>
    <w:rsid w:val="00E9402D"/>
    <w:rsid w:val="00E95342"/>
    <w:rsid w:val="00EA2B40"/>
    <w:rsid w:val="00EA5601"/>
    <w:rsid w:val="00EA631F"/>
    <w:rsid w:val="00EA7BC5"/>
    <w:rsid w:val="00EB040C"/>
    <w:rsid w:val="00EB5AAA"/>
    <w:rsid w:val="00EB5C8E"/>
    <w:rsid w:val="00EB73B3"/>
    <w:rsid w:val="00EC01C8"/>
    <w:rsid w:val="00EC389E"/>
    <w:rsid w:val="00EC43A5"/>
    <w:rsid w:val="00EC59F7"/>
    <w:rsid w:val="00EC6192"/>
    <w:rsid w:val="00ED001A"/>
    <w:rsid w:val="00ED52B4"/>
    <w:rsid w:val="00ED5A07"/>
    <w:rsid w:val="00ED6BF9"/>
    <w:rsid w:val="00ED7F11"/>
    <w:rsid w:val="00EE05DB"/>
    <w:rsid w:val="00EE194C"/>
    <w:rsid w:val="00EE36BE"/>
    <w:rsid w:val="00EE46B0"/>
    <w:rsid w:val="00EE6E00"/>
    <w:rsid w:val="00EE71A1"/>
    <w:rsid w:val="00EE759C"/>
    <w:rsid w:val="00EF1FDD"/>
    <w:rsid w:val="00EF23E9"/>
    <w:rsid w:val="00EF2D22"/>
    <w:rsid w:val="00EF3412"/>
    <w:rsid w:val="00EF49F0"/>
    <w:rsid w:val="00EF5B91"/>
    <w:rsid w:val="00EF67AB"/>
    <w:rsid w:val="00EF7A32"/>
    <w:rsid w:val="00F00260"/>
    <w:rsid w:val="00F0262C"/>
    <w:rsid w:val="00F02E9D"/>
    <w:rsid w:val="00F03DF9"/>
    <w:rsid w:val="00F05C5A"/>
    <w:rsid w:val="00F122FD"/>
    <w:rsid w:val="00F14821"/>
    <w:rsid w:val="00F156C3"/>
    <w:rsid w:val="00F15E74"/>
    <w:rsid w:val="00F16485"/>
    <w:rsid w:val="00F16853"/>
    <w:rsid w:val="00F210F9"/>
    <w:rsid w:val="00F22E6D"/>
    <w:rsid w:val="00F232FC"/>
    <w:rsid w:val="00F27F07"/>
    <w:rsid w:val="00F35991"/>
    <w:rsid w:val="00F36AF2"/>
    <w:rsid w:val="00F50F55"/>
    <w:rsid w:val="00F51ACA"/>
    <w:rsid w:val="00F51AF3"/>
    <w:rsid w:val="00F541C4"/>
    <w:rsid w:val="00F547E5"/>
    <w:rsid w:val="00F61D8A"/>
    <w:rsid w:val="00F62BF8"/>
    <w:rsid w:val="00F6754D"/>
    <w:rsid w:val="00F80BCB"/>
    <w:rsid w:val="00F83951"/>
    <w:rsid w:val="00F84343"/>
    <w:rsid w:val="00F84638"/>
    <w:rsid w:val="00F85D8D"/>
    <w:rsid w:val="00F8613C"/>
    <w:rsid w:val="00F87E4E"/>
    <w:rsid w:val="00F90362"/>
    <w:rsid w:val="00F9058F"/>
    <w:rsid w:val="00F90D04"/>
    <w:rsid w:val="00F93126"/>
    <w:rsid w:val="00F9326A"/>
    <w:rsid w:val="00FA2BC9"/>
    <w:rsid w:val="00FA3463"/>
    <w:rsid w:val="00FA581C"/>
    <w:rsid w:val="00FB22C8"/>
    <w:rsid w:val="00FB450C"/>
    <w:rsid w:val="00FB7A3B"/>
    <w:rsid w:val="00FC1C58"/>
    <w:rsid w:val="00FC3319"/>
    <w:rsid w:val="00FC7FFE"/>
    <w:rsid w:val="00FD0A5B"/>
    <w:rsid w:val="00FD2585"/>
    <w:rsid w:val="00FE1C94"/>
    <w:rsid w:val="00FE74AF"/>
    <w:rsid w:val="00FF0865"/>
    <w:rsid w:val="00FF10F5"/>
    <w:rsid w:val="00FF168E"/>
    <w:rsid w:val="00FF26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9BB3EB4"/>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C59"/>
    <w:pPr>
      <w:widowControl w:val="0"/>
    </w:pPr>
    <w:rPr>
      <w:snapToGrid w:val="0"/>
      <w:kern w:val="28"/>
      <w:szCs w:val="20"/>
    </w:rPr>
  </w:style>
  <w:style w:type="paragraph" w:styleId="Heading1">
    <w:name w:val="heading 1"/>
    <w:basedOn w:val="Normal"/>
    <w:next w:val="ParaNum"/>
    <w:link w:val="Heading1Char"/>
    <w:qFormat/>
    <w:rsid w:val="00866C5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66C59"/>
    <w:pPr>
      <w:keepNext/>
      <w:numPr>
        <w:ilvl w:val="1"/>
        <w:numId w:val="2"/>
      </w:numPr>
      <w:spacing w:after="120"/>
      <w:outlineLvl w:val="1"/>
    </w:pPr>
    <w:rPr>
      <w:b/>
    </w:rPr>
  </w:style>
  <w:style w:type="paragraph" w:styleId="Heading3">
    <w:name w:val="heading 3"/>
    <w:basedOn w:val="Normal"/>
    <w:next w:val="ParaNum"/>
    <w:link w:val="Heading3Char"/>
    <w:qFormat/>
    <w:rsid w:val="00866C5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66C5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66C5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66C5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66C5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66C5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66C5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6C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6C59"/>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866C59"/>
    <w:pPr>
      <w:numPr>
        <w:numId w:val="1"/>
      </w:numPr>
      <w:tabs>
        <w:tab w:val="clear" w:pos="1080"/>
        <w:tab w:val="num" w:pos="1440"/>
      </w:tabs>
      <w:spacing w:after="120"/>
    </w:pPr>
  </w:style>
  <w:style w:type="paragraph" w:styleId="EndnoteText">
    <w:name w:val="endnote text"/>
    <w:basedOn w:val="Normal"/>
    <w:link w:val="EndnoteTextChar"/>
    <w:semiHidden/>
    <w:rsid w:val="00866C59"/>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866C59"/>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866C59"/>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66C59"/>
    <w:rPr>
      <w:rFonts w:ascii="Times New Roman" w:hAnsi="Times New Roman"/>
      <w:dstrike w:val="0"/>
      <w:color w:val="auto"/>
      <w:sz w:val="20"/>
      <w:vertAlign w:val="superscript"/>
    </w:rPr>
  </w:style>
  <w:style w:type="paragraph" w:styleId="TOC1">
    <w:name w:val="toc 1"/>
    <w:basedOn w:val="Normal"/>
    <w:next w:val="Normal"/>
    <w:rsid w:val="00866C5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6C59"/>
    <w:pPr>
      <w:tabs>
        <w:tab w:val="left" w:pos="720"/>
        <w:tab w:val="right" w:leader="dot" w:pos="9360"/>
      </w:tabs>
      <w:suppressAutoHyphens/>
      <w:ind w:left="720" w:right="720" w:hanging="360"/>
    </w:pPr>
    <w:rPr>
      <w:noProof/>
    </w:rPr>
  </w:style>
  <w:style w:type="paragraph" w:styleId="TOC3">
    <w:name w:val="toc 3"/>
    <w:basedOn w:val="Normal"/>
    <w:next w:val="Normal"/>
    <w:semiHidden/>
    <w:rsid w:val="00866C5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6C5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6C5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6C5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6C5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6C5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6C5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6C59"/>
    <w:pPr>
      <w:tabs>
        <w:tab w:val="right" w:pos="9360"/>
      </w:tabs>
      <w:suppressAutoHyphens/>
    </w:pPr>
  </w:style>
  <w:style w:type="character" w:customStyle="1" w:styleId="EquationCaption">
    <w:name w:val="_Equation Caption"/>
    <w:rsid w:val="00866C59"/>
  </w:style>
  <w:style w:type="paragraph" w:styleId="Header">
    <w:name w:val="header"/>
    <w:basedOn w:val="Normal"/>
    <w:link w:val="HeaderChar"/>
    <w:autoRedefine/>
    <w:rsid w:val="00866C59"/>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866C59"/>
    <w:pPr>
      <w:tabs>
        <w:tab w:val="center" w:pos="4320"/>
        <w:tab w:val="right" w:pos="8640"/>
      </w:tabs>
    </w:pPr>
  </w:style>
  <w:style w:type="character" w:customStyle="1" w:styleId="FooterChar">
    <w:name w:val="Footer Char"/>
    <w:link w:val="Footer"/>
    <w:uiPriority w:val="99"/>
    <w:locked/>
    <w:rsid w:val="00866C59"/>
    <w:rPr>
      <w:snapToGrid w:val="0"/>
      <w:kern w:val="28"/>
      <w:szCs w:val="20"/>
    </w:rPr>
  </w:style>
  <w:style w:type="character" w:styleId="PageNumber">
    <w:name w:val="page number"/>
    <w:basedOn w:val="DefaultParagraphFont"/>
    <w:rsid w:val="00866C59"/>
  </w:style>
  <w:style w:type="paragraph" w:styleId="BlockText">
    <w:name w:val="Block Text"/>
    <w:basedOn w:val="Normal"/>
    <w:rsid w:val="00866C59"/>
    <w:pPr>
      <w:spacing w:after="240"/>
      <w:ind w:left="1440" w:right="1440"/>
    </w:pPr>
  </w:style>
  <w:style w:type="paragraph" w:customStyle="1" w:styleId="Paratitle">
    <w:name w:val="Para title"/>
    <w:basedOn w:val="Normal"/>
    <w:rsid w:val="00866C59"/>
    <w:pPr>
      <w:tabs>
        <w:tab w:val="center" w:pos="9270"/>
      </w:tabs>
      <w:spacing w:after="240"/>
    </w:pPr>
    <w:rPr>
      <w:spacing w:val="-2"/>
    </w:rPr>
  </w:style>
  <w:style w:type="paragraph" w:customStyle="1" w:styleId="Bullet">
    <w:name w:val="Bullet"/>
    <w:basedOn w:val="Normal"/>
    <w:rsid w:val="00866C59"/>
    <w:pPr>
      <w:tabs>
        <w:tab w:val="left" w:pos="2160"/>
      </w:tabs>
      <w:spacing w:after="220"/>
      <w:ind w:left="2160" w:hanging="720"/>
    </w:pPr>
  </w:style>
  <w:style w:type="paragraph" w:customStyle="1" w:styleId="TableFormat">
    <w:name w:val="TableFormat"/>
    <w:basedOn w:val="Bullet"/>
    <w:rsid w:val="00866C59"/>
    <w:pPr>
      <w:tabs>
        <w:tab w:val="clear" w:pos="2160"/>
        <w:tab w:val="left" w:pos="5040"/>
      </w:tabs>
      <w:ind w:left="5040" w:hanging="3600"/>
    </w:pPr>
  </w:style>
  <w:style w:type="paragraph" w:customStyle="1" w:styleId="TOCTitle">
    <w:name w:val="TOC Title"/>
    <w:basedOn w:val="Normal"/>
    <w:rsid w:val="00866C5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6C59"/>
    <w:pPr>
      <w:jc w:val="center"/>
    </w:pPr>
    <w:rPr>
      <w:rFonts w:ascii="Times New Roman Bold" w:hAnsi="Times New Roman Bold"/>
      <w:b/>
      <w:bCs/>
      <w:caps/>
      <w:szCs w:val="22"/>
    </w:rPr>
  </w:style>
  <w:style w:type="character" w:styleId="Hyperlink">
    <w:name w:val="Hyperlink"/>
    <w:rsid w:val="00866C59"/>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character" w:styleId="UnresolvedMention">
    <w:name w:val="Unresolved Mention"/>
    <w:basedOn w:val="DefaultParagraphFont"/>
    <w:uiPriority w:val="99"/>
    <w:semiHidden/>
    <w:unhideWhenUsed/>
    <w:rsid w:val="002D5048"/>
    <w:rPr>
      <w:color w:val="605E5C"/>
      <w:shd w:val="clear" w:color="auto" w:fill="E1DFDD"/>
    </w:rPr>
  </w:style>
  <w:style w:type="paragraph" w:styleId="Revision">
    <w:name w:val="Revision"/>
    <w:hidden/>
    <w:uiPriority w:val="99"/>
    <w:semiHidden/>
    <w:rsid w:val="001543D2"/>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y.harvey@fcc.gov" TargetMode="External" /><Relationship Id="rId6" Type="http://schemas.openxmlformats.org/officeDocument/2006/relationships/hyperlink" Target="mailto:EB-SED-Respons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hphotovideo.com/c/product/1548097-REG/scosche_btfmpd3sr_sp_btfreq_pro_bluetooth_fm.html/spec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