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40F7B6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0FE4B6D" w14:textId="37E15FAD">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962B29">
        <w:rPr>
          <w:b/>
          <w:snapToGrid w:val="0"/>
          <w:kern w:val="28"/>
          <w:szCs w:val="22"/>
        </w:rPr>
        <w:t>1274</w:t>
      </w:r>
    </w:p>
    <w:p w:rsidR="00AD440B" w:rsidRPr="00CB6B4E" w:rsidP="00ED51D0" w14:paraId="16A07E19" w14:textId="5C8A2833">
      <w:pPr>
        <w:widowControl w:val="0"/>
        <w:jc w:val="right"/>
        <w:rPr>
          <w:b/>
          <w:snapToGrid w:val="0"/>
          <w:kern w:val="28"/>
          <w:szCs w:val="22"/>
        </w:rPr>
      </w:pPr>
      <w:r w:rsidRPr="00CB6B4E">
        <w:rPr>
          <w:b/>
          <w:snapToGrid w:val="0"/>
          <w:kern w:val="28"/>
          <w:szCs w:val="22"/>
        </w:rPr>
        <w:t xml:space="preserve">Released:  </w:t>
      </w:r>
      <w:r w:rsidR="007B6744">
        <w:rPr>
          <w:b/>
          <w:snapToGrid w:val="0"/>
          <w:kern w:val="28"/>
          <w:szCs w:val="22"/>
        </w:rPr>
        <w:t>December</w:t>
      </w:r>
      <w:r w:rsidR="00193234">
        <w:rPr>
          <w:b/>
          <w:snapToGrid w:val="0"/>
          <w:kern w:val="28"/>
          <w:szCs w:val="22"/>
        </w:rPr>
        <w:t xml:space="preserve"> </w:t>
      </w:r>
      <w:r w:rsidR="00E51C3D">
        <w:rPr>
          <w:b/>
          <w:snapToGrid w:val="0"/>
          <w:kern w:val="28"/>
          <w:szCs w:val="22"/>
        </w:rPr>
        <w:t>9</w:t>
      </w:r>
      <w:r w:rsidRPr="00CB6B4E">
        <w:rPr>
          <w:b/>
          <w:snapToGrid w:val="0"/>
          <w:kern w:val="28"/>
          <w:szCs w:val="22"/>
        </w:rPr>
        <w:t>, 202</w:t>
      </w:r>
      <w:r w:rsidRPr="00CB6B4E" w:rsidR="0089666B">
        <w:rPr>
          <w:b/>
          <w:snapToGrid w:val="0"/>
          <w:kern w:val="28"/>
          <w:szCs w:val="22"/>
        </w:rPr>
        <w:t>2</w:t>
      </w:r>
    </w:p>
    <w:p w:rsidR="00AD440B" w:rsidRPr="00CB6B4E" w:rsidP="00AD440B" w14:paraId="26125555" w14:textId="77777777">
      <w:pPr>
        <w:widowControl w:val="0"/>
        <w:spacing w:before="60"/>
        <w:jc w:val="center"/>
        <w:rPr>
          <w:b/>
          <w:snapToGrid w:val="0"/>
          <w:kern w:val="28"/>
          <w:szCs w:val="22"/>
        </w:rPr>
      </w:pPr>
    </w:p>
    <w:p w:rsidR="00ED6E8F" w:rsidP="00A47EA1" w14:paraId="286065F6"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3F6DED" w:rsidP="003F6DED" w14:paraId="15345E2B" w14:textId="77777777">
      <w:pPr>
        <w:jc w:val="center"/>
        <w:rPr>
          <w:b/>
          <w:bCs/>
          <w:caps/>
          <w:szCs w:val="22"/>
        </w:rPr>
      </w:pPr>
      <w:r w:rsidRPr="00CB6B4E">
        <w:rPr>
          <w:b/>
          <w:bCs/>
          <w:szCs w:val="22"/>
        </w:rPr>
        <w:t xml:space="preserve">THE </w:t>
      </w:r>
      <w:r>
        <w:rPr>
          <w:b/>
          <w:bCs/>
          <w:caps/>
          <w:szCs w:val="22"/>
        </w:rPr>
        <w:t xml:space="preserve">TRANSFER OF CONTROL OF </w:t>
      </w:r>
    </w:p>
    <w:p w:rsidR="001736D0" w:rsidP="003F6DED" w14:paraId="150D5C42" w14:textId="77777777">
      <w:pPr>
        <w:jc w:val="center"/>
        <w:rPr>
          <w:b/>
          <w:bCs/>
          <w:caps/>
          <w:szCs w:val="22"/>
        </w:rPr>
      </w:pPr>
      <w:r w:rsidRPr="003F6DED">
        <w:rPr>
          <w:b/>
          <w:bCs/>
          <w:caps/>
          <w:szCs w:val="22"/>
        </w:rPr>
        <w:t xml:space="preserve">Meriplex Telecom, LLC to Vitruvian Partners LLP </w:t>
      </w:r>
    </w:p>
    <w:p w:rsidR="00AD440B" w:rsidRPr="00AD440B" w:rsidP="00AD440B" w14:paraId="3C991224" w14:textId="77777777">
      <w:pPr>
        <w:jc w:val="center"/>
        <w:rPr>
          <w:b/>
          <w:bCs/>
          <w:szCs w:val="22"/>
        </w:rPr>
      </w:pPr>
    </w:p>
    <w:p w:rsidR="00AD440B" w:rsidP="0055505D" w14:paraId="5759B177" w14:textId="77777777">
      <w:pPr>
        <w:jc w:val="center"/>
        <w:rPr>
          <w:b/>
          <w:szCs w:val="22"/>
        </w:rPr>
      </w:pPr>
      <w:r>
        <w:rPr>
          <w:b/>
          <w:szCs w:val="22"/>
        </w:rPr>
        <w:t>NON-</w:t>
      </w:r>
      <w:r w:rsidRPr="00AD440B" w:rsidR="000C1460">
        <w:rPr>
          <w:b/>
          <w:szCs w:val="22"/>
        </w:rPr>
        <w:t>STREAMLINED PLEADING CYCLE ESTABLISHED</w:t>
      </w:r>
    </w:p>
    <w:p w:rsidR="00031C8B" w:rsidRPr="0055505D" w:rsidP="0055505D" w14:paraId="26F9F986" w14:textId="77777777">
      <w:pPr>
        <w:jc w:val="center"/>
        <w:rPr>
          <w:b/>
          <w:szCs w:val="22"/>
        </w:rPr>
      </w:pPr>
    </w:p>
    <w:p w:rsidR="00AD440B" w:rsidRPr="00AD440B" w:rsidP="00AD440B" w14:paraId="5EE6549B" w14:textId="77777777">
      <w:pPr>
        <w:widowControl w:val="0"/>
        <w:spacing w:before="60"/>
        <w:jc w:val="center"/>
        <w:rPr>
          <w:b/>
          <w:snapToGrid w:val="0"/>
          <w:kern w:val="28"/>
          <w:szCs w:val="22"/>
        </w:rPr>
      </w:pPr>
      <w:r w:rsidRPr="004F1C11">
        <w:rPr>
          <w:b/>
          <w:snapToGrid w:val="0"/>
          <w:kern w:val="28"/>
          <w:szCs w:val="22"/>
        </w:rPr>
        <w:t xml:space="preserve">WC Docket No. </w:t>
      </w:r>
      <w:r w:rsidRPr="00D07F8C" w:rsidR="00D07F8C">
        <w:rPr>
          <w:b/>
          <w:snapToGrid w:val="0"/>
          <w:kern w:val="28"/>
          <w:szCs w:val="22"/>
        </w:rPr>
        <w:t>22</w:t>
      </w:r>
      <w:r w:rsidRPr="00D07F8C">
        <w:rPr>
          <w:b/>
          <w:snapToGrid w:val="0"/>
          <w:kern w:val="28"/>
          <w:szCs w:val="22"/>
        </w:rPr>
        <w:t>-</w:t>
      </w:r>
      <w:r w:rsidRPr="00D07F8C" w:rsidR="00D07F8C">
        <w:rPr>
          <w:b/>
          <w:snapToGrid w:val="0"/>
          <w:kern w:val="28"/>
          <w:szCs w:val="22"/>
        </w:rPr>
        <w:t>400</w:t>
      </w:r>
    </w:p>
    <w:p w:rsidR="00E94F15" w:rsidP="00AD440B" w14:paraId="4548B0B9" w14:textId="77777777">
      <w:pPr>
        <w:rPr>
          <w:b/>
          <w:szCs w:val="22"/>
        </w:rPr>
      </w:pPr>
    </w:p>
    <w:p w:rsidR="00AD440B" w:rsidRPr="00AD440B" w:rsidP="00AD440B" w14:paraId="10B09110" w14:textId="7060D5D5">
      <w:pPr>
        <w:rPr>
          <w:b/>
          <w:szCs w:val="22"/>
        </w:rPr>
      </w:pPr>
      <w:r w:rsidRPr="00AD440B">
        <w:rPr>
          <w:b/>
          <w:szCs w:val="22"/>
        </w:rPr>
        <w:t xml:space="preserve">Comments Due:  </w:t>
      </w:r>
      <w:r w:rsidR="00250D93">
        <w:rPr>
          <w:b/>
          <w:szCs w:val="22"/>
        </w:rPr>
        <w:t>December</w:t>
      </w:r>
      <w:r w:rsidR="00C90D72">
        <w:rPr>
          <w:b/>
          <w:szCs w:val="22"/>
        </w:rPr>
        <w:t xml:space="preserve"> </w:t>
      </w:r>
      <w:r w:rsidR="00DA0E3C">
        <w:rPr>
          <w:b/>
          <w:szCs w:val="22"/>
        </w:rPr>
        <w:t>2</w:t>
      </w:r>
      <w:r w:rsidR="00E51C3D">
        <w:rPr>
          <w:b/>
          <w:szCs w:val="22"/>
        </w:rPr>
        <w:t>3</w:t>
      </w:r>
      <w:r w:rsidRPr="00AD440B">
        <w:rPr>
          <w:b/>
          <w:szCs w:val="22"/>
        </w:rPr>
        <w:t>, 202</w:t>
      </w:r>
      <w:r w:rsidR="0089666B">
        <w:rPr>
          <w:b/>
          <w:szCs w:val="22"/>
        </w:rPr>
        <w:t>2</w:t>
      </w:r>
    </w:p>
    <w:p w:rsidR="00AD440B" w:rsidRPr="00AD440B" w:rsidP="00AD440B" w14:paraId="60B9BCD8" w14:textId="74E5A647">
      <w:pPr>
        <w:rPr>
          <w:b/>
          <w:szCs w:val="22"/>
        </w:rPr>
      </w:pPr>
      <w:r w:rsidRPr="00AD440B">
        <w:rPr>
          <w:b/>
          <w:szCs w:val="22"/>
        </w:rPr>
        <w:t xml:space="preserve">Reply Comment Due:  </w:t>
      </w:r>
      <w:r w:rsidR="00250D93">
        <w:rPr>
          <w:b/>
          <w:szCs w:val="22"/>
        </w:rPr>
        <w:t>December</w:t>
      </w:r>
      <w:r w:rsidR="00193234">
        <w:rPr>
          <w:b/>
          <w:szCs w:val="22"/>
        </w:rPr>
        <w:t xml:space="preserve"> </w:t>
      </w:r>
      <w:r w:rsidR="00E51C3D">
        <w:rPr>
          <w:b/>
          <w:szCs w:val="22"/>
        </w:rPr>
        <w:t>30</w:t>
      </w:r>
      <w:r w:rsidRPr="00AD440B">
        <w:rPr>
          <w:b/>
          <w:szCs w:val="22"/>
        </w:rPr>
        <w:t>, 202</w:t>
      </w:r>
      <w:r w:rsidR="0089666B">
        <w:rPr>
          <w:b/>
          <w:szCs w:val="22"/>
        </w:rPr>
        <w:t>2</w:t>
      </w:r>
    </w:p>
    <w:p w:rsidR="00DD5700" w:rsidRPr="00AD440B" w:rsidP="00AD440B" w14:paraId="508EA6D9" w14:textId="77777777">
      <w:pPr>
        <w:rPr>
          <w:b/>
          <w:szCs w:val="22"/>
        </w:rPr>
      </w:pPr>
    </w:p>
    <w:p w:rsidR="00FD0D52" w:rsidP="008931FC" w14:paraId="0BA3C0C1"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w:t>
      </w:r>
      <w:bookmarkStart w:id="3" w:name="_Hlk73713070"/>
      <w:bookmarkStart w:id="4" w:name="_Hlk67917977"/>
      <w:r w:rsidRPr="003F6DED" w:rsidR="003F6DED">
        <w:rPr>
          <w:szCs w:val="22"/>
        </w:rPr>
        <w:t>Meriplex Telecom, LLC (</w:t>
      </w:r>
      <w:bookmarkStart w:id="5" w:name="_Hlk119657228"/>
      <w:r w:rsidRPr="003F6DED" w:rsidR="003F6DED">
        <w:rPr>
          <w:szCs w:val="22"/>
        </w:rPr>
        <w:t>Meriplex Telecom</w:t>
      </w:r>
      <w:bookmarkEnd w:id="5"/>
      <w:r w:rsidRPr="00114887" w:rsidR="00114887">
        <w:rPr>
          <w:szCs w:val="22"/>
        </w:rPr>
        <w:t>)</w:t>
      </w:r>
      <w:r w:rsidR="007B6744">
        <w:rPr>
          <w:szCs w:val="22"/>
        </w:rPr>
        <w:t xml:space="preserve">, </w:t>
      </w:r>
      <w:r w:rsidRPr="003F6DED" w:rsidR="003F6DED">
        <w:rPr>
          <w:szCs w:val="22"/>
        </w:rPr>
        <w:t>The Clairvest Group, Inc. (Clairvest</w:t>
      </w:r>
      <w:r w:rsidRPr="008931FC" w:rsidR="008931FC">
        <w:rPr>
          <w:szCs w:val="22"/>
        </w:rPr>
        <w:t>)</w:t>
      </w:r>
      <w:r w:rsidR="004E758D">
        <w:rPr>
          <w:szCs w:val="22"/>
        </w:rPr>
        <w:t>,</w:t>
      </w:r>
      <w:r w:rsidRPr="00F24782" w:rsidR="00F24782">
        <w:t xml:space="preserve"> </w:t>
      </w:r>
      <w:r w:rsidR="007B6744">
        <w:t xml:space="preserve">and </w:t>
      </w:r>
      <w:r w:rsidRPr="00F24782" w:rsidR="00F24782">
        <w:rPr>
          <w:szCs w:val="22"/>
        </w:rPr>
        <w:t>Vitruvian Partners LLP (Vitruvian</w:t>
      </w:r>
      <w:r w:rsidR="00F24782">
        <w:rPr>
          <w:szCs w:val="22"/>
        </w:rPr>
        <w:t>)</w:t>
      </w:r>
      <w:r w:rsidRPr="008931FC" w:rsidR="008931FC">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w:t>
      </w:r>
      <w:r w:rsidR="00C90989">
        <w:rPr>
          <w:szCs w:val="22"/>
        </w:rPr>
        <w:t xml:space="preserve"> </w:t>
      </w:r>
      <w:r w:rsidRPr="00CD711A">
        <w:rPr>
          <w:szCs w:val="22"/>
        </w:rPr>
        <w:t>Commission’s rules</w:t>
      </w:r>
      <w:r>
        <w:rPr>
          <w:szCs w:val="22"/>
        </w:rPr>
        <w:t>, requesting consent to transfer</w:t>
      </w:r>
      <w:r w:rsidR="00114887">
        <w:rPr>
          <w:szCs w:val="22"/>
        </w:rPr>
        <w:t xml:space="preserve"> </w:t>
      </w:r>
      <w:r w:rsidRPr="00A77A14" w:rsidR="00A77A14">
        <w:rPr>
          <w:szCs w:val="22"/>
        </w:rPr>
        <w:t>control of</w:t>
      </w:r>
      <w:r w:rsidR="00114887">
        <w:rPr>
          <w:szCs w:val="22"/>
        </w:rPr>
        <w:t xml:space="preserve"> </w:t>
      </w:r>
      <w:r w:rsidRPr="00F24782" w:rsidR="00F24782">
        <w:rPr>
          <w:szCs w:val="22"/>
        </w:rPr>
        <w:t>Meriplex Telecom</w:t>
      </w:r>
      <w:r w:rsidRPr="00F24782" w:rsidR="00F24782">
        <w:t xml:space="preserve"> </w:t>
      </w:r>
      <w:r w:rsidRPr="00F24782" w:rsidR="00F24782">
        <w:rPr>
          <w:szCs w:val="22"/>
        </w:rPr>
        <w:t>from Clairvest to Vitruvian</w:t>
      </w:r>
      <w:r w:rsidR="0055505D">
        <w:rPr>
          <w:szCs w:val="22"/>
        </w:rPr>
        <w:t>.</w:t>
      </w:r>
      <w:bookmarkEnd w:id="3"/>
      <w:bookmarkEnd w:id="4"/>
      <w:r>
        <w:rPr>
          <w:szCs w:val="22"/>
          <w:vertAlign w:val="superscript"/>
        </w:rPr>
        <w:footnoteReference w:id="3"/>
      </w:r>
    </w:p>
    <w:p w:rsidR="00061925" w:rsidP="0006324D" w14:paraId="24267180" w14:textId="77777777">
      <w:pPr>
        <w:autoSpaceDE w:val="0"/>
        <w:autoSpaceDN w:val="0"/>
        <w:adjustRightInd w:val="0"/>
        <w:spacing w:after="120"/>
        <w:ind w:firstLine="720"/>
        <w:rPr>
          <w:szCs w:val="22"/>
        </w:rPr>
      </w:pPr>
      <w:bookmarkStart w:id="6" w:name="_Hlk108012978"/>
      <w:r w:rsidRPr="00EF33A0">
        <w:rPr>
          <w:szCs w:val="22"/>
        </w:rPr>
        <w:t>Meriplex Telecom</w:t>
      </w:r>
      <w:r>
        <w:rPr>
          <w:szCs w:val="22"/>
        </w:rPr>
        <w:t xml:space="preserve">, a </w:t>
      </w:r>
      <w:r w:rsidRPr="00EF33A0">
        <w:rPr>
          <w:szCs w:val="22"/>
        </w:rPr>
        <w:t>Texas limited liability company</w:t>
      </w:r>
      <w:r>
        <w:rPr>
          <w:szCs w:val="22"/>
        </w:rPr>
        <w:t>,</w:t>
      </w:r>
      <w:r w:rsidR="007F40E3">
        <w:rPr>
          <w:szCs w:val="22"/>
        </w:rPr>
        <w:t xml:space="preserve"> </w:t>
      </w:r>
      <w:r w:rsidRPr="00EF33A0">
        <w:rPr>
          <w:szCs w:val="22"/>
        </w:rPr>
        <w:t xml:space="preserve">provides </w:t>
      </w:r>
      <w:r w:rsidR="000A27D7">
        <w:rPr>
          <w:szCs w:val="22"/>
        </w:rPr>
        <w:t>competitive t</w:t>
      </w:r>
      <w:r w:rsidRPr="00EF33A0">
        <w:rPr>
          <w:szCs w:val="22"/>
        </w:rPr>
        <w:t xml:space="preserve">elecommunications services </w:t>
      </w:r>
      <w:r w:rsidR="007F40E3">
        <w:rPr>
          <w:szCs w:val="22"/>
        </w:rPr>
        <w:t xml:space="preserve">in Texas </w:t>
      </w:r>
      <w:r w:rsidRPr="001C7F67" w:rsidR="00DD5700">
        <w:rPr>
          <w:szCs w:val="22"/>
        </w:rPr>
        <w:t>primarily</w:t>
      </w:r>
      <w:r w:rsidR="00DD5700">
        <w:rPr>
          <w:szCs w:val="22"/>
        </w:rPr>
        <w:t xml:space="preserve"> to </w:t>
      </w:r>
      <w:r w:rsidR="007F40E3">
        <w:rPr>
          <w:szCs w:val="22"/>
        </w:rPr>
        <w:t xml:space="preserve">the </w:t>
      </w:r>
      <w:r w:rsidR="000A27D7">
        <w:rPr>
          <w:szCs w:val="22"/>
        </w:rPr>
        <w:t xml:space="preserve">enterprise </w:t>
      </w:r>
      <w:r w:rsidRPr="00EF33A0">
        <w:rPr>
          <w:szCs w:val="22"/>
        </w:rPr>
        <w:t>customers</w:t>
      </w:r>
      <w:r w:rsidR="00DD5700">
        <w:rPr>
          <w:szCs w:val="22"/>
        </w:rPr>
        <w:t xml:space="preserve"> </w:t>
      </w:r>
      <w:r w:rsidR="007F40E3">
        <w:rPr>
          <w:szCs w:val="22"/>
        </w:rPr>
        <w:t xml:space="preserve">of </w:t>
      </w:r>
      <w:r w:rsidRPr="007F40E3" w:rsidR="007F40E3">
        <w:rPr>
          <w:szCs w:val="22"/>
        </w:rPr>
        <w:t>Meriplex Communication, Ltd. (MCom</w:t>
      </w:r>
      <w:r w:rsidR="007F40E3">
        <w:rPr>
          <w:szCs w:val="22"/>
        </w:rPr>
        <w:t>)</w:t>
      </w:r>
      <w:r w:rsidR="00C521F8">
        <w:rPr>
          <w:szCs w:val="22"/>
        </w:rPr>
        <w:t xml:space="preserve">, a Delaware corporation and </w:t>
      </w:r>
      <w:r w:rsidR="000A27D7">
        <w:rPr>
          <w:szCs w:val="22"/>
        </w:rPr>
        <w:t>provider of network management services</w:t>
      </w:r>
      <w:r w:rsidRPr="00EF33A0">
        <w:rPr>
          <w:szCs w:val="22"/>
        </w:rPr>
        <w:t>.</w:t>
      </w:r>
      <w:r>
        <w:rPr>
          <w:rStyle w:val="FootnoteReference"/>
          <w:szCs w:val="22"/>
        </w:rPr>
        <w:footnoteReference w:id="4"/>
      </w:r>
      <w:r w:rsidRPr="00EF33A0">
        <w:rPr>
          <w:szCs w:val="22"/>
        </w:rPr>
        <w:t xml:space="preserve"> </w:t>
      </w:r>
      <w:r w:rsidR="00C521F8">
        <w:rPr>
          <w:szCs w:val="22"/>
        </w:rPr>
        <w:t xml:space="preserve"> </w:t>
      </w:r>
      <w:r>
        <w:rPr>
          <w:szCs w:val="22"/>
        </w:rPr>
        <w:t xml:space="preserve">Meriplex Telecom </w:t>
      </w:r>
      <w:r w:rsidRPr="00061925">
        <w:rPr>
          <w:szCs w:val="22"/>
        </w:rPr>
        <w:t>is currently controlled by Clairvest</w:t>
      </w:r>
      <w:r w:rsidR="0030051C">
        <w:rPr>
          <w:szCs w:val="22"/>
        </w:rPr>
        <w:t xml:space="preserve">, </w:t>
      </w:r>
      <w:r w:rsidR="003D0F37">
        <w:rPr>
          <w:szCs w:val="22"/>
        </w:rPr>
        <w:t xml:space="preserve">owned by </w:t>
      </w:r>
      <w:r w:rsidR="0030051C">
        <w:rPr>
          <w:szCs w:val="22"/>
        </w:rPr>
        <w:t xml:space="preserve">Canadian </w:t>
      </w:r>
      <w:r w:rsidR="000A27D7">
        <w:rPr>
          <w:szCs w:val="22"/>
        </w:rPr>
        <w:t xml:space="preserve">investment </w:t>
      </w:r>
      <w:r w:rsidR="0030051C">
        <w:rPr>
          <w:szCs w:val="22"/>
        </w:rPr>
        <w:t>entities</w:t>
      </w:r>
      <w:r>
        <w:rPr>
          <w:rStyle w:val="FootnoteReference"/>
          <w:szCs w:val="22"/>
        </w:rPr>
        <w:footnoteReference w:id="5"/>
      </w:r>
      <w:r w:rsidRPr="00061925">
        <w:rPr>
          <w:szCs w:val="22"/>
        </w:rPr>
        <w:t xml:space="preserve"> and Mr. David Henley, a U.S. citizen.</w:t>
      </w:r>
      <w:r>
        <w:rPr>
          <w:szCs w:val="22"/>
          <w:vertAlign w:val="superscript"/>
        </w:rPr>
        <w:footnoteReference w:id="6"/>
      </w:r>
    </w:p>
    <w:p w:rsidR="005323AB" w:rsidRPr="00A67B1E" w:rsidP="00A67B1E" w14:paraId="71DCF69E" w14:textId="77777777">
      <w:pPr>
        <w:autoSpaceDE w:val="0"/>
        <w:autoSpaceDN w:val="0"/>
        <w:adjustRightInd w:val="0"/>
        <w:spacing w:after="120"/>
        <w:ind w:firstLine="720"/>
        <w:rPr>
          <w:i/>
          <w:iCs/>
          <w:szCs w:val="22"/>
        </w:rPr>
      </w:pPr>
      <w:r w:rsidRPr="005323AB">
        <w:rPr>
          <w:szCs w:val="22"/>
        </w:rPr>
        <w:t>Vitruvian</w:t>
      </w:r>
      <w:r>
        <w:rPr>
          <w:szCs w:val="22"/>
        </w:rPr>
        <w:t>,</w:t>
      </w:r>
      <w:r w:rsidRPr="005323AB">
        <w:rPr>
          <w:szCs w:val="22"/>
        </w:rPr>
        <w:t xml:space="preserve"> a United Kingdom</w:t>
      </w:r>
      <w:r w:rsidR="007F40E3">
        <w:rPr>
          <w:szCs w:val="22"/>
        </w:rPr>
        <w:t xml:space="preserve"> </w:t>
      </w:r>
      <w:r w:rsidR="001C7F67">
        <w:rPr>
          <w:szCs w:val="22"/>
        </w:rPr>
        <w:t xml:space="preserve">(English) </w:t>
      </w:r>
      <w:r w:rsidR="007F40E3">
        <w:rPr>
          <w:szCs w:val="22"/>
        </w:rPr>
        <w:t xml:space="preserve">private equity firm, </w:t>
      </w:r>
      <w:r w:rsidRPr="00AC4D49" w:rsidR="007F40E3">
        <w:rPr>
          <w:szCs w:val="22"/>
        </w:rPr>
        <w:t>will</w:t>
      </w:r>
      <w:r w:rsidRPr="00AC4D49" w:rsidR="0006324D">
        <w:rPr>
          <w:szCs w:val="22"/>
        </w:rPr>
        <w:t>, post-consummation,</w:t>
      </w:r>
      <w:r w:rsidRPr="00AC4D49" w:rsidR="007F40E3">
        <w:rPr>
          <w:szCs w:val="22"/>
        </w:rPr>
        <w:t xml:space="preserve"> indirectly control</w:t>
      </w:r>
      <w:r w:rsidRPr="00AC4D49" w:rsidR="0006324D">
        <w:rPr>
          <w:szCs w:val="22"/>
        </w:rPr>
        <w:t xml:space="preserve"> MCom.</w:t>
      </w:r>
      <w:r>
        <w:rPr>
          <w:rStyle w:val="FootnoteReference"/>
          <w:szCs w:val="22"/>
        </w:rPr>
        <w:footnoteReference w:id="7"/>
      </w:r>
      <w:r w:rsidRPr="00AC4D49" w:rsidR="0006324D">
        <w:rPr>
          <w:szCs w:val="22"/>
        </w:rPr>
        <w:t xml:space="preserve">  According to the Applicants, MCom will be indirectly </w:t>
      </w:r>
      <w:r w:rsidR="00AC4D49">
        <w:rPr>
          <w:szCs w:val="22"/>
        </w:rPr>
        <w:t xml:space="preserve">wholly-owned </w:t>
      </w:r>
      <w:r w:rsidRPr="00AC4D49" w:rsidR="0006324D">
        <w:rPr>
          <w:szCs w:val="22"/>
        </w:rPr>
        <w:t>by Aggie Topco Inc.</w:t>
      </w:r>
      <w:r w:rsidR="00265C03">
        <w:rPr>
          <w:szCs w:val="22"/>
        </w:rPr>
        <w:t xml:space="preserve"> (Aggie Topco)</w:t>
      </w:r>
      <w:r w:rsidRPr="00AC4D49" w:rsidR="0006324D">
        <w:rPr>
          <w:szCs w:val="22"/>
        </w:rPr>
        <w:t>, a Delaware holding corporation,</w:t>
      </w:r>
      <w:r>
        <w:rPr>
          <w:rStyle w:val="FootnoteReference"/>
          <w:szCs w:val="22"/>
        </w:rPr>
        <w:footnoteReference w:id="8"/>
      </w:r>
      <w:r w:rsidRPr="0006324D" w:rsidR="0006324D">
        <w:rPr>
          <w:szCs w:val="22"/>
        </w:rPr>
        <w:t xml:space="preserve"> </w:t>
      </w:r>
      <w:r w:rsidR="00AC4D49">
        <w:rPr>
          <w:szCs w:val="22"/>
        </w:rPr>
        <w:t>which in turn, will be owned (</w:t>
      </w:r>
      <w:r w:rsidR="002B7D95">
        <w:rPr>
          <w:szCs w:val="22"/>
        </w:rPr>
        <w:t>54.96%)</w:t>
      </w:r>
      <w:r w:rsidR="00AC4D49">
        <w:rPr>
          <w:szCs w:val="22"/>
        </w:rPr>
        <w:t xml:space="preserve"> by </w:t>
      </w:r>
      <w:r w:rsidRPr="00AC4D49" w:rsidR="00AC4D49">
        <w:rPr>
          <w:szCs w:val="22"/>
        </w:rPr>
        <w:t>Maggie Lux S.C. Sp (Maggi</w:t>
      </w:r>
      <w:r w:rsidR="00AC4D49">
        <w:rPr>
          <w:szCs w:val="22"/>
        </w:rPr>
        <w:t>e</w:t>
      </w:r>
      <w:r w:rsidR="00106402">
        <w:rPr>
          <w:szCs w:val="22"/>
        </w:rPr>
        <w:t>)</w:t>
      </w:r>
      <w:r w:rsidR="00AC4D49">
        <w:rPr>
          <w:szCs w:val="22"/>
        </w:rPr>
        <w:t>, a Luxembourg entity.</w:t>
      </w:r>
      <w:r>
        <w:rPr>
          <w:rStyle w:val="FootnoteReference"/>
          <w:szCs w:val="22"/>
        </w:rPr>
        <w:footnoteReference w:id="9"/>
      </w:r>
      <w:r w:rsidR="0030051C">
        <w:rPr>
          <w:szCs w:val="22"/>
        </w:rPr>
        <w:t xml:space="preserve">  Maggie is indirectly owned (98%) by </w:t>
      </w:r>
      <w:r w:rsidR="00E27074">
        <w:rPr>
          <w:szCs w:val="22"/>
        </w:rPr>
        <w:t xml:space="preserve">VIP IV Nominees Limited (VIP IV Nominees), a United Kingdom </w:t>
      </w:r>
      <w:r w:rsidR="003F1610">
        <w:rPr>
          <w:szCs w:val="22"/>
        </w:rPr>
        <w:t xml:space="preserve">(English) </w:t>
      </w:r>
      <w:r w:rsidR="00E27074">
        <w:rPr>
          <w:szCs w:val="22"/>
        </w:rPr>
        <w:t>entity,</w:t>
      </w:r>
      <w:r>
        <w:rPr>
          <w:rStyle w:val="FootnoteReference"/>
          <w:szCs w:val="22"/>
        </w:rPr>
        <w:footnoteReference w:id="10"/>
      </w:r>
      <w:r w:rsidR="00E27074">
        <w:rPr>
          <w:szCs w:val="22"/>
        </w:rPr>
        <w:t xml:space="preserve"> which, in turn</w:t>
      </w:r>
      <w:r w:rsidR="00AF4302">
        <w:rPr>
          <w:szCs w:val="22"/>
        </w:rPr>
        <w:t xml:space="preserve">, is owned (93.9%) by VIP IV LP, a United Kingdom </w:t>
      </w:r>
      <w:r w:rsidR="00F87117">
        <w:rPr>
          <w:szCs w:val="22"/>
        </w:rPr>
        <w:t xml:space="preserve">(English) </w:t>
      </w:r>
      <w:r w:rsidR="00AF4302">
        <w:rPr>
          <w:szCs w:val="22"/>
        </w:rPr>
        <w:t>private investment fund</w:t>
      </w:r>
      <w:r w:rsidR="0003262C">
        <w:rPr>
          <w:szCs w:val="22"/>
        </w:rPr>
        <w:t xml:space="preserve"> </w:t>
      </w:r>
      <w:r w:rsidR="00AF4302">
        <w:rPr>
          <w:szCs w:val="22"/>
        </w:rPr>
        <w:t>managed by Vitruvian.</w:t>
      </w:r>
      <w:r>
        <w:rPr>
          <w:rStyle w:val="FootnoteReference"/>
          <w:szCs w:val="22"/>
        </w:rPr>
        <w:footnoteReference w:id="11"/>
      </w:r>
      <w:r w:rsidR="0003262C">
        <w:rPr>
          <w:szCs w:val="22"/>
        </w:rPr>
        <w:t xml:space="preserve">  </w:t>
      </w:r>
      <w:r w:rsidR="00E5583B">
        <w:rPr>
          <w:szCs w:val="22"/>
        </w:rPr>
        <w:t>Applicants state that n</w:t>
      </w:r>
      <w:r w:rsidRPr="00E5583B" w:rsidR="00E5583B">
        <w:rPr>
          <w:szCs w:val="22"/>
        </w:rPr>
        <w:t>either Vitruvian nor its affiliates provide telecommunications services.</w:t>
      </w:r>
      <w:r>
        <w:rPr>
          <w:rStyle w:val="FootnoteReference"/>
          <w:szCs w:val="22"/>
        </w:rPr>
        <w:footnoteReference w:id="12"/>
      </w:r>
    </w:p>
    <w:bookmarkEnd w:id="6"/>
    <w:p w:rsidR="003D0F37" w:rsidP="00951941" w14:paraId="44EDF14D" w14:textId="77777777">
      <w:pPr>
        <w:autoSpaceDE w:val="0"/>
        <w:autoSpaceDN w:val="0"/>
        <w:adjustRightInd w:val="0"/>
        <w:spacing w:after="120"/>
        <w:ind w:firstLine="720"/>
        <w:rPr>
          <w:szCs w:val="22"/>
        </w:rPr>
      </w:pPr>
      <w:r w:rsidRPr="006034FD">
        <w:rPr>
          <w:szCs w:val="22"/>
        </w:rPr>
        <w:t>Pursuant to terms of the proposed transaction</w:t>
      </w:r>
      <w:r>
        <w:rPr>
          <w:szCs w:val="22"/>
        </w:rPr>
        <w:t xml:space="preserve">, </w:t>
      </w:r>
      <w:r w:rsidRPr="00951941" w:rsidR="00951941">
        <w:rPr>
          <w:szCs w:val="22"/>
        </w:rPr>
        <w:t xml:space="preserve">Meriplex </w:t>
      </w:r>
      <w:r w:rsidR="001C7F67">
        <w:rPr>
          <w:szCs w:val="22"/>
        </w:rPr>
        <w:t xml:space="preserve">Telecom </w:t>
      </w:r>
      <w:r w:rsidRPr="00951941" w:rsidR="00951941">
        <w:rPr>
          <w:szCs w:val="22"/>
        </w:rPr>
        <w:t xml:space="preserve">will become a </w:t>
      </w:r>
      <w:r w:rsidR="001C7F67">
        <w:rPr>
          <w:szCs w:val="22"/>
        </w:rPr>
        <w:t xml:space="preserve">directly </w:t>
      </w:r>
      <w:r w:rsidRPr="00951941" w:rsidR="00951941">
        <w:rPr>
          <w:szCs w:val="22"/>
        </w:rPr>
        <w:t>wholly-owned subsidiary of MCom, which in turn is controlled by Vitruvian</w:t>
      </w:r>
      <w:r w:rsidRPr="006E45F1" w:rsidR="006E45F1">
        <w:rPr>
          <w:szCs w:val="22"/>
        </w:rPr>
        <w:t>.</w:t>
      </w:r>
      <w:r>
        <w:rPr>
          <w:rStyle w:val="FootnoteReference"/>
          <w:szCs w:val="22"/>
        </w:rPr>
        <w:footnoteReference w:id="13"/>
      </w:r>
      <w:r w:rsidR="006E45F1">
        <w:rPr>
          <w:szCs w:val="22"/>
        </w:rPr>
        <w:t xml:space="preserve"> </w:t>
      </w:r>
      <w:r w:rsidR="00951941">
        <w:rPr>
          <w:szCs w:val="22"/>
        </w:rPr>
        <w:t xml:space="preserve"> </w:t>
      </w:r>
    </w:p>
    <w:p w:rsidR="00C92510" w:rsidP="00951941" w14:paraId="774EF202" w14:textId="77777777">
      <w:pPr>
        <w:autoSpaceDE w:val="0"/>
        <w:autoSpaceDN w:val="0"/>
        <w:adjustRightInd w:val="0"/>
        <w:spacing w:after="120"/>
        <w:ind w:firstLine="720"/>
        <w:rPr>
          <w:bCs/>
          <w:szCs w:val="22"/>
        </w:rPr>
      </w:pPr>
      <w:r w:rsidRPr="00AD440B">
        <w:rPr>
          <w:bCs/>
          <w:szCs w:val="22"/>
        </w:rPr>
        <w:t xml:space="preserve">Applicants assert that a grant of the </w:t>
      </w:r>
      <w:r w:rsidR="003D0F37">
        <w:rPr>
          <w:bCs/>
          <w:szCs w:val="22"/>
        </w:rPr>
        <w:t>A</w:t>
      </w:r>
      <w:r w:rsidRPr="00AD440B">
        <w:rPr>
          <w:bCs/>
          <w:szCs w:val="22"/>
        </w:rPr>
        <w:t>pplication would serve the public interest, convenience, and necessity.</w:t>
      </w:r>
      <w:r>
        <w:rPr>
          <w:rStyle w:val="FootnoteReference"/>
          <w:bCs/>
          <w:szCs w:val="22"/>
        </w:rPr>
        <w:footnoteReference w:id="14"/>
      </w:r>
      <w:r w:rsidRPr="00AD440B">
        <w:rPr>
          <w:bCs/>
          <w:szCs w:val="22"/>
        </w:rPr>
        <w:t xml:space="preserve"> </w:t>
      </w:r>
      <w:r w:rsidR="00293D83">
        <w:rPr>
          <w:bCs/>
          <w:szCs w:val="22"/>
        </w:rPr>
        <w:t xml:space="preserve"> </w:t>
      </w:r>
    </w:p>
    <w:p w:rsidR="00031C8B" w:rsidP="00951941" w14:paraId="2AA72B2B" w14:textId="77777777">
      <w:pPr>
        <w:autoSpaceDE w:val="0"/>
        <w:autoSpaceDN w:val="0"/>
        <w:adjustRightInd w:val="0"/>
        <w:spacing w:after="120"/>
        <w:ind w:firstLine="720"/>
        <w:rPr>
          <w:bCs/>
          <w:szCs w:val="22"/>
        </w:rPr>
      </w:pPr>
      <w:r w:rsidRPr="00293D83">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15"/>
      </w:r>
      <w:r w:rsidRPr="00AD440B" w:rsidR="000C1460">
        <w:rPr>
          <w:bCs/>
          <w:szCs w:val="22"/>
        </w:rPr>
        <w:t xml:space="preserve"> </w:t>
      </w:r>
    </w:p>
    <w:p w:rsidR="00F446FE" w:rsidRPr="0044009A" w:rsidP="00951941" w14:paraId="6A2FCE96" w14:textId="77777777">
      <w:pPr>
        <w:autoSpaceDE w:val="0"/>
        <w:autoSpaceDN w:val="0"/>
        <w:adjustRightInd w:val="0"/>
        <w:spacing w:after="120"/>
        <w:ind w:firstLine="720"/>
        <w:rPr>
          <w:szCs w:val="22"/>
        </w:rPr>
      </w:pPr>
      <w:r w:rsidRPr="00F446FE">
        <w:rPr>
          <w:bCs/>
          <w:szCs w:val="22"/>
          <w:u w:val="single"/>
        </w:rPr>
        <w:t>Referral to Executive Branch Agencies</w:t>
      </w:r>
      <w:r w:rsidRPr="00F446FE">
        <w:rPr>
          <w:bCs/>
          <w:szCs w:val="22"/>
        </w:rPr>
        <w:t xml:space="preserve">. Through this Public Notice, pursuant to Commission practice, the Application and the associated international application, </w:t>
      </w:r>
      <w:r w:rsidRPr="00120A16" w:rsidR="00120A16">
        <w:rPr>
          <w:bCs/>
          <w:szCs w:val="22"/>
        </w:rPr>
        <w:t xml:space="preserve">ITC-T/C-20221117-00135, </w:t>
      </w:r>
      <w:r w:rsidRPr="00F446FE">
        <w:rPr>
          <w:bCs/>
          <w:szCs w:val="22"/>
        </w:rPr>
        <w:t>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6"/>
      </w:r>
    </w:p>
    <w:p w:rsidR="0044009A" w:rsidP="00E94F15" w14:paraId="471532A6"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B54359" w:rsidP="00B54359" w14:paraId="1344E233" w14:textId="77777777">
      <w:pPr>
        <w:ind w:left="720"/>
        <w:rPr>
          <w:szCs w:val="22"/>
        </w:rPr>
      </w:pPr>
      <w:r w:rsidRPr="00951941">
        <w:rPr>
          <w:szCs w:val="22"/>
        </w:rPr>
        <w:t>Meriplex Telecom, L</w:t>
      </w:r>
      <w:r>
        <w:rPr>
          <w:szCs w:val="22"/>
        </w:rPr>
        <w:t>LC</w:t>
      </w:r>
      <w:r w:rsidRPr="00951941">
        <w:rPr>
          <w:szCs w:val="22"/>
        </w:rPr>
        <w:t xml:space="preserve"> </w:t>
      </w:r>
      <w:r>
        <w:rPr>
          <w:szCs w:val="22"/>
        </w:rPr>
        <w:t>t</w:t>
      </w:r>
      <w:r w:rsidRPr="00951941">
        <w:rPr>
          <w:szCs w:val="22"/>
        </w:rPr>
        <w:t>o Vitruvian Partners L</w:t>
      </w:r>
      <w:r>
        <w:rPr>
          <w:szCs w:val="22"/>
        </w:rPr>
        <w:t>LP</w:t>
      </w:r>
      <w:r w:rsidR="00E94F15">
        <w:rPr>
          <w:szCs w:val="22"/>
        </w:rPr>
        <w:t>,</w:t>
      </w:r>
      <w:r w:rsidR="00366BC6">
        <w:rPr>
          <w:szCs w:val="22"/>
        </w:rPr>
        <w:t xml:space="preserve"> </w:t>
      </w:r>
      <w:r w:rsidRPr="0011590C" w:rsidR="000C1460">
        <w:rPr>
          <w:szCs w:val="22"/>
        </w:rPr>
        <w:t xml:space="preserve">WC Docket No. </w:t>
      </w:r>
      <w:r w:rsidRPr="00D07F8C" w:rsidR="000C1460">
        <w:rPr>
          <w:szCs w:val="22"/>
        </w:rPr>
        <w:t>2</w:t>
      </w:r>
      <w:r w:rsidRPr="00D07F8C" w:rsidR="00554D90">
        <w:rPr>
          <w:szCs w:val="22"/>
        </w:rPr>
        <w:t>2</w:t>
      </w:r>
      <w:r w:rsidRPr="00D07F8C" w:rsidR="000C1460">
        <w:rPr>
          <w:szCs w:val="22"/>
        </w:rPr>
        <w:t>-</w:t>
      </w:r>
      <w:r w:rsidR="00D07F8C">
        <w:rPr>
          <w:szCs w:val="22"/>
        </w:rPr>
        <w:t>400</w:t>
      </w:r>
      <w:r w:rsidRPr="0011590C" w:rsidR="000C1460">
        <w:rPr>
          <w:szCs w:val="22"/>
        </w:rPr>
        <w:t xml:space="preserve"> </w:t>
      </w:r>
    </w:p>
    <w:p w:rsidR="00AD440B" w:rsidRPr="00AD440B" w:rsidP="00B54359" w14:paraId="54A6747A" w14:textId="77777777">
      <w:pPr>
        <w:ind w:left="720"/>
        <w:rPr>
          <w:szCs w:val="22"/>
        </w:rPr>
      </w:pPr>
      <w:r w:rsidRPr="0011590C">
        <w:rPr>
          <w:szCs w:val="22"/>
        </w:rPr>
        <w:t xml:space="preserve">(filed </w:t>
      </w:r>
      <w:r w:rsidR="006E45F1">
        <w:rPr>
          <w:szCs w:val="22"/>
        </w:rPr>
        <w:t>Nov</w:t>
      </w:r>
      <w:r w:rsidR="00CF046F">
        <w:rPr>
          <w:szCs w:val="22"/>
        </w:rPr>
        <w:t>.</w:t>
      </w:r>
      <w:r w:rsidR="006E5548">
        <w:rPr>
          <w:szCs w:val="22"/>
        </w:rPr>
        <w:t xml:space="preserve"> </w:t>
      </w:r>
      <w:r w:rsidR="006E45F1">
        <w:rPr>
          <w:szCs w:val="22"/>
        </w:rPr>
        <w:t>1</w:t>
      </w:r>
      <w:r w:rsidR="00951941">
        <w:rPr>
          <w:szCs w:val="22"/>
        </w:rPr>
        <w:t>7</w:t>
      </w:r>
      <w:r w:rsidRPr="0011590C">
        <w:rPr>
          <w:szCs w:val="22"/>
        </w:rPr>
        <w:t>, 202</w:t>
      </w:r>
      <w:r w:rsidRPr="0011590C" w:rsidR="00B07676">
        <w:rPr>
          <w:szCs w:val="22"/>
        </w:rPr>
        <w:t>2</w:t>
      </w:r>
      <w:r w:rsidRPr="0011590C">
        <w:rPr>
          <w:szCs w:val="22"/>
        </w:rPr>
        <w:t>).</w:t>
      </w:r>
    </w:p>
    <w:p w:rsidR="00AD440B" w:rsidRPr="00AD440B" w:rsidP="00AD440B" w14:paraId="10CF3DC5" w14:textId="77777777">
      <w:pPr>
        <w:widowControl w:val="0"/>
        <w:rPr>
          <w:snapToGrid w:val="0"/>
          <w:kern w:val="28"/>
          <w:szCs w:val="22"/>
        </w:rPr>
      </w:pPr>
    </w:p>
    <w:p w:rsidR="00B05B23" w:rsidRPr="00B05B23" w:rsidP="00B05B23" w14:paraId="7981730C" w14:textId="77777777">
      <w:pPr>
        <w:autoSpaceDE w:val="0"/>
        <w:autoSpaceDN w:val="0"/>
        <w:adjustRightInd w:val="0"/>
        <w:rPr>
          <w:szCs w:val="22"/>
        </w:rPr>
      </w:pPr>
      <w:r w:rsidRPr="00B05B23">
        <w:rPr>
          <w:b/>
          <w:szCs w:val="22"/>
          <w:u w:val="single"/>
        </w:rPr>
        <w:t>GENERAL INFORMATION</w:t>
      </w:r>
    </w:p>
    <w:p w:rsidR="00B05B23" w:rsidRPr="00B05B23" w:rsidP="00B05B23" w14:paraId="7627944F" w14:textId="77777777">
      <w:pPr>
        <w:autoSpaceDE w:val="0"/>
        <w:autoSpaceDN w:val="0"/>
        <w:adjustRightInd w:val="0"/>
        <w:rPr>
          <w:szCs w:val="22"/>
        </w:rPr>
      </w:pPr>
    </w:p>
    <w:p w:rsidR="00B05B23" w:rsidRPr="00B05B23" w:rsidP="00B05B23" w14:paraId="67718BC4" w14:textId="77777777">
      <w:pPr>
        <w:autoSpaceDE w:val="0"/>
        <w:autoSpaceDN w:val="0"/>
        <w:adjustRightInd w:val="0"/>
        <w:spacing w:after="120"/>
        <w:ind w:firstLine="720"/>
        <w:rPr>
          <w:szCs w:val="22"/>
        </w:rPr>
      </w:pPr>
      <w:r w:rsidRPr="00B05B23">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05B23" w:rsidRPr="00B05B23" w:rsidP="00B05B23" w14:paraId="0A0BBBCB" w14:textId="057EB254">
      <w:pPr>
        <w:autoSpaceDE w:val="0"/>
        <w:autoSpaceDN w:val="0"/>
        <w:adjustRightInd w:val="0"/>
        <w:spacing w:after="120"/>
        <w:ind w:firstLine="720"/>
        <w:rPr>
          <w:szCs w:val="22"/>
        </w:rPr>
      </w:pPr>
      <w:r w:rsidRPr="00B05B23">
        <w:rPr>
          <w:szCs w:val="22"/>
        </w:rPr>
        <w:t xml:space="preserve">Interested parties may file comments </w:t>
      </w:r>
      <w:r w:rsidRPr="00B05B23">
        <w:rPr>
          <w:b/>
          <w:szCs w:val="22"/>
        </w:rPr>
        <w:t xml:space="preserve">on or before December </w:t>
      </w:r>
      <w:r w:rsidR="00DA0E3C">
        <w:rPr>
          <w:b/>
          <w:szCs w:val="22"/>
        </w:rPr>
        <w:t>2</w:t>
      </w:r>
      <w:r w:rsidR="00E51C3D">
        <w:rPr>
          <w:b/>
          <w:szCs w:val="22"/>
        </w:rPr>
        <w:t>3</w:t>
      </w:r>
      <w:r w:rsidRPr="00B05B23">
        <w:rPr>
          <w:b/>
          <w:szCs w:val="22"/>
        </w:rPr>
        <w:t>, 2022</w:t>
      </w:r>
      <w:r w:rsidRPr="00B05B23">
        <w:rPr>
          <w:szCs w:val="22"/>
        </w:rPr>
        <w:t xml:space="preserve">, and reply comments </w:t>
      </w:r>
      <w:r w:rsidRPr="00B05B23">
        <w:rPr>
          <w:b/>
          <w:szCs w:val="22"/>
        </w:rPr>
        <w:t xml:space="preserve">on or before December </w:t>
      </w:r>
      <w:r w:rsidR="00E51C3D">
        <w:rPr>
          <w:b/>
          <w:szCs w:val="22"/>
        </w:rPr>
        <w:t>30</w:t>
      </w:r>
      <w:r w:rsidRPr="00B05B23">
        <w:rPr>
          <w:b/>
          <w:szCs w:val="22"/>
        </w:rPr>
        <w:t>, 2022</w:t>
      </w:r>
      <w:r w:rsidRPr="00B05B23">
        <w:rPr>
          <w:szCs w:val="22"/>
        </w:rPr>
        <w:t>.  Comments may be filed using the Commission’s Electronic Comment Filing System (ECFS) or by paper.  </w:t>
      </w:r>
    </w:p>
    <w:p w:rsidR="00B05B23" w:rsidRPr="00B05B23" w:rsidP="00B05B23" w14:paraId="7F300933" w14:textId="77777777">
      <w:pPr>
        <w:widowControl w:val="0"/>
        <w:numPr>
          <w:ilvl w:val="0"/>
          <w:numId w:val="20"/>
        </w:numPr>
        <w:autoSpaceDE w:val="0"/>
        <w:autoSpaceDN w:val="0"/>
        <w:adjustRightInd w:val="0"/>
        <w:spacing w:after="120"/>
        <w:rPr>
          <w:szCs w:val="22"/>
        </w:rPr>
      </w:pPr>
      <w:r w:rsidRPr="00B05B23">
        <w:rPr>
          <w:szCs w:val="22"/>
        </w:rPr>
        <w:t>Electronic Filers:  Comments may be filed electronically by accessing ECFS at </w:t>
      </w:r>
      <w:hyperlink r:id="rId8" w:history="1">
        <w:r w:rsidRPr="00B05B23">
          <w:rPr>
            <w:color w:val="0000FF"/>
            <w:szCs w:val="22"/>
            <w:u w:val="single"/>
          </w:rPr>
          <w:t>http://apps.fcc.gov/ecfs/</w:t>
        </w:r>
      </w:hyperlink>
      <w:r w:rsidRPr="00B05B23">
        <w:rPr>
          <w:szCs w:val="22"/>
          <w:u w:val="single"/>
        </w:rPr>
        <w:t xml:space="preserve"> </w:t>
      </w:r>
      <w:r w:rsidRPr="00B05B23">
        <w:rPr>
          <w:szCs w:val="22"/>
        </w:rPr>
        <w:t>.</w:t>
      </w:r>
    </w:p>
    <w:p w:rsidR="00B05B23" w:rsidRPr="00B05B23" w:rsidP="00B05B23" w14:paraId="70DDDB0B" w14:textId="77777777">
      <w:pPr>
        <w:widowControl w:val="0"/>
        <w:numPr>
          <w:ilvl w:val="0"/>
          <w:numId w:val="21"/>
        </w:numPr>
        <w:autoSpaceDE w:val="0"/>
        <w:autoSpaceDN w:val="0"/>
        <w:adjustRightInd w:val="0"/>
        <w:spacing w:after="120"/>
        <w:rPr>
          <w:szCs w:val="22"/>
        </w:rPr>
      </w:pPr>
      <w:r w:rsidRPr="00B05B23">
        <w:rPr>
          <w:i/>
          <w:iCs/>
          <w:szCs w:val="22"/>
        </w:rPr>
        <w:t>Paper Filers</w:t>
      </w:r>
      <w:r w:rsidRPr="00B05B2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05B23" w:rsidRPr="00B05B23" w:rsidP="00B05B23" w14:paraId="0A291608" w14:textId="77777777">
      <w:pPr>
        <w:widowControl w:val="0"/>
        <w:numPr>
          <w:ilvl w:val="1"/>
          <w:numId w:val="21"/>
        </w:numPr>
        <w:autoSpaceDE w:val="0"/>
        <w:autoSpaceDN w:val="0"/>
        <w:adjustRightInd w:val="0"/>
        <w:spacing w:after="120"/>
        <w:rPr>
          <w:szCs w:val="22"/>
        </w:rPr>
      </w:pPr>
      <w:r w:rsidRPr="00B05B23">
        <w:rPr>
          <w:szCs w:val="22"/>
        </w:rPr>
        <w:t>Filings can be sent by commercial overnight courier or by first-class or overnight U.S. Postal Service mail.</w:t>
      </w:r>
      <w:r>
        <w:rPr>
          <w:szCs w:val="22"/>
          <w:vertAlign w:val="superscript"/>
        </w:rPr>
        <w:footnoteReference w:id="17"/>
      </w:r>
      <w:r w:rsidRPr="00B05B23">
        <w:rPr>
          <w:szCs w:val="22"/>
        </w:rPr>
        <w:t xml:space="preserve">  All filings must be addressed to the Commission’s Secretary, Office of the Secretary, Federal Communications Commission.</w:t>
      </w:r>
    </w:p>
    <w:p w:rsidR="00B05B23" w:rsidRPr="00B05B23" w:rsidP="00B05B23" w14:paraId="653EED12" w14:textId="77777777">
      <w:pPr>
        <w:widowControl w:val="0"/>
        <w:numPr>
          <w:ilvl w:val="1"/>
          <w:numId w:val="21"/>
        </w:numPr>
        <w:autoSpaceDE w:val="0"/>
        <w:autoSpaceDN w:val="0"/>
        <w:adjustRightInd w:val="0"/>
        <w:spacing w:after="120"/>
        <w:rPr>
          <w:szCs w:val="22"/>
        </w:rPr>
      </w:pPr>
      <w:r w:rsidRPr="00B05B23">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05B23" w:rsidRPr="00B05B23" w:rsidP="00B05B23" w14:paraId="3A19C646" w14:textId="77777777">
      <w:pPr>
        <w:autoSpaceDE w:val="0"/>
        <w:autoSpaceDN w:val="0"/>
        <w:adjustRightInd w:val="0"/>
        <w:spacing w:after="120"/>
        <w:ind w:firstLine="720"/>
        <w:rPr>
          <w:szCs w:val="22"/>
        </w:rPr>
      </w:pPr>
      <w:r w:rsidRPr="00B05B23">
        <w:rPr>
          <w:szCs w:val="22"/>
        </w:rPr>
        <w:t>People with Disabilities:  We ask that requests for accommodations be made as soon as possible in order to allow the agency to satisfy such requests whenever possible.  Send an email to </w:t>
      </w:r>
      <w:hyperlink r:id="rId9" w:tgtFrame="_blank" w:history="1">
        <w:r w:rsidRPr="00B05B23">
          <w:rPr>
            <w:color w:val="0000FF"/>
            <w:szCs w:val="22"/>
            <w:u w:val="single"/>
          </w:rPr>
          <w:t>fcc504@fcc.gov</w:t>
        </w:r>
      </w:hyperlink>
      <w:r w:rsidRPr="00B05B23">
        <w:rPr>
          <w:szCs w:val="22"/>
        </w:rPr>
        <w:t> or call the Consumer and Governmental Affairs Bureau at (202) 418-0530.</w:t>
      </w:r>
    </w:p>
    <w:p w:rsidR="00B05B23" w:rsidRPr="00B05B23" w:rsidP="00B05B23" w14:paraId="09D83324" w14:textId="77777777">
      <w:pPr>
        <w:autoSpaceDE w:val="0"/>
        <w:autoSpaceDN w:val="0"/>
        <w:adjustRightInd w:val="0"/>
        <w:spacing w:after="120"/>
        <w:ind w:firstLine="720"/>
        <w:rPr>
          <w:b/>
          <w:szCs w:val="22"/>
        </w:rPr>
      </w:pPr>
      <w:r w:rsidRPr="00B05B23">
        <w:rPr>
          <w:b/>
          <w:szCs w:val="22"/>
        </w:rPr>
        <w:t>In addition, e-mail one copy of each pleading to each of the following:</w:t>
      </w:r>
    </w:p>
    <w:p w:rsidR="00B05B23" w:rsidP="00B05B23" w14:paraId="462E9909" w14:textId="77777777">
      <w:pPr>
        <w:widowControl w:val="0"/>
        <w:numPr>
          <w:ilvl w:val="0"/>
          <w:numId w:val="28"/>
        </w:numPr>
        <w:autoSpaceDE w:val="0"/>
        <w:autoSpaceDN w:val="0"/>
        <w:adjustRightInd w:val="0"/>
        <w:spacing w:after="120"/>
        <w:rPr>
          <w:szCs w:val="22"/>
        </w:rPr>
      </w:pPr>
      <w:r>
        <w:rPr>
          <w:szCs w:val="22"/>
        </w:rPr>
        <w:t>Gregory Kwan</w:t>
      </w:r>
      <w:r w:rsidRPr="00AD440B">
        <w:rPr>
          <w:szCs w:val="22"/>
        </w:rPr>
        <w:t xml:space="preserve">, Competition Policy Division, Wireline Competition Bureau, </w:t>
      </w:r>
      <w:hyperlink r:id="rId10" w:history="1">
        <w:r w:rsidRPr="00BD3C65">
          <w:rPr>
            <w:rStyle w:val="Hyperlink"/>
          </w:rPr>
          <w:t>gregory.kwan@fcc.gov</w:t>
        </w:r>
      </w:hyperlink>
      <w:r w:rsidRPr="00AD440B">
        <w:rPr>
          <w:szCs w:val="22"/>
        </w:rPr>
        <w:t xml:space="preserve">; </w:t>
      </w:r>
    </w:p>
    <w:p w:rsidR="00B05B23" w:rsidP="00B05B23" w14:paraId="04B1C783" w14:textId="77777777">
      <w:pPr>
        <w:widowControl w:val="0"/>
        <w:numPr>
          <w:ilvl w:val="0"/>
          <w:numId w:val="28"/>
        </w:numPr>
        <w:autoSpaceDE w:val="0"/>
        <w:autoSpaceDN w:val="0"/>
        <w:adjustRightInd w:val="0"/>
        <w:spacing w:after="120"/>
        <w:rPr>
          <w:szCs w:val="22"/>
        </w:rPr>
      </w:pPr>
      <w:r w:rsidRPr="00AE69B5">
        <w:rPr>
          <w:szCs w:val="22"/>
        </w:rPr>
        <w:t xml:space="preserve">David Krech and Sumita Mukhoty, Telecommunications and Analysis Division, International Bureau, </w:t>
      </w:r>
      <w:hyperlink r:id="rId11" w:history="1">
        <w:r w:rsidRPr="00AE69B5">
          <w:rPr>
            <w:rStyle w:val="Hyperlink"/>
            <w:szCs w:val="22"/>
          </w:rPr>
          <w:t>david.krech@fcc.gov</w:t>
        </w:r>
      </w:hyperlink>
      <w:r w:rsidRPr="00AE69B5">
        <w:rPr>
          <w:szCs w:val="22"/>
        </w:rPr>
        <w:t>;</w:t>
      </w:r>
      <w:r>
        <w:rPr>
          <w:szCs w:val="22"/>
        </w:rPr>
        <w:t xml:space="preserve"> </w:t>
      </w:r>
      <w:hyperlink r:id="rId12" w:history="1">
        <w:r w:rsidRPr="004E5EC1">
          <w:rPr>
            <w:rStyle w:val="Hyperlink"/>
            <w:szCs w:val="22"/>
          </w:rPr>
          <w:t>Sumita.mukhoty@fcc.gov</w:t>
        </w:r>
      </w:hyperlink>
      <w:r>
        <w:rPr>
          <w:szCs w:val="22"/>
        </w:rPr>
        <w:t xml:space="preserve">; </w:t>
      </w:r>
      <w:r w:rsidRPr="00FE122A">
        <w:rPr>
          <w:szCs w:val="22"/>
        </w:rPr>
        <w:t>and</w:t>
      </w:r>
    </w:p>
    <w:p w:rsidR="00B05B23" w:rsidP="00B05B23" w14:paraId="333FACE1" w14:textId="77777777">
      <w:pPr>
        <w:widowControl w:val="0"/>
        <w:numPr>
          <w:ilvl w:val="0"/>
          <w:numId w:val="28"/>
        </w:numPr>
        <w:autoSpaceDE w:val="0"/>
        <w:autoSpaceDN w:val="0"/>
        <w:adjustRightInd w:val="0"/>
        <w:spacing w:after="120"/>
        <w:rPr>
          <w:szCs w:val="22"/>
        </w:rPr>
      </w:pPr>
      <w:r w:rsidRPr="00FE122A">
        <w:rPr>
          <w:szCs w:val="22"/>
        </w:rPr>
        <w:t xml:space="preserve">Jim Bird, Office of General Counsel, </w:t>
      </w:r>
      <w:hyperlink r:id="rId13" w:history="1">
        <w:r w:rsidRPr="00FE122A">
          <w:rPr>
            <w:color w:val="0000FF"/>
            <w:szCs w:val="22"/>
            <w:u w:val="single"/>
          </w:rPr>
          <w:t>jim.bird@fcc.gov</w:t>
        </w:r>
      </w:hyperlink>
    </w:p>
    <w:p w:rsidR="00B05B23" w:rsidRPr="00B05B23" w:rsidP="00B05B23" w14:paraId="2CD807BC" w14:textId="77777777">
      <w:pPr>
        <w:autoSpaceDE w:val="0"/>
        <w:autoSpaceDN w:val="0"/>
        <w:adjustRightInd w:val="0"/>
        <w:spacing w:after="120"/>
        <w:ind w:firstLine="720"/>
        <w:rPr>
          <w:szCs w:val="22"/>
        </w:rPr>
      </w:pPr>
      <w:r w:rsidRPr="00B05B23">
        <w:rPr>
          <w:szCs w:val="22"/>
        </w:rPr>
        <w:t xml:space="preserve">The proceeding in this Notice shall be treated as a “permit-but-disclose” proceeding in accordance with the Commission’s </w:t>
      </w:r>
      <w:r w:rsidRPr="00B05B23">
        <w:rPr>
          <w:i/>
          <w:szCs w:val="22"/>
        </w:rPr>
        <w:t>ex parte</w:t>
      </w:r>
      <w:r w:rsidRPr="00B05B23">
        <w:rPr>
          <w:szCs w:val="22"/>
        </w:rPr>
        <w:t xml:space="preserve"> rules.  Persons making </w:t>
      </w:r>
      <w:r w:rsidRPr="00B05B23">
        <w:rPr>
          <w:i/>
          <w:szCs w:val="22"/>
        </w:rPr>
        <w:t>ex parte</w:t>
      </w:r>
      <w:r w:rsidRPr="00B05B2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05B23">
        <w:rPr>
          <w:i/>
          <w:szCs w:val="22"/>
        </w:rPr>
        <w:t>ex parte</w:t>
      </w:r>
      <w:r w:rsidRPr="00B05B23">
        <w:rPr>
          <w:szCs w:val="22"/>
        </w:rPr>
        <w:t xml:space="preserve"> presentations are reminded that memoranda summarizing the presentation must (1) list all persons attending or otherwise participating in the meeting at which the </w:t>
      </w:r>
      <w:r w:rsidRPr="00B05B23">
        <w:rPr>
          <w:i/>
          <w:szCs w:val="22"/>
        </w:rPr>
        <w:t>ex parte</w:t>
      </w:r>
      <w:r w:rsidRPr="00B05B2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05B23">
        <w:rPr>
          <w:i/>
          <w:szCs w:val="22"/>
        </w:rPr>
        <w:t>ex parte</w:t>
      </w:r>
      <w:r w:rsidRPr="00B05B23">
        <w:rPr>
          <w:szCs w:val="22"/>
        </w:rPr>
        <w:t xml:space="preserve"> meetings are deemed to be written </w:t>
      </w:r>
      <w:r w:rsidRPr="00B05B23">
        <w:rPr>
          <w:i/>
          <w:szCs w:val="22"/>
        </w:rPr>
        <w:t>ex parte</w:t>
      </w:r>
      <w:r w:rsidRPr="00B05B23">
        <w:rPr>
          <w:szCs w:val="22"/>
        </w:rPr>
        <w:t xml:space="preserve"> presentations and must be filed consistent with rule 1.1206(b), 47 CFR § 1.1206(b).  Participants in this proceeding should familiarize themselves with the Commission’s </w:t>
      </w:r>
      <w:r w:rsidRPr="00B05B23">
        <w:rPr>
          <w:i/>
          <w:szCs w:val="22"/>
        </w:rPr>
        <w:t>ex parte</w:t>
      </w:r>
      <w:r w:rsidRPr="00B05B23">
        <w:rPr>
          <w:szCs w:val="22"/>
        </w:rPr>
        <w:t xml:space="preserve"> rules.</w:t>
      </w:r>
    </w:p>
    <w:p w:rsidR="00B05B23" w:rsidRPr="00B05B23" w:rsidP="00B05B23" w14:paraId="76AD8286" w14:textId="77777777">
      <w:pPr>
        <w:autoSpaceDE w:val="0"/>
        <w:autoSpaceDN w:val="0"/>
        <w:adjustRightInd w:val="0"/>
        <w:spacing w:after="120"/>
        <w:ind w:firstLine="720"/>
        <w:rPr>
          <w:szCs w:val="22"/>
        </w:rPr>
      </w:pPr>
      <w:r w:rsidRPr="00B05B23">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8"/>
      </w:r>
      <w:r w:rsidRPr="00B05B23">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7975369A" w14:textId="77777777">
      <w:pPr>
        <w:autoSpaceDE w:val="0"/>
        <w:autoSpaceDN w:val="0"/>
        <w:adjustRightInd w:val="0"/>
        <w:spacing w:after="120"/>
        <w:ind w:firstLine="720"/>
        <w:rPr>
          <w:szCs w:val="22"/>
        </w:rPr>
      </w:pPr>
      <w:r w:rsidRPr="00AD440B">
        <w:rPr>
          <w:szCs w:val="22"/>
        </w:rPr>
        <w:t xml:space="preserve">For further information, please contact </w:t>
      </w:r>
      <w:r w:rsidR="00A67B1E">
        <w:rPr>
          <w:szCs w:val="22"/>
        </w:rPr>
        <w:t xml:space="preserve">Gregory Kwan </w:t>
      </w:r>
      <w:r w:rsidRPr="005D7189" w:rsidR="005D7189">
        <w:rPr>
          <w:szCs w:val="22"/>
        </w:rPr>
        <w:t>at (202) 418-</w:t>
      </w:r>
      <w:r w:rsidR="00A67B1E">
        <w:rPr>
          <w:szCs w:val="22"/>
        </w:rPr>
        <w:t>1191.</w:t>
      </w:r>
    </w:p>
    <w:p w:rsidR="00AD440B" w:rsidRPr="00AD440B" w:rsidP="00AD440B" w14:paraId="20BCAFC1" w14:textId="77777777">
      <w:pPr>
        <w:autoSpaceDE w:val="0"/>
        <w:autoSpaceDN w:val="0"/>
        <w:adjustRightInd w:val="0"/>
        <w:rPr>
          <w:szCs w:val="22"/>
        </w:rPr>
      </w:pPr>
    </w:p>
    <w:p w:rsidR="00E7033D" w:rsidRPr="00AD440B" w:rsidP="00AD440B" w14:paraId="01AF31B2" w14:textId="77777777">
      <w:pPr>
        <w:autoSpaceDE w:val="0"/>
        <w:autoSpaceDN w:val="0"/>
        <w:adjustRightInd w:val="0"/>
        <w:jc w:val="center"/>
        <w:rPr>
          <w:color w:val="000000"/>
          <w:szCs w:val="22"/>
        </w:rPr>
      </w:pPr>
      <w:r>
        <w:rPr>
          <w:b/>
          <w:szCs w:val="22"/>
        </w:rPr>
        <w:t>-</w:t>
      </w:r>
      <w:r w:rsidRPr="00AD440B" w:rsidR="000C1460">
        <w:rPr>
          <w:b/>
          <w:szCs w:val="22"/>
        </w:rPr>
        <w:t>FCC</w:t>
      </w:r>
      <w:bookmarkEnd w:id="1"/>
      <w:bookmarkEnd w:id="2"/>
      <w:r>
        <w:rPr>
          <w:b/>
          <w:szCs w:val="22"/>
        </w:rPr>
        <w:t>-</w:t>
      </w:r>
    </w:p>
    <w:p w:rsidR="00524D79" w14:paraId="39121E14"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5AAF3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4A3C9F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979DF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3748C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88CE20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0FC9255B" w14:textId="77777777"/>
  <w:p w:rsidR="005E21F5" w14:paraId="32AAC79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4BE1" w14:paraId="0718C9C0" w14:textId="77777777">
      <w:r>
        <w:separator/>
      </w:r>
    </w:p>
  </w:footnote>
  <w:footnote w:type="continuationSeparator" w:id="1">
    <w:p w:rsidR="00FC4BE1" w14:paraId="77FFBCD7" w14:textId="77777777">
      <w:r>
        <w:continuationSeparator/>
      </w:r>
    </w:p>
  </w:footnote>
  <w:footnote w:type="continuationNotice" w:id="2">
    <w:p w:rsidR="00FC4BE1" w14:paraId="7B07D576" w14:textId="77777777"/>
  </w:footnote>
  <w:footnote w:id="3">
    <w:p w:rsidR="005E21F5" w:rsidRPr="00126B1A" w:rsidP="0069342F" w14:paraId="3079E70C" w14:textId="77777777">
      <w:pPr>
        <w:spacing w:after="120"/>
        <w:rPr>
          <w:sz w:val="20"/>
        </w:rPr>
      </w:pPr>
      <w:r w:rsidRPr="0069342F">
        <w:rPr>
          <w:rStyle w:val="FootnoteReference"/>
          <w:sz w:val="20"/>
        </w:rPr>
        <w:footnoteRef/>
      </w:r>
      <w:r w:rsidRPr="0069342F">
        <w:rPr>
          <w:sz w:val="20"/>
        </w:rPr>
        <w:t xml:space="preserve"> </w:t>
      </w:r>
      <w:r w:rsidRPr="0069342F">
        <w:rPr>
          <w:i/>
          <w:sz w:val="20"/>
        </w:rPr>
        <w:t>See</w:t>
      </w:r>
      <w:r w:rsidRPr="0069342F">
        <w:rPr>
          <w:sz w:val="20"/>
        </w:rPr>
        <w:t xml:space="preserve"> 47 U.S.C. § 214; 47 CFR §§ 63.03-04.  </w:t>
      </w:r>
      <w:r w:rsidRPr="0069342F" w:rsidR="00DD5700">
        <w:rPr>
          <w:sz w:val="20"/>
        </w:rPr>
        <w:t>Joint Section 214 Application to Transfer Control of Meriplex Telecom, LLC, WC Docket No. 22-400 (filed</w:t>
      </w:r>
      <w:r w:rsidRPr="0069342F" w:rsidR="008C482E">
        <w:rPr>
          <w:sz w:val="20"/>
        </w:rPr>
        <w:t xml:space="preserve"> Nov. 17, 2022) (Application).  </w:t>
      </w:r>
      <w:r w:rsidR="00FF3171">
        <w:rPr>
          <w:sz w:val="20"/>
        </w:rPr>
        <w:t xml:space="preserve">On December </w:t>
      </w:r>
      <w:r w:rsidR="00126B1A">
        <w:rPr>
          <w:sz w:val="20"/>
        </w:rPr>
        <w:t>5</w:t>
      </w:r>
      <w:r w:rsidR="00FF3171">
        <w:rPr>
          <w:sz w:val="20"/>
        </w:rPr>
        <w:t xml:space="preserve">, 2022, Applicants filed a supplement to their domestic section 214 application.  </w:t>
      </w:r>
      <w:r w:rsidR="00126B1A">
        <w:rPr>
          <w:sz w:val="20"/>
        </w:rPr>
        <w:t>Letter from Dana Frix, Advisor to Meriplex Communications Ltd</w:t>
      </w:r>
      <w:r w:rsidR="00C92510">
        <w:rPr>
          <w:sz w:val="20"/>
        </w:rPr>
        <w:t>.</w:t>
      </w:r>
      <w:r w:rsidR="00126B1A">
        <w:rPr>
          <w:sz w:val="20"/>
        </w:rPr>
        <w:t xml:space="preserve">, and Rebekah Goodheart, Counsel to Vitruvian Partners LLP, to Marlene H. Dortch, Secretary, FCC, WC Docket No. 22-400 (filed Dec. 5, 2022) (Supplement). </w:t>
      </w:r>
      <w:r w:rsidR="00FF3171">
        <w:rPr>
          <w:sz w:val="20"/>
        </w:rPr>
        <w:t xml:space="preserve"> </w:t>
      </w:r>
      <w:r w:rsidRPr="0069342F">
        <w:rPr>
          <w:sz w:val="20"/>
        </w:rPr>
        <w:t>Applicants also filed applications for the transfer of authorizations associated with international services.</w:t>
      </w:r>
      <w:r w:rsidRPr="0069342F" w:rsidR="00B26F72">
        <w:rPr>
          <w:sz w:val="20"/>
        </w:rPr>
        <w:t xml:space="preserve">  </w:t>
      </w:r>
      <w:r w:rsidRPr="0069342F">
        <w:rPr>
          <w:sz w:val="20"/>
        </w:rPr>
        <w:t>Any action on this domestic section 214 application is without prejudice to Commission action on other related, pending applications</w:t>
      </w:r>
      <w:r w:rsidRPr="0069342F">
        <w:rPr>
          <w:bCs/>
          <w:sz w:val="20"/>
        </w:rPr>
        <w:t>.</w:t>
      </w:r>
    </w:p>
  </w:footnote>
  <w:footnote w:id="4">
    <w:p w:rsidR="00DD5700" w:rsidRPr="0069342F" w:rsidP="0069342F" w14:paraId="4FA1861C" w14:textId="77777777">
      <w:pPr>
        <w:pStyle w:val="FootnoteText"/>
        <w:spacing w:after="120"/>
        <w:rPr>
          <w:sz w:val="20"/>
        </w:rPr>
      </w:pPr>
      <w:r w:rsidRPr="0069342F">
        <w:rPr>
          <w:rStyle w:val="FootnoteReference"/>
          <w:sz w:val="20"/>
        </w:rPr>
        <w:footnoteRef/>
      </w:r>
      <w:r w:rsidRPr="0069342F">
        <w:rPr>
          <w:sz w:val="20"/>
        </w:rPr>
        <w:t xml:space="preserve"> </w:t>
      </w:r>
      <w:r w:rsidRPr="0069342F" w:rsidR="00061925">
        <w:rPr>
          <w:sz w:val="20"/>
        </w:rPr>
        <w:t>Application</w:t>
      </w:r>
      <w:r w:rsidRPr="0069342F">
        <w:rPr>
          <w:sz w:val="20"/>
        </w:rPr>
        <w:t xml:space="preserve"> at 5.</w:t>
      </w:r>
      <w:r w:rsidRPr="0069342F" w:rsidR="003C4852">
        <w:rPr>
          <w:sz w:val="20"/>
        </w:rPr>
        <w:t xml:space="preserve"> </w:t>
      </w:r>
      <w:r w:rsidRPr="0069342F" w:rsidR="00E27074">
        <w:rPr>
          <w:sz w:val="20"/>
        </w:rPr>
        <w:t xml:space="preserve"> </w:t>
      </w:r>
      <w:r w:rsidRPr="0069342F" w:rsidR="003C4852">
        <w:rPr>
          <w:sz w:val="20"/>
        </w:rPr>
        <w:t xml:space="preserve">Applicants state that, in July 2022, Meriplex Telecom was spun off in a </w:t>
      </w:r>
      <w:r w:rsidRPr="0069342F" w:rsidR="003C4852">
        <w:rPr>
          <w:i/>
          <w:iCs/>
          <w:sz w:val="20"/>
        </w:rPr>
        <w:t xml:space="preserve">pro forma </w:t>
      </w:r>
      <w:r w:rsidRPr="0069342F" w:rsidR="003C4852">
        <w:rPr>
          <w:sz w:val="20"/>
        </w:rPr>
        <w:t>transaction from its then immediate parent company</w:t>
      </w:r>
      <w:r w:rsidR="000A27D7">
        <w:rPr>
          <w:sz w:val="20"/>
        </w:rPr>
        <w:t>,</w:t>
      </w:r>
      <w:r w:rsidRPr="0069342F" w:rsidR="003C4852">
        <w:rPr>
          <w:sz w:val="20"/>
        </w:rPr>
        <w:t xml:space="preserve"> MCom</w:t>
      </w:r>
      <w:r w:rsidR="000A27D7">
        <w:rPr>
          <w:sz w:val="20"/>
        </w:rPr>
        <w:t>,</w:t>
      </w:r>
      <w:r w:rsidRPr="0069342F" w:rsidR="001C7F67">
        <w:rPr>
          <w:sz w:val="20"/>
        </w:rPr>
        <w:t xml:space="preserve"> </w:t>
      </w:r>
      <w:r w:rsidRPr="0069342F" w:rsidR="003C4852">
        <w:rPr>
          <w:sz w:val="20"/>
        </w:rPr>
        <w:t xml:space="preserve">and that under the </w:t>
      </w:r>
      <w:r w:rsidR="004B630A">
        <w:rPr>
          <w:sz w:val="20"/>
        </w:rPr>
        <w:t xml:space="preserve">current </w:t>
      </w:r>
      <w:r w:rsidRPr="0069342F" w:rsidR="003C4852">
        <w:rPr>
          <w:sz w:val="20"/>
        </w:rPr>
        <w:t>proposed transaction, MCom,</w:t>
      </w:r>
      <w:r w:rsidR="003D0F37">
        <w:rPr>
          <w:sz w:val="20"/>
        </w:rPr>
        <w:t xml:space="preserve"> </w:t>
      </w:r>
      <w:r w:rsidRPr="0069342F" w:rsidR="003C4852">
        <w:rPr>
          <w:sz w:val="20"/>
        </w:rPr>
        <w:t>controlled by Vit</w:t>
      </w:r>
      <w:r w:rsidR="00DF627F">
        <w:rPr>
          <w:sz w:val="20"/>
        </w:rPr>
        <w:t>r</w:t>
      </w:r>
      <w:r w:rsidRPr="0069342F" w:rsidR="003C4852">
        <w:rPr>
          <w:sz w:val="20"/>
        </w:rPr>
        <w:t>uvian, would reacquire Meriplex Tele</w:t>
      </w:r>
      <w:r w:rsidR="000A27D7">
        <w:rPr>
          <w:sz w:val="20"/>
        </w:rPr>
        <w:t>c</w:t>
      </w:r>
      <w:r w:rsidRPr="0069342F" w:rsidR="003C4852">
        <w:rPr>
          <w:sz w:val="20"/>
        </w:rPr>
        <w:t xml:space="preserve">om. </w:t>
      </w:r>
      <w:r w:rsidRPr="0069342F" w:rsidR="0006324D">
        <w:rPr>
          <w:sz w:val="20"/>
        </w:rPr>
        <w:t xml:space="preserve"> </w:t>
      </w:r>
      <w:r w:rsidRPr="0069342F" w:rsidR="0006324D">
        <w:rPr>
          <w:i/>
          <w:iCs/>
          <w:sz w:val="20"/>
        </w:rPr>
        <w:t>Id.</w:t>
      </w:r>
      <w:r w:rsidRPr="0069342F" w:rsidR="0006324D">
        <w:rPr>
          <w:sz w:val="20"/>
        </w:rPr>
        <w:t xml:space="preserve"> at n. 2</w:t>
      </w:r>
      <w:r w:rsidR="00C92510">
        <w:rPr>
          <w:sz w:val="20"/>
        </w:rPr>
        <w:t>.</w:t>
      </w:r>
    </w:p>
  </w:footnote>
  <w:footnote w:id="5">
    <w:p w:rsidR="008F2CF6" w:rsidRPr="0069342F" w:rsidP="0069342F" w14:paraId="02A2B658" w14:textId="77777777">
      <w:pPr>
        <w:pStyle w:val="FootnoteText"/>
        <w:spacing w:after="120"/>
        <w:rPr>
          <w:sz w:val="20"/>
        </w:rPr>
      </w:pPr>
      <w:r w:rsidRPr="0069342F">
        <w:rPr>
          <w:rStyle w:val="FootnoteReference"/>
          <w:sz w:val="20"/>
        </w:rPr>
        <w:footnoteRef/>
      </w:r>
      <w:r w:rsidRPr="0069342F">
        <w:rPr>
          <w:sz w:val="20"/>
        </w:rPr>
        <w:t xml:space="preserve"> </w:t>
      </w:r>
      <w:r w:rsidRPr="0069342F">
        <w:rPr>
          <w:i/>
          <w:iCs/>
          <w:sz w:val="20"/>
        </w:rPr>
        <w:t>Id.</w:t>
      </w:r>
      <w:r w:rsidRPr="0069342F">
        <w:rPr>
          <w:sz w:val="20"/>
        </w:rPr>
        <w:t xml:space="preserve"> at 4.  </w:t>
      </w:r>
      <w:r w:rsidR="00126B1A">
        <w:rPr>
          <w:sz w:val="20"/>
        </w:rPr>
        <w:t xml:space="preserve">Clairvest </w:t>
      </w:r>
      <w:r w:rsidRPr="0069342F">
        <w:rPr>
          <w:sz w:val="20"/>
        </w:rPr>
        <w:t xml:space="preserve">will </w:t>
      </w:r>
      <w:r w:rsidR="00126B1A">
        <w:rPr>
          <w:sz w:val="20"/>
        </w:rPr>
        <w:t xml:space="preserve">collectively </w:t>
      </w:r>
      <w:r w:rsidRPr="0069342F">
        <w:rPr>
          <w:sz w:val="20"/>
        </w:rPr>
        <w:t xml:space="preserve">continue to hold </w:t>
      </w:r>
      <w:r w:rsidR="00126B1A">
        <w:rPr>
          <w:sz w:val="20"/>
        </w:rPr>
        <w:t xml:space="preserve">a 19% interest </w:t>
      </w:r>
      <w:r w:rsidRPr="0069342F">
        <w:rPr>
          <w:sz w:val="20"/>
        </w:rPr>
        <w:t>interests in Meriplex Telecom</w:t>
      </w:r>
      <w:r w:rsidR="002B7D95">
        <w:rPr>
          <w:sz w:val="20"/>
        </w:rPr>
        <w:t xml:space="preserve"> post-consummation.  </w:t>
      </w:r>
      <w:r w:rsidRPr="0069342F">
        <w:rPr>
          <w:i/>
          <w:iCs/>
          <w:sz w:val="20"/>
        </w:rPr>
        <w:t>Id.</w:t>
      </w:r>
      <w:r w:rsidR="00CB0068">
        <w:rPr>
          <w:i/>
          <w:iCs/>
          <w:sz w:val="20"/>
        </w:rPr>
        <w:t xml:space="preserve"> </w:t>
      </w:r>
      <w:r w:rsidRPr="0069342F">
        <w:rPr>
          <w:sz w:val="20"/>
        </w:rPr>
        <w:t>at 3; Post Organizational Chart at 1</w:t>
      </w:r>
      <w:r w:rsidR="00126B1A">
        <w:rPr>
          <w:sz w:val="20"/>
        </w:rPr>
        <w:t>; Supplement at 3</w:t>
      </w:r>
      <w:r w:rsidRPr="0069342F">
        <w:rPr>
          <w:sz w:val="20"/>
        </w:rPr>
        <w:t xml:space="preserve">.  </w:t>
      </w:r>
      <w:r w:rsidR="004F6FEB">
        <w:rPr>
          <w:sz w:val="20"/>
        </w:rPr>
        <w:t>Applicants provide further information on general partners holding interest</w:t>
      </w:r>
      <w:r w:rsidR="00C36CCB">
        <w:rPr>
          <w:sz w:val="20"/>
        </w:rPr>
        <w:t>s</w:t>
      </w:r>
      <w:r w:rsidR="004F6FEB">
        <w:rPr>
          <w:sz w:val="20"/>
        </w:rPr>
        <w:t xml:space="preserve"> in Cla</w:t>
      </w:r>
      <w:r w:rsidR="00C36CCB">
        <w:rPr>
          <w:sz w:val="20"/>
        </w:rPr>
        <w:t xml:space="preserve">irvest.  </w:t>
      </w:r>
      <w:r w:rsidR="00C36CCB">
        <w:rPr>
          <w:i/>
          <w:sz w:val="20"/>
        </w:rPr>
        <w:t xml:space="preserve">Id. </w:t>
      </w:r>
      <w:r w:rsidR="00C36CCB">
        <w:rPr>
          <w:iCs/>
          <w:sz w:val="20"/>
        </w:rPr>
        <w:t xml:space="preserve">at 3.  </w:t>
      </w:r>
      <w:r w:rsidRPr="0069342F">
        <w:rPr>
          <w:sz w:val="20"/>
        </w:rPr>
        <w:t>Kenneth B. Rotman and Gerald R. Heffernan, each Canadian citizens, hold approximately 50.2</w:t>
      </w:r>
      <w:r w:rsidR="002B7D95">
        <w:rPr>
          <w:sz w:val="20"/>
        </w:rPr>
        <w:t>%</w:t>
      </w:r>
      <w:r w:rsidRPr="0069342F">
        <w:rPr>
          <w:sz w:val="20"/>
        </w:rPr>
        <w:t xml:space="preserve"> and 13.3</w:t>
      </w:r>
      <w:r w:rsidR="002B7D95">
        <w:rPr>
          <w:sz w:val="20"/>
        </w:rPr>
        <w:t>%</w:t>
      </w:r>
      <w:r w:rsidRPr="0069342F">
        <w:rPr>
          <w:sz w:val="20"/>
        </w:rPr>
        <w:t xml:space="preserve">, respectively, of Clairvest.  </w:t>
      </w:r>
      <w:r w:rsidRPr="0069342F">
        <w:rPr>
          <w:i/>
          <w:iCs/>
          <w:sz w:val="20"/>
        </w:rPr>
        <w:t xml:space="preserve">Id. </w:t>
      </w:r>
      <w:r w:rsidRPr="0069342F">
        <w:rPr>
          <w:sz w:val="20"/>
        </w:rPr>
        <w:t>at 3-4.</w:t>
      </w:r>
    </w:p>
  </w:footnote>
  <w:footnote w:id="6">
    <w:p w:rsidR="00061925" w:rsidRPr="0069342F" w:rsidP="0069342F" w14:paraId="3739FD19" w14:textId="77777777">
      <w:pPr>
        <w:pStyle w:val="FootnoteText"/>
        <w:spacing w:after="120"/>
        <w:rPr>
          <w:sz w:val="20"/>
        </w:rPr>
      </w:pPr>
      <w:r w:rsidRPr="0069342F">
        <w:rPr>
          <w:rStyle w:val="FootnoteReference"/>
          <w:sz w:val="20"/>
        </w:rPr>
        <w:footnoteRef/>
      </w:r>
      <w:r w:rsidRPr="0069342F">
        <w:rPr>
          <w:sz w:val="20"/>
        </w:rPr>
        <w:t xml:space="preserve"> </w:t>
      </w:r>
      <w:r w:rsidRPr="0069342F" w:rsidR="008F2CF6">
        <w:rPr>
          <w:i/>
          <w:iCs/>
          <w:sz w:val="20"/>
        </w:rPr>
        <w:t xml:space="preserve">Id. </w:t>
      </w:r>
      <w:r w:rsidRPr="0069342F" w:rsidR="008F2CF6">
        <w:rPr>
          <w:sz w:val="20"/>
        </w:rPr>
        <w:t xml:space="preserve">at 4.  Following the consummation of the proposed transaction, </w:t>
      </w:r>
      <w:r w:rsidRPr="0069342F">
        <w:rPr>
          <w:sz w:val="20"/>
        </w:rPr>
        <w:t>Mr. Henley, through an inheritance trust, in his personal capacity, and through an investment vehicle, will collectively hold approximately 14% of Meriplex Telecom.  Application at 4; Post Organizational Chart at 1</w:t>
      </w:r>
      <w:r w:rsidR="004B630A">
        <w:rPr>
          <w:sz w:val="20"/>
        </w:rPr>
        <w:t xml:space="preserve">; Supplement at </w:t>
      </w:r>
      <w:r w:rsidR="00E13826">
        <w:rPr>
          <w:sz w:val="20"/>
        </w:rPr>
        <w:t>3</w:t>
      </w:r>
      <w:r w:rsidRPr="0069342F">
        <w:rPr>
          <w:sz w:val="20"/>
        </w:rPr>
        <w:t>.</w:t>
      </w:r>
    </w:p>
  </w:footnote>
  <w:footnote w:id="7">
    <w:p w:rsidR="0006324D" w:rsidRPr="0069342F" w:rsidP="0069342F" w14:paraId="46AF8B97" w14:textId="77777777">
      <w:pPr>
        <w:pStyle w:val="FootnoteText"/>
        <w:spacing w:after="120"/>
        <w:rPr>
          <w:sz w:val="20"/>
        </w:rPr>
      </w:pPr>
      <w:r w:rsidRPr="0069342F">
        <w:rPr>
          <w:rStyle w:val="FootnoteReference"/>
          <w:sz w:val="20"/>
        </w:rPr>
        <w:footnoteRef/>
      </w:r>
      <w:r w:rsidRPr="0069342F">
        <w:rPr>
          <w:sz w:val="20"/>
        </w:rPr>
        <w:t xml:space="preserve"> Application at 2-3.</w:t>
      </w:r>
    </w:p>
  </w:footnote>
  <w:footnote w:id="8">
    <w:p w:rsidR="0095183E" w:rsidRPr="0069342F" w:rsidP="0069342F" w14:paraId="578AF2BA" w14:textId="77777777">
      <w:pPr>
        <w:pStyle w:val="FootnoteText"/>
        <w:spacing w:after="120"/>
        <w:rPr>
          <w:sz w:val="20"/>
        </w:rPr>
      </w:pPr>
      <w:r w:rsidRPr="0069342F">
        <w:rPr>
          <w:rStyle w:val="FootnoteReference"/>
          <w:sz w:val="20"/>
        </w:rPr>
        <w:footnoteRef/>
      </w:r>
      <w:r w:rsidRPr="0069342F">
        <w:rPr>
          <w:sz w:val="20"/>
        </w:rPr>
        <w:t xml:space="preserve"> </w:t>
      </w:r>
      <w:r w:rsidRPr="0069342F" w:rsidR="00E5583B">
        <w:rPr>
          <w:sz w:val="20"/>
        </w:rPr>
        <w:t xml:space="preserve">Following the consummation of the proposed transaction, </w:t>
      </w:r>
      <w:r w:rsidRPr="0069342F">
        <w:rPr>
          <w:sz w:val="20"/>
        </w:rPr>
        <w:t xml:space="preserve">Clairvest and Mr. Henley will </w:t>
      </w:r>
      <w:r w:rsidRPr="0069342F" w:rsidR="00E5583B">
        <w:rPr>
          <w:sz w:val="20"/>
        </w:rPr>
        <w:t xml:space="preserve">each </w:t>
      </w:r>
      <w:r w:rsidRPr="0069342F">
        <w:rPr>
          <w:sz w:val="20"/>
        </w:rPr>
        <w:t xml:space="preserve">hold over </w:t>
      </w:r>
      <w:r w:rsidRPr="0069342F" w:rsidR="00E5583B">
        <w:rPr>
          <w:sz w:val="20"/>
        </w:rPr>
        <w:t xml:space="preserve">a </w:t>
      </w:r>
      <w:r w:rsidRPr="0069342F">
        <w:rPr>
          <w:sz w:val="20"/>
        </w:rPr>
        <w:t xml:space="preserve">10% interest in </w:t>
      </w:r>
      <w:r w:rsidRPr="0069342F" w:rsidR="00E5583B">
        <w:rPr>
          <w:sz w:val="20"/>
        </w:rPr>
        <w:t>Aggie Topco</w:t>
      </w:r>
      <w:r w:rsidRPr="0069342F">
        <w:rPr>
          <w:sz w:val="20"/>
        </w:rPr>
        <w:t xml:space="preserve">.  </w:t>
      </w:r>
      <w:r w:rsidRPr="0069342F">
        <w:rPr>
          <w:i/>
          <w:iCs/>
          <w:sz w:val="20"/>
        </w:rPr>
        <w:t xml:space="preserve">Id. </w:t>
      </w:r>
      <w:r w:rsidRPr="0069342F">
        <w:rPr>
          <w:sz w:val="20"/>
        </w:rPr>
        <w:t xml:space="preserve">at 3-4 and Post Organizational Chart at 1; </w:t>
      </w:r>
      <w:r w:rsidRPr="0069342F">
        <w:rPr>
          <w:i/>
          <w:iCs/>
          <w:sz w:val="20"/>
        </w:rPr>
        <w:t xml:space="preserve">see also supra </w:t>
      </w:r>
      <w:r w:rsidRPr="0069342F">
        <w:rPr>
          <w:sz w:val="20"/>
        </w:rPr>
        <w:t>note</w:t>
      </w:r>
      <w:r w:rsidR="00D43679">
        <w:rPr>
          <w:sz w:val="20"/>
        </w:rPr>
        <w:t>s</w:t>
      </w:r>
      <w:r w:rsidRPr="0069342F">
        <w:rPr>
          <w:sz w:val="20"/>
        </w:rPr>
        <w:t xml:space="preserve"> 3</w:t>
      </w:r>
      <w:r w:rsidR="00D43679">
        <w:rPr>
          <w:sz w:val="20"/>
        </w:rPr>
        <w:t xml:space="preserve"> and 4</w:t>
      </w:r>
      <w:r w:rsidRPr="0069342F">
        <w:rPr>
          <w:sz w:val="20"/>
        </w:rPr>
        <w:t>.</w:t>
      </w:r>
    </w:p>
  </w:footnote>
  <w:footnote w:id="9">
    <w:p w:rsidR="00AC4D49" w:rsidRPr="0069342F" w:rsidP="0069342F" w14:paraId="088E9F5E" w14:textId="77777777">
      <w:pPr>
        <w:pStyle w:val="FootnoteText"/>
        <w:spacing w:after="120"/>
        <w:rPr>
          <w:sz w:val="20"/>
        </w:rPr>
      </w:pPr>
      <w:r w:rsidRPr="0069342F">
        <w:rPr>
          <w:rStyle w:val="FootnoteReference"/>
          <w:sz w:val="20"/>
        </w:rPr>
        <w:footnoteRef/>
      </w:r>
      <w:r w:rsidRPr="0069342F">
        <w:rPr>
          <w:sz w:val="20"/>
        </w:rPr>
        <w:t xml:space="preserve"> Application at 2.</w:t>
      </w:r>
      <w:r w:rsidRPr="0069342F" w:rsidR="00106402">
        <w:rPr>
          <w:sz w:val="20"/>
        </w:rPr>
        <w:t xml:space="preserve">  The general partner of Maggie</w:t>
      </w:r>
      <w:r w:rsidR="001C0706">
        <w:rPr>
          <w:sz w:val="20"/>
        </w:rPr>
        <w:t xml:space="preserve"> holding all the </w:t>
      </w:r>
      <w:r w:rsidRPr="0069342F" w:rsidR="00106402">
        <w:rPr>
          <w:sz w:val="20"/>
        </w:rPr>
        <w:t>voting</w:t>
      </w:r>
      <w:r w:rsidR="001C0706">
        <w:rPr>
          <w:sz w:val="20"/>
        </w:rPr>
        <w:t xml:space="preserve"> interest</w:t>
      </w:r>
      <w:r w:rsidRPr="0069342F" w:rsidR="00106402">
        <w:rPr>
          <w:sz w:val="20"/>
        </w:rPr>
        <w:t xml:space="preserve"> is Kind Lux Manager S.à r.l. (Kind Lux Manager)</w:t>
      </w:r>
      <w:r w:rsidR="002B7D95">
        <w:rPr>
          <w:sz w:val="20"/>
        </w:rPr>
        <w:t>,</w:t>
      </w:r>
      <w:r w:rsidRPr="0069342F" w:rsidR="00106402">
        <w:rPr>
          <w:sz w:val="20"/>
        </w:rPr>
        <w:t xml:space="preserve"> and </w:t>
      </w:r>
      <w:r w:rsidR="001C0706">
        <w:rPr>
          <w:sz w:val="20"/>
        </w:rPr>
        <w:t>all the</w:t>
      </w:r>
      <w:r w:rsidRPr="0069342F" w:rsidR="00106402">
        <w:rPr>
          <w:sz w:val="20"/>
        </w:rPr>
        <w:t xml:space="preserve"> equity interests in Maggie are held by its limited partner, VIP IV Luxembourg S.C.Sp (VIP IV Lux).  The general partner</w:t>
      </w:r>
      <w:r w:rsidR="001C0706">
        <w:rPr>
          <w:sz w:val="20"/>
        </w:rPr>
        <w:t xml:space="preserve"> holding all the </w:t>
      </w:r>
      <w:r w:rsidRPr="0069342F" w:rsidR="00106402">
        <w:rPr>
          <w:sz w:val="20"/>
        </w:rPr>
        <w:t>voting</w:t>
      </w:r>
      <w:r w:rsidR="001C0706">
        <w:rPr>
          <w:sz w:val="20"/>
        </w:rPr>
        <w:t xml:space="preserve"> interest</w:t>
      </w:r>
      <w:r w:rsidRPr="0069342F" w:rsidR="00106402">
        <w:rPr>
          <w:sz w:val="20"/>
        </w:rPr>
        <w:t xml:space="preserve"> of VIP IV Lux and </w:t>
      </w:r>
      <w:r w:rsidR="001C0706">
        <w:rPr>
          <w:sz w:val="20"/>
        </w:rPr>
        <w:t xml:space="preserve">all </w:t>
      </w:r>
      <w:r w:rsidRPr="0069342F" w:rsidR="00106402">
        <w:rPr>
          <w:sz w:val="20"/>
        </w:rPr>
        <w:t>the issued share capital of Kind Lux Manager is VIP IV Luxembourg Manager S.à r.l. (VIP IV Manager)</w:t>
      </w:r>
      <w:r w:rsidR="003F1610">
        <w:rPr>
          <w:sz w:val="20"/>
        </w:rPr>
        <w:t>.</w:t>
      </w:r>
      <w:r w:rsidRPr="0069342F" w:rsidR="00106402">
        <w:rPr>
          <w:sz w:val="20"/>
        </w:rPr>
        <w:t xml:space="preserve">  </w:t>
      </w:r>
      <w:r w:rsidRPr="0069342F" w:rsidR="00106402">
        <w:rPr>
          <w:i/>
          <w:iCs/>
          <w:sz w:val="20"/>
        </w:rPr>
        <w:t>Id.</w:t>
      </w:r>
      <w:r w:rsidRPr="0069342F" w:rsidR="00106402">
        <w:rPr>
          <w:sz w:val="20"/>
        </w:rPr>
        <w:t xml:space="preserve">  </w:t>
      </w:r>
      <w:r w:rsidR="003F1610">
        <w:rPr>
          <w:sz w:val="20"/>
        </w:rPr>
        <w:t>Each of these are Luxembourg entities.</w:t>
      </w:r>
    </w:p>
  </w:footnote>
  <w:footnote w:id="10">
    <w:p w:rsidR="00E27074" w:rsidRPr="0069342F" w:rsidP="0069342F" w14:paraId="62848BCC" w14:textId="77777777">
      <w:pPr>
        <w:pStyle w:val="FootnoteText"/>
        <w:spacing w:after="120"/>
        <w:rPr>
          <w:sz w:val="20"/>
        </w:rPr>
      </w:pPr>
      <w:r w:rsidRPr="0069342F">
        <w:rPr>
          <w:rStyle w:val="FootnoteReference"/>
          <w:sz w:val="20"/>
        </w:rPr>
        <w:footnoteRef/>
      </w:r>
      <w:r w:rsidRPr="0069342F">
        <w:rPr>
          <w:sz w:val="20"/>
        </w:rPr>
        <w:t xml:space="preserve"> VIP IV Nominees holds all the equity interest of VIP IV Lux and also holds all</w:t>
      </w:r>
      <w:r w:rsidRPr="0069342F" w:rsidR="00323D18">
        <w:rPr>
          <w:sz w:val="20"/>
        </w:rPr>
        <w:t xml:space="preserve"> </w:t>
      </w:r>
      <w:r w:rsidRPr="0069342F">
        <w:rPr>
          <w:sz w:val="20"/>
        </w:rPr>
        <w:t>of the issued share capital of VIP IV Manager</w:t>
      </w:r>
      <w:r w:rsidR="002B7D95">
        <w:rPr>
          <w:sz w:val="20"/>
        </w:rPr>
        <w:t xml:space="preserve">.  </w:t>
      </w:r>
      <w:r w:rsidRPr="0069342F">
        <w:rPr>
          <w:i/>
          <w:iCs/>
          <w:sz w:val="20"/>
        </w:rPr>
        <w:t>Id.</w:t>
      </w:r>
      <w:r w:rsidRPr="0069342F">
        <w:rPr>
          <w:sz w:val="20"/>
        </w:rPr>
        <w:t xml:space="preserve"> at 2-3.</w:t>
      </w:r>
    </w:p>
  </w:footnote>
  <w:footnote w:id="11">
    <w:p w:rsidR="00AF4302" w:rsidRPr="0069342F" w:rsidP="0069342F" w14:paraId="11F40939" w14:textId="77777777">
      <w:pPr>
        <w:pStyle w:val="FootnoteText"/>
        <w:spacing w:after="120"/>
        <w:rPr>
          <w:sz w:val="20"/>
        </w:rPr>
      </w:pPr>
      <w:r w:rsidRPr="0069342F">
        <w:rPr>
          <w:rStyle w:val="FootnoteReference"/>
          <w:sz w:val="20"/>
        </w:rPr>
        <w:footnoteRef/>
      </w:r>
      <w:r w:rsidRPr="0069342F">
        <w:rPr>
          <w:sz w:val="20"/>
        </w:rPr>
        <w:t xml:space="preserve"> </w:t>
      </w:r>
      <w:r w:rsidR="00481CAC">
        <w:rPr>
          <w:sz w:val="20"/>
        </w:rPr>
        <w:t xml:space="preserve">The general partner of </w:t>
      </w:r>
      <w:r w:rsidRPr="0069342F">
        <w:rPr>
          <w:sz w:val="20"/>
        </w:rPr>
        <w:t xml:space="preserve"> VIP IV </w:t>
      </w:r>
      <w:r w:rsidR="00481CAC">
        <w:rPr>
          <w:sz w:val="20"/>
        </w:rPr>
        <w:t xml:space="preserve">LP is </w:t>
      </w:r>
      <w:r w:rsidRPr="0069342F">
        <w:rPr>
          <w:sz w:val="20"/>
        </w:rPr>
        <w:t>Vitruvian General Partner LLP</w:t>
      </w:r>
      <w:r w:rsidR="00481CAC">
        <w:rPr>
          <w:sz w:val="20"/>
        </w:rPr>
        <w:t>, which</w:t>
      </w:r>
      <w:r w:rsidRPr="0069342F">
        <w:rPr>
          <w:sz w:val="20"/>
        </w:rPr>
        <w:t xml:space="preserve"> is wholly owned by Vitruvian.  </w:t>
      </w:r>
      <w:r w:rsidRPr="0069342F">
        <w:rPr>
          <w:i/>
          <w:iCs/>
          <w:sz w:val="20"/>
        </w:rPr>
        <w:t>Id.</w:t>
      </w:r>
      <w:r w:rsidRPr="0069342F" w:rsidR="0003262C">
        <w:rPr>
          <w:i/>
          <w:iCs/>
          <w:sz w:val="20"/>
        </w:rPr>
        <w:t xml:space="preserve">  </w:t>
      </w:r>
      <w:r w:rsidRPr="0069342F" w:rsidR="0003262C">
        <w:rPr>
          <w:sz w:val="20"/>
        </w:rPr>
        <w:t xml:space="preserve">Applicants state that Vitruvian is owned by the following members:  Michael Risman (a citizen of the United Kingdom), David Nahama (a U.S. citizen), Torsten Winkler (a citizen of Germany), Stephen Byrne (a citizen of the Republic of Ireland), Benjamin Johnson (a citizen of the United Kingdom), Jussi Wuoristo (a citizen of Finland), Thomas Studd (a citizen of the United Kingdom), Joseph O’Mara (a citizen of the Republic of Ireland), Sophie Straziota (a citizen of the United Kingdom), Robert James Sanderson (a citizen of the United Kingdom), Fabian Wasmus (a citizen of Germany), and Yarrowmena AB (which is a Swedish company owned by Oscar Severin, a Partner of Vitruvian, and a citizen of Sweden).  </w:t>
      </w:r>
      <w:r w:rsidRPr="0069342F" w:rsidR="0003262C">
        <w:rPr>
          <w:i/>
          <w:iCs/>
          <w:sz w:val="20"/>
        </w:rPr>
        <w:t xml:space="preserve">Id.  </w:t>
      </w:r>
    </w:p>
  </w:footnote>
  <w:footnote w:id="12">
    <w:p w:rsidR="00E5583B" w:rsidRPr="0069342F" w:rsidP="00126B1A" w14:paraId="5A1289B3" w14:textId="77777777">
      <w:pPr>
        <w:pStyle w:val="FootnoteText"/>
        <w:spacing w:after="120"/>
        <w:rPr>
          <w:sz w:val="20"/>
        </w:rPr>
      </w:pPr>
      <w:r w:rsidRPr="0069342F">
        <w:rPr>
          <w:rStyle w:val="FootnoteReference"/>
          <w:sz w:val="20"/>
        </w:rPr>
        <w:footnoteRef/>
      </w:r>
      <w:r w:rsidRPr="0069342F">
        <w:rPr>
          <w:sz w:val="20"/>
        </w:rPr>
        <w:t xml:space="preserve"> </w:t>
      </w:r>
      <w:r w:rsidRPr="0069342F">
        <w:rPr>
          <w:i/>
          <w:iCs/>
          <w:sz w:val="20"/>
        </w:rPr>
        <w:t xml:space="preserve">Id. </w:t>
      </w:r>
      <w:r w:rsidRPr="0069342F">
        <w:rPr>
          <w:sz w:val="20"/>
        </w:rPr>
        <w:t>at 5.</w:t>
      </w:r>
      <w:r w:rsidR="00126B1A">
        <w:rPr>
          <w:sz w:val="20"/>
        </w:rPr>
        <w:t xml:space="preserve">  Applicants state that</w:t>
      </w:r>
      <w:r w:rsidR="00AB1A7D">
        <w:rPr>
          <w:sz w:val="20"/>
        </w:rPr>
        <w:t>, other than what is described in the Application,</w:t>
      </w:r>
      <w:r w:rsidR="00126B1A">
        <w:rPr>
          <w:sz w:val="20"/>
        </w:rPr>
        <w:t xml:space="preserve"> neither</w:t>
      </w:r>
      <w:r w:rsidRPr="00126B1A" w:rsidR="00126B1A">
        <w:rPr>
          <w:sz w:val="24"/>
          <w:szCs w:val="24"/>
        </w:rPr>
        <w:t xml:space="preserve"> </w:t>
      </w:r>
      <w:r w:rsidRPr="00126B1A" w:rsidR="00126B1A">
        <w:rPr>
          <w:sz w:val="20"/>
        </w:rPr>
        <w:t>Mr. David Henle</w:t>
      </w:r>
      <w:r w:rsidR="00143228">
        <w:rPr>
          <w:sz w:val="20"/>
        </w:rPr>
        <w:t>y,</w:t>
      </w:r>
      <w:r w:rsidRPr="00126B1A" w:rsidR="00126B1A">
        <w:rPr>
          <w:sz w:val="20"/>
        </w:rPr>
        <w:t xml:space="preserve"> Clairvest</w:t>
      </w:r>
      <w:r w:rsidR="00143228">
        <w:rPr>
          <w:sz w:val="20"/>
        </w:rPr>
        <w:t>,</w:t>
      </w:r>
      <w:r w:rsidRPr="00126B1A" w:rsidR="00126B1A">
        <w:rPr>
          <w:sz w:val="20"/>
        </w:rPr>
        <w:t xml:space="preserve"> nor</w:t>
      </w:r>
      <w:r w:rsidR="00143228">
        <w:rPr>
          <w:sz w:val="20"/>
        </w:rPr>
        <w:t xml:space="preserve"> any of their</w:t>
      </w:r>
      <w:r w:rsidRPr="00126B1A" w:rsidR="00126B1A">
        <w:rPr>
          <w:sz w:val="20"/>
        </w:rPr>
        <w:t xml:space="preserve"> affiliates</w:t>
      </w:r>
      <w:r w:rsidR="00143228">
        <w:rPr>
          <w:sz w:val="20"/>
        </w:rPr>
        <w:t>,</w:t>
      </w:r>
      <w:r w:rsidRPr="00126B1A" w:rsidR="00126B1A">
        <w:rPr>
          <w:sz w:val="20"/>
        </w:rPr>
        <w:t xml:space="preserve"> provide any telecommunications services.</w:t>
      </w:r>
      <w:r w:rsidR="00126B1A">
        <w:rPr>
          <w:sz w:val="20"/>
        </w:rPr>
        <w:t xml:space="preserve"> </w:t>
      </w:r>
      <w:r w:rsidR="00143228">
        <w:rPr>
          <w:sz w:val="20"/>
        </w:rPr>
        <w:t xml:space="preserve"> Supplement at 3.</w:t>
      </w:r>
    </w:p>
  </w:footnote>
  <w:footnote w:id="13">
    <w:p w:rsidR="001C7F67" w:rsidRPr="0069342F" w:rsidP="0069342F" w14:paraId="1439887F" w14:textId="77777777">
      <w:pPr>
        <w:pStyle w:val="FootnoteText"/>
        <w:spacing w:after="120"/>
        <w:rPr>
          <w:sz w:val="20"/>
        </w:rPr>
      </w:pPr>
      <w:r w:rsidRPr="0069342F">
        <w:rPr>
          <w:rStyle w:val="FootnoteReference"/>
          <w:sz w:val="20"/>
        </w:rPr>
        <w:footnoteRef/>
      </w:r>
      <w:r w:rsidRPr="0069342F">
        <w:rPr>
          <w:sz w:val="20"/>
        </w:rPr>
        <w:t xml:space="preserve"> </w:t>
      </w:r>
      <w:r w:rsidRPr="0069342F">
        <w:rPr>
          <w:i/>
          <w:iCs/>
          <w:sz w:val="20"/>
        </w:rPr>
        <w:t xml:space="preserve">Id. </w:t>
      </w:r>
      <w:r w:rsidRPr="0069342F">
        <w:rPr>
          <w:sz w:val="20"/>
        </w:rPr>
        <w:t>at 4.</w:t>
      </w:r>
    </w:p>
  </w:footnote>
  <w:footnote w:id="14">
    <w:p w:rsidR="001C7F67" w:rsidRPr="00B05B23" w:rsidP="00B05B23" w14:paraId="7E363C43" w14:textId="77777777">
      <w:pPr>
        <w:pStyle w:val="FootnoteText"/>
        <w:spacing w:after="120"/>
        <w:rPr>
          <w:sz w:val="20"/>
        </w:rPr>
      </w:pPr>
      <w:r w:rsidRPr="00B05B23">
        <w:rPr>
          <w:rStyle w:val="FootnoteReference"/>
          <w:sz w:val="20"/>
        </w:rPr>
        <w:footnoteRef/>
      </w:r>
      <w:r w:rsidRPr="00B05B23">
        <w:rPr>
          <w:sz w:val="20"/>
        </w:rPr>
        <w:t xml:space="preserve"> </w:t>
      </w:r>
      <w:r w:rsidRPr="00B05B23">
        <w:rPr>
          <w:i/>
          <w:iCs/>
          <w:sz w:val="20"/>
        </w:rPr>
        <w:t xml:space="preserve">Id. </w:t>
      </w:r>
      <w:r w:rsidRPr="00B05B23">
        <w:rPr>
          <w:sz w:val="20"/>
        </w:rPr>
        <w:t>at 5.</w:t>
      </w:r>
    </w:p>
  </w:footnote>
  <w:footnote w:id="15">
    <w:p w:rsidR="00293D83" w:rsidRPr="00B05B23" w:rsidP="00B05B23" w14:paraId="01B2C52A" w14:textId="77777777">
      <w:pPr>
        <w:pStyle w:val="FootnoteText"/>
        <w:spacing w:after="120"/>
        <w:rPr>
          <w:sz w:val="20"/>
        </w:rPr>
      </w:pPr>
      <w:r w:rsidRPr="00B05B23">
        <w:rPr>
          <w:rStyle w:val="FootnoteReference"/>
          <w:sz w:val="20"/>
        </w:rPr>
        <w:footnoteRef/>
      </w:r>
      <w:r w:rsidRPr="00B05B23">
        <w:rPr>
          <w:sz w:val="20"/>
        </w:rPr>
        <w:t xml:space="preserve"> </w:t>
      </w:r>
      <w:r w:rsidRPr="00B05B23">
        <w:rPr>
          <w:color w:val="020100"/>
          <w:sz w:val="20"/>
        </w:rPr>
        <w:t>47 CFR § 63.03(c)(1)(v).</w:t>
      </w:r>
    </w:p>
  </w:footnote>
  <w:footnote w:id="16">
    <w:p w:rsidR="00F446FE" w:rsidRPr="00B05B23" w:rsidP="00B05B23" w14:paraId="4242823F" w14:textId="77777777">
      <w:pPr>
        <w:pStyle w:val="FootnoteText"/>
        <w:spacing w:after="120"/>
        <w:rPr>
          <w:sz w:val="20"/>
        </w:rPr>
      </w:pPr>
      <w:r w:rsidRPr="00B05B23">
        <w:rPr>
          <w:rStyle w:val="FootnoteReference"/>
          <w:sz w:val="20"/>
        </w:rPr>
        <w:footnoteRef/>
      </w:r>
      <w:r w:rsidRPr="00B05B23">
        <w:rPr>
          <w:sz w:val="20"/>
        </w:rPr>
        <w:t xml:space="preserve"> 47 CFR § 1.40001. </w:t>
      </w:r>
      <w:r w:rsidRPr="00B05B23">
        <w:rPr>
          <w:i/>
          <w:iCs/>
          <w:sz w:val="20"/>
        </w:rPr>
        <w:t>See Process Reform for Executive Branch Review of Certain FCC Applications and Petitions Involving Foreign Ownership</w:t>
      </w:r>
      <w:r w:rsidRPr="00B05B23">
        <w:rPr>
          <w:sz w:val="20"/>
        </w:rPr>
        <w:t xml:space="preserve">, IB Docket 16-155, Report and Order, 35 FCC Rcd 10927 (2020), Erratum (Appendix B — Final Rules), DA 20-1404 (OMD/IB rel. Nov. 27, 2020).  </w:t>
      </w:r>
      <w:r w:rsidRPr="00B05B23">
        <w:rPr>
          <w:i/>
          <w:iCs/>
          <w:sz w:val="20"/>
        </w:rPr>
        <w:t>See also Rules and Policies on Foreign Participation in the U.S. Telecommunications Market; Market Entry and Regulation of Foreign- Affiliated Entities</w:t>
      </w:r>
      <w:r w:rsidRPr="00B05B23">
        <w:rPr>
          <w:sz w:val="20"/>
        </w:rPr>
        <w:t>, IB Docket Nos. 97-142 and 95-22, Report and Order and Order on Reconsideration, 12 FCC Rcd 23891, 23918-19, paras. 61-63 (1997) (</w:t>
      </w:r>
      <w:r w:rsidRPr="00B05B23">
        <w:rPr>
          <w:i/>
          <w:iCs/>
          <w:sz w:val="20"/>
        </w:rPr>
        <w:t>Foreign Participation Order</w:t>
      </w:r>
      <w:r w:rsidRPr="00B05B23">
        <w:rPr>
          <w:sz w:val="20"/>
        </w:rPr>
        <w:t>), recon. denied, 15 FCC Rcd 18158 (2000).</w:t>
      </w:r>
    </w:p>
  </w:footnote>
  <w:footnote w:id="17">
    <w:p w:rsidR="00B05B23" w:rsidRPr="00B05B23" w:rsidP="00B05B23" w14:paraId="0C8B8841" w14:textId="77777777">
      <w:pPr>
        <w:pStyle w:val="FootnoteText"/>
        <w:spacing w:after="120"/>
        <w:rPr>
          <w:sz w:val="20"/>
          <w:u w:val="single"/>
        </w:rPr>
      </w:pPr>
      <w:r w:rsidRPr="00B05B23">
        <w:rPr>
          <w:rStyle w:val="FootnoteReference"/>
          <w:sz w:val="20"/>
        </w:rPr>
        <w:footnoteRef/>
      </w:r>
      <w:r w:rsidRPr="00B05B23">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B05B23">
        <w:rPr>
          <w:rFonts w:eastAsia="Calibri"/>
          <w:i/>
          <w:iCs/>
          <w:sz w:val="20"/>
        </w:rPr>
        <w:t>See FCC Announces Closure of FCC Headquarters Open Window and Change in Hand-Delivery Policy</w:t>
      </w:r>
      <w:r w:rsidRPr="00B05B23">
        <w:rPr>
          <w:rFonts w:eastAsia="Calibri"/>
          <w:sz w:val="20"/>
        </w:rPr>
        <w:t>, Public Notice, 35 FCC Rcd 2788 (OS 2020).</w:t>
      </w:r>
    </w:p>
  </w:footnote>
  <w:footnote w:id="18">
    <w:p w:rsidR="00B05B23" w:rsidRPr="00B05B23" w:rsidP="00B05B23" w14:paraId="5FF6D62A" w14:textId="77777777">
      <w:pPr>
        <w:pStyle w:val="FootnoteText"/>
        <w:spacing w:after="120"/>
        <w:rPr>
          <w:sz w:val="20"/>
        </w:rPr>
      </w:pPr>
      <w:r w:rsidRPr="00B05B23">
        <w:rPr>
          <w:rStyle w:val="FootnoteReference"/>
          <w:sz w:val="20"/>
        </w:rPr>
        <w:footnoteRef/>
      </w:r>
      <w:r w:rsidRPr="00B05B23">
        <w:rPr>
          <w:sz w:val="20"/>
        </w:rPr>
        <w:t xml:space="preserve"> </w:t>
      </w:r>
      <w:r w:rsidRPr="00B05B23">
        <w:rPr>
          <w:i/>
          <w:sz w:val="20"/>
        </w:rPr>
        <w:t>See</w:t>
      </w:r>
      <w:r w:rsidRPr="00B05B2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307CEF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0B59D933" w14:textId="77777777">
                <w:pPr>
                  <w:rPr>
                    <w:rFonts w:ascii="Arial" w:hAnsi="Arial"/>
                    <w:b/>
                  </w:rPr>
                </w:pPr>
                <w:r>
                  <w:rPr>
                    <w:rFonts w:ascii="Arial" w:hAnsi="Arial"/>
                    <w:b/>
                  </w:rPr>
                  <w:t>Federal Communications Commission</w:t>
                </w:r>
              </w:p>
              <w:p w:rsidR="005E21F5" w14:paraId="10EE3925" w14:textId="77777777">
                <w:pPr>
                  <w:rPr>
                    <w:rFonts w:ascii="Arial" w:hAnsi="Arial"/>
                    <w:b/>
                  </w:rPr>
                </w:pPr>
                <w:r>
                  <w:rPr>
                    <w:rFonts w:ascii="Arial" w:hAnsi="Arial"/>
                    <w:b/>
                  </w:rPr>
                  <w:t>45 L St., N.E.</w:t>
                </w:r>
              </w:p>
              <w:p w:rsidR="005E21F5" w14:paraId="1E12FC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4D9B2175"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81AA577" w14:textId="77777777">
                <w:pPr>
                  <w:spacing w:before="40"/>
                  <w:jc w:val="right"/>
                  <w:rPr>
                    <w:rFonts w:ascii="Arial" w:hAnsi="Arial"/>
                    <w:b/>
                    <w:sz w:val="16"/>
                  </w:rPr>
                </w:pPr>
                <w:r>
                  <w:rPr>
                    <w:rFonts w:ascii="Arial" w:hAnsi="Arial"/>
                    <w:b/>
                    <w:sz w:val="16"/>
                  </w:rPr>
                  <w:t>News Media Information 202 / 418-0500</w:t>
                </w:r>
              </w:p>
              <w:p w:rsidR="005E21F5" w14:paraId="314ABD4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B4CB1DA" w14:textId="77777777">
                <w:pPr>
                  <w:jc w:val="right"/>
                  <w:rPr>
                    <w:rFonts w:ascii="Arial" w:hAnsi="Arial"/>
                    <w:b/>
                    <w:sz w:val="16"/>
                  </w:rPr>
                </w:pPr>
              </w:p>
              <w:p w:rsidR="005E21F5" w14:paraId="684FB63C" w14:textId="77777777">
                <w:pPr>
                  <w:jc w:val="right"/>
                </w:pPr>
              </w:p>
            </w:txbxContent>
          </v:textbox>
        </v:shape>
      </w:pict>
    </w:r>
  </w:p>
  <w:p w:rsidR="005E21F5" w14:paraId="535F75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DB8C65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62C"/>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55C"/>
    <w:rsid w:val="00050A3A"/>
    <w:rsid w:val="000534AC"/>
    <w:rsid w:val="000575E7"/>
    <w:rsid w:val="00057881"/>
    <w:rsid w:val="00057E12"/>
    <w:rsid w:val="000603A9"/>
    <w:rsid w:val="00061925"/>
    <w:rsid w:val="000629CF"/>
    <w:rsid w:val="0006324D"/>
    <w:rsid w:val="000639C7"/>
    <w:rsid w:val="00063CA5"/>
    <w:rsid w:val="00064C7D"/>
    <w:rsid w:val="00064FAD"/>
    <w:rsid w:val="000656F9"/>
    <w:rsid w:val="0006624C"/>
    <w:rsid w:val="00066D12"/>
    <w:rsid w:val="000677D9"/>
    <w:rsid w:val="000721D3"/>
    <w:rsid w:val="00073173"/>
    <w:rsid w:val="000735C8"/>
    <w:rsid w:val="00075D57"/>
    <w:rsid w:val="00076F57"/>
    <w:rsid w:val="00077E64"/>
    <w:rsid w:val="00080265"/>
    <w:rsid w:val="00080F60"/>
    <w:rsid w:val="0008381D"/>
    <w:rsid w:val="00086D16"/>
    <w:rsid w:val="00087205"/>
    <w:rsid w:val="00092A4E"/>
    <w:rsid w:val="000946FB"/>
    <w:rsid w:val="0009534A"/>
    <w:rsid w:val="00097AB0"/>
    <w:rsid w:val="000A24AA"/>
    <w:rsid w:val="000A27D7"/>
    <w:rsid w:val="000A2EEF"/>
    <w:rsid w:val="000A65C4"/>
    <w:rsid w:val="000A671D"/>
    <w:rsid w:val="000B0795"/>
    <w:rsid w:val="000B1C31"/>
    <w:rsid w:val="000B2362"/>
    <w:rsid w:val="000B3146"/>
    <w:rsid w:val="000B390D"/>
    <w:rsid w:val="000B48A6"/>
    <w:rsid w:val="000B4EDD"/>
    <w:rsid w:val="000B5635"/>
    <w:rsid w:val="000B6679"/>
    <w:rsid w:val="000B6839"/>
    <w:rsid w:val="000C1460"/>
    <w:rsid w:val="000C7CA4"/>
    <w:rsid w:val="000D3A8B"/>
    <w:rsid w:val="000D7E4D"/>
    <w:rsid w:val="000E14B7"/>
    <w:rsid w:val="000E1546"/>
    <w:rsid w:val="000E2D43"/>
    <w:rsid w:val="000E35A7"/>
    <w:rsid w:val="000E4938"/>
    <w:rsid w:val="000E538C"/>
    <w:rsid w:val="000E5955"/>
    <w:rsid w:val="000F02F7"/>
    <w:rsid w:val="000F233E"/>
    <w:rsid w:val="000F467E"/>
    <w:rsid w:val="000F5E94"/>
    <w:rsid w:val="00100ED3"/>
    <w:rsid w:val="001019E2"/>
    <w:rsid w:val="00101D0B"/>
    <w:rsid w:val="00106402"/>
    <w:rsid w:val="00106F5A"/>
    <w:rsid w:val="00114887"/>
    <w:rsid w:val="001150BA"/>
    <w:rsid w:val="0011590C"/>
    <w:rsid w:val="0011599F"/>
    <w:rsid w:val="00117529"/>
    <w:rsid w:val="00117D06"/>
    <w:rsid w:val="00120A16"/>
    <w:rsid w:val="001211D7"/>
    <w:rsid w:val="001226CB"/>
    <w:rsid w:val="0012329A"/>
    <w:rsid w:val="0012437D"/>
    <w:rsid w:val="00126B1A"/>
    <w:rsid w:val="00126DDB"/>
    <w:rsid w:val="00131952"/>
    <w:rsid w:val="00132529"/>
    <w:rsid w:val="0013405D"/>
    <w:rsid w:val="00134FFC"/>
    <w:rsid w:val="001356E5"/>
    <w:rsid w:val="00135941"/>
    <w:rsid w:val="0014084C"/>
    <w:rsid w:val="00141388"/>
    <w:rsid w:val="00141BD0"/>
    <w:rsid w:val="00142ED5"/>
    <w:rsid w:val="00143228"/>
    <w:rsid w:val="001449F9"/>
    <w:rsid w:val="00144E61"/>
    <w:rsid w:val="001470F0"/>
    <w:rsid w:val="001513B4"/>
    <w:rsid w:val="0015217F"/>
    <w:rsid w:val="00152CF6"/>
    <w:rsid w:val="00156EA3"/>
    <w:rsid w:val="00161A99"/>
    <w:rsid w:val="00165FDC"/>
    <w:rsid w:val="00167C35"/>
    <w:rsid w:val="00167F71"/>
    <w:rsid w:val="00171181"/>
    <w:rsid w:val="001736D0"/>
    <w:rsid w:val="00176BD0"/>
    <w:rsid w:val="00187617"/>
    <w:rsid w:val="00190267"/>
    <w:rsid w:val="00190745"/>
    <w:rsid w:val="001916C0"/>
    <w:rsid w:val="00193234"/>
    <w:rsid w:val="001947E9"/>
    <w:rsid w:val="00194E1E"/>
    <w:rsid w:val="001A00A7"/>
    <w:rsid w:val="001A2DFA"/>
    <w:rsid w:val="001A3813"/>
    <w:rsid w:val="001A3B07"/>
    <w:rsid w:val="001A3E67"/>
    <w:rsid w:val="001A47EC"/>
    <w:rsid w:val="001A5568"/>
    <w:rsid w:val="001B1E25"/>
    <w:rsid w:val="001B2C26"/>
    <w:rsid w:val="001B2FBB"/>
    <w:rsid w:val="001B4C2F"/>
    <w:rsid w:val="001B57A4"/>
    <w:rsid w:val="001B69F9"/>
    <w:rsid w:val="001B6EFA"/>
    <w:rsid w:val="001C0706"/>
    <w:rsid w:val="001C3C98"/>
    <w:rsid w:val="001C3D38"/>
    <w:rsid w:val="001C5D07"/>
    <w:rsid w:val="001C78FB"/>
    <w:rsid w:val="001C7CD1"/>
    <w:rsid w:val="001C7F67"/>
    <w:rsid w:val="001D10A0"/>
    <w:rsid w:val="001D3F27"/>
    <w:rsid w:val="001E16CA"/>
    <w:rsid w:val="001E2274"/>
    <w:rsid w:val="001E382D"/>
    <w:rsid w:val="001E659B"/>
    <w:rsid w:val="001E7604"/>
    <w:rsid w:val="001F024C"/>
    <w:rsid w:val="001F1508"/>
    <w:rsid w:val="001F33B5"/>
    <w:rsid w:val="001F6762"/>
    <w:rsid w:val="0020342F"/>
    <w:rsid w:val="0020364C"/>
    <w:rsid w:val="002057AC"/>
    <w:rsid w:val="00207926"/>
    <w:rsid w:val="00211CCB"/>
    <w:rsid w:val="00213D04"/>
    <w:rsid w:val="00214339"/>
    <w:rsid w:val="00214441"/>
    <w:rsid w:val="00215D21"/>
    <w:rsid w:val="0021680F"/>
    <w:rsid w:val="002217F0"/>
    <w:rsid w:val="00221E35"/>
    <w:rsid w:val="002223D3"/>
    <w:rsid w:val="00222993"/>
    <w:rsid w:val="0022329B"/>
    <w:rsid w:val="002233EF"/>
    <w:rsid w:val="00223E8C"/>
    <w:rsid w:val="0022449B"/>
    <w:rsid w:val="00225F62"/>
    <w:rsid w:val="00226656"/>
    <w:rsid w:val="00226CC3"/>
    <w:rsid w:val="002308A9"/>
    <w:rsid w:val="00230D61"/>
    <w:rsid w:val="002344E7"/>
    <w:rsid w:val="00234F46"/>
    <w:rsid w:val="00240B49"/>
    <w:rsid w:val="00241CB2"/>
    <w:rsid w:val="0024326F"/>
    <w:rsid w:val="002460BE"/>
    <w:rsid w:val="00247EA2"/>
    <w:rsid w:val="00250D93"/>
    <w:rsid w:val="002519DF"/>
    <w:rsid w:val="00251C80"/>
    <w:rsid w:val="0025247F"/>
    <w:rsid w:val="00253247"/>
    <w:rsid w:val="00253AB2"/>
    <w:rsid w:val="00257543"/>
    <w:rsid w:val="00257DD2"/>
    <w:rsid w:val="002606A8"/>
    <w:rsid w:val="0026090D"/>
    <w:rsid w:val="00262C25"/>
    <w:rsid w:val="00262E65"/>
    <w:rsid w:val="00263433"/>
    <w:rsid w:val="0026356E"/>
    <w:rsid w:val="00265C03"/>
    <w:rsid w:val="00266135"/>
    <w:rsid w:val="002666BC"/>
    <w:rsid w:val="00266D63"/>
    <w:rsid w:val="00267BF2"/>
    <w:rsid w:val="00272142"/>
    <w:rsid w:val="00280873"/>
    <w:rsid w:val="0028149F"/>
    <w:rsid w:val="0028397D"/>
    <w:rsid w:val="0028555C"/>
    <w:rsid w:val="00286187"/>
    <w:rsid w:val="00287432"/>
    <w:rsid w:val="00287FB9"/>
    <w:rsid w:val="0029098D"/>
    <w:rsid w:val="00293D83"/>
    <w:rsid w:val="00297F1D"/>
    <w:rsid w:val="002A1D13"/>
    <w:rsid w:val="002A30D9"/>
    <w:rsid w:val="002A7BD3"/>
    <w:rsid w:val="002B0771"/>
    <w:rsid w:val="002B16FA"/>
    <w:rsid w:val="002B1948"/>
    <w:rsid w:val="002B1EF7"/>
    <w:rsid w:val="002B26A1"/>
    <w:rsid w:val="002B34DB"/>
    <w:rsid w:val="002B430C"/>
    <w:rsid w:val="002B5D0C"/>
    <w:rsid w:val="002B6B43"/>
    <w:rsid w:val="002B705C"/>
    <w:rsid w:val="002B7287"/>
    <w:rsid w:val="002B7D95"/>
    <w:rsid w:val="002C0122"/>
    <w:rsid w:val="002C203E"/>
    <w:rsid w:val="002C22F3"/>
    <w:rsid w:val="002C27F4"/>
    <w:rsid w:val="002C3F26"/>
    <w:rsid w:val="002D09E2"/>
    <w:rsid w:val="002D11BE"/>
    <w:rsid w:val="002D16A6"/>
    <w:rsid w:val="002D3316"/>
    <w:rsid w:val="002D3826"/>
    <w:rsid w:val="002D4A00"/>
    <w:rsid w:val="002D4A7B"/>
    <w:rsid w:val="002D4CB4"/>
    <w:rsid w:val="002D65CC"/>
    <w:rsid w:val="002D6B37"/>
    <w:rsid w:val="002D6F61"/>
    <w:rsid w:val="002E0BAF"/>
    <w:rsid w:val="002E2A6F"/>
    <w:rsid w:val="002E2B02"/>
    <w:rsid w:val="002E363F"/>
    <w:rsid w:val="002E4894"/>
    <w:rsid w:val="002E7C72"/>
    <w:rsid w:val="002F2901"/>
    <w:rsid w:val="002F4E17"/>
    <w:rsid w:val="002F5F38"/>
    <w:rsid w:val="0030051C"/>
    <w:rsid w:val="0030523C"/>
    <w:rsid w:val="00305D86"/>
    <w:rsid w:val="00306AAD"/>
    <w:rsid w:val="0031156F"/>
    <w:rsid w:val="00312061"/>
    <w:rsid w:val="00312CE1"/>
    <w:rsid w:val="00313546"/>
    <w:rsid w:val="00315BA9"/>
    <w:rsid w:val="00315D50"/>
    <w:rsid w:val="00315FCD"/>
    <w:rsid w:val="0031636F"/>
    <w:rsid w:val="00321F97"/>
    <w:rsid w:val="00323D18"/>
    <w:rsid w:val="00325988"/>
    <w:rsid w:val="00325E35"/>
    <w:rsid w:val="0032625B"/>
    <w:rsid w:val="00326D3C"/>
    <w:rsid w:val="00332D2D"/>
    <w:rsid w:val="00334E5E"/>
    <w:rsid w:val="00334E6C"/>
    <w:rsid w:val="0033631D"/>
    <w:rsid w:val="00340881"/>
    <w:rsid w:val="00345CA2"/>
    <w:rsid w:val="003471AE"/>
    <w:rsid w:val="003479C9"/>
    <w:rsid w:val="00351689"/>
    <w:rsid w:val="00351A6F"/>
    <w:rsid w:val="00351D1D"/>
    <w:rsid w:val="00353CB5"/>
    <w:rsid w:val="0035663A"/>
    <w:rsid w:val="00357319"/>
    <w:rsid w:val="0035749B"/>
    <w:rsid w:val="00360A78"/>
    <w:rsid w:val="003632CF"/>
    <w:rsid w:val="00364590"/>
    <w:rsid w:val="00364DFB"/>
    <w:rsid w:val="00364E88"/>
    <w:rsid w:val="00365194"/>
    <w:rsid w:val="00366BC6"/>
    <w:rsid w:val="00367E50"/>
    <w:rsid w:val="00370A7F"/>
    <w:rsid w:val="00371142"/>
    <w:rsid w:val="00372CA2"/>
    <w:rsid w:val="003768D4"/>
    <w:rsid w:val="0037705C"/>
    <w:rsid w:val="00377184"/>
    <w:rsid w:val="003811C7"/>
    <w:rsid w:val="003817EB"/>
    <w:rsid w:val="003855A0"/>
    <w:rsid w:val="00387294"/>
    <w:rsid w:val="003879D0"/>
    <w:rsid w:val="00387BBE"/>
    <w:rsid w:val="0039175A"/>
    <w:rsid w:val="00394D23"/>
    <w:rsid w:val="00395294"/>
    <w:rsid w:val="003954A4"/>
    <w:rsid w:val="00395A7A"/>
    <w:rsid w:val="00396D92"/>
    <w:rsid w:val="003A0227"/>
    <w:rsid w:val="003A04F5"/>
    <w:rsid w:val="003A0E99"/>
    <w:rsid w:val="003A18A0"/>
    <w:rsid w:val="003A1DFF"/>
    <w:rsid w:val="003A253D"/>
    <w:rsid w:val="003A2BEF"/>
    <w:rsid w:val="003A2CE0"/>
    <w:rsid w:val="003A4713"/>
    <w:rsid w:val="003A580D"/>
    <w:rsid w:val="003A7B39"/>
    <w:rsid w:val="003B01B9"/>
    <w:rsid w:val="003B08F2"/>
    <w:rsid w:val="003B26B4"/>
    <w:rsid w:val="003B43C3"/>
    <w:rsid w:val="003B5CEE"/>
    <w:rsid w:val="003C18DA"/>
    <w:rsid w:val="003C2000"/>
    <w:rsid w:val="003C23FE"/>
    <w:rsid w:val="003C4852"/>
    <w:rsid w:val="003C4A02"/>
    <w:rsid w:val="003C7229"/>
    <w:rsid w:val="003D08F3"/>
    <w:rsid w:val="003D0E6A"/>
    <w:rsid w:val="003D0F37"/>
    <w:rsid w:val="003D0F71"/>
    <w:rsid w:val="003D0F8F"/>
    <w:rsid w:val="003D4F94"/>
    <w:rsid w:val="003E14F3"/>
    <w:rsid w:val="003E1784"/>
    <w:rsid w:val="003E187A"/>
    <w:rsid w:val="003E2077"/>
    <w:rsid w:val="003E2442"/>
    <w:rsid w:val="003E3AD7"/>
    <w:rsid w:val="003E5630"/>
    <w:rsid w:val="003E58EC"/>
    <w:rsid w:val="003E6571"/>
    <w:rsid w:val="003F0ECD"/>
    <w:rsid w:val="003F1610"/>
    <w:rsid w:val="003F16BE"/>
    <w:rsid w:val="003F1D04"/>
    <w:rsid w:val="003F2CD4"/>
    <w:rsid w:val="003F398A"/>
    <w:rsid w:val="003F6DED"/>
    <w:rsid w:val="0040580F"/>
    <w:rsid w:val="004076BA"/>
    <w:rsid w:val="004077D0"/>
    <w:rsid w:val="00411B85"/>
    <w:rsid w:val="00412C94"/>
    <w:rsid w:val="00417052"/>
    <w:rsid w:val="00420995"/>
    <w:rsid w:val="00422B16"/>
    <w:rsid w:val="0042593D"/>
    <w:rsid w:val="00425FAF"/>
    <w:rsid w:val="00425FB5"/>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296E"/>
    <w:rsid w:val="00453514"/>
    <w:rsid w:val="0045717F"/>
    <w:rsid w:val="00460914"/>
    <w:rsid w:val="004609A4"/>
    <w:rsid w:val="00462D8F"/>
    <w:rsid w:val="00464B4D"/>
    <w:rsid w:val="00464E8A"/>
    <w:rsid w:val="00465520"/>
    <w:rsid w:val="00466B9F"/>
    <w:rsid w:val="00473955"/>
    <w:rsid w:val="00476EFB"/>
    <w:rsid w:val="004808FC"/>
    <w:rsid w:val="00481CA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30A"/>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5E3A"/>
    <w:rsid w:val="004E5EC1"/>
    <w:rsid w:val="004E6AC6"/>
    <w:rsid w:val="004E718B"/>
    <w:rsid w:val="004E74EE"/>
    <w:rsid w:val="004E758D"/>
    <w:rsid w:val="004F1C11"/>
    <w:rsid w:val="004F2447"/>
    <w:rsid w:val="004F3603"/>
    <w:rsid w:val="004F3CEC"/>
    <w:rsid w:val="004F515D"/>
    <w:rsid w:val="004F686B"/>
    <w:rsid w:val="004F6F64"/>
    <w:rsid w:val="004F6FEB"/>
    <w:rsid w:val="00501D17"/>
    <w:rsid w:val="00501F06"/>
    <w:rsid w:val="00504505"/>
    <w:rsid w:val="00504BF5"/>
    <w:rsid w:val="00505DA1"/>
    <w:rsid w:val="005107DF"/>
    <w:rsid w:val="0051681C"/>
    <w:rsid w:val="005226C6"/>
    <w:rsid w:val="00524D79"/>
    <w:rsid w:val="00526561"/>
    <w:rsid w:val="005273AB"/>
    <w:rsid w:val="005320B5"/>
    <w:rsid w:val="005323AB"/>
    <w:rsid w:val="00533917"/>
    <w:rsid w:val="00535877"/>
    <w:rsid w:val="00536ED2"/>
    <w:rsid w:val="0053732F"/>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B7645"/>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1C16"/>
    <w:rsid w:val="005E21F5"/>
    <w:rsid w:val="005E40DD"/>
    <w:rsid w:val="005E6383"/>
    <w:rsid w:val="005E65C4"/>
    <w:rsid w:val="005E7A72"/>
    <w:rsid w:val="005E7C21"/>
    <w:rsid w:val="005F0281"/>
    <w:rsid w:val="005F06C4"/>
    <w:rsid w:val="005F090A"/>
    <w:rsid w:val="005F189F"/>
    <w:rsid w:val="005F2812"/>
    <w:rsid w:val="005F4B79"/>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4AF1"/>
    <w:rsid w:val="00616221"/>
    <w:rsid w:val="00616757"/>
    <w:rsid w:val="00617F31"/>
    <w:rsid w:val="00622967"/>
    <w:rsid w:val="00626D16"/>
    <w:rsid w:val="006311C4"/>
    <w:rsid w:val="00633290"/>
    <w:rsid w:val="006338C5"/>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2A09"/>
    <w:rsid w:val="00663300"/>
    <w:rsid w:val="00663975"/>
    <w:rsid w:val="006639BB"/>
    <w:rsid w:val="006703D5"/>
    <w:rsid w:val="0067115F"/>
    <w:rsid w:val="006768CC"/>
    <w:rsid w:val="00677AEE"/>
    <w:rsid w:val="00677DF3"/>
    <w:rsid w:val="0068067C"/>
    <w:rsid w:val="00680868"/>
    <w:rsid w:val="00684AB3"/>
    <w:rsid w:val="006876EF"/>
    <w:rsid w:val="00690EA9"/>
    <w:rsid w:val="00691832"/>
    <w:rsid w:val="0069342F"/>
    <w:rsid w:val="00693C2C"/>
    <w:rsid w:val="0069455A"/>
    <w:rsid w:val="00695785"/>
    <w:rsid w:val="00697832"/>
    <w:rsid w:val="006A138C"/>
    <w:rsid w:val="006A156E"/>
    <w:rsid w:val="006A19A2"/>
    <w:rsid w:val="006A1C8E"/>
    <w:rsid w:val="006A1F64"/>
    <w:rsid w:val="006A3BD7"/>
    <w:rsid w:val="006B26F7"/>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71A"/>
    <w:rsid w:val="006D49DF"/>
    <w:rsid w:val="006D4FB7"/>
    <w:rsid w:val="006E099D"/>
    <w:rsid w:val="006E3B3B"/>
    <w:rsid w:val="006E3C11"/>
    <w:rsid w:val="006E3E11"/>
    <w:rsid w:val="006E45F1"/>
    <w:rsid w:val="006E4EF0"/>
    <w:rsid w:val="006E5548"/>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1628F"/>
    <w:rsid w:val="00721062"/>
    <w:rsid w:val="00721165"/>
    <w:rsid w:val="00724722"/>
    <w:rsid w:val="0072750E"/>
    <w:rsid w:val="00733B9B"/>
    <w:rsid w:val="007349C4"/>
    <w:rsid w:val="007413DA"/>
    <w:rsid w:val="00741682"/>
    <w:rsid w:val="0074294F"/>
    <w:rsid w:val="00744022"/>
    <w:rsid w:val="00745559"/>
    <w:rsid w:val="007468B5"/>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6744"/>
    <w:rsid w:val="007B7204"/>
    <w:rsid w:val="007C06D5"/>
    <w:rsid w:val="007C2014"/>
    <w:rsid w:val="007C263F"/>
    <w:rsid w:val="007C4108"/>
    <w:rsid w:val="007D03E3"/>
    <w:rsid w:val="007D2657"/>
    <w:rsid w:val="007D27E1"/>
    <w:rsid w:val="007D2E71"/>
    <w:rsid w:val="007D31F7"/>
    <w:rsid w:val="007D3B6A"/>
    <w:rsid w:val="007D3B8F"/>
    <w:rsid w:val="007D3CD0"/>
    <w:rsid w:val="007D3D64"/>
    <w:rsid w:val="007D7D8B"/>
    <w:rsid w:val="007E0464"/>
    <w:rsid w:val="007E051A"/>
    <w:rsid w:val="007E3EF9"/>
    <w:rsid w:val="007E44C2"/>
    <w:rsid w:val="007E47B5"/>
    <w:rsid w:val="007E64BB"/>
    <w:rsid w:val="007F23AB"/>
    <w:rsid w:val="007F40E3"/>
    <w:rsid w:val="0080023C"/>
    <w:rsid w:val="0080055D"/>
    <w:rsid w:val="00801576"/>
    <w:rsid w:val="00803625"/>
    <w:rsid w:val="00804B53"/>
    <w:rsid w:val="008052CD"/>
    <w:rsid w:val="00805DF1"/>
    <w:rsid w:val="00807040"/>
    <w:rsid w:val="0081108D"/>
    <w:rsid w:val="00813C6D"/>
    <w:rsid w:val="0081531F"/>
    <w:rsid w:val="008177D0"/>
    <w:rsid w:val="00817B2E"/>
    <w:rsid w:val="00817CEC"/>
    <w:rsid w:val="00821491"/>
    <w:rsid w:val="00824E65"/>
    <w:rsid w:val="00827358"/>
    <w:rsid w:val="0082798B"/>
    <w:rsid w:val="00830915"/>
    <w:rsid w:val="00831D30"/>
    <w:rsid w:val="0083237E"/>
    <w:rsid w:val="00834136"/>
    <w:rsid w:val="0083618B"/>
    <w:rsid w:val="00837B07"/>
    <w:rsid w:val="00840199"/>
    <w:rsid w:val="0084125A"/>
    <w:rsid w:val="0084563E"/>
    <w:rsid w:val="008470BA"/>
    <w:rsid w:val="0084778A"/>
    <w:rsid w:val="00850A62"/>
    <w:rsid w:val="0085101A"/>
    <w:rsid w:val="00851095"/>
    <w:rsid w:val="00853114"/>
    <w:rsid w:val="00853ACD"/>
    <w:rsid w:val="00854D82"/>
    <w:rsid w:val="0085536D"/>
    <w:rsid w:val="0085579D"/>
    <w:rsid w:val="00856944"/>
    <w:rsid w:val="00857761"/>
    <w:rsid w:val="008650A4"/>
    <w:rsid w:val="0086691C"/>
    <w:rsid w:val="008675C7"/>
    <w:rsid w:val="00870E07"/>
    <w:rsid w:val="00873A6D"/>
    <w:rsid w:val="00873C90"/>
    <w:rsid w:val="0087554B"/>
    <w:rsid w:val="00876629"/>
    <w:rsid w:val="0087685F"/>
    <w:rsid w:val="00876BE1"/>
    <w:rsid w:val="00877D35"/>
    <w:rsid w:val="008850A3"/>
    <w:rsid w:val="00890CFD"/>
    <w:rsid w:val="008931FC"/>
    <w:rsid w:val="00893308"/>
    <w:rsid w:val="00894B20"/>
    <w:rsid w:val="008950DE"/>
    <w:rsid w:val="008954D0"/>
    <w:rsid w:val="00895561"/>
    <w:rsid w:val="00895EC3"/>
    <w:rsid w:val="0089666B"/>
    <w:rsid w:val="008A16BE"/>
    <w:rsid w:val="008A2C82"/>
    <w:rsid w:val="008A5AB2"/>
    <w:rsid w:val="008A5E93"/>
    <w:rsid w:val="008A65A6"/>
    <w:rsid w:val="008A6CDA"/>
    <w:rsid w:val="008B2627"/>
    <w:rsid w:val="008B3835"/>
    <w:rsid w:val="008C0750"/>
    <w:rsid w:val="008C0B4A"/>
    <w:rsid w:val="008C1C7C"/>
    <w:rsid w:val="008C294A"/>
    <w:rsid w:val="008C297A"/>
    <w:rsid w:val="008C2DCD"/>
    <w:rsid w:val="008C3B0F"/>
    <w:rsid w:val="008C482E"/>
    <w:rsid w:val="008C58D7"/>
    <w:rsid w:val="008C5968"/>
    <w:rsid w:val="008C679F"/>
    <w:rsid w:val="008C7CA7"/>
    <w:rsid w:val="008D11F6"/>
    <w:rsid w:val="008D16FB"/>
    <w:rsid w:val="008D2804"/>
    <w:rsid w:val="008D29D5"/>
    <w:rsid w:val="008D51DE"/>
    <w:rsid w:val="008D5CEF"/>
    <w:rsid w:val="008E0514"/>
    <w:rsid w:val="008E1F98"/>
    <w:rsid w:val="008E27B4"/>
    <w:rsid w:val="008E3218"/>
    <w:rsid w:val="008E3B8B"/>
    <w:rsid w:val="008E416A"/>
    <w:rsid w:val="008E6F5B"/>
    <w:rsid w:val="008E7011"/>
    <w:rsid w:val="008F1B26"/>
    <w:rsid w:val="008F1B9F"/>
    <w:rsid w:val="008F2CF6"/>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23EB2"/>
    <w:rsid w:val="0093491F"/>
    <w:rsid w:val="009375A4"/>
    <w:rsid w:val="0094117D"/>
    <w:rsid w:val="009416A6"/>
    <w:rsid w:val="00950639"/>
    <w:rsid w:val="0095183E"/>
    <w:rsid w:val="00951941"/>
    <w:rsid w:val="00951B8C"/>
    <w:rsid w:val="0095318C"/>
    <w:rsid w:val="009558A7"/>
    <w:rsid w:val="00956255"/>
    <w:rsid w:val="009564D0"/>
    <w:rsid w:val="00960857"/>
    <w:rsid w:val="00962B29"/>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140E"/>
    <w:rsid w:val="00992C03"/>
    <w:rsid w:val="0099352F"/>
    <w:rsid w:val="00995176"/>
    <w:rsid w:val="009A068F"/>
    <w:rsid w:val="009A0D7F"/>
    <w:rsid w:val="009A124E"/>
    <w:rsid w:val="009A338B"/>
    <w:rsid w:val="009A41E5"/>
    <w:rsid w:val="009A483F"/>
    <w:rsid w:val="009A503B"/>
    <w:rsid w:val="009A53C3"/>
    <w:rsid w:val="009A570C"/>
    <w:rsid w:val="009A7B5B"/>
    <w:rsid w:val="009B0128"/>
    <w:rsid w:val="009B0757"/>
    <w:rsid w:val="009B097E"/>
    <w:rsid w:val="009B18C4"/>
    <w:rsid w:val="009B1CCF"/>
    <w:rsid w:val="009B2319"/>
    <w:rsid w:val="009B2852"/>
    <w:rsid w:val="009B2ACA"/>
    <w:rsid w:val="009B5191"/>
    <w:rsid w:val="009B6797"/>
    <w:rsid w:val="009B6B9B"/>
    <w:rsid w:val="009B7836"/>
    <w:rsid w:val="009B79EF"/>
    <w:rsid w:val="009C175B"/>
    <w:rsid w:val="009C1999"/>
    <w:rsid w:val="009C209E"/>
    <w:rsid w:val="009C27E9"/>
    <w:rsid w:val="009C2C26"/>
    <w:rsid w:val="009C3304"/>
    <w:rsid w:val="009C3922"/>
    <w:rsid w:val="009C3EC2"/>
    <w:rsid w:val="009C4538"/>
    <w:rsid w:val="009C53C4"/>
    <w:rsid w:val="009C5CEB"/>
    <w:rsid w:val="009C75F3"/>
    <w:rsid w:val="009C7BE4"/>
    <w:rsid w:val="009D05AC"/>
    <w:rsid w:val="009D0956"/>
    <w:rsid w:val="009D0C5A"/>
    <w:rsid w:val="009D25CE"/>
    <w:rsid w:val="009D7781"/>
    <w:rsid w:val="009E1797"/>
    <w:rsid w:val="009E312D"/>
    <w:rsid w:val="009E32BA"/>
    <w:rsid w:val="009E40EA"/>
    <w:rsid w:val="009E4467"/>
    <w:rsid w:val="009F4216"/>
    <w:rsid w:val="009F4470"/>
    <w:rsid w:val="009F5196"/>
    <w:rsid w:val="009F52E2"/>
    <w:rsid w:val="00A00CAA"/>
    <w:rsid w:val="00A02164"/>
    <w:rsid w:val="00A02787"/>
    <w:rsid w:val="00A07DE6"/>
    <w:rsid w:val="00A11865"/>
    <w:rsid w:val="00A132F3"/>
    <w:rsid w:val="00A137F4"/>
    <w:rsid w:val="00A14FAC"/>
    <w:rsid w:val="00A15248"/>
    <w:rsid w:val="00A229F0"/>
    <w:rsid w:val="00A230E6"/>
    <w:rsid w:val="00A25AB6"/>
    <w:rsid w:val="00A25C41"/>
    <w:rsid w:val="00A26754"/>
    <w:rsid w:val="00A268CF"/>
    <w:rsid w:val="00A30C04"/>
    <w:rsid w:val="00A326BD"/>
    <w:rsid w:val="00A3545A"/>
    <w:rsid w:val="00A36DEA"/>
    <w:rsid w:val="00A37CD0"/>
    <w:rsid w:val="00A41F9A"/>
    <w:rsid w:val="00A4540E"/>
    <w:rsid w:val="00A47815"/>
    <w:rsid w:val="00A47EA1"/>
    <w:rsid w:val="00A55BA1"/>
    <w:rsid w:val="00A55F2F"/>
    <w:rsid w:val="00A569E4"/>
    <w:rsid w:val="00A60963"/>
    <w:rsid w:val="00A64935"/>
    <w:rsid w:val="00A67B1E"/>
    <w:rsid w:val="00A7446F"/>
    <w:rsid w:val="00A75C97"/>
    <w:rsid w:val="00A77A14"/>
    <w:rsid w:val="00A8041F"/>
    <w:rsid w:val="00A824AF"/>
    <w:rsid w:val="00A826F0"/>
    <w:rsid w:val="00A85752"/>
    <w:rsid w:val="00A85921"/>
    <w:rsid w:val="00A8794B"/>
    <w:rsid w:val="00A91559"/>
    <w:rsid w:val="00A92C9E"/>
    <w:rsid w:val="00A930EF"/>
    <w:rsid w:val="00A94D7F"/>
    <w:rsid w:val="00A964BE"/>
    <w:rsid w:val="00A9705F"/>
    <w:rsid w:val="00AA04BA"/>
    <w:rsid w:val="00AA1CE3"/>
    <w:rsid w:val="00AA461C"/>
    <w:rsid w:val="00AA50FB"/>
    <w:rsid w:val="00AA662F"/>
    <w:rsid w:val="00AA79C4"/>
    <w:rsid w:val="00AB1A7D"/>
    <w:rsid w:val="00AB2A9E"/>
    <w:rsid w:val="00AB582C"/>
    <w:rsid w:val="00AB6787"/>
    <w:rsid w:val="00AC4A48"/>
    <w:rsid w:val="00AC4CEF"/>
    <w:rsid w:val="00AC4D49"/>
    <w:rsid w:val="00AC7FFC"/>
    <w:rsid w:val="00AD0360"/>
    <w:rsid w:val="00AD0DF2"/>
    <w:rsid w:val="00AD2147"/>
    <w:rsid w:val="00AD23E5"/>
    <w:rsid w:val="00AD440B"/>
    <w:rsid w:val="00AD68EA"/>
    <w:rsid w:val="00AD690B"/>
    <w:rsid w:val="00AD6AEC"/>
    <w:rsid w:val="00AE10B2"/>
    <w:rsid w:val="00AE16BD"/>
    <w:rsid w:val="00AE4EB4"/>
    <w:rsid w:val="00AE69B5"/>
    <w:rsid w:val="00AF04F4"/>
    <w:rsid w:val="00AF16FC"/>
    <w:rsid w:val="00AF1A8C"/>
    <w:rsid w:val="00AF26B2"/>
    <w:rsid w:val="00AF3506"/>
    <w:rsid w:val="00AF4302"/>
    <w:rsid w:val="00AF43D8"/>
    <w:rsid w:val="00AF6905"/>
    <w:rsid w:val="00AF6938"/>
    <w:rsid w:val="00B001EF"/>
    <w:rsid w:val="00B00CBF"/>
    <w:rsid w:val="00B00F51"/>
    <w:rsid w:val="00B01C67"/>
    <w:rsid w:val="00B02029"/>
    <w:rsid w:val="00B02CE4"/>
    <w:rsid w:val="00B04549"/>
    <w:rsid w:val="00B04DDD"/>
    <w:rsid w:val="00B05B23"/>
    <w:rsid w:val="00B07676"/>
    <w:rsid w:val="00B07DCE"/>
    <w:rsid w:val="00B11E8B"/>
    <w:rsid w:val="00B13AC2"/>
    <w:rsid w:val="00B16BB3"/>
    <w:rsid w:val="00B17A14"/>
    <w:rsid w:val="00B252B2"/>
    <w:rsid w:val="00B26819"/>
    <w:rsid w:val="00B26F72"/>
    <w:rsid w:val="00B275B7"/>
    <w:rsid w:val="00B30941"/>
    <w:rsid w:val="00B3095D"/>
    <w:rsid w:val="00B309DB"/>
    <w:rsid w:val="00B32670"/>
    <w:rsid w:val="00B32A8C"/>
    <w:rsid w:val="00B33058"/>
    <w:rsid w:val="00B335D6"/>
    <w:rsid w:val="00B33723"/>
    <w:rsid w:val="00B3405E"/>
    <w:rsid w:val="00B41B3D"/>
    <w:rsid w:val="00B427E6"/>
    <w:rsid w:val="00B43A08"/>
    <w:rsid w:val="00B446D0"/>
    <w:rsid w:val="00B500E9"/>
    <w:rsid w:val="00B506FC"/>
    <w:rsid w:val="00B50FF2"/>
    <w:rsid w:val="00B52C92"/>
    <w:rsid w:val="00B54359"/>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3EB7"/>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6C"/>
    <w:rsid w:val="00BA4C16"/>
    <w:rsid w:val="00BA5CCA"/>
    <w:rsid w:val="00BA6803"/>
    <w:rsid w:val="00BB0D72"/>
    <w:rsid w:val="00BB1216"/>
    <w:rsid w:val="00BB16F2"/>
    <w:rsid w:val="00BB1B19"/>
    <w:rsid w:val="00BB24EB"/>
    <w:rsid w:val="00BB7CEB"/>
    <w:rsid w:val="00BC0F23"/>
    <w:rsid w:val="00BC1394"/>
    <w:rsid w:val="00BC25E9"/>
    <w:rsid w:val="00BC7555"/>
    <w:rsid w:val="00BD2155"/>
    <w:rsid w:val="00BD2520"/>
    <w:rsid w:val="00BD3278"/>
    <w:rsid w:val="00BD3C65"/>
    <w:rsid w:val="00BD5AFA"/>
    <w:rsid w:val="00BD5F83"/>
    <w:rsid w:val="00BD6631"/>
    <w:rsid w:val="00BE0364"/>
    <w:rsid w:val="00BE063A"/>
    <w:rsid w:val="00BE09A9"/>
    <w:rsid w:val="00BE1FC9"/>
    <w:rsid w:val="00BE4AA1"/>
    <w:rsid w:val="00BE4C7C"/>
    <w:rsid w:val="00BF0B00"/>
    <w:rsid w:val="00BF3E2A"/>
    <w:rsid w:val="00BF4558"/>
    <w:rsid w:val="00BF54A4"/>
    <w:rsid w:val="00BF741B"/>
    <w:rsid w:val="00C001B1"/>
    <w:rsid w:val="00C100C9"/>
    <w:rsid w:val="00C1025D"/>
    <w:rsid w:val="00C117C2"/>
    <w:rsid w:val="00C11939"/>
    <w:rsid w:val="00C11C1B"/>
    <w:rsid w:val="00C15025"/>
    <w:rsid w:val="00C152B5"/>
    <w:rsid w:val="00C15C4A"/>
    <w:rsid w:val="00C16A22"/>
    <w:rsid w:val="00C16F28"/>
    <w:rsid w:val="00C219A5"/>
    <w:rsid w:val="00C229D8"/>
    <w:rsid w:val="00C24812"/>
    <w:rsid w:val="00C3071B"/>
    <w:rsid w:val="00C324E6"/>
    <w:rsid w:val="00C33788"/>
    <w:rsid w:val="00C35C48"/>
    <w:rsid w:val="00C3643D"/>
    <w:rsid w:val="00C36CCB"/>
    <w:rsid w:val="00C3705B"/>
    <w:rsid w:val="00C37D69"/>
    <w:rsid w:val="00C404CF"/>
    <w:rsid w:val="00C405A1"/>
    <w:rsid w:val="00C41395"/>
    <w:rsid w:val="00C42D1B"/>
    <w:rsid w:val="00C4446E"/>
    <w:rsid w:val="00C4607F"/>
    <w:rsid w:val="00C521F8"/>
    <w:rsid w:val="00C53E5E"/>
    <w:rsid w:val="00C60F32"/>
    <w:rsid w:val="00C612FD"/>
    <w:rsid w:val="00C64B14"/>
    <w:rsid w:val="00C64DFC"/>
    <w:rsid w:val="00C66C4F"/>
    <w:rsid w:val="00C676AD"/>
    <w:rsid w:val="00C67FE7"/>
    <w:rsid w:val="00C70494"/>
    <w:rsid w:val="00C72423"/>
    <w:rsid w:val="00C72714"/>
    <w:rsid w:val="00C744C3"/>
    <w:rsid w:val="00C749BC"/>
    <w:rsid w:val="00C75DF3"/>
    <w:rsid w:val="00C76B61"/>
    <w:rsid w:val="00C76C0E"/>
    <w:rsid w:val="00C76CCF"/>
    <w:rsid w:val="00C80742"/>
    <w:rsid w:val="00C81DA7"/>
    <w:rsid w:val="00C82A4A"/>
    <w:rsid w:val="00C82D34"/>
    <w:rsid w:val="00C83682"/>
    <w:rsid w:val="00C84A4A"/>
    <w:rsid w:val="00C8763B"/>
    <w:rsid w:val="00C9095A"/>
    <w:rsid w:val="00C90989"/>
    <w:rsid w:val="00C90D72"/>
    <w:rsid w:val="00C92510"/>
    <w:rsid w:val="00C9414E"/>
    <w:rsid w:val="00C950B4"/>
    <w:rsid w:val="00C9578D"/>
    <w:rsid w:val="00CA3644"/>
    <w:rsid w:val="00CA5169"/>
    <w:rsid w:val="00CB0068"/>
    <w:rsid w:val="00CB08EA"/>
    <w:rsid w:val="00CB1CBB"/>
    <w:rsid w:val="00CB56E5"/>
    <w:rsid w:val="00CB5D7D"/>
    <w:rsid w:val="00CB6B4E"/>
    <w:rsid w:val="00CC3DC6"/>
    <w:rsid w:val="00CC45A6"/>
    <w:rsid w:val="00CC70CB"/>
    <w:rsid w:val="00CD20C1"/>
    <w:rsid w:val="00CD3CBE"/>
    <w:rsid w:val="00CD5614"/>
    <w:rsid w:val="00CD6760"/>
    <w:rsid w:val="00CD711A"/>
    <w:rsid w:val="00CD7F18"/>
    <w:rsid w:val="00CE03DE"/>
    <w:rsid w:val="00CE3D85"/>
    <w:rsid w:val="00CE49B4"/>
    <w:rsid w:val="00CF046F"/>
    <w:rsid w:val="00CF1452"/>
    <w:rsid w:val="00CF2BC7"/>
    <w:rsid w:val="00CF4BB1"/>
    <w:rsid w:val="00CF569B"/>
    <w:rsid w:val="00CF6822"/>
    <w:rsid w:val="00CF6960"/>
    <w:rsid w:val="00D00C86"/>
    <w:rsid w:val="00D0148B"/>
    <w:rsid w:val="00D01A62"/>
    <w:rsid w:val="00D02269"/>
    <w:rsid w:val="00D04963"/>
    <w:rsid w:val="00D04DB0"/>
    <w:rsid w:val="00D05475"/>
    <w:rsid w:val="00D0695A"/>
    <w:rsid w:val="00D07F8C"/>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3679"/>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3F33"/>
    <w:rsid w:val="00D84FE8"/>
    <w:rsid w:val="00D8568B"/>
    <w:rsid w:val="00D85A2E"/>
    <w:rsid w:val="00D90B6C"/>
    <w:rsid w:val="00D918DB"/>
    <w:rsid w:val="00D92868"/>
    <w:rsid w:val="00D937FF"/>
    <w:rsid w:val="00D94C3B"/>
    <w:rsid w:val="00D94FDC"/>
    <w:rsid w:val="00D9655B"/>
    <w:rsid w:val="00DA0E3C"/>
    <w:rsid w:val="00DA1392"/>
    <w:rsid w:val="00DA1E1B"/>
    <w:rsid w:val="00DA2683"/>
    <w:rsid w:val="00DA26DF"/>
    <w:rsid w:val="00DA2A23"/>
    <w:rsid w:val="00DA2C92"/>
    <w:rsid w:val="00DA55F8"/>
    <w:rsid w:val="00DB0CA1"/>
    <w:rsid w:val="00DB1344"/>
    <w:rsid w:val="00DB15FB"/>
    <w:rsid w:val="00DB57D5"/>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D5700"/>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78D"/>
    <w:rsid w:val="00DF538D"/>
    <w:rsid w:val="00DF627F"/>
    <w:rsid w:val="00DF635A"/>
    <w:rsid w:val="00DF6BB3"/>
    <w:rsid w:val="00E0360B"/>
    <w:rsid w:val="00E042F4"/>
    <w:rsid w:val="00E04732"/>
    <w:rsid w:val="00E05096"/>
    <w:rsid w:val="00E07B1B"/>
    <w:rsid w:val="00E100F3"/>
    <w:rsid w:val="00E10C0C"/>
    <w:rsid w:val="00E11A1D"/>
    <w:rsid w:val="00E13826"/>
    <w:rsid w:val="00E1390B"/>
    <w:rsid w:val="00E16412"/>
    <w:rsid w:val="00E16D19"/>
    <w:rsid w:val="00E201EE"/>
    <w:rsid w:val="00E20DF3"/>
    <w:rsid w:val="00E21D8E"/>
    <w:rsid w:val="00E22E53"/>
    <w:rsid w:val="00E23AF4"/>
    <w:rsid w:val="00E27074"/>
    <w:rsid w:val="00E27AAE"/>
    <w:rsid w:val="00E30C1D"/>
    <w:rsid w:val="00E31619"/>
    <w:rsid w:val="00E3312A"/>
    <w:rsid w:val="00E34FAC"/>
    <w:rsid w:val="00E36408"/>
    <w:rsid w:val="00E36A37"/>
    <w:rsid w:val="00E417E3"/>
    <w:rsid w:val="00E43799"/>
    <w:rsid w:val="00E43A72"/>
    <w:rsid w:val="00E43F64"/>
    <w:rsid w:val="00E4471B"/>
    <w:rsid w:val="00E478CC"/>
    <w:rsid w:val="00E517B1"/>
    <w:rsid w:val="00E51A47"/>
    <w:rsid w:val="00E51C3D"/>
    <w:rsid w:val="00E54722"/>
    <w:rsid w:val="00E547F0"/>
    <w:rsid w:val="00E5583B"/>
    <w:rsid w:val="00E55A96"/>
    <w:rsid w:val="00E577F2"/>
    <w:rsid w:val="00E63C52"/>
    <w:rsid w:val="00E64254"/>
    <w:rsid w:val="00E6637B"/>
    <w:rsid w:val="00E67D1E"/>
    <w:rsid w:val="00E7033D"/>
    <w:rsid w:val="00E70C10"/>
    <w:rsid w:val="00E729FE"/>
    <w:rsid w:val="00E74981"/>
    <w:rsid w:val="00E76148"/>
    <w:rsid w:val="00E82910"/>
    <w:rsid w:val="00E8472C"/>
    <w:rsid w:val="00E84DF2"/>
    <w:rsid w:val="00E84F99"/>
    <w:rsid w:val="00E86237"/>
    <w:rsid w:val="00E86FCB"/>
    <w:rsid w:val="00E87A1A"/>
    <w:rsid w:val="00E90A56"/>
    <w:rsid w:val="00E918BD"/>
    <w:rsid w:val="00E92F16"/>
    <w:rsid w:val="00E94F15"/>
    <w:rsid w:val="00E97A6D"/>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493"/>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33A0"/>
    <w:rsid w:val="00EF45D4"/>
    <w:rsid w:val="00EF59CB"/>
    <w:rsid w:val="00F0047B"/>
    <w:rsid w:val="00F016FA"/>
    <w:rsid w:val="00F02173"/>
    <w:rsid w:val="00F03FBE"/>
    <w:rsid w:val="00F04342"/>
    <w:rsid w:val="00F048D9"/>
    <w:rsid w:val="00F04E22"/>
    <w:rsid w:val="00F05755"/>
    <w:rsid w:val="00F07FAF"/>
    <w:rsid w:val="00F125FF"/>
    <w:rsid w:val="00F12675"/>
    <w:rsid w:val="00F12E9C"/>
    <w:rsid w:val="00F13E8E"/>
    <w:rsid w:val="00F149F6"/>
    <w:rsid w:val="00F151DB"/>
    <w:rsid w:val="00F2145D"/>
    <w:rsid w:val="00F22A55"/>
    <w:rsid w:val="00F23F94"/>
    <w:rsid w:val="00F24030"/>
    <w:rsid w:val="00F242B0"/>
    <w:rsid w:val="00F242B2"/>
    <w:rsid w:val="00F24782"/>
    <w:rsid w:val="00F257E5"/>
    <w:rsid w:val="00F25C6B"/>
    <w:rsid w:val="00F270D4"/>
    <w:rsid w:val="00F27F09"/>
    <w:rsid w:val="00F3027E"/>
    <w:rsid w:val="00F3092F"/>
    <w:rsid w:val="00F30EA4"/>
    <w:rsid w:val="00F3488E"/>
    <w:rsid w:val="00F35D70"/>
    <w:rsid w:val="00F36FF9"/>
    <w:rsid w:val="00F3762F"/>
    <w:rsid w:val="00F41DFE"/>
    <w:rsid w:val="00F43CCF"/>
    <w:rsid w:val="00F446FE"/>
    <w:rsid w:val="00F4490B"/>
    <w:rsid w:val="00F451CB"/>
    <w:rsid w:val="00F4549D"/>
    <w:rsid w:val="00F51F08"/>
    <w:rsid w:val="00F52571"/>
    <w:rsid w:val="00F54AF5"/>
    <w:rsid w:val="00F57A04"/>
    <w:rsid w:val="00F644CD"/>
    <w:rsid w:val="00F65523"/>
    <w:rsid w:val="00F6664A"/>
    <w:rsid w:val="00F674FB"/>
    <w:rsid w:val="00F7052D"/>
    <w:rsid w:val="00F737C1"/>
    <w:rsid w:val="00F7536F"/>
    <w:rsid w:val="00F768B9"/>
    <w:rsid w:val="00F80D9C"/>
    <w:rsid w:val="00F825B6"/>
    <w:rsid w:val="00F83075"/>
    <w:rsid w:val="00F84F1C"/>
    <w:rsid w:val="00F859AF"/>
    <w:rsid w:val="00F87117"/>
    <w:rsid w:val="00F91423"/>
    <w:rsid w:val="00F94FC9"/>
    <w:rsid w:val="00F966F2"/>
    <w:rsid w:val="00F97307"/>
    <w:rsid w:val="00F97D0D"/>
    <w:rsid w:val="00FA093F"/>
    <w:rsid w:val="00FA32B6"/>
    <w:rsid w:val="00FA337D"/>
    <w:rsid w:val="00FA3E37"/>
    <w:rsid w:val="00FA546C"/>
    <w:rsid w:val="00FA68BC"/>
    <w:rsid w:val="00FA76F1"/>
    <w:rsid w:val="00FB15A3"/>
    <w:rsid w:val="00FB2DB4"/>
    <w:rsid w:val="00FB6CC3"/>
    <w:rsid w:val="00FB729A"/>
    <w:rsid w:val="00FC3E30"/>
    <w:rsid w:val="00FC45DC"/>
    <w:rsid w:val="00FC4B01"/>
    <w:rsid w:val="00FC4BE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4BE5"/>
    <w:rsid w:val="00FE6F2D"/>
    <w:rsid w:val="00FF1466"/>
    <w:rsid w:val="00FF30FF"/>
    <w:rsid w:val="00FF3171"/>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98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