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136F79" w14:paraId="080E4209" w14:textId="77777777">
      <w:pPr>
        <w:jc w:val="center"/>
        <w:rPr>
          <w:b/>
        </w:rPr>
      </w:pPr>
      <w:r w:rsidRPr="0070224F">
        <w:rPr>
          <w:rFonts w:ascii="Times New Roman Bold" w:hAnsi="Times New Roman Bold"/>
          <w:b/>
          <w:kern w:val="0"/>
          <w:szCs w:val="22"/>
        </w:rPr>
        <w:t>Before</w:t>
      </w:r>
      <w:r>
        <w:rPr>
          <w:b/>
        </w:rPr>
        <w:t xml:space="preserve"> the</w:t>
      </w:r>
    </w:p>
    <w:p w:rsidR="00921803" w:rsidP="00136F79" w14:paraId="2607FBA8" w14:textId="77777777">
      <w:pPr>
        <w:pStyle w:val="StyleBoldCentered"/>
      </w:pPr>
      <w:r>
        <w:t>F</w:t>
      </w:r>
      <w:r>
        <w:rPr>
          <w:caps w:val="0"/>
        </w:rPr>
        <w:t>ederal Communications Commission</w:t>
      </w:r>
    </w:p>
    <w:p w:rsidR="004C2EE3" w:rsidP="00136F79" w14:paraId="1B4E3234" w14:textId="77777777">
      <w:pPr>
        <w:pStyle w:val="StyleBoldCentered"/>
      </w:pPr>
      <w:r>
        <w:rPr>
          <w:caps w:val="0"/>
        </w:rPr>
        <w:t>Washington, D.C. 20554</w:t>
      </w:r>
    </w:p>
    <w:p w:rsidR="004C2EE3" w:rsidP="00136F79" w14:paraId="21E8A406" w14:textId="77777777"/>
    <w:p w:rsidR="004C2EE3" w:rsidP="00136F79" w14:paraId="74E93751" w14:textId="77777777"/>
    <w:tbl>
      <w:tblPr>
        <w:tblW w:w="9576" w:type="dxa"/>
        <w:tblLayout w:type="fixed"/>
        <w:tblLook w:val="0000"/>
      </w:tblPr>
      <w:tblGrid>
        <w:gridCol w:w="4410"/>
        <w:gridCol w:w="918"/>
        <w:gridCol w:w="4248"/>
      </w:tblGrid>
      <w:tr w14:paraId="4EA59BAB" w14:textId="77777777" w:rsidTr="000A3928">
        <w:tblPrEx>
          <w:tblW w:w="9576" w:type="dxa"/>
          <w:tblLayout w:type="fixed"/>
          <w:tblLook w:val="0000"/>
        </w:tblPrEx>
        <w:tc>
          <w:tcPr>
            <w:tcW w:w="4410" w:type="dxa"/>
          </w:tcPr>
          <w:p w:rsidR="004C2EE3" w:rsidP="00136F79" w14:paraId="31FC2705" w14:textId="77777777">
            <w:pPr>
              <w:tabs>
                <w:tab w:val="center" w:pos="4680"/>
              </w:tabs>
              <w:suppressAutoHyphens/>
              <w:rPr>
                <w:spacing w:val="-2"/>
              </w:rPr>
            </w:pPr>
            <w:r>
              <w:rPr>
                <w:spacing w:val="-2"/>
              </w:rPr>
              <w:t>In the Matter of</w:t>
            </w:r>
          </w:p>
          <w:p w:rsidR="004C2EE3" w:rsidP="00136F79" w14:paraId="3171C9C0" w14:textId="77777777">
            <w:pPr>
              <w:tabs>
                <w:tab w:val="center" w:pos="4680"/>
              </w:tabs>
              <w:suppressAutoHyphens/>
              <w:rPr>
                <w:spacing w:val="-2"/>
              </w:rPr>
            </w:pPr>
          </w:p>
          <w:p w:rsidR="00273EB6" w:rsidRPr="00926FCE" w:rsidP="00136F79" w14:paraId="5342337C" w14:textId="77777777">
            <w:pPr>
              <w:tabs>
                <w:tab w:val="center" w:pos="4680"/>
              </w:tabs>
              <w:suppressAutoHyphens/>
              <w:rPr>
                <w:spacing w:val="-2"/>
              </w:rPr>
            </w:pPr>
            <w:r w:rsidRPr="00926FCE">
              <w:rPr>
                <w:spacing w:val="-2"/>
              </w:rPr>
              <w:t>Telecommunications Relay Services and Speech-to-Speech Services for Individuals with Hearing and Speech Disabilities</w:t>
            </w:r>
          </w:p>
          <w:p w:rsidR="00A93B0A" w:rsidRPr="00A93B0A" w:rsidP="00136F79" w14:paraId="606FB0C8" w14:textId="77777777">
            <w:pPr>
              <w:tabs>
                <w:tab w:val="center" w:pos="4680"/>
              </w:tabs>
              <w:suppressAutoHyphens/>
              <w:rPr>
                <w:spacing w:val="-2"/>
              </w:rPr>
            </w:pPr>
          </w:p>
          <w:p w:rsidR="00D03D68" w:rsidRPr="00926FCE" w:rsidP="00136F79" w14:paraId="4BC2C657" w14:textId="77777777">
            <w:pPr>
              <w:tabs>
                <w:tab w:val="center" w:pos="4680"/>
              </w:tabs>
              <w:suppressAutoHyphens/>
              <w:rPr>
                <w:spacing w:val="-2"/>
              </w:rPr>
            </w:pPr>
            <w:r w:rsidRPr="00926FCE">
              <w:rPr>
                <w:spacing w:val="-2"/>
              </w:rPr>
              <w:t>Misuse of Internet Protocol (IP) Captioned Telephone Service</w:t>
            </w:r>
          </w:p>
          <w:p w:rsidR="004C2EE3" w:rsidP="00136F79" w14:paraId="1E5A59CD" w14:textId="77777777">
            <w:pPr>
              <w:tabs>
                <w:tab w:val="center" w:pos="4680"/>
              </w:tabs>
              <w:suppressAutoHyphens/>
              <w:rPr>
                <w:spacing w:val="-2"/>
              </w:rPr>
            </w:pPr>
          </w:p>
          <w:p w:rsidR="00084CAA" w:rsidRPr="007115F7" w:rsidP="00136F79" w14:paraId="7555A9E8" w14:textId="4004750C">
            <w:pPr>
              <w:tabs>
                <w:tab w:val="center" w:pos="4680"/>
              </w:tabs>
              <w:suppressAutoHyphens/>
              <w:rPr>
                <w:spacing w:val="-2"/>
              </w:rPr>
            </w:pPr>
            <w:r w:rsidRPr="00926FCE">
              <w:rPr>
                <w:spacing w:val="-2"/>
              </w:rPr>
              <w:t>Mezmo Corporation d/b/a InnoCaption</w:t>
            </w:r>
            <w:r>
              <w:rPr>
                <w:spacing w:val="-2"/>
              </w:rPr>
              <w:t xml:space="preserve"> </w:t>
            </w:r>
            <w:r w:rsidRPr="00926FCE">
              <w:rPr>
                <w:spacing w:val="-2"/>
              </w:rPr>
              <w:t>Certification to Provide Internet Protocol Captioned Telephone Service (IP CTS)</w:t>
            </w:r>
          </w:p>
        </w:tc>
        <w:tc>
          <w:tcPr>
            <w:tcW w:w="918" w:type="dxa"/>
          </w:tcPr>
          <w:p w:rsidR="004C2EE3" w:rsidP="00136F79" w14:paraId="72641D58" w14:textId="77777777">
            <w:pPr>
              <w:tabs>
                <w:tab w:val="center" w:pos="4680"/>
              </w:tabs>
              <w:suppressAutoHyphens/>
              <w:rPr>
                <w:b/>
                <w:spacing w:val="-2"/>
              </w:rPr>
            </w:pPr>
            <w:r>
              <w:rPr>
                <w:b/>
                <w:spacing w:val="-2"/>
              </w:rPr>
              <w:t>)</w:t>
            </w:r>
          </w:p>
          <w:p w:rsidR="004C2EE3" w:rsidP="00136F79" w14:paraId="05C6A0C0" w14:textId="77777777">
            <w:pPr>
              <w:tabs>
                <w:tab w:val="center" w:pos="4680"/>
              </w:tabs>
              <w:suppressAutoHyphens/>
              <w:rPr>
                <w:b/>
                <w:spacing w:val="-2"/>
              </w:rPr>
            </w:pPr>
            <w:r>
              <w:rPr>
                <w:b/>
                <w:spacing w:val="-2"/>
              </w:rPr>
              <w:t>)</w:t>
            </w:r>
          </w:p>
          <w:p w:rsidR="004C2EE3" w:rsidP="00136F79" w14:paraId="301188E5" w14:textId="77777777">
            <w:pPr>
              <w:tabs>
                <w:tab w:val="center" w:pos="4680"/>
              </w:tabs>
              <w:suppressAutoHyphens/>
              <w:rPr>
                <w:b/>
                <w:spacing w:val="-2"/>
              </w:rPr>
            </w:pPr>
            <w:r>
              <w:rPr>
                <w:b/>
                <w:spacing w:val="-2"/>
              </w:rPr>
              <w:t>)</w:t>
            </w:r>
          </w:p>
          <w:p w:rsidR="004C2EE3" w:rsidP="00136F79" w14:paraId="2BBD73F0" w14:textId="77777777">
            <w:pPr>
              <w:tabs>
                <w:tab w:val="center" w:pos="4680"/>
              </w:tabs>
              <w:suppressAutoHyphens/>
              <w:rPr>
                <w:b/>
                <w:spacing w:val="-2"/>
              </w:rPr>
            </w:pPr>
            <w:r>
              <w:rPr>
                <w:b/>
                <w:spacing w:val="-2"/>
              </w:rPr>
              <w:t>)</w:t>
            </w:r>
          </w:p>
          <w:p w:rsidR="004C2EE3" w:rsidP="00136F79" w14:paraId="1E158140" w14:textId="77777777">
            <w:pPr>
              <w:tabs>
                <w:tab w:val="center" w:pos="4680"/>
              </w:tabs>
              <w:suppressAutoHyphens/>
              <w:rPr>
                <w:b/>
                <w:spacing w:val="-2"/>
              </w:rPr>
            </w:pPr>
            <w:r>
              <w:rPr>
                <w:b/>
                <w:spacing w:val="-2"/>
              </w:rPr>
              <w:t>)</w:t>
            </w:r>
          </w:p>
          <w:p w:rsidR="004C2EE3" w:rsidP="00136F79" w14:paraId="3A0C3D88" w14:textId="77777777">
            <w:pPr>
              <w:tabs>
                <w:tab w:val="center" w:pos="4680"/>
              </w:tabs>
              <w:suppressAutoHyphens/>
              <w:rPr>
                <w:b/>
                <w:spacing w:val="-2"/>
              </w:rPr>
            </w:pPr>
            <w:r>
              <w:rPr>
                <w:b/>
                <w:spacing w:val="-2"/>
              </w:rPr>
              <w:t>)</w:t>
            </w:r>
          </w:p>
          <w:p w:rsidR="004C2EE3" w:rsidP="00136F79" w14:paraId="4030B292" w14:textId="77777777">
            <w:pPr>
              <w:tabs>
                <w:tab w:val="center" w:pos="4680"/>
              </w:tabs>
              <w:suppressAutoHyphens/>
              <w:rPr>
                <w:b/>
                <w:spacing w:val="-2"/>
              </w:rPr>
            </w:pPr>
            <w:r>
              <w:rPr>
                <w:b/>
                <w:spacing w:val="-2"/>
              </w:rPr>
              <w:t>)</w:t>
            </w:r>
          </w:p>
          <w:p w:rsidR="00D03D68" w:rsidP="00136F79" w14:paraId="5978FEA6" w14:textId="77777777">
            <w:pPr>
              <w:tabs>
                <w:tab w:val="center" w:pos="4680"/>
              </w:tabs>
              <w:suppressAutoHyphens/>
              <w:rPr>
                <w:b/>
                <w:spacing w:val="-2"/>
              </w:rPr>
            </w:pPr>
            <w:r>
              <w:rPr>
                <w:b/>
                <w:spacing w:val="-2"/>
              </w:rPr>
              <w:t>)</w:t>
            </w:r>
          </w:p>
          <w:p w:rsidR="00084CAA" w:rsidP="00136F79" w14:paraId="11CE00F9" w14:textId="77777777">
            <w:pPr>
              <w:tabs>
                <w:tab w:val="center" w:pos="4680"/>
              </w:tabs>
              <w:suppressAutoHyphens/>
              <w:rPr>
                <w:b/>
                <w:spacing w:val="-2"/>
              </w:rPr>
            </w:pPr>
            <w:r>
              <w:rPr>
                <w:b/>
                <w:spacing w:val="-2"/>
              </w:rPr>
              <w:t>)</w:t>
            </w:r>
          </w:p>
          <w:p w:rsidR="00084CAA" w:rsidP="00136F79" w14:paraId="2707FBB1" w14:textId="77777777">
            <w:pPr>
              <w:tabs>
                <w:tab w:val="center" w:pos="4680"/>
              </w:tabs>
              <w:suppressAutoHyphens/>
              <w:rPr>
                <w:b/>
                <w:spacing w:val="-2"/>
              </w:rPr>
            </w:pPr>
            <w:r>
              <w:rPr>
                <w:b/>
                <w:spacing w:val="-2"/>
              </w:rPr>
              <w:t>)</w:t>
            </w:r>
          </w:p>
          <w:p w:rsidR="00084CAA" w:rsidP="00136F79" w14:paraId="784F87B8" w14:textId="77777777">
            <w:pPr>
              <w:tabs>
                <w:tab w:val="center" w:pos="4680"/>
              </w:tabs>
              <w:suppressAutoHyphens/>
              <w:rPr>
                <w:b/>
                <w:spacing w:val="-2"/>
              </w:rPr>
            </w:pPr>
            <w:r>
              <w:rPr>
                <w:b/>
                <w:spacing w:val="-2"/>
              </w:rPr>
              <w:t>)</w:t>
            </w:r>
          </w:p>
          <w:p w:rsidR="00084CAA" w:rsidRPr="00A93B0A" w:rsidP="00136F79" w14:paraId="2D807D3E" w14:textId="2FC82BC3">
            <w:pPr>
              <w:tabs>
                <w:tab w:val="center" w:pos="4680"/>
              </w:tabs>
              <w:suppressAutoHyphens/>
              <w:rPr>
                <w:b/>
                <w:spacing w:val="-2"/>
              </w:rPr>
            </w:pPr>
            <w:r>
              <w:rPr>
                <w:b/>
                <w:spacing w:val="-2"/>
              </w:rPr>
              <w:t>)</w:t>
            </w:r>
          </w:p>
        </w:tc>
        <w:tc>
          <w:tcPr>
            <w:tcW w:w="4248" w:type="dxa"/>
          </w:tcPr>
          <w:p w:rsidR="004C2EE3" w:rsidP="00136F79" w14:paraId="35517AED" w14:textId="77777777">
            <w:pPr>
              <w:tabs>
                <w:tab w:val="center" w:pos="4680"/>
              </w:tabs>
              <w:suppressAutoHyphens/>
              <w:rPr>
                <w:spacing w:val="-2"/>
              </w:rPr>
            </w:pPr>
          </w:p>
          <w:p w:rsidR="004C2EE3" w:rsidP="00136F79" w14:paraId="11E5AC45" w14:textId="77777777">
            <w:pPr>
              <w:pStyle w:val="TOAHeading"/>
              <w:tabs>
                <w:tab w:val="center" w:pos="4680"/>
                <w:tab w:val="clear" w:pos="9360"/>
              </w:tabs>
              <w:rPr>
                <w:spacing w:val="-2"/>
              </w:rPr>
            </w:pPr>
          </w:p>
          <w:p w:rsidR="00A93B0A" w:rsidP="00136F79" w14:paraId="0137650C" w14:textId="64CA80AC">
            <w:pPr>
              <w:pStyle w:val="TOAHeading"/>
              <w:tabs>
                <w:tab w:val="center" w:pos="4680"/>
              </w:tabs>
            </w:pPr>
            <w:r w:rsidRPr="00926FCE">
              <w:t>CG Docket No. 03-123</w:t>
            </w:r>
          </w:p>
          <w:p w:rsidR="0081263F" w:rsidP="00136F79" w14:paraId="47B72FD5" w14:textId="59B2E70D"/>
          <w:p w:rsidR="0081263F" w:rsidRPr="0081263F" w:rsidP="00136F79" w14:paraId="3F56D469" w14:textId="77777777"/>
          <w:p w:rsidR="00D03D68" w:rsidP="00136F79" w14:paraId="32380089" w14:textId="77777777">
            <w:pPr>
              <w:tabs>
                <w:tab w:val="center" w:pos="4680"/>
              </w:tabs>
              <w:suppressAutoHyphens/>
              <w:rPr>
                <w:spacing w:val="-2"/>
              </w:rPr>
            </w:pPr>
          </w:p>
          <w:p w:rsidR="000F4A1D" w:rsidP="00136F79" w14:paraId="229E8A22" w14:textId="77777777">
            <w:pPr>
              <w:tabs>
                <w:tab w:val="center" w:pos="4680"/>
              </w:tabs>
              <w:suppressAutoHyphens/>
              <w:rPr>
                <w:spacing w:val="-2"/>
              </w:rPr>
            </w:pPr>
            <w:r w:rsidRPr="00926FCE">
              <w:rPr>
                <w:spacing w:val="-2"/>
              </w:rPr>
              <w:t>CG Docket No. 13-24</w:t>
            </w:r>
          </w:p>
          <w:p w:rsidR="004C2EE3" w:rsidP="00136F79" w14:paraId="330E8233" w14:textId="411D7857">
            <w:pPr>
              <w:tabs>
                <w:tab w:val="center" w:pos="4680"/>
              </w:tabs>
              <w:suppressAutoHyphens/>
              <w:rPr>
                <w:spacing w:val="-2"/>
              </w:rPr>
            </w:pPr>
          </w:p>
        </w:tc>
      </w:tr>
    </w:tbl>
    <w:p w:rsidR="004C2EE3" w:rsidP="00136F79" w14:paraId="4251D15A" w14:textId="77777777"/>
    <w:p w:rsidR="00841AB1" w:rsidP="00136F79" w14:paraId="57D9488E" w14:textId="2B4A2137">
      <w:pPr>
        <w:pStyle w:val="StyleBoldCentered"/>
      </w:pPr>
      <w:r>
        <w:t>Order</w:t>
      </w:r>
    </w:p>
    <w:p w:rsidR="004C2EE3" w:rsidP="00136F79" w14:paraId="45C147C7" w14:textId="77777777">
      <w:pPr>
        <w:tabs>
          <w:tab w:val="left" w:pos="-720"/>
        </w:tabs>
        <w:suppressAutoHyphens/>
        <w:rPr>
          <w:spacing w:val="-2"/>
        </w:rPr>
      </w:pPr>
    </w:p>
    <w:p w:rsidR="004C2EE3" w:rsidP="00136F79" w14:paraId="22EB6F1E" w14:textId="452D1958">
      <w:pPr>
        <w:tabs>
          <w:tab w:val="left" w:pos="720"/>
          <w:tab w:val="right" w:pos="9360"/>
        </w:tabs>
        <w:suppressAutoHyphens/>
        <w:rPr>
          <w:spacing w:val="-2"/>
        </w:rPr>
      </w:pPr>
      <w:r>
        <w:rPr>
          <w:b/>
          <w:spacing w:val="-2"/>
        </w:rPr>
        <w:t xml:space="preserve">Adopted:  </w:t>
      </w:r>
      <w:r w:rsidR="00295155">
        <w:rPr>
          <w:b/>
          <w:spacing w:val="-2"/>
        </w:rPr>
        <w:t xml:space="preserve">December </w:t>
      </w:r>
      <w:r w:rsidR="00E8111E">
        <w:rPr>
          <w:b/>
          <w:spacing w:val="-2"/>
        </w:rPr>
        <w:t>9</w:t>
      </w:r>
      <w:r w:rsidR="0076308A">
        <w:rPr>
          <w:b/>
          <w:spacing w:val="-2"/>
        </w:rPr>
        <w:t>,</w:t>
      </w:r>
      <w:r w:rsidR="00A93B0A">
        <w:rPr>
          <w:b/>
          <w:spacing w:val="-2"/>
        </w:rPr>
        <w:t xml:space="preserve"> </w:t>
      </w:r>
      <w:r w:rsidR="00A93B0A">
        <w:rPr>
          <w:b/>
          <w:spacing w:val="-2"/>
        </w:rPr>
        <w:t>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8111E">
        <w:rPr>
          <w:b/>
          <w:spacing w:val="-2"/>
        </w:rPr>
        <w:t>December 9</w:t>
      </w:r>
      <w:r w:rsidR="00A93B0A">
        <w:rPr>
          <w:b/>
          <w:spacing w:val="-2"/>
        </w:rPr>
        <w:t>, 2022</w:t>
      </w:r>
    </w:p>
    <w:p w:rsidR="00822CE0" w:rsidP="00136F79" w14:paraId="3D1292DD" w14:textId="77777777"/>
    <w:p w:rsidR="00822CE0" w:rsidP="00136F79" w14:paraId="61F99991" w14:textId="28BDB8B4">
      <w:pPr>
        <w:rPr>
          <w:spacing w:val="-2"/>
        </w:rPr>
      </w:pPr>
      <w:r>
        <w:t xml:space="preserve">By </w:t>
      </w:r>
      <w:r w:rsidR="004E4A22">
        <w:t>the</w:t>
      </w:r>
      <w:r w:rsidR="002A2D2E">
        <w:t xml:space="preserve"> </w:t>
      </w:r>
      <w:r w:rsidR="00A93B0A">
        <w:rPr>
          <w:spacing w:val="-2"/>
        </w:rPr>
        <w:t xml:space="preserve">Chief, </w:t>
      </w:r>
      <w:r w:rsidR="0076308A">
        <w:rPr>
          <w:spacing w:val="-2"/>
        </w:rPr>
        <w:t>Consumer and Governmental Affairs</w:t>
      </w:r>
      <w:r w:rsidR="00A93B0A">
        <w:rPr>
          <w:spacing w:val="-2"/>
        </w:rPr>
        <w:t xml:space="preserve"> Bureau</w:t>
      </w:r>
      <w:r>
        <w:rPr>
          <w:spacing w:val="-2"/>
        </w:rPr>
        <w:t>:</w:t>
      </w:r>
    </w:p>
    <w:p w:rsidR="00AB0AB0" w:rsidP="00136F79" w14:paraId="523D7361" w14:textId="1A802057">
      <w:pPr>
        <w:rPr>
          <w:spacing w:val="-2"/>
        </w:rPr>
      </w:pPr>
    </w:p>
    <w:p w:rsidR="00754BDD" w:rsidP="00136F79" w14:paraId="5F247668" w14:textId="77777777">
      <w:pPr>
        <w:rPr>
          <w:spacing w:val="-2"/>
        </w:rPr>
      </w:pPr>
    </w:p>
    <w:p w:rsidR="003832C4" w:rsidP="00136F79" w14:paraId="3D1D0C9C" w14:textId="6AB9DBBA">
      <w:pPr>
        <w:pStyle w:val="Heading1"/>
        <w:keepNext w:val="0"/>
      </w:pPr>
      <w:r>
        <w:t>Introduction</w:t>
      </w:r>
    </w:p>
    <w:p w:rsidR="00D1242F" w:rsidP="00A558B4" w14:paraId="48125707" w14:textId="4C2E8863">
      <w:pPr>
        <w:pStyle w:val="ParaNum"/>
      </w:pPr>
      <w:r>
        <w:t xml:space="preserve">The Consumer and Governmental Affairs Bureau (Bureau) grants Mezmo Corporation (dba InnoCaption) (InnoCaption) </w:t>
      </w:r>
      <w:r w:rsidR="00565F26">
        <w:t xml:space="preserve">full </w:t>
      </w:r>
      <w:r>
        <w:t>certification of eligibility to receive compensation from the Interstate Telecommunications Relay Services (TRS) Fund for the provision of Internet Protocol Captioned Telephone Service (IP CTS)</w:t>
      </w:r>
      <w:r w:rsidR="00565F26">
        <w:t>.</w:t>
      </w:r>
      <w:r>
        <w:rPr>
          <w:rStyle w:val="FootnoteReference"/>
        </w:rPr>
        <w:footnoteReference w:id="3"/>
      </w:r>
      <w:r>
        <w:t xml:space="preserve"> </w:t>
      </w:r>
      <w:r w:rsidR="00565F26">
        <w:t xml:space="preserve"> </w:t>
      </w:r>
      <w:r>
        <w:t xml:space="preserve">InnoCaption </w:t>
      </w:r>
      <w:r w:rsidR="0029491A">
        <w:t xml:space="preserve">is currently </w:t>
      </w:r>
      <w:r>
        <w:t>conditional</w:t>
      </w:r>
      <w:r w:rsidR="0029491A">
        <w:t>ly</w:t>
      </w:r>
      <w:r>
        <w:t xml:space="preserve"> certifi</w:t>
      </w:r>
      <w:r w:rsidR="0029491A">
        <w:t>ed</w:t>
      </w:r>
      <w:r>
        <w:t xml:space="preserve"> </w:t>
      </w:r>
      <w:r w:rsidR="00565F26">
        <w:t xml:space="preserve">to provide </w:t>
      </w:r>
      <w:r>
        <w:t>IP CTS</w:t>
      </w:r>
      <w:r w:rsidRPr="00CD2FF5" w:rsidR="00CD2FF5">
        <w:t xml:space="preserve"> </w:t>
      </w:r>
      <w:r w:rsidR="00CD2FF5">
        <w:t xml:space="preserve">using </w:t>
      </w:r>
      <w:r w:rsidR="0029491A">
        <w:t xml:space="preserve">either </w:t>
      </w:r>
      <w:r w:rsidR="00CD2FF5">
        <w:t xml:space="preserve">communication assistants (CAs) </w:t>
      </w:r>
      <w:r w:rsidR="0029491A">
        <w:t>or</w:t>
      </w:r>
      <w:r w:rsidR="00CD2FF5">
        <w:t xml:space="preserve"> </w:t>
      </w:r>
      <w:r w:rsidR="0029491A">
        <w:t xml:space="preserve">only </w:t>
      </w:r>
      <w:r w:rsidR="00CD2FF5">
        <w:t>automatic speech recognition (ASR)</w:t>
      </w:r>
      <w:r>
        <w:t>.</w:t>
      </w:r>
      <w:r>
        <w:rPr>
          <w:rStyle w:val="FootnoteReference"/>
        </w:rPr>
        <w:footnoteReference w:id="4"/>
      </w:r>
      <w:r>
        <w:t xml:space="preserve"> </w:t>
      </w:r>
      <w:r w:rsidR="006C57D8">
        <w:t xml:space="preserve"> </w:t>
      </w:r>
      <w:r w:rsidR="00565F26">
        <w:t xml:space="preserve">This grant of </w:t>
      </w:r>
      <w:r w:rsidR="003A2BBC">
        <w:t xml:space="preserve">full </w:t>
      </w:r>
      <w:r w:rsidR="00565F26">
        <w:t>certification authorizes the provision of IP CTS</w:t>
      </w:r>
      <w:r w:rsidR="003A2BBC">
        <w:t xml:space="preserve">, for a five-year period, through </w:t>
      </w:r>
      <w:r w:rsidRPr="003A2BBC" w:rsidR="003A2BBC">
        <w:t xml:space="preserve">December </w:t>
      </w:r>
      <w:r w:rsidR="00E8111E">
        <w:t>8</w:t>
      </w:r>
      <w:r w:rsidRPr="003A2BBC" w:rsidR="003A2BBC">
        <w:t>, 2027</w:t>
      </w:r>
      <w:r w:rsidR="00565F26">
        <w:t>.</w:t>
      </w:r>
      <w:r>
        <w:rPr>
          <w:rStyle w:val="FootnoteReference"/>
        </w:rPr>
        <w:footnoteReference w:id="5"/>
      </w:r>
      <w:r w:rsidR="00565F26">
        <w:t xml:space="preserve">  </w:t>
      </w:r>
    </w:p>
    <w:p w:rsidR="00D87E4A" w:rsidP="00136F79" w14:paraId="5FCA5400" w14:textId="606C9273">
      <w:pPr>
        <w:pStyle w:val="Heading1"/>
        <w:keepNext w:val="0"/>
      </w:pPr>
      <w:r>
        <w:t>background</w:t>
      </w:r>
    </w:p>
    <w:p w:rsidR="007E6E79" w:rsidP="00136F79" w14:paraId="7BEC64C5" w14:textId="020A9131">
      <w:pPr>
        <w:pStyle w:val="Heading2"/>
        <w:keepNext w:val="0"/>
      </w:pPr>
      <w:r>
        <w:t>The Certification Process</w:t>
      </w:r>
    </w:p>
    <w:p w:rsidR="00A61574" w:rsidRPr="002F3F64" w:rsidP="0049680B" w14:paraId="7EB97EFF" w14:textId="1565BB71">
      <w:pPr>
        <w:pStyle w:val="ParaNum"/>
      </w:pPr>
      <w:r>
        <w:t xml:space="preserve">The Commission’s certification process </w:t>
      </w:r>
      <w:r w:rsidR="00BD7140">
        <w:t xml:space="preserve">for Internet-based TRS providers </w:t>
      </w:r>
      <w:r w:rsidR="0032550A">
        <w:t xml:space="preserve">is set forth in section 64.606 of our rules and </w:t>
      </w:r>
      <w:r w:rsidR="00BD7140">
        <w:t xml:space="preserve">was established </w:t>
      </w:r>
      <w:r>
        <w:t xml:space="preserve">to ensure that </w:t>
      </w:r>
      <w:r w:rsidR="00BD7140">
        <w:t xml:space="preserve">providers receiving </w:t>
      </w:r>
      <w:r>
        <w:t xml:space="preserve">TRS Fund compensation </w:t>
      </w:r>
      <w:r w:rsidR="00BD7140">
        <w:t xml:space="preserve">are qualified to </w:t>
      </w:r>
      <w:r>
        <w:t>provide service in compliance with the TRS rules.</w:t>
      </w:r>
      <w:r>
        <w:rPr>
          <w:rStyle w:val="FootnoteReference"/>
        </w:rPr>
        <w:footnoteReference w:id="6"/>
      </w:r>
      <w:r>
        <w:t xml:space="preserve">  </w:t>
      </w:r>
      <w:r w:rsidR="00816C5C">
        <w:t>Under section 64.606(b), applicants must submit specific documentation to the Commission (described further below), and c</w:t>
      </w:r>
      <w:r>
        <w:t>ertification shall be granted upon a determination that the provider will meet all applicable mandatory minimum TRS standards and has adequate procedures and remedies for ensuring</w:t>
      </w:r>
      <w:r w:rsidRPr="00667BB6">
        <w:t xml:space="preserve"> compliance with Commission rules.</w:t>
      </w:r>
      <w:r>
        <w:rPr>
          <w:vertAlign w:val="superscript"/>
        </w:rPr>
        <w:footnoteReference w:id="7"/>
      </w:r>
      <w:r>
        <w:t xml:space="preserve">  </w:t>
      </w:r>
    </w:p>
    <w:p w:rsidR="00136F79" w:rsidP="00136F79" w14:paraId="6B22D36B" w14:textId="299ED200">
      <w:pPr>
        <w:pStyle w:val="ParaNum"/>
      </w:pPr>
      <w:r w:rsidRPr="002F3F64">
        <w:t xml:space="preserve">The Commission may grant conditional certification where additional time </w:t>
      </w:r>
      <w:r w:rsidR="00B840D7">
        <w:t xml:space="preserve">is needed </w:t>
      </w:r>
      <w:r w:rsidRPr="002F3F64">
        <w:t>to complete evaluation of an applicant’s qualifications or verify information contained in the application.</w:t>
      </w:r>
      <w:r>
        <w:rPr>
          <w:vertAlign w:val="superscript"/>
        </w:rPr>
        <w:footnoteReference w:id="8"/>
      </w:r>
      <w:r w:rsidRPr="002F3F64">
        <w:t xml:space="preserve">  After certification, Internet-based TRS providers must file annual reports updating the information in their application to demonstrate continuing compliance with the Commission’s mandatory minimum TRS standards.</w:t>
      </w:r>
      <w:r>
        <w:rPr>
          <w:rStyle w:val="FootnoteReference"/>
        </w:rPr>
        <w:footnoteReference w:id="9"/>
      </w:r>
      <w:r w:rsidRPr="002F3F64">
        <w:t xml:space="preserve">  Each provider </w:t>
      </w:r>
      <w:r>
        <w:t xml:space="preserve">also </w:t>
      </w:r>
      <w:r w:rsidRPr="002F3F64">
        <w:t xml:space="preserve">must include within its annual report a compliance plan describing the provider’s policies and procedures for complying with Commission rules prohibiting </w:t>
      </w:r>
      <w:r>
        <w:t>IP CTS</w:t>
      </w:r>
      <w:r w:rsidRPr="002F3F64">
        <w:t xml:space="preserve"> providers from engaging in the unauthorized and unnecessary use of </w:t>
      </w:r>
      <w:r>
        <w:t>IP CTS</w:t>
      </w:r>
      <w:r w:rsidRPr="002F3F64">
        <w:t>.</w:t>
      </w:r>
      <w:r>
        <w:rPr>
          <w:rStyle w:val="FootnoteReference"/>
        </w:rPr>
        <w:footnoteReference w:id="10"/>
      </w:r>
    </w:p>
    <w:p w:rsidR="00D87E4A" w:rsidP="00136F79" w14:paraId="403B289C" w14:textId="18BEC744">
      <w:pPr>
        <w:pStyle w:val="Heading2"/>
        <w:keepNext w:val="0"/>
      </w:pPr>
      <w:r>
        <w:t>InnoCaption’s Eligibility for IP CTS Certification</w:t>
      </w:r>
    </w:p>
    <w:p w:rsidR="002F2576" w:rsidP="00136F79" w14:paraId="10E64830" w14:textId="1DD12624">
      <w:pPr>
        <w:pStyle w:val="ParaNum"/>
      </w:pPr>
      <w:r w:rsidRPr="00155BA0">
        <w:t xml:space="preserve">InnoCaption </w:t>
      </w:r>
      <w:r w:rsidR="008E34C1">
        <w:t xml:space="preserve">initially </w:t>
      </w:r>
      <w:r w:rsidRPr="00155BA0">
        <w:t xml:space="preserve">applied for certification to </w:t>
      </w:r>
      <w:r w:rsidR="008E34C1">
        <w:t xml:space="preserve">provide </w:t>
      </w:r>
      <w:r w:rsidRPr="00155BA0">
        <w:t>IP CTS</w:t>
      </w:r>
      <w:r w:rsidR="008E34C1">
        <w:t xml:space="preserve"> in November 2011</w:t>
      </w:r>
      <w:r w:rsidRPr="00155BA0">
        <w:t xml:space="preserve"> </w:t>
      </w:r>
      <w:r w:rsidR="008E34C1">
        <w:t xml:space="preserve">and </w:t>
      </w:r>
      <w:r>
        <w:t xml:space="preserve">was granted </w:t>
      </w:r>
      <w:r w:rsidRPr="00C36603">
        <w:t xml:space="preserve">conditional certification </w:t>
      </w:r>
      <w:r w:rsidR="00DA0C0F">
        <w:t xml:space="preserve">for CA-based </w:t>
      </w:r>
      <w:r>
        <w:t xml:space="preserve">IP CTS </w:t>
      </w:r>
      <w:r w:rsidRPr="00C36603">
        <w:t xml:space="preserve">on </w:t>
      </w:r>
      <w:r>
        <w:t>May 13, 2014.</w:t>
      </w:r>
      <w:r>
        <w:rPr>
          <w:rStyle w:val="FootnoteReference"/>
        </w:rPr>
        <w:footnoteReference w:id="11"/>
      </w:r>
      <w:r w:rsidRPr="00C36603">
        <w:t xml:space="preserve"> </w:t>
      </w:r>
      <w:r>
        <w:t xml:space="preserve"> </w:t>
      </w:r>
      <w:r w:rsidRPr="003C7A49">
        <w:t xml:space="preserve">On </w:t>
      </w:r>
      <w:r>
        <w:t>March 13, 2020</w:t>
      </w:r>
      <w:r w:rsidRPr="003C7A49">
        <w:t xml:space="preserve">, </w:t>
      </w:r>
      <w:r>
        <w:t xml:space="preserve">InnoCaption amended its </w:t>
      </w:r>
      <w:r w:rsidRPr="003C7A49">
        <w:t xml:space="preserve">application </w:t>
      </w:r>
      <w:r>
        <w:t>to request approval to provide fully automatic IP CTS in addition to, and in combination with, its CA-</w:t>
      </w:r>
      <w:r w:rsidR="008E34C1">
        <w:t>assist</w:t>
      </w:r>
      <w:r w:rsidR="00DA0C0F">
        <w:t>ed</w:t>
      </w:r>
      <w:r>
        <w:t xml:space="preserve"> service.</w:t>
      </w:r>
      <w:r>
        <w:rPr>
          <w:rStyle w:val="FootnoteReference"/>
        </w:rPr>
        <w:footnoteReference w:id="12"/>
      </w:r>
      <w:r>
        <w:t xml:space="preserve">  On December 11, 2020, the Commission granted </w:t>
      </w:r>
      <w:r>
        <w:t xml:space="preserve">InnoCaption </w:t>
      </w:r>
      <w:r w:rsidRPr="00CE664F">
        <w:rPr>
          <w:iCs/>
        </w:rPr>
        <w:t xml:space="preserve">conditional certification to provide </w:t>
      </w:r>
      <w:r w:rsidR="00DA0C0F">
        <w:rPr>
          <w:iCs/>
        </w:rPr>
        <w:t>ASR-</w:t>
      </w:r>
      <w:r w:rsidR="004328DE">
        <w:rPr>
          <w:iCs/>
        </w:rPr>
        <w:t>only</w:t>
      </w:r>
      <w:r w:rsidRPr="00CE664F" w:rsidR="004328DE">
        <w:rPr>
          <w:iCs/>
        </w:rPr>
        <w:t xml:space="preserve"> </w:t>
      </w:r>
      <w:r>
        <w:rPr>
          <w:iCs/>
        </w:rPr>
        <w:t>IP CTS</w:t>
      </w:r>
      <w:r w:rsidRPr="00D7345A" w:rsidR="00D7345A">
        <w:t xml:space="preserve"> </w:t>
      </w:r>
      <w:r w:rsidRPr="00D7345A" w:rsidR="00D7345A">
        <w:rPr>
          <w:iCs/>
        </w:rPr>
        <w:t>for a two-year period</w:t>
      </w:r>
      <w:r>
        <w:rPr>
          <w:iCs/>
        </w:rPr>
        <w:t xml:space="preserve">, </w:t>
      </w:r>
      <w:r>
        <w:t>expir</w:t>
      </w:r>
      <w:r w:rsidR="00DA0C0F">
        <w:t>ing</w:t>
      </w:r>
      <w:r>
        <w:t xml:space="preserve"> on December 11, 2022</w:t>
      </w:r>
      <w:r w:rsidRPr="00667BB6">
        <w:t>.</w:t>
      </w:r>
      <w:r>
        <w:rPr>
          <w:vertAlign w:val="superscript"/>
        </w:rPr>
        <w:footnoteReference w:id="13"/>
      </w:r>
      <w:r>
        <w:t xml:space="preserve">  </w:t>
      </w:r>
      <w:r w:rsidRPr="0092050E">
        <w:t>Since 201</w:t>
      </w:r>
      <w:r w:rsidRPr="0092050E" w:rsidR="00DF1C09">
        <w:t>6</w:t>
      </w:r>
      <w:r w:rsidRPr="0092050E">
        <w:t xml:space="preserve">, InnoCaption has filed annual reports </w:t>
      </w:r>
      <w:r w:rsidR="00D7345A">
        <w:t xml:space="preserve">to demonstrate compliance with the rules and to </w:t>
      </w:r>
      <w:r w:rsidRPr="0092050E">
        <w:t>updat</w:t>
      </w:r>
      <w:r w:rsidR="00D7345A">
        <w:t>e</w:t>
      </w:r>
      <w:r w:rsidRPr="0092050E">
        <w:t xml:space="preserve"> the information contained in its pending application</w:t>
      </w:r>
      <w:r w:rsidR="00D7345A">
        <w:t>s</w:t>
      </w:r>
      <w:r w:rsidRPr="0092050E">
        <w:t xml:space="preserve"> for full certification.</w:t>
      </w:r>
      <w:r>
        <w:rPr>
          <w:rStyle w:val="FootnoteReference"/>
        </w:rPr>
        <w:footnoteReference w:id="14"/>
      </w:r>
      <w:r w:rsidRPr="0092050E">
        <w:t xml:space="preserve">  </w:t>
      </w:r>
    </w:p>
    <w:p w:rsidR="002F2576" w:rsidRPr="00150AB2" w:rsidP="003C208A" w14:paraId="6D6C07AA" w14:textId="0191DB1C">
      <w:pPr>
        <w:pStyle w:val="ParaNum"/>
        <w:rPr>
          <w:szCs w:val="22"/>
        </w:rPr>
      </w:pPr>
      <w:r w:rsidRPr="00150AB2">
        <w:rPr>
          <w:szCs w:val="22"/>
        </w:rPr>
        <w:t xml:space="preserve">On September 12, 2022, InnoCaption filed </w:t>
      </w:r>
      <w:r w:rsidRPr="00150AB2" w:rsidR="00D7345A">
        <w:rPr>
          <w:szCs w:val="22"/>
        </w:rPr>
        <w:t xml:space="preserve">a renewed </w:t>
      </w:r>
      <w:r w:rsidRPr="00150AB2">
        <w:rPr>
          <w:szCs w:val="22"/>
        </w:rPr>
        <w:t xml:space="preserve">application for </w:t>
      </w:r>
      <w:r w:rsidRPr="00150AB2" w:rsidR="00DA0C0F">
        <w:rPr>
          <w:szCs w:val="22"/>
        </w:rPr>
        <w:t xml:space="preserve">full </w:t>
      </w:r>
      <w:r w:rsidRPr="00150AB2">
        <w:rPr>
          <w:szCs w:val="22"/>
        </w:rPr>
        <w:t>certification as an IP CTS provider</w:t>
      </w:r>
      <w:r w:rsidRPr="00150AB2" w:rsidR="00E667C6">
        <w:rPr>
          <w:szCs w:val="22"/>
        </w:rPr>
        <w:t xml:space="preserve">, or, in the alternate, </w:t>
      </w:r>
      <w:r w:rsidRPr="00150AB2" w:rsidR="00E371E8">
        <w:rPr>
          <w:szCs w:val="22"/>
        </w:rPr>
        <w:t>timely extension of InnoCaption’s existing conditional certification</w:t>
      </w:r>
      <w:r w:rsidRPr="00150AB2" w:rsidR="00C3731F">
        <w:rPr>
          <w:szCs w:val="22"/>
        </w:rPr>
        <w:t xml:space="preserve"> to provide ASR-only IP CTS</w:t>
      </w:r>
      <w:r w:rsidRPr="00150AB2">
        <w:rPr>
          <w:szCs w:val="22"/>
        </w:rPr>
        <w:t>.</w:t>
      </w:r>
      <w:r>
        <w:rPr>
          <w:rStyle w:val="FootnoteReference"/>
          <w:sz w:val="22"/>
          <w:szCs w:val="22"/>
        </w:rPr>
        <w:footnoteReference w:id="15"/>
      </w:r>
      <w:r w:rsidRPr="00150AB2">
        <w:rPr>
          <w:szCs w:val="22"/>
        </w:rPr>
        <w:t xml:space="preserve">  On October 12, 2022, the Bureau sought comment on InnoCaption’s </w:t>
      </w:r>
      <w:r w:rsidRPr="00150AB2" w:rsidR="003E10D1">
        <w:rPr>
          <w:szCs w:val="22"/>
        </w:rPr>
        <w:t xml:space="preserve">September 2022 </w:t>
      </w:r>
      <w:r w:rsidRPr="00150AB2">
        <w:rPr>
          <w:szCs w:val="22"/>
        </w:rPr>
        <w:t>Application.</w:t>
      </w:r>
      <w:r>
        <w:rPr>
          <w:rStyle w:val="FootnoteReference"/>
          <w:sz w:val="22"/>
          <w:szCs w:val="22"/>
        </w:rPr>
        <w:footnoteReference w:id="16"/>
      </w:r>
      <w:r w:rsidRPr="00150AB2">
        <w:rPr>
          <w:szCs w:val="22"/>
        </w:rPr>
        <w:t xml:space="preserve">  No party filed comments or replies. </w:t>
      </w:r>
    </w:p>
    <w:p w:rsidR="005E4954" w:rsidP="0054379C" w14:paraId="4BA75F4F" w14:textId="1C3C0C1D">
      <w:pPr>
        <w:pStyle w:val="Heading1"/>
      </w:pPr>
      <w:r>
        <w:t>Discussion</w:t>
      </w:r>
    </w:p>
    <w:p w:rsidR="004E6B39" w:rsidRPr="00667BB6" w:rsidP="004E6B39" w14:paraId="4B9F86F3" w14:textId="4FCB79D7">
      <w:pPr>
        <w:pStyle w:val="ParaNum"/>
      </w:pPr>
      <w:r>
        <w:t xml:space="preserve">InnoCaption’s </w:t>
      </w:r>
      <w:r w:rsidR="003E10D1">
        <w:t>September 2022 Application</w:t>
      </w:r>
      <w:r>
        <w:t xml:space="preserve"> provides all the information and documentation required by the </w:t>
      </w:r>
      <w:r w:rsidR="00B343F2">
        <w:t xml:space="preserve">Commission’s </w:t>
      </w:r>
      <w:r w:rsidR="00F86D0E">
        <w:t xml:space="preserve">certification </w:t>
      </w:r>
      <w:r>
        <w:t>rules</w:t>
      </w:r>
      <w:r w:rsidR="00981215">
        <w:t>, including</w:t>
      </w:r>
      <w:r>
        <w:t xml:space="preserve">: </w:t>
      </w:r>
      <w:r w:rsidRPr="00667BB6">
        <w:t xml:space="preserve"> (1)</w:t>
      </w:r>
      <w:r>
        <w:t xml:space="preserve"> a description of the service</w:t>
      </w:r>
      <w:r w:rsidR="00DA0C0F">
        <w:t>s</w:t>
      </w:r>
      <w:r>
        <w:t xml:space="preserve"> to be provided;</w:t>
      </w:r>
      <w:r>
        <w:rPr>
          <w:rStyle w:val="FootnoteReference"/>
        </w:rPr>
        <w:footnoteReference w:id="17"/>
      </w:r>
      <w:r>
        <w:t xml:space="preserve"> (2) a </w:t>
      </w:r>
      <w:r w:rsidRPr="00667BB6">
        <w:t xml:space="preserve">detailed </w:t>
      </w:r>
      <w:r>
        <w:t>description of</w:t>
      </w:r>
      <w:r w:rsidRPr="00667BB6">
        <w:t xml:space="preserve"> how </w:t>
      </w:r>
      <w:r>
        <w:t>InnoCaption</w:t>
      </w:r>
      <w:r w:rsidRPr="00667BB6">
        <w:t xml:space="preserve"> will meet all non-waived </w:t>
      </w:r>
      <w:r>
        <w:t xml:space="preserve">mandatory </w:t>
      </w:r>
      <w:r w:rsidRPr="00667BB6">
        <w:t xml:space="preserve">minimum standards applicable to </w:t>
      </w:r>
      <w:r>
        <w:t>IP CTS</w:t>
      </w:r>
      <w:r w:rsidRPr="00667BB6">
        <w:t>;</w:t>
      </w:r>
      <w:r>
        <w:rPr>
          <w:vertAlign w:val="superscript"/>
        </w:rPr>
        <w:footnoteReference w:id="18"/>
      </w:r>
      <w:r w:rsidRPr="00667BB6">
        <w:t xml:space="preserve"> (</w:t>
      </w:r>
      <w:r>
        <w:t>3</w:t>
      </w:r>
      <w:r w:rsidRPr="00667BB6">
        <w:t xml:space="preserve">) a description of </w:t>
      </w:r>
      <w:r>
        <w:t>InnoCaption</w:t>
      </w:r>
      <w:r w:rsidRPr="00667BB6">
        <w:t>’s organizational structure, including</w:t>
      </w:r>
      <w:r>
        <w:t xml:space="preserve"> the names of its 10 percent or more equity interest holders, the names of persons with the power to vote 10 percent or more of the securities of InnoCaption, and</w:t>
      </w:r>
      <w:r w:rsidRPr="00667BB6">
        <w:t xml:space="preserve"> the names of its executives, officers and members of its board;</w:t>
      </w:r>
      <w:r>
        <w:rPr>
          <w:vertAlign w:val="superscript"/>
        </w:rPr>
        <w:footnoteReference w:id="19"/>
      </w:r>
      <w:r w:rsidRPr="00667BB6">
        <w:t xml:space="preserve"> (</w:t>
      </w:r>
      <w:r>
        <w:t>4</w:t>
      </w:r>
      <w:r w:rsidRPr="00667BB6">
        <w:t xml:space="preserve">) a confidential list of the number of its full-time and part-time employees involved in </w:t>
      </w:r>
      <w:r>
        <w:t>InnoCaption’s</w:t>
      </w:r>
      <w:r w:rsidRPr="00667BB6">
        <w:t xml:space="preserve"> </w:t>
      </w:r>
      <w:r>
        <w:t>IP CTS</w:t>
      </w:r>
      <w:r w:rsidRPr="00667BB6">
        <w:t xml:space="preserve"> operations by position;</w:t>
      </w:r>
      <w:r>
        <w:rPr>
          <w:vertAlign w:val="superscript"/>
        </w:rPr>
        <w:footnoteReference w:id="20"/>
      </w:r>
      <w:r w:rsidRPr="00667BB6">
        <w:t xml:space="preserve"> (</w:t>
      </w:r>
      <w:r>
        <w:t>5</w:t>
      </w:r>
      <w:r w:rsidRPr="00667BB6">
        <w:t xml:space="preserve">) a confidential list of all sponsorship arrangements relating to </w:t>
      </w:r>
      <w:r>
        <w:t xml:space="preserve">the provision of </w:t>
      </w:r>
      <w:r w:rsidRPr="00667BB6">
        <w:t>Internet-based TRS;</w:t>
      </w:r>
      <w:r>
        <w:rPr>
          <w:vertAlign w:val="superscript"/>
        </w:rPr>
        <w:footnoteReference w:id="21"/>
      </w:r>
      <w:r w:rsidRPr="00667BB6">
        <w:t xml:space="preserve"> (</w:t>
      </w:r>
      <w:r>
        <w:t>6</w:t>
      </w:r>
      <w:r w:rsidRPr="00667BB6">
        <w:t xml:space="preserve">) a description of </w:t>
      </w:r>
      <w:r>
        <w:t>InnoCaption’s</w:t>
      </w:r>
      <w:r w:rsidRPr="00667BB6">
        <w:t xml:space="preserve"> complaint procedures;</w:t>
      </w:r>
      <w:r>
        <w:rPr>
          <w:vertAlign w:val="superscript"/>
        </w:rPr>
        <w:footnoteReference w:id="22"/>
      </w:r>
      <w:r w:rsidRPr="00667BB6">
        <w:t xml:space="preserve"> (</w:t>
      </w:r>
      <w:r>
        <w:t>7</w:t>
      </w:r>
      <w:r w:rsidRPr="00667BB6">
        <w:t xml:space="preserve">) a statement </w:t>
      </w:r>
      <w:r>
        <w:t>that InnoCaption will file</w:t>
      </w:r>
      <w:r w:rsidRPr="00667BB6">
        <w:t xml:space="preserve"> annual compliance reports </w:t>
      </w:r>
      <w:r>
        <w:t>demonstrating continued compliance with the rules;</w:t>
      </w:r>
      <w:r>
        <w:rPr>
          <w:vertAlign w:val="superscript"/>
        </w:rPr>
        <w:footnoteReference w:id="23"/>
      </w:r>
      <w:r>
        <w:t xml:space="preserve"> and (8) a certification by InnoCaption’s </w:t>
      </w:r>
      <w:r w:rsidRPr="0034044B">
        <w:t>CEO</w:t>
      </w:r>
      <w:r w:rsidRPr="002D74EE">
        <w:t xml:space="preserve"> </w:t>
      </w:r>
      <w:r>
        <w:t>confirming the accuracy and completeness of the information contained in the application.</w:t>
      </w:r>
      <w:r>
        <w:rPr>
          <w:rStyle w:val="FootnoteReference"/>
        </w:rPr>
        <w:footnoteReference w:id="24"/>
      </w:r>
      <w:r>
        <w:t xml:space="preserve">  </w:t>
      </w:r>
    </w:p>
    <w:p w:rsidR="004E6B39" w:rsidP="004E6B39" w14:paraId="4209079F" w14:textId="3DD6B998">
      <w:pPr>
        <w:pStyle w:val="ParaNum"/>
      </w:pPr>
      <w:r w:rsidRPr="00667BB6">
        <w:t>Based on our review</w:t>
      </w:r>
      <w:r>
        <w:t xml:space="preserve"> and investigation </w:t>
      </w:r>
      <w:r w:rsidRPr="00667BB6">
        <w:t xml:space="preserve">of the </w:t>
      </w:r>
      <w:r w:rsidR="003E10D1">
        <w:t>September 2022 Application</w:t>
      </w:r>
      <w:r>
        <w:t xml:space="preserve">, </w:t>
      </w:r>
      <w:r w:rsidR="00981215">
        <w:t xml:space="preserve">the applications previously filed, InnoCaption’s </w:t>
      </w:r>
      <w:r w:rsidRPr="00667BB6">
        <w:t xml:space="preserve">annual reports, </w:t>
      </w:r>
      <w:r>
        <w:t>and other relevant information</w:t>
      </w:r>
      <w:r w:rsidR="00981215">
        <w:t xml:space="preserve"> regarding InnoCaption’s actual provision of IP CTS</w:t>
      </w:r>
      <w:r>
        <w:t xml:space="preserve">, </w:t>
      </w:r>
      <w:r w:rsidRPr="00667BB6">
        <w:t xml:space="preserve">we find that </w:t>
      </w:r>
      <w:r>
        <w:t>InnoCaption</w:t>
      </w:r>
      <w:r w:rsidRPr="00667BB6">
        <w:t xml:space="preserve"> </w:t>
      </w:r>
      <w:r w:rsidR="00D75085">
        <w:t xml:space="preserve">will </w:t>
      </w:r>
      <w:r>
        <w:t>provide IP CTS</w:t>
      </w:r>
      <w:r w:rsidRPr="00667BB6">
        <w:t xml:space="preserve"> in compliance with the </w:t>
      </w:r>
      <w:r>
        <w:t>applicable mandatory minimum TRS standards</w:t>
      </w:r>
      <w:r w:rsidR="00981215">
        <w:t>.</w:t>
      </w:r>
      <w:r>
        <w:rPr>
          <w:rStyle w:val="FootnoteReference"/>
        </w:rPr>
        <w:footnoteReference w:id="25"/>
      </w:r>
      <w:r w:rsidR="00981215">
        <w:t xml:space="preserve">  We also</w:t>
      </w:r>
      <w:r>
        <w:t xml:space="preserve"> </w:t>
      </w:r>
      <w:r w:rsidR="00981215">
        <w:t xml:space="preserve">find </w:t>
      </w:r>
      <w:r>
        <w:t xml:space="preserve">that </w:t>
      </w:r>
      <w:r w:rsidR="00981215">
        <w:t xml:space="preserve">InnoCaption </w:t>
      </w:r>
      <w:r>
        <w:t>make</w:t>
      </w:r>
      <w:r w:rsidR="000C2B0C">
        <w:t>s</w:t>
      </w:r>
      <w:r>
        <w:t xml:space="preserve"> available adequate procedures and remedies for compliance with such minimum standards and the requirements of section 64.606.  Therefore, we </w:t>
      </w:r>
      <w:r w:rsidRPr="00667BB6">
        <w:t xml:space="preserve">certify </w:t>
      </w:r>
      <w:r>
        <w:t>InnoCaption</w:t>
      </w:r>
      <w:r w:rsidRPr="00667BB6">
        <w:t xml:space="preserve"> as eligible to receive compensation from the Fund for the provision of </w:t>
      </w:r>
      <w:r>
        <w:t xml:space="preserve">IP CTS using </w:t>
      </w:r>
      <w:r w:rsidR="00DA0C0F">
        <w:t>CAs</w:t>
      </w:r>
      <w:r>
        <w:t xml:space="preserve"> and ASR</w:t>
      </w:r>
      <w:r w:rsidRPr="00667BB6">
        <w:t>.  This certification</w:t>
      </w:r>
      <w:r>
        <w:t xml:space="preserve"> </w:t>
      </w:r>
      <w:r w:rsidRPr="00667BB6">
        <w:t>shall remain in effect for a period of five years.</w:t>
      </w:r>
      <w:r>
        <w:rPr>
          <w:vertAlign w:val="superscript"/>
        </w:rPr>
        <w:footnoteReference w:id="26"/>
      </w:r>
      <w:r w:rsidRPr="00667BB6">
        <w:t xml:space="preserve">  </w:t>
      </w:r>
    </w:p>
    <w:p w:rsidR="004E6B39" w:rsidP="004E6B39" w14:paraId="6F763574" w14:textId="04871940">
      <w:pPr>
        <w:pStyle w:val="ParaNum"/>
        <w:rPr>
          <w:snapToGrid/>
          <w:kern w:val="0"/>
          <w:szCs w:val="22"/>
        </w:rPr>
      </w:pPr>
      <w:r w:rsidRPr="00667BB6">
        <w:t xml:space="preserve">We emphasize that </w:t>
      </w:r>
      <w:r>
        <w:t>InnoCaption</w:t>
      </w:r>
      <w:r w:rsidRPr="00667BB6">
        <w:t xml:space="preserve"> must continue to operate in compliance with all relevant Commission rules and orders.  </w:t>
      </w:r>
      <w:r>
        <w:t>As with other grants of TRS certification, the Commission</w:t>
      </w:r>
      <w:r w:rsidRPr="00667BB6">
        <w:t xml:space="preserve"> reserve</w:t>
      </w:r>
      <w:r>
        <w:t>s</w:t>
      </w:r>
      <w:r w:rsidRPr="00667BB6">
        <w:t xml:space="preserve"> the right to conduct ongoing monitoring of the operations of </w:t>
      </w:r>
      <w:r>
        <w:t>InnoCaption</w:t>
      </w:r>
      <w:r w:rsidRPr="00667BB6">
        <w:t xml:space="preserve"> to ensure continuing compliance and to review any additional documentation necessary to ascertain the veracity of the assertions made in </w:t>
      </w:r>
      <w:r w:rsidR="00D75085">
        <w:t xml:space="preserve">its applications and </w:t>
      </w:r>
      <w:r w:rsidRPr="00667BB6">
        <w:t>updates.</w:t>
      </w:r>
      <w:r>
        <w:rPr>
          <w:vertAlign w:val="superscript"/>
        </w:rPr>
        <w:footnoteReference w:id="27"/>
      </w:r>
      <w:r w:rsidRPr="00667BB6">
        <w:t xml:space="preserve">  </w:t>
      </w:r>
      <w:r>
        <w:t>The Commission</w:t>
      </w:r>
      <w:r w:rsidRPr="00667BB6">
        <w:t xml:space="preserve"> </w:t>
      </w:r>
      <w:r>
        <w:t xml:space="preserve">also reserves the right to </w:t>
      </w:r>
      <w:r w:rsidRPr="00667BB6">
        <w:t xml:space="preserve">investigate compliance </w:t>
      </w:r>
      <w:r>
        <w:t>by</w:t>
      </w:r>
      <w:r w:rsidRPr="00667BB6">
        <w:t xml:space="preserve"> </w:t>
      </w:r>
      <w:r>
        <w:t>InnoCaption</w:t>
      </w:r>
      <w:r w:rsidRPr="00667BB6">
        <w:t xml:space="preserve"> with </w:t>
      </w:r>
      <w:r>
        <w:t>the Commission’s</w:t>
      </w:r>
      <w:r w:rsidRPr="00667BB6">
        <w:t xml:space="preserve"> rules and orders and </w:t>
      </w:r>
      <w:r w:rsidR="00D75085">
        <w:t xml:space="preserve">to </w:t>
      </w:r>
      <w:r w:rsidRPr="00667BB6">
        <w:t>take enforcement action</w:t>
      </w:r>
      <w:r w:rsidR="00F23C15">
        <w:t xml:space="preserve"> for past or future violations</w:t>
      </w:r>
      <w:r w:rsidRPr="00667BB6">
        <w:t>, including suspension or revocation of this certification</w:t>
      </w:r>
      <w:r>
        <w:t>, if circumstances warrant</w:t>
      </w:r>
      <w:r w:rsidRPr="00667BB6">
        <w:t>.</w:t>
      </w:r>
      <w:r>
        <w:rPr>
          <w:vertAlign w:val="superscript"/>
        </w:rPr>
        <w:footnoteReference w:id="28"/>
      </w:r>
      <w:r w:rsidRPr="00667BB6">
        <w:t xml:space="preserve">  </w:t>
      </w:r>
      <w:r>
        <w:t>T</w:t>
      </w:r>
      <w:r w:rsidRPr="00A650FA">
        <w:t xml:space="preserve">his </w:t>
      </w:r>
      <w:r>
        <w:t xml:space="preserve">may include </w:t>
      </w:r>
      <w:r w:rsidRPr="00552099">
        <w:rPr>
          <w:snapToGrid/>
          <w:kern w:val="0"/>
          <w:szCs w:val="22"/>
        </w:rPr>
        <w:t xml:space="preserve">unannounced on-site visits to </w:t>
      </w:r>
      <w:r>
        <w:rPr>
          <w:snapToGrid/>
          <w:kern w:val="0"/>
          <w:szCs w:val="22"/>
        </w:rPr>
        <w:t>InnoCaption’s</w:t>
      </w:r>
      <w:r w:rsidRPr="00552099">
        <w:rPr>
          <w:snapToGrid/>
          <w:kern w:val="0"/>
          <w:szCs w:val="22"/>
        </w:rPr>
        <w:t xml:space="preserve"> headquarters, offices</w:t>
      </w:r>
      <w:r>
        <w:rPr>
          <w:snapToGrid/>
          <w:kern w:val="0"/>
          <w:szCs w:val="22"/>
        </w:rPr>
        <w:t>,</w:t>
      </w:r>
      <w:r w:rsidRPr="00552099">
        <w:rPr>
          <w:snapToGrid/>
          <w:kern w:val="0"/>
          <w:szCs w:val="22"/>
        </w:rPr>
        <w:t xml:space="preserve"> or call centers for the purpose of ensuring continued compliance with the certification requirements and the Commission’s rules.</w:t>
      </w:r>
      <w:r w:rsidR="00836CD9">
        <w:rPr>
          <w:snapToGrid/>
          <w:kern w:val="0"/>
          <w:szCs w:val="22"/>
        </w:rPr>
        <w:t xml:space="preserve"> </w:t>
      </w:r>
    </w:p>
    <w:p w:rsidR="000F5A6F" w:rsidP="004E6B39" w14:paraId="06AFED3A" w14:textId="1D900EC9">
      <w:pPr>
        <w:pStyle w:val="ParaNum"/>
      </w:pPr>
      <w:r>
        <w:t>We remind InnoCaption that, pursuant to section 64.606(c)(2) of the Commission’s rules, a provider seeking renewal of its certification must submit the required documentation</w:t>
      </w:r>
      <w:r w:rsidRPr="004A0065">
        <w:t xml:space="preserve"> </w:t>
      </w:r>
      <w:r>
        <w:t>at least 90 days prior to the expiration of its current certification.</w:t>
      </w:r>
      <w:r>
        <w:rPr>
          <w:rStyle w:val="FootnoteReference"/>
        </w:rPr>
        <w:footnoteReference w:id="29"/>
      </w:r>
    </w:p>
    <w:p w:rsidR="00747B50" w:rsidP="00747B50" w14:paraId="3A940378" w14:textId="535802C2">
      <w:pPr>
        <w:pStyle w:val="Heading1"/>
      </w:pPr>
      <w:r>
        <w:t>Procedural matters</w:t>
      </w:r>
    </w:p>
    <w:p w:rsidR="00F6036A" w:rsidRPr="00D15E20" w:rsidP="00F6036A" w14:paraId="1F383621" w14:textId="77777777">
      <w:pPr>
        <w:pStyle w:val="ParaNum"/>
      </w:pPr>
      <w:r w:rsidRPr="00D15E20">
        <w:rPr>
          <w:i/>
          <w:iCs/>
        </w:rPr>
        <w:t>People with Disabilities.</w:t>
      </w:r>
      <w:r w:rsidRPr="00D15E20">
        <w:t xml:space="preserve">  To request materials in accessible formats for people with disabilities (Braille, large print, electronic files, audio format), send an e-mail to fcc504@fcc.gov or call the Consumer and Governmental Affairs Bureau at 202-418-0530.</w:t>
      </w:r>
    </w:p>
    <w:p w:rsidR="00F6036A" w:rsidRPr="00B94275" w:rsidP="00F6036A" w14:paraId="4A8141BE" w14:textId="77777777">
      <w:pPr>
        <w:pStyle w:val="ParaNum"/>
      </w:pPr>
      <w:r w:rsidRPr="00D15E20">
        <w:rPr>
          <w:i/>
          <w:iCs/>
        </w:rPr>
        <w:t>Additional Information.</w:t>
      </w:r>
      <w:r w:rsidRPr="00D15E20">
        <w:t xml:space="preserve">  For further information regarding this item, </w:t>
      </w:r>
      <w:r w:rsidRPr="00580220">
        <w:t>please contact Joshua Mendelsohn at (202) 599-7304 or by e-mail at </w:t>
      </w:r>
      <w:hyperlink r:id="rId5" w:tgtFrame="_blank" w:history="1">
        <w:r w:rsidRPr="00580220">
          <w:rPr>
            <w:rStyle w:val="Hyperlink"/>
          </w:rPr>
          <w:t>Joshua.Mendelsohn@fcc.gov</w:t>
        </w:r>
      </w:hyperlink>
      <w:r w:rsidRPr="00580220">
        <w:t>, or Ike Ofobike at (202) 744-3916 or by e-mail at </w:t>
      </w:r>
      <w:hyperlink r:id="rId6" w:tgtFrame="_blank" w:history="1">
        <w:r w:rsidRPr="00580220">
          <w:rPr>
            <w:rStyle w:val="Hyperlink"/>
          </w:rPr>
          <w:t>Ike.Ofobike@fcc.gov</w:t>
        </w:r>
      </w:hyperlink>
      <w:r w:rsidRPr="00580220">
        <w:t>.  Individuals who use videophones and are fluent in American Sign Language (ASL) may call the FCC</w:t>
      </w:r>
      <w:r w:rsidRPr="00580220">
        <w:rPr>
          <w:rFonts w:hint="eastAsia"/>
        </w:rPr>
        <w:t>’</w:t>
      </w:r>
      <w:r w:rsidRPr="00580220">
        <w:t>s ASL Consumer Support Line at (844) 432</w:t>
      </w:r>
      <w:r w:rsidRPr="00580220">
        <w:rPr>
          <w:rFonts w:hint="eastAsia"/>
        </w:rPr>
        <w:t>‐</w:t>
      </w:r>
      <w:r w:rsidRPr="00580220">
        <w:t>2275.</w:t>
      </w:r>
    </w:p>
    <w:p w:rsidR="00D87E4A" w:rsidP="003361D2" w14:paraId="1A6941B5" w14:textId="22F94919">
      <w:pPr>
        <w:pStyle w:val="Heading1"/>
      </w:pPr>
      <w:r>
        <w:t>Ordering clauses</w:t>
      </w:r>
    </w:p>
    <w:p w:rsidR="00F34BDA" w:rsidP="00323FA0" w14:paraId="337A2F22" w14:textId="4E2540C8">
      <w:pPr>
        <w:pStyle w:val="ParaNum"/>
      </w:pPr>
      <w:r w:rsidRPr="00B51F11">
        <w:t>IT IS ORDERED that, pursuant to the authority contained in sections 4(i) and 4(j) and 225 of the Communications Act of 1934, as amended, 47 U.S.C. §§ 154(i), 154(j) and 225, and sections 0.141</w:t>
      </w:r>
      <w:r w:rsidR="00DA0C0F">
        <w:t xml:space="preserve"> and</w:t>
      </w:r>
      <w:r w:rsidRPr="00B51F11">
        <w:t xml:space="preserve"> 0.361 of the Commission’s rules, 47 </w:t>
      </w:r>
      <w:r>
        <w:t xml:space="preserve">CFR </w:t>
      </w:r>
      <w:r w:rsidRPr="00B51F11">
        <w:t>§§ 0.141, 0.361 and 1.3, this Order IS ADOPTED.</w:t>
      </w:r>
    </w:p>
    <w:p w:rsidR="00F34BDA" w14:paraId="06330922" w14:textId="77777777">
      <w:pPr>
        <w:widowControl/>
      </w:pPr>
      <w:r>
        <w:br w:type="page"/>
      </w:r>
    </w:p>
    <w:p w:rsidR="00A93B0A" w:rsidP="00323FA0" w14:paraId="7002F585" w14:textId="0CAA71F4">
      <w:pPr>
        <w:pStyle w:val="ParaNum"/>
      </w:pPr>
      <w:r w:rsidRPr="00B51F11">
        <w:t>IT IS FURTHER ORDERED that this Order SHALL BE EFFECTIVE upon release.</w:t>
      </w:r>
    </w:p>
    <w:p w:rsidR="00BC5AE9" w:rsidP="00BC5AE9" w14:paraId="01E26700" w14:textId="77777777">
      <w:pPr>
        <w:pStyle w:val="ParaNum"/>
        <w:numPr>
          <w:ilvl w:val="0"/>
          <w:numId w:val="0"/>
        </w:numPr>
        <w:ind w:left="720"/>
      </w:pPr>
    </w:p>
    <w:p w:rsidR="00A93B0A" w:rsidP="00136F79" w14:paraId="771B1447" w14:textId="77777777">
      <w:r>
        <w:tab/>
      </w:r>
      <w:r>
        <w:tab/>
      </w:r>
      <w:r>
        <w:tab/>
      </w:r>
      <w:r>
        <w:tab/>
      </w:r>
      <w:r>
        <w:tab/>
      </w:r>
      <w:r>
        <w:tab/>
        <w:t>FEDERAL COMMUNICATIONS COMMISSION</w:t>
      </w:r>
    </w:p>
    <w:p w:rsidR="00A93B0A" w:rsidP="00136F79" w14:paraId="64E5CD9F" w14:textId="77777777"/>
    <w:p w:rsidR="00A93B0A" w:rsidP="00136F79" w14:paraId="5F0E2C72" w14:textId="77777777"/>
    <w:p w:rsidR="00A93B0A" w:rsidP="00136F79" w14:paraId="3DCBE988" w14:textId="77777777"/>
    <w:p w:rsidR="00A93B0A" w:rsidRPr="00A775EF" w:rsidP="00136F79" w14:paraId="419C614F" w14:textId="5872C2A3"/>
    <w:p w:rsidR="00A93B0A" w:rsidRPr="00A775EF" w:rsidP="00136F79" w14:paraId="6F7EB355" w14:textId="0AADCCE5">
      <w:r w:rsidRPr="00A775EF">
        <w:tab/>
      </w:r>
      <w:r w:rsidRPr="00A775EF">
        <w:tab/>
      </w:r>
      <w:r w:rsidRPr="00A775EF">
        <w:tab/>
      </w:r>
      <w:r w:rsidRPr="00A775EF">
        <w:tab/>
      </w:r>
      <w:r w:rsidRPr="00A775EF">
        <w:tab/>
      </w:r>
      <w:r w:rsidRPr="00A775EF">
        <w:tab/>
      </w:r>
      <w:r w:rsidR="00287437">
        <w:t>Alejand</w:t>
      </w:r>
      <w:r w:rsidR="00B27EDD">
        <w:t>ro Roark</w:t>
      </w:r>
    </w:p>
    <w:p w:rsidR="00A93B0A" w:rsidRPr="00A775EF" w:rsidP="00136F79" w14:paraId="6AB2A462" w14:textId="6BCEE640">
      <w:r w:rsidRPr="00A775EF">
        <w:tab/>
      </w:r>
      <w:r w:rsidRPr="00A775EF">
        <w:tab/>
      </w:r>
      <w:r w:rsidRPr="00A775EF">
        <w:tab/>
      </w:r>
      <w:r w:rsidRPr="00A775EF">
        <w:tab/>
      </w:r>
      <w:r w:rsidRPr="00A775EF">
        <w:tab/>
      </w:r>
      <w:r w:rsidRPr="00A775EF">
        <w:tab/>
        <w:t>Chief</w:t>
      </w:r>
    </w:p>
    <w:p w:rsidR="00412FC5" w:rsidP="00136F79" w14:paraId="15460A9D" w14:textId="125F1253">
      <w:pPr>
        <w:ind w:left="3600" w:firstLine="720"/>
      </w:pPr>
      <w:r>
        <w:t>Consumer and Governmental Affairs</w:t>
      </w:r>
      <w:r w:rsidRPr="00A775EF">
        <w:t xml:space="preserve">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32BBC1"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625998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8BC1AA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357761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C9DED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396B" w14:paraId="7C62922A" w14:textId="77777777">
      <w:r>
        <w:separator/>
      </w:r>
    </w:p>
  </w:footnote>
  <w:footnote w:type="continuationSeparator" w:id="1">
    <w:p w:rsidR="001F396B" w:rsidP="00C721AC" w14:paraId="29D65409" w14:textId="77777777">
      <w:pPr>
        <w:spacing w:before="120"/>
        <w:rPr>
          <w:sz w:val="20"/>
        </w:rPr>
      </w:pPr>
      <w:r>
        <w:rPr>
          <w:sz w:val="20"/>
        </w:rPr>
        <w:t xml:space="preserve">(Continued from previous page)  </w:t>
      </w:r>
      <w:r>
        <w:rPr>
          <w:sz w:val="20"/>
        </w:rPr>
        <w:separator/>
      </w:r>
    </w:p>
  </w:footnote>
  <w:footnote w:type="continuationNotice" w:id="2">
    <w:p w:rsidR="001F396B" w:rsidP="00C721AC" w14:paraId="485D29C8" w14:textId="77777777">
      <w:pPr>
        <w:jc w:val="right"/>
        <w:rPr>
          <w:sz w:val="20"/>
        </w:rPr>
      </w:pPr>
      <w:r>
        <w:rPr>
          <w:sz w:val="20"/>
        </w:rPr>
        <w:t>(</w:t>
      </w:r>
      <w:r>
        <w:rPr>
          <w:sz w:val="20"/>
        </w:rPr>
        <w:t>continued</w:t>
      </w:r>
      <w:r>
        <w:rPr>
          <w:sz w:val="20"/>
        </w:rPr>
        <w:t>….)</w:t>
      </w:r>
    </w:p>
  </w:footnote>
  <w:footnote w:id="3">
    <w:p w:rsidR="00D1242F" w:rsidRPr="00C36603" w:rsidP="00D1242F" w14:paraId="52EBF5DC" w14:textId="0A27EC74">
      <w:pPr>
        <w:pStyle w:val="FootnoteText"/>
      </w:pPr>
      <w:r w:rsidRPr="00C36603">
        <w:rPr>
          <w:rStyle w:val="FootnoteReference"/>
        </w:rPr>
        <w:footnoteRef/>
      </w:r>
      <w:r w:rsidRPr="00C36603">
        <w:t xml:space="preserve"> </w:t>
      </w:r>
      <w:r w:rsidR="00565F26">
        <w:t xml:space="preserve">TRS </w:t>
      </w:r>
      <w:r w:rsidRPr="00C36603" w:rsidR="00565F26">
        <w:t xml:space="preserve">are “telephone transmission services that provide the ability for an individual who is deaf, hard of hearing, deaf-blind, or who has a speech disability” to communicate with others via wire or radio “in a manner that is functionally equivalent to the ability of a hearing individual who does not have a speech disability.”  </w:t>
      </w:r>
      <w:r w:rsidRPr="00E33542" w:rsidR="00565F26">
        <w:rPr>
          <w:i/>
          <w:iCs/>
        </w:rPr>
        <w:t>Id</w:t>
      </w:r>
      <w:r w:rsidR="00565F26">
        <w:t xml:space="preserve">. </w:t>
      </w:r>
      <w:r w:rsidRPr="00C36603" w:rsidR="00565F26">
        <w:t>§ 64.601(a)(42).</w:t>
      </w:r>
      <w:r w:rsidR="00565F26">
        <w:t xml:space="preserve">  </w:t>
      </w:r>
      <w:r w:rsidRPr="00CD2FF5" w:rsidR="00CD2FF5">
        <w:t xml:space="preserve">The TRS Fund compensates eligible providers of Internet-based and interstate TRS for their reasonable costs of providing these services.  </w:t>
      </w:r>
      <w:r w:rsidRPr="00CD2FF5" w:rsidR="00CD2FF5">
        <w:rPr>
          <w:i/>
        </w:rPr>
        <w:t xml:space="preserve">See </w:t>
      </w:r>
      <w:r w:rsidRPr="00CD2FF5" w:rsidR="00CD2FF5">
        <w:t>47 CFR § 64.604(c)(5)(iii).</w:t>
      </w:r>
      <w:r w:rsidR="00CD2FF5">
        <w:t xml:space="preserve">  </w:t>
      </w:r>
      <w:r>
        <w:t>IP CTS</w:t>
      </w:r>
      <w:r w:rsidR="00565F26">
        <w:t>,</w:t>
      </w:r>
      <w:r w:rsidRPr="00C36603">
        <w:t xml:space="preserve"> a form of </w:t>
      </w:r>
      <w:r>
        <w:t>TRS</w:t>
      </w:r>
      <w:r w:rsidR="00565F26">
        <w:t>,</w:t>
      </w:r>
      <w:r w:rsidRPr="00C36603">
        <w:t xml:space="preserve"> </w:t>
      </w:r>
      <w:r>
        <w:t xml:space="preserve">“permits an individual who can speak but who has difficulty hearing over the telephone to use a telephone and an internet Protocol-enabled device via the internet to simultaneously listen to the other party and read captions of what the other party is saying. </w:t>
      </w:r>
      <w:r w:rsidR="003A2BBC">
        <w:t xml:space="preserve"> </w:t>
      </w:r>
      <w:r>
        <w:t>With IP CTS, the connection carrying the captions between the relay service provider and the relay service user is via the internet, rather than the public switched telephone network</w:t>
      </w:r>
      <w:r w:rsidRPr="00C36603">
        <w:t>.”  47 CFR § 64.601(a)(</w:t>
      </w:r>
      <w:r>
        <w:t>22</w:t>
      </w:r>
      <w:r w:rsidRPr="00C36603">
        <w:t xml:space="preserve">).  </w:t>
      </w:r>
    </w:p>
  </w:footnote>
  <w:footnote w:id="4">
    <w:p w:rsidR="00D1242F" w:rsidRPr="00C36603" w:rsidP="00D1242F" w14:paraId="4143D5C2" w14:textId="23F40B8D">
      <w:pPr>
        <w:pStyle w:val="FootnoteText"/>
      </w:pPr>
      <w:r w:rsidRPr="00C36603">
        <w:rPr>
          <w:rStyle w:val="FootnoteReference"/>
        </w:rPr>
        <w:footnoteRef/>
      </w:r>
      <w:r w:rsidRPr="00C36603">
        <w:t xml:space="preserve"> </w:t>
      </w:r>
      <w:r w:rsidRPr="00E21C81">
        <w:rPr>
          <w:i/>
          <w:iCs/>
        </w:rPr>
        <w:t>See</w:t>
      </w:r>
      <w:r>
        <w:t xml:space="preserve"> </w:t>
      </w:r>
      <w:r>
        <w:rPr>
          <w:i/>
        </w:rPr>
        <w:t>Notice of Conditional Grant of Application of Miracom USA, Inc., for Certification as a Provider of Internet Protocol Captioned Telephone Service Eligible for Compensation from the Telecommunications Relay Services Fund</w:t>
      </w:r>
      <w:r>
        <w:t>, CG Docket Nos. 03-123, 10-51, and 13-24, Public Notice, 29 FCC Rcd 5105 (CGB 2014) (</w:t>
      </w:r>
      <w:r>
        <w:rPr>
          <w:i/>
          <w:iCs/>
        </w:rPr>
        <w:t>Conditional Grant</w:t>
      </w:r>
      <w:r>
        <w:t>)</w:t>
      </w:r>
      <w:r w:rsidR="00894804">
        <w:t xml:space="preserve"> (IP CTS with CAs)</w:t>
      </w:r>
      <w:r>
        <w:t xml:space="preserve">; </w:t>
      </w:r>
      <w:r w:rsidRPr="002A43D0">
        <w:rPr>
          <w:i/>
          <w:iCs/>
        </w:rPr>
        <w:t>Telecommunications Relay Services and Speech-to-Speech Services for Individuals with Hearing and Speech Disabilities</w:t>
      </w:r>
      <w:r w:rsidRPr="002A43D0">
        <w:t xml:space="preserve">, </w:t>
      </w:r>
      <w:r w:rsidR="00894804">
        <w:t>CG Docket No</w:t>
      </w:r>
      <w:r w:rsidR="0070436B">
        <w:t>s</w:t>
      </w:r>
      <w:r w:rsidR="00894804">
        <w:t xml:space="preserve">. </w:t>
      </w:r>
      <w:r w:rsidR="0070436B">
        <w:t xml:space="preserve">13-24 and 03-123, </w:t>
      </w:r>
      <w:r w:rsidRPr="002A43D0">
        <w:t xml:space="preserve">Memorandum Opinion and Order, </w:t>
      </w:r>
      <w:bookmarkStart w:id="0" w:name="OLE_LINK5"/>
      <w:r w:rsidRPr="002A43D0">
        <w:t>35 FCC Rcd 14193</w:t>
      </w:r>
      <w:bookmarkEnd w:id="0"/>
      <w:r w:rsidRPr="002A43D0">
        <w:t xml:space="preserve"> (</w:t>
      </w:r>
      <w:r w:rsidR="0070436B">
        <w:t xml:space="preserve">CGB </w:t>
      </w:r>
      <w:r w:rsidRPr="002A43D0">
        <w:t>2020)</w:t>
      </w:r>
      <w:r w:rsidR="00894804">
        <w:t xml:space="preserve"> (</w:t>
      </w:r>
      <w:r w:rsidRPr="000A3928" w:rsidR="00894804">
        <w:rPr>
          <w:i/>
          <w:iCs/>
        </w:rPr>
        <w:t>ASR-</w:t>
      </w:r>
      <w:r w:rsidR="0029491A">
        <w:rPr>
          <w:i/>
          <w:iCs/>
        </w:rPr>
        <w:t>Only</w:t>
      </w:r>
      <w:r w:rsidRPr="000A3928" w:rsidR="0029491A">
        <w:rPr>
          <w:i/>
          <w:iCs/>
        </w:rPr>
        <w:t xml:space="preserve"> </w:t>
      </w:r>
      <w:r w:rsidRPr="000A3928" w:rsidR="009862B6">
        <w:rPr>
          <w:i/>
          <w:iCs/>
        </w:rPr>
        <w:t>Certification</w:t>
      </w:r>
      <w:r w:rsidR="009862B6">
        <w:t>)</w:t>
      </w:r>
      <w:r w:rsidRPr="002A43D0">
        <w:t>.</w:t>
      </w:r>
      <w:r>
        <w:t xml:space="preserve">  </w:t>
      </w:r>
    </w:p>
  </w:footnote>
  <w:footnote w:id="5">
    <w:p w:rsidR="0029491A" w:rsidRPr="0029491A" w14:paraId="4CC75127" w14:textId="5A992736">
      <w:pPr>
        <w:pStyle w:val="FootnoteText"/>
      </w:pPr>
      <w:r>
        <w:rPr>
          <w:rStyle w:val="FootnoteReference"/>
        </w:rPr>
        <w:footnoteRef/>
      </w:r>
      <w:r>
        <w:t xml:space="preserve"> InnoCaption’s </w:t>
      </w:r>
      <w:r w:rsidRPr="005E0D94">
        <w:t xml:space="preserve">conditional certification </w:t>
      </w:r>
      <w:r>
        <w:t xml:space="preserve">to provide ASR-only IP CTS </w:t>
      </w:r>
      <w:r w:rsidRPr="005E0D94">
        <w:t>expires December 11, 2022.</w:t>
      </w:r>
      <w:r>
        <w:t xml:space="preserve">  </w:t>
      </w:r>
      <w:r w:rsidRPr="0029491A">
        <w:rPr>
          <w:i/>
          <w:iCs/>
        </w:rPr>
        <w:t>ASR-Only Certification</w:t>
      </w:r>
      <w:r>
        <w:t xml:space="preserve">, </w:t>
      </w:r>
      <w:r w:rsidR="00AC5E1C">
        <w:t xml:space="preserve">35 FCC Rcd at </w:t>
      </w:r>
      <w:r w:rsidRPr="00B23FCA" w:rsidR="00B23FCA">
        <w:t>14203</w:t>
      </w:r>
      <w:r w:rsidR="006D541B">
        <w:t>, para. 25.</w:t>
      </w:r>
    </w:p>
  </w:footnote>
  <w:footnote w:id="6">
    <w:p w:rsidR="00A61574" w:rsidP="00A61574" w14:paraId="0B83C9B3" w14:textId="508F5305">
      <w:pPr>
        <w:pStyle w:val="FootnoteText"/>
      </w:pPr>
      <w:r>
        <w:rPr>
          <w:rStyle w:val="FootnoteReference"/>
        </w:rPr>
        <w:footnoteRef/>
      </w:r>
      <w:r>
        <w:t xml:space="preserve"> </w:t>
      </w:r>
      <w:r w:rsidRPr="004D4208">
        <w:rPr>
          <w:i/>
        </w:rPr>
        <w:t xml:space="preserve">See </w:t>
      </w:r>
      <w:r w:rsidRPr="00C36603" w:rsidR="001D5B6F">
        <w:t>47 CFR § 64.606</w:t>
      </w:r>
      <w:r w:rsidR="001D5B6F">
        <w:t xml:space="preserve">; </w:t>
      </w:r>
      <w:r w:rsidRPr="00C36603" w:rsidR="00047487">
        <w:rPr>
          <w:i/>
        </w:rPr>
        <w:t>Structure and Practices of the Video Relay Service Program</w:t>
      </w:r>
      <w:r w:rsidRPr="00C36603" w:rsidR="00047487">
        <w:t>, Second Report and Order</w:t>
      </w:r>
      <w:r>
        <w:rPr>
          <w:iCs/>
        </w:rPr>
        <w:t>, 26 FCC</w:t>
      </w:r>
      <w:r w:rsidRPr="00C36603">
        <w:t xml:space="preserve"> </w:t>
      </w:r>
      <w:r w:rsidR="00047487">
        <w:t xml:space="preserve">Rcd 10898, </w:t>
      </w:r>
      <w:r w:rsidRPr="00C36603">
        <w:t>10902</w:t>
      </w:r>
      <w:r w:rsidR="007D5E7D">
        <w:t>-03</w:t>
      </w:r>
      <w:r w:rsidRPr="00C36603">
        <w:t>, para</w:t>
      </w:r>
      <w:r w:rsidR="007D5E7D">
        <w:t>s</w:t>
      </w:r>
      <w:r w:rsidRPr="00C36603">
        <w:t>.</w:t>
      </w:r>
      <w:r>
        <w:t xml:space="preserve"> 8</w:t>
      </w:r>
      <w:r w:rsidR="007D5E7D">
        <w:t>-9</w:t>
      </w:r>
      <w:r w:rsidR="00047487">
        <w:t xml:space="preserve"> </w:t>
      </w:r>
      <w:r w:rsidRPr="00C36603" w:rsidR="00047487">
        <w:t>(2011) (</w:t>
      </w:r>
      <w:r w:rsidR="00047487">
        <w:rPr>
          <w:i/>
          <w:iCs/>
        </w:rPr>
        <w:t xml:space="preserve">2011 </w:t>
      </w:r>
      <w:r w:rsidRPr="00C36603" w:rsidR="00047487">
        <w:rPr>
          <w:i/>
        </w:rPr>
        <w:t>Internet-based TRS Certification Order</w:t>
      </w:r>
      <w:r w:rsidRPr="00C36603" w:rsidR="00047487">
        <w:t>)</w:t>
      </w:r>
      <w:r w:rsidRPr="00C36603">
        <w:t>.</w:t>
      </w:r>
    </w:p>
  </w:footnote>
  <w:footnote w:id="7">
    <w:p w:rsidR="00A61574" w:rsidRPr="00C36603" w:rsidP="00A61574" w14:paraId="59DD8E46" w14:textId="2570BB1D">
      <w:pPr>
        <w:spacing w:after="120"/>
        <w:rPr>
          <w:sz w:val="20"/>
        </w:rPr>
      </w:pPr>
      <w:r w:rsidRPr="00C36603">
        <w:rPr>
          <w:rStyle w:val="FootnoteReference"/>
        </w:rPr>
        <w:footnoteRef/>
      </w:r>
      <w:r w:rsidRPr="00C36603">
        <w:rPr>
          <w:sz w:val="20"/>
        </w:rPr>
        <w:t xml:space="preserve"> </w:t>
      </w:r>
      <w:r w:rsidRPr="00C36603" w:rsidR="007D5E7D">
        <w:rPr>
          <w:sz w:val="20"/>
        </w:rPr>
        <w:t xml:space="preserve">47 CFR § 64.606(b)(2); </w:t>
      </w:r>
      <w:r>
        <w:rPr>
          <w:i/>
          <w:iCs/>
          <w:sz w:val="20"/>
        </w:rPr>
        <w:t xml:space="preserve">2011 </w:t>
      </w:r>
      <w:r w:rsidRPr="00C36603">
        <w:rPr>
          <w:i/>
          <w:sz w:val="20"/>
        </w:rPr>
        <w:t>Internet-based TRS Certification Order</w:t>
      </w:r>
      <w:r w:rsidRPr="00C36603">
        <w:rPr>
          <w:sz w:val="20"/>
        </w:rPr>
        <w:t xml:space="preserve">, </w:t>
      </w:r>
      <w:r w:rsidRPr="005F16F6">
        <w:rPr>
          <w:sz w:val="20"/>
        </w:rPr>
        <w:t>26 FCC Rcd at 10909-13, paras. 23-34</w:t>
      </w:r>
      <w:r w:rsidRPr="00C36603">
        <w:rPr>
          <w:sz w:val="20"/>
        </w:rPr>
        <w:t xml:space="preserve">; </w:t>
      </w:r>
      <w:r w:rsidRPr="00C36603">
        <w:rPr>
          <w:i/>
          <w:sz w:val="20"/>
        </w:rPr>
        <w:t>see also Structure and Practices of the Video Relay Service Program et al.</w:t>
      </w:r>
      <w:r w:rsidRPr="00C36603">
        <w:rPr>
          <w:sz w:val="20"/>
        </w:rPr>
        <w:t xml:space="preserve">, </w:t>
      </w:r>
      <w:r>
        <w:rPr>
          <w:sz w:val="20"/>
        </w:rPr>
        <w:t xml:space="preserve">CG Docket Nos. 10-51 </w:t>
      </w:r>
      <w:r>
        <w:rPr>
          <w:i/>
          <w:iCs/>
          <w:sz w:val="20"/>
        </w:rPr>
        <w:t>et al.</w:t>
      </w:r>
      <w:r w:rsidRPr="006E2455">
        <w:rPr>
          <w:sz w:val="20"/>
        </w:rPr>
        <w:t xml:space="preserve">, </w:t>
      </w:r>
      <w:r w:rsidRPr="00C36603">
        <w:rPr>
          <w:sz w:val="20"/>
        </w:rPr>
        <w:t xml:space="preserve">Memorandum Opinion and Order, Order, and Further Notice of Proposed Rulemaking, 26 FCC Rcd 14895 (2011) (clarifying and modifying the certification requirements adopted in the </w:t>
      </w:r>
      <w:r>
        <w:rPr>
          <w:i/>
          <w:iCs/>
          <w:sz w:val="20"/>
        </w:rPr>
        <w:t xml:space="preserve">2011 </w:t>
      </w:r>
      <w:r w:rsidRPr="00C36603">
        <w:rPr>
          <w:i/>
          <w:sz w:val="20"/>
        </w:rPr>
        <w:t>Internet-based TRS Certification Order</w:t>
      </w:r>
      <w:r w:rsidRPr="00C36603">
        <w:rPr>
          <w:sz w:val="20"/>
        </w:rPr>
        <w:t>).</w:t>
      </w:r>
    </w:p>
  </w:footnote>
  <w:footnote w:id="8">
    <w:p w:rsidR="00A61574" w:rsidP="00A61574" w14:paraId="119266EA" w14:textId="77777777">
      <w:pPr>
        <w:pStyle w:val="FootnoteText"/>
      </w:pPr>
      <w:r>
        <w:rPr>
          <w:rStyle w:val="FootnoteReference"/>
        </w:rPr>
        <w:footnoteRef/>
      </w:r>
      <w:r>
        <w:t xml:space="preserve"> </w:t>
      </w:r>
      <w:r>
        <w:rPr>
          <w:i/>
          <w:iCs/>
        </w:rPr>
        <w:t xml:space="preserve">2011 </w:t>
      </w:r>
      <w:r w:rsidRPr="006E1A95">
        <w:rPr>
          <w:i/>
        </w:rPr>
        <w:t>Internet-based TRS Certification Order</w:t>
      </w:r>
      <w:r w:rsidRPr="006E1A95">
        <w:t>, 26 FCC Rcd at 10914</w:t>
      </w:r>
      <w:r>
        <w:t>-15, para.</w:t>
      </w:r>
      <w:r w:rsidRPr="006E1A95">
        <w:t xml:space="preserve"> 37.  </w:t>
      </w:r>
      <w:r w:rsidRPr="002F3F64">
        <w:t>Such conditional certifications are granted without prejudice to the Commission’s final determination of the applicant’s qualifications and thus preserve the Commission’s ability to fully review an application for certification on the merits</w:t>
      </w:r>
      <w:r>
        <w:t xml:space="preserve">.  </w:t>
      </w:r>
      <w:r w:rsidRPr="006E1A95">
        <w:rPr>
          <w:i/>
        </w:rPr>
        <w:t>Id</w:t>
      </w:r>
      <w:r w:rsidRPr="006E1A95">
        <w:t>. at 1091</w:t>
      </w:r>
      <w:r>
        <w:t>4, para.</w:t>
      </w:r>
      <w:r w:rsidRPr="006E1A95">
        <w:t xml:space="preserve"> 37</w:t>
      </w:r>
      <w:r>
        <w:t>;</w:t>
      </w:r>
      <w:r>
        <w:rPr>
          <w:i/>
        </w:rPr>
        <w:t xml:space="preserve"> </w:t>
      </w:r>
      <w:r w:rsidRPr="00C21450">
        <w:rPr>
          <w:i/>
        </w:rPr>
        <w:t>see also Conditional Grant</w:t>
      </w:r>
      <w:r w:rsidRPr="00C21450">
        <w:t>, 29 FCC Rcd at 5107.</w:t>
      </w:r>
      <w:r w:rsidRPr="00DE667F">
        <w:t xml:space="preserve">  </w:t>
      </w:r>
    </w:p>
  </w:footnote>
  <w:footnote w:id="9">
    <w:p w:rsidR="00A61574" w:rsidP="00A61574" w14:paraId="3882CE10" w14:textId="77777777">
      <w:pPr>
        <w:pStyle w:val="FootnoteText"/>
      </w:pPr>
      <w:r>
        <w:rPr>
          <w:rStyle w:val="FootnoteReference"/>
        </w:rPr>
        <w:footnoteRef/>
      </w:r>
      <w:r>
        <w:t xml:space="preserve"> </w:t>
      </w:r>
      <w:r w:rsidRPr="00BC1A54">
        <w:t>47 CFR § 64.606(g).</w:t>
      </w:r>
    </w:p>
  </w:footnote>
  <w:footnote w:id="10">
    <w:p w:rsidR="00A61574" w:rsidP="00A61574" w14:paraId="0D28185A" w14:textId="77777777">
      <w:pPr>
        <w:pStyle w:val="FootnoteText"/>
      </w:pPr>
      <w:r>
        <w:rPr>
          <w:rStyle w:val="FootnoteReference"/>
        </w:rPr>
        <w:footnoteRef/>
      </w:r>
      <w:r>
        <w:t xml:space="preserve"> </w:t>
      </w:r>
      <w:r w:rsidRPr="00CA5308">
        <w:rPr>
          <w:i/>
        </w:rPr>
        <w:t>See</w:t>
      </w:r>
      <w:r>
        <w:t xml:space="preserve"> </w:t>
      </w:r>
      <w:r>
        <w:rPr>
          <w:i/>
          <w:lang w:val="es-ES"/>
        </w:rPr>
        <w:t>i</w:t>
      </w:r>
      <w:r w:rsidRPr="004F374F">
        <w:rPr>
          <w:i/>
          <w:lang w:val="es-ES"/>
        </w:rPr>
        <w:t>d</w:t>
      </w:r>
      <w:r>
        <w:rPr>
          <w:lang w:val="es-ES"/>
        </w:rPr>
        <w:t xml:space="preserve">. </w:t>
      </w:r>
      <w:r w:rsidRPr="00BC1A54">
        <w:t xml:space="preserve">§ </w:t>
      </w:r>
      <w:r>
        <w:t>64.604(c)(13).</w:t>
      </w:r>
    </w:p>
  </w:footnote>
  <w:footnote w:id="11">
    <w:p w:rsidR="002F2576" w:rsidP="002F2576" w14:paraId="19605DFB" w14:textId="1F6A62B5">
      <w:pPr>
        <w:pStyle w:val="FootnoteText"/>
      </w:pPr>
      <w:r>
        <w:rPr>
          <w:rStyle w:val="FootnoteReference"/>
        </w:rPr>
        <w:footnoteRef/>
      </w:r>
      <w:r>
        <w:t xml:space="preserve"> </w:t>
      </w:r>
      <w:r w:rsidRPr="000F1C19" w:rsidR="000B465F">
        <w:t>Miracom USA, Inc., Application of Miracom USA, Inc. for Certification to Provid</w:t>
      </w:r>
      <w:r w:rsidR="000B465F">
        <w:t>e IP Captioned Telephone Service</w:t>
      </w:r>
      <w:r w:rsidRPr="000F1C19" w:rsidR="000B465F">
        <w:rPr>
          <w:i/>
          <w:iCs/>
        </w:rPr>
        <w:t xml:space="preserve">, </w:t>
      </w:r>
      <w:r w:rsidRPr="000F1C19" w:rsidR="000B465F">
        <w:t>CG Docket No. 03-123</w:t>
      </w:r>
      <w:r w:rsidR="000B465F">
        <w:t xml:space="preserve"> (filed </w:t>
      </w:r>
      <w:r w:rsidRPr="000F1C19" w:rsidR="000B465F">
        <w:t>Nov. 23, 2011)</w:t>
      </w:r>
      <w:r w:rsidR="000B465F">
        <w:t xml:space="preserve">.  </w:t>
      </w:r>
      <w:r w:rsidRPr="000F1C19" w:rsidR="000B465F">
        <w:rPr>
          <w:i/>
        </w:rPr>
        <w:t xml:space="preserve">See </w:t>
      </w:r>
      <w:r w:rsidRPr="004F37B3" w:rsidR="000B465F">
        <w:t>47 CFR § 64.606</w:t>
      </w:r>
      <w:r w:rsidR="000B465F">
        <w:t xml:space="preserve"> (specifying rules for certification of </w:t>
      </w:r>
      <w:r w:rsidR="000B465F">
        <w:t>iTRS</w:t>
      </w:r>
      <w:r w:rsidR="000B465F">
        <w:t xml:space="preserve"> providers)</w:t>
      </w:r>
      <w:r w:rsidRPr="000F1C19" w:rsidR="000B465F">
        <w:t xml:space="preserve">.  </w:t>
      </w:r>
      <w:r w:rsidRPr="00E21C81">
        <w:rPr>
          <w:i/>
          <w:iCs/>
        </w:rPr>
        <w:t>See</w:t>
      </w:r>
      <w:r>
        <w:t xml:space="preserve"> </w:t>
      </w:r>
      <w:r>
        <w:rPr>
          <w:i/>
        </w:rPr>
        <w:t>Conditional Grant</w:t>
      </w:r>
      <w:r>
        <w:t>, 29 FCC Rcd at 5107</w:t>
      </w:r>
      <w:r>
        <w:rPr>
          <w:iCs/>
        </w:rPr>
        <w:t>.</w:t>
      </w:r>
      <w:r w:rsidR="00313403">
        <w:rPr>
          <w:iCs/>
        </w:rPr>
        <w:t xml:space="preserve">  </w:t>
      </w:r>
      <w:r w:rsidRPr="00BD6DD0" w:rsidR="008E34C1">
        <w:rPr>
          <w:iCs/>
        </w:rPr>
        <w:t>That grant of conditional certification contained no expiration date.</w:t>
      </w:r>
      <w:r w:rsidRPr="008E34C1" w:rsidR="008E34C1">
        <w:rPr>
          <w:iCs/>
        </w:rPr>
        <w:t xml:space="preserve">  </w:t>
      </w:r>
    </w:p>
  </w:footnote>
  <w:footnote w:id="12">
    <w:p w:rsidR="002F2576" w:rsidRPr="001B27E6" w:rsidP="002F2576" w14:paraId="68F5762F" w14:textId="70C70845">
      <w:pPr>
        <w:pStyle w:val="FootnoteText"/>
      </w:pPr>
      <w:r>
        <w:rPr>
          <w:rStyle w:val="FootnoteReference"/>
        </w:rPr>
        <w:footnoteRef/>
      </w:r>
      <w:r>
        <w:t xml:space="preserve"> </w:t>
      </w:r>
      <w:r w:rsidR="003E1D9B">
        <w:t>Amendment to Application of Mezmo Corporation for Certification as a Provider of IP Captioned Telephone Services, CG Docket Nos. 13-24 and 03-123 (filed Mar. 13, 2020) (March</w:t>
      </w:r>
      <w:r w:rsidR="00756DA3">
        <w:t xml:space="preserve"> 2020</w:t>
      </w:r>
      <w:r w:rsidRPr="00577A8B" w:rsidR="003E1D9B">
        <w:t xml:space="preserve"> Amendment</w:t>
      </w:r>
      <w:r w:rsidR="003E1D9B">
        <w:t xml:space="preserve">), </w:t>
      </w:r>
      <w:hyperlink r:id="rId1" w:history="1">
        <w:r w:rsidRPr="00C44E34" w:rsidR="003E1D9B">
          <w:rPr>
            <w:rStyle w:val="Hyperlink"/>
          </w:rPr>
          <w:t>https://ecfsapi.fcc.gov/file/10313420020708/FINAL_Amendment%20to%20InnoCaption%20Application_%2003.13.2020.pdf</w:t>
        </w:r>
      </w:hyperlink>
      <w:r w:rsidR="003E1D9B">
        <w:t xml:space="preserve">.  </w:t>
      </w:r>
      <w:r w:rsidR="007D048B">
        <w:t xml:space="preserve">When an applicant is conditionally certified to provide Internet-based TRS, the original application remains in pending status until full certification is granted.  </w:t>
      </w:r>
      <w:r w:rsidR="007D048B">
        <w:rPr>
          <w:i/>
          <w:iCs/>
        </w:rPr>
        <w:t xml:space="preserve">See </w:t>
      </w:r>
      <w:r w:rsidRPr="008C45C2" w:rsidR="007D048B">
        <w:rPr>
          <w:i/>
        </w:rPr>
        <w:t>2011 Internet-based TRS Certification Order</w:t>
      </w:r>
      <w:r w:rsidR="007D048B">
        <w:rPr>
          <w:iCs/>
        </w:rPr>
        <w:t>,</w:t>
      </w:r>
      <w:r w:rsidRPr="004B3957" w:rsidR="007D048B">
        <w:t xml:space="preserve"> </w:t>
      </w:r>
      <w:r w:rsidR="007D048B">
        <w:t xml:space="preserve">26 FCC Rcd at 10914-15, para. 37; </w:t>
      </w:r>
      <w:r w:rsidR="007D048B">
        <w:rPr>
          <w:i/>
          <w:iCs/>
        </w:rPr>
        <w:t>see also Conditional Grant</w:t>
      </w:r>
      <w:r w:rsidR="007D048B">
        <w:t>, 29 FCC Rcd at 5111</w:t>
      </w:r>
      <w:r w:rsidR="001D5B6F">
        <w:t>;</w:t>
      </w:r>
      <w:r w:rsidR="007D048B">
        <w:t xml:space="preserve"> </w:t>
      </w:r>
      <w:r w:rsidR="007D048B">
        <w:rPr>
          <w:i/>
          <w:iCs/>
        </w:rPr>
        <w:t>ASR-Only Certification</w:t>
      </w:r>
      <w:r w:rsidR="007D048B">
        <w:t xml:space="preserve">, 35 FCC Rcd at 14193, para. </w:t>
      </w:r>
      <w:r w:rsidRPr="00574E4A" w:rsidR="007D048B">
        <w:t xml:space="preserve">2.  </w:t>
      </w:r>
      <w:r w:rsidRPr="00574E4A">
        <w:t>On</w:t>
      </w:r>
      <w:r>
        <w:t xml:space="preserve"> October 1, 2020, InnoCaption filed a supplement to its amendment with additional information regarding its ASR-only service.  Supplement to Amendment of Application of Mezmo Corporation for Certification as a Provider of IP Caption Telephone Services, CG Docket Nos. 13-24 and 03-123 (filed Oct. 1, 2020) (</w:t>
      </w:r>
      <w:r w:rsidRPr="00F05938">
        <w:t>InnoCaption Supplement</w:t>
      </w:r>
      <w:r>
        <w:t xml:space="preserve">), </w:t>
      </w:r>
      <w:bookmarkStart w:id="1" w:name="OLE_LINK17"/>
      <w:hyperlink r:id="rId2" w:history="1">
        <w:r w:rsidRPr="00AF0EA0">
          <w:rPr>
            <w:rStyle w:val="Hyperlink"/>
          </w:rPr>
          <w:t>https://ecfsapi.fcc.gov/file/1001106028181/ASR%20Supplement%20-%20Final%20Redacted%20-%2010.01.2020.pdf</w:t>
        </w:r>
      </w:hyperlink>
      <w:r>
        <w:t xml:space="preserve"> </w:t>
      </w:r>
      <w:bookmarkEnd w:id="1"/>
      <w:r>
        <w:t xml:space="preserve">(redacted); </w:t>
      </w:r>
      <w:r w:rsidRPr="00305D1D">
        <w:rPr>
          <w:i/>
          <w:iCs/>
        </w:rPr>
        <w:t>see also</w:t>
      </w:r>
      <w:r>
        <w:t xml:space="preserve"> Substitute Supplement to Amendment to Application of Mezmo Corporation for Certification as a Provider of IP Captioned Telephone Services, CG Docket Nos. 13-24 and 03-123 (filed Dec. 3, 2020) (InnoCaption Substitute Supplement) (withdrawing confidentiality request for confidential treatment of certain material included in the InnoCaption Supplement).  In this Order, references in the text to the “amendment” include both the InnoCaption Amendment and the later-filed InnoCaption Supplement. </w:t>
      </w:r>
    </w:p>
  </w:footnote>
  <w:footnote w:id="13">
    <w:p w:rsidR="002F2576" w:rsidRPr="00C36603" w:rsidP="002F2576" w14:paraId="2BC3E049" w14:textId="625AE3F3">
      <w:pPr>
        <w:pStyle w:val="FootnoteText"/>
      </w:pPr>
      <w:r w:rsidRPr="00C36603">
        <w:rPr>
          <w:rStyle w:val="FootnoteReference"/>
        </w:rPr>
        <w:footnoteRef/>
      </w:r>
      <w:r w:rsidRPr="00C36603">
        <w:t xml:space="preserve"> </w:t>
      </w:r>
      <w:r w:rsidRPr="00D539DC">
        <w:rPr>
          <w:i/>
          <w:iCs/>
        </w:rPr>
        <w:t>See</w:t>
      </w:r>
      <w:r w:rsidRPr="002A43D0">
        <w:t xml:space="preserve"> </w:t>
      </w:r>
      <w:r w:rsidR="009862B6">
        <w:rPr>
          <w:i/>
          <w:iCs/>
        </w:rPr>
        <w:t>ASR-</w:t>
      </w:r>
      <w:r w:rsidR="004328DE">
        <w:rPr>
          <w:i/>
          <w:iCs/>
        </w:rPr>
        <w:t xml:space="preserve">Only </w:t>
      </w:r>
      <w:r w:rsidR="009862B6">
        <w:rPr>
          <w:i/>
          <w:iCs/>
        </w:rPr>
        <w:t>Certification,</w:t>
      </w:r>
      <w:r w:rsidRPr="002A43D0">
        <w:t xml:space="preserve"> </w:t>
      </w:r>
      <w:bookmarkStart w:id="2" w:name="OLE_LINK3"/>
      <w:r w:rsidRPr="002A43D0">
        <w:t xml:space="preserve">35 FCC Rcd </w:t>
      </w:r>
      <w:r w:rsidR="009862B6">
        <w:t xml:space="preserve">at </w:t>
      </w:r>
      <w:r w:rsidRPr="002A43D0">
        <w:t>14202-03</w:t>
      </w:r>
      <w:bookmarkEnd w:id="2"/>
      <w:r w:rsidRPr="002A43D0">
        <w:t>, paras. 21, 25.</w:t>
      </w:r>
    </w:p>
  </w:footnote>
  <w:footnote w:id="14">
    <w:p w:rsidR="002F2576" w:rsidP="002F2576" w14:paraId="148029FD" w14:textId="34C909E8">
      <w:pPr>
        <w:pStyle w:val="FootnoteText"/>
      </w:pPr>
      <w:r>
        <w:rPr>
          <w:rStyle w:val="FootnoteReference"/>
        </w:rPr>
        <w:footnoteRef/>
      </w:r>
      <w:r w:rsidRPr="00621BB1">
        <w:t xml:space="preserve"> </w:t>
      </w:r>
      <w:r>
        <w:rPr>
          <w:i/>
          <w:iCs/>
        </w:rPr>
        <w:t xml:space="preserve">See </w:t>
      </w:r>
      <w:bookmarkStart w:id="3" w:name="OLE_LINK14"/>
      <w:r>
        <w:t>InnoCaption Annual TRS Report and CPNI Filing, CG Docket No. 03-123</w:t>
      </w:r>
      <w:bookmarkEnd w:id="3"/>
      <w:r>
        <w:t xml:space="preserve"> </w:t>
      </w:r>
      <w:r w:rsidR="005910A9">
        <w:t xml:space="preserve">(filed June 17, 2022); InnoCaption Annual TRS Report and CPNI Filing, CG Docket No. 03-123 </w:t>
      </w:r>
      <w:r>
        <w:t>(filed June 16, 2021); InnoCaption Annual TRS Report and CPNI Filing, CG Docket No. 03-123 (filed July 7, 2020); InnoCaption Annual TRS Report, CG Docket No. 03-123 (filed July 15, 2019);</w:t>
      </w:r>
      <w:r w:rsidR="005453FC">
        <w:t xml:space="preserve"> InnoCaption Annual Compliance Report, CG Docket No. 03-123 (filed Sept. 2</w:t>
      </w:r>
      <w:r w:rsidR="000F0035">
        <w:t>4</w:t>
      </w:r>
      <w:r w:rsidR="005453FC">
        <w:t>, 2018);</w:t>
      </w:r>
      <w:r w:rsidR="00361154">
        <w:t xml:space="preserve"> </w:t>
      </w:r>
      <w:r w:rsidR="005E11F4">
        <w:t>InnoCaption Annual Compliance Report, CG Docket No. 03-123 (filed Sept. 2</w:t>
      </w:r>
      <w:r w:rsidR="005453FC">
        <w:t>2</w:t>
      </w:r>
      <w:r w:rsidR="005E11F4">
        <w:t>, 201</w:t>
      </w:r>
      <w:r w:rsidR="005453FC">
        <w:t>7</w:t>
      </w:r>
      <w:r w:rsidR="005E11F4">
        <w:t>)</w:t>
      </w:r>
      <w:r w:rsidR="005453FC">
        <w:t>;</w:t>
      </w:r>
      <w:r w:rsidR="007A20A7">
        <w:t xml:space="preserve"> </w:t>
      </w:r>
      <w:r w:rsidR="00047220">
        <w:t xml:space="preserve">InnoCaption Annual Compliance Report, CG </w:t>
      </w:r>
      <w:r w:rsidR="00A74B9C">
        <w:t xml:space="preserve">Docket No. 03-123 (filed Sept. </w:t>
      </w:r>
      <w:r w:rsidR="005E11F4">
        <w:t>24, 2016</w:t>
      </w:r>
      <w:r w:rsidR="00A74B9C">
        <w:t>)</w:t>
      </w:r>
      <w:r w:rsidR="005E11F4">
        <w:t>.</w:t>
      </w:r>
    </w:p>
  </w:footnote>
  <w:footnote w:id="15">
    <w:p w:rsidR="002F2576" w:rsidRPr="00C60689" w:rsidP="002F2576" w14:paraId="13D77DBE" w14:textId="334E7FA0">
      <w:pPr>
        <w:widowControl/>
        <w:autoSpaceDE w:val="0"/>
        <w:autoSpaceDN w:val="0"/>
        <w:adjustRightInd w:val="0"/>
        <w:spacing w:after="120"/>
        <w:rPr>
          <w:lang w:val="es-ES"/>
        </w:rPr>
      </w:pPr>
      <w:r w:rsidRPr="00C36603">
        <w:rPr>
          <w:rStyle w:val="FootnoteReference"/>
        </w:rPr>
        <w:footnoteRef/>
      </w:r>
      <w:r w:rsidRPr="00C36603">
        <w:rPr>
          <w:sz w:val="20"/>
        </w:rPr>
        <w:t xml:space="preserve"> </w:t>
      </w:r>
      <w:r w:rsidRPr="00C36603">
        <w:rPr>
          <w:i/>
          <w:iCs/>
          <w:snapToGrid/>
          <w:color w:val="000000"/>
          <w:kern w:val="0"/>
          <w:sz w:val="20"/>
        </w:rPr>
        <w:t xml:space="preserve">See </w:t>
      </w:r>
      <w:r w:rsidRPr="00235335">
        <w:rPr>
          <w:snapToGrid/>
          <w:color w:val="000000"/>
          <w:kern w:val="0"/>
          <w:sz w:val="20"/>
        </w:rPr>
        <w:t>Internet-Based TRS Certification Application of Mezmo Corporation for Full Certification to Provide Internet Protocol Captioned Telephone Service, CG Docket Nos. 03-123 and 10-51 (filed Sept. 12, 2022) (</w:t>
      </w:r>
      <w:r w:rsidR="003E10D1">
        <w:rPr>
          <w:snapToGrid/>
          <w:color w:val="000000"/>
          <w:kern w:val="0"/>
          <w:sz w:val="20"/>
        </w:rPr>
        <w:t>September 2022</w:t>
      </w:r>
      <w:r>
        <w:rPr>
          <w:snapToGrid/>
          <w:color w:val="000000"/>
          <w:kern w:val="0"/>
          <w:sz w:val="20"/>
        </w:rPr>
        <w:t xml:space="preserve"> </w:t>
      </w:r>
      <w:r w:rsidRPr="00235335">
        <w:rPr>
          <w:snapToGrid/>
          <w:color w:val="000000"/>
          <w:kern w:val="0"/>
          <w:sz w:val="20"/>
        </w:rPr>
        <w:t xml:space="preserve">Application), </w:t>
      </w:r>
      <w:hyperlink r:id="rId3" w:history="1">
        <w:r w:rsidRPr="00235335">
          <w:rPr>
            <w:rStyle w:val="Hyperlink"/>
            <w:snapToGrid/>
            <w:kern w:val="0"/>
            <w:sz w:val="20"/>
          </w:rPr>
          <w:t>https://www.fcc.gov/ecfs/document/10912237476222/1</w:t>
        </w:r>
      </w:hyperlink>
      <w:r w:rsidRPr="00235335">
        <w:rPr>
          <w:snapToGrid/>
          <w:color w:val="000000"/>
          <w:kern w:val="0"/>
          <w:sz w:val="20"/>
        </w:rPr>
        <w:t xml:space="preserve"> (redacted).</w:t>
      </w:r>
    </w:p>
  </w:footnote>
  <w:footnote w:id="16">
    <w:p w:rsidR="002F2576" w:rsidP="002F2576" w14:paraId="4CFFA9A8" w14:textId="1BCE6F3F">
      <w:pPr>
        <w:pStyle w:val="FootnoteText"/>
      </w:pPr>
      <w:r>
        <w:rPr>
          <w:rStyle w:val="FootnoteReference"/>
        </w:rPr>
        <w:footnoteRef/>
      </w:r>
      <w:r>
        <w:t xml:space="preserve"> </w:t>
      </w:r>
      <w:r>
        <w:rPr>
          <w:i/>
          <w:iCs/>
        </w:rPr>
        <w:t>Comment Sought on Application of Mezmo Corporation dba InnoCaption for Full Certification as a Provider of Internet Protocol Captioned Telephone Service</w:t>
      </w:r>
      <w:r>
        <w:t>, CG Docket Nos. 03-123 and 13-24, Public Notice, DA 22-1087 (</w:t>
      </w:r>
      <w:r w:rsidR="00064D86">
        <w:t xml:space="preserve">Oct. 12, </w:t>
      </w:r>
      <w:r>
        <w:t xml:space="preserve">2022).  </w:t>
      </w:r>
    </w:p>
  </w:footnote>
  <w:footnote w:id="17">
    <w:p w:rsidR="004E6B39" w:rsidRPr="009A3A1E" w:rsidP="004E6B39" w14:paraId="341D7E18" w14:textId="16A2BDFE">
      <w:pPr>
        <w:pStyle w:val="FootnoteText"/>
        <w:rPr>
          <w:highlight w:val="yellow"/>
        </w:rPr>
      </w:pPr>
      <w:r w:rsidRPr="00194E81">
        <w:rPr>
          <w:rStyle w:val="FootnoteReference"/>
        </w:rPr>
        <w:footnoteRef/>
      </w:r>
      <w:r w:rsidRPr="00194E81">
        <w:t xml:space="preserve"> </w:t>
      </w:r>
      <w:r w:rsidR="003E10D1">
        <w:t>September 2022 Application</w:t>
      </w:r>
      <w:r w:rsidRPr="00194E81">
        <w:t xml:space="preserve"> at 4-5; </w:t>
      </w:r>
      <w:r w:rsidRPr="00194E81">
        <w:rPr>
          <w:i/>
          <w:iCs/>
        </w:rPr>
        <w:t xml:space="preserve">see also </w:t>
      </w:r>
      <w:r w:rsidRPr="00194E81">
        <w:t xml:space="preserve">47 CFR § 64.606(a)(2)(i).  </w:t>
      </w:r>
    </w:p>
  </w:footnote>
  <w:footnote w:id="18">
    <w:p w:rsidR="004E6B39" w:rsidRPr="009A3A1E" w:rsidP="004E6B39" w14:paraId="6A7B24ED" w14:textId="7EB3AB4C">
      <w:pPr>
        <w:pStyle w:val="FootnoteText"/>
        <w:rPr>
          <w:highlight w:val="yellow"/>
        </w:rPr>
      </w:pPr>
      <w:r w:rsidRPr="00194E81">
        <w:rPr>
          <w:rStyle w:val="FootnoteReference"/>
        </w:rPr>
        <w:footnoteRef/>
      </w:r>
      <w:r w:rsidRPr="00194E81">
        <w:t xml:space="preserve"> </w:t>
      </w:r>
      <w:r w:rsidR="003E10D1">
        <w:t>September 2022 Application</w:t>
      </w:r>
      <w:r w:rsidRPr="00194E81">
        <w:t xml:space="preserve"> at 5-18; </w:t>
      </w:r>
      <w:r w:rsidRPr="00194E81">
        <w:rPr>
          <w:i/>
        </w:rPr>
        <w:t>see also</w:t>
      </w:r>
      <w:r w:rsidRPr="00194E81">
        <w:t xml:space="preserve"> 47 CFR § 64.606(a)(2)(ii).  </w:t>
      </w:r>
    </w:p>
  </w:footnote>
  <w:footnote w:id="19">
    <w:p w:rsidR="004E6B39" w:rsidRPr="009A3A1E" w:rsidP="004E6B39" w14:paraId="11447982" w14:textId="26C731F2">
      <w:pPr>
        <w:pStyle w:val="FootnoteText"/>
        <w:rPr>
          <w:highlight w:val="yellow"/>
        </w:rPr>
      </w:pPr>
      <w:r w:rsidRPr="00955939">
        <w:rPr>
          <w:rStyle w:val="FootnoteReference"/>
        </w:rPr>
        <w:footnoteRef/>
      </w:r>
      <w:r w:rsidRPr="00955939">
        <w:t xml:space="preserve"> </w:t>
      </w:r>
      <w:r w:rsidR="003E10D1">
        <w:t>September 2022 Application</w:t>
      </w:r>
      <w:r w:rsidRPr="00955939">
        <w:t xml:space="preserve"> at 18-19; </w:t>
      </w:r>
      <w:r w:rsidRPr="00955939">
        <w:rPr>
          <w:i/>
        </w:rPr>
        <w:t>see</w:t>
      </w:r>
      <w:r w:rsidRPr="00955939">
        <w:t xml:space="preserve"> </w:t>
      </w:r>
      <w:r w:rsidRPr="00955939">
        <w:rPr>
          <w:i/>
          <w:iCs/>
        </w:rPr>
        <w:t>also</w:t>
      </w:r>
      <w:r w:rsidRPr="00955939">
        <w:t xml:space="preserve"> 47 CFR § 64.606(a)(2)(ii)(B). </w:t>
      </w:r>
    </w:p>
  </w:footnote>
  <w:footnote w:id="20">
    <w:p w:rsidR="004E6B39" w:rsidRPr="009A3A1E" w:rsidP="004E6B39" w14:paraId="0AF628CD" w14:textId="06037872">
      <w:pPr>
        <w:pStyle w:val="FootnoteText"/>
        <w:rPr>
          <w:highlight w:val="yellow"/>
        </w:rPr>
      </w:pPr>
      <w:r w:rsidRPr="00955939">
        <w:rPr>
          <w:rStyle w:val="FootnoteReference"/>
        </w:rPr>
        <w:footnoteRef/>
      </w:r>
      <w:r w:rsidRPr="00955939">
        <w:t xml:space="preserve"> </w:t>
      </w:r>
      <w:r w:rsidR="003E10D1">
        <w:t>September 2022 Application</w:t>
      </w:r>
      <w:r w:rsidRPr="00955939">
        <w:t xml:space="preserve"> at 19; </w:t>
      </w:r>
      <w:r w:rsidRPr="00955939">
        <w:rPr>
          <w:i/>
        </w:rPr>
        <w:t>see also</w:t>
      </w:r>
      <w:r w:rsidRPr="00955939">
        <w:t xml:space="preserve"> 47 CFR § 64.606(a)(2)(ii)(C).</w:t>
      </w:r>
    </w:p>
  </w:footnote>
  <w:footnote w:id="21">
    <w:p w:rsidR="004E6B39" w:rsidRPr="009A3A1E" w:rsidP="004E6B39" w14:paraId="2087F945" w14:textId="558B0014">
      <w:pPr>
        <w:pStyle w:val="FootnoteText"/>
        <w:rPr>
          <w:highlight w:val="yellow"/>
        </w:rPr>
      </w:pPr>
      <w:r w:rsidRPr="00E3625E">
        <w:rPr>
          <w:rStyle w:val="FootnoteReference"/>
        </w:rPr>
        <w:footnoteRef/>
      </w:r>
      <w:r w:rsidRPr="00E3625E">
        <w:t xml:space="preserve"> </w:t>
      </w:r>
      <w:r w:rsidR="003E10D1">
        <w:t>September 2022 Application</w:t>
      </w:r>
      <w:r w:rsidRPr="00E3625E">
        <w:t xml:space="preserve"> at 19-20; </w:t>
      </w:r>
      <w:r w:rsidRPr="00E3625E">
        <w:rPr>
          <w:i/>
        </w:rPr>
        <w:t>see also</w:t>
      </w:r>
      <w:r w:rsidRPr="00E3625E">
        <w:t xml:space="preserve"> 47 CFR § 64.606(a)(2)(ii)(E).</w:t>
      </w:r>
    </w:p>
  </w:footnote>
  <w:footnote w:id="22">
    <w:p w:rsidR="004E6B39" w:rsidRPr="009A3A1E" w:rsidP="004E6B39" w14:paraId="1B7299C5" w14:textId="0B44586C">
      <w:pPr>
        <w:pStyle w:val="FootnoteText"/>
        <w:rPr>
          <w:highlight w:val="yellow"/>
        </w:rPr>
      </w:pPr>
      <w:r w:rsidRPr="00D65EB0">
        <w:rPr>
          <w:rStyle w:val="FootnoteReference"/>
        </w:rPr>
        <w:footnoteRef/>
      </w:r>
      <w:r w:rsidRPr="00D65EB0">
        <w:t xml:space="preserve"> </w:t>
      </w:r>
      <w:r w:rsidR="003E10D1">
        <w:t>September 2022 Application</w:t>
      </w:r>
      <w:r w:rsidRPr="00D65EB0">
        <w:t xml:space="preserve"> at 20; </w:t>
      </w:r>
      <w:r w:rsidRPr="00D65EB0">
        <w:rPr>
          <w:i/>
        </w:rPr>
        <w:t>see also</w:t>
      </w:r>
      <w:r w:rsidRPr="00D65EB0">
        <w:t xml:space="preserve"> 47 CFR § 64.606(a)(2)(iii).</w:t>
      </w:r>
    </w:p>
  </w:footnote>
  <w:footnote w:id="23">
    <w:p w:rsidR="004E6B39" w:rsidRPr="009A3A1E" w:rsidP="004E6B39" w14:paraId="1681DBE8" w14:textId="4DCDDEC3">
      <w:pPr>
        <w:pStyle w:val="FootnoteText"/>
        <w:rPr>
          <w:highlight w:val="yellow"/>
        </w:rPr>
      </w:pPr>
      <w:r w:rsidRPr="00D65EB0">
        <w:rPr>
          <w:rStyle w:val="FootnoteReference"/>
        </w:rPr>
        <w:footnoteRef/>
      </w:r>
      <w:r w:rsidRPr="00D65EB0">
        <w:t xml:space="preserve"> </w:t>
      </w:r>
      <w:r w:rsidR="003E10D1">
        <w:t>September 2022 Application</w:t>
      </w:r>
      <w:r w:rsidRPr="00D65EB0">
        <w:t xml:space="preserve"> at 20; </w:t>
      </w:r>
      <w:r w:rsidRPr="00D65EB0">
        <w:rPr>
          <w:i/>
        </w:rPr>
        <w:t>see also</w:t>
      </w:r>
      <w:r w:rsidRPr="00D65EB0">
        <w:t xml:space="preserve"> 47 CFR § 64.606(a)(2)(iv).</w:t>
      </w:r>
    </w:p>
  </w:footnote>
  <w:footnote w:id="24">
    <w:p w:rsidR="004E6B39" w:rsidRPr="00C36603" w:rsidP="004E6B39" w14:paraId="0EDE15BF" w14:textId="28D19819">
      <w:pPr>
        <w:pStyle w:val="FootnoteText"/>
      </w:pPr>
      <w:r w:rsidRPr="00FF020A">
        <w:rPr>
          <w:rStyle w:val="FootnoteReference"/>
        </w:rPr>
        <w:footnoteRef/>
      </w:r>
      <w:r w:rsidRPr="00FF020A">
        <w:t xml:space="preserve"> </w:t>
      </w:r>
      <w:r w:rsidR="003E10D1">
        <w:t>September 2022 Application</w:t>
      </w:r>
      <w:r w:rsidRPr="00FF020A">
        <w:t xml:space="preserve"> at 23; </w:t>
      </w:r>
      <w:r w:rsidRPr="00FF020A">
        <w:rPr>
          <w:i/>
        </w:rPr>
        <w:t>see also</w:t>
      </w:r>
      <w:r w:rsidRPr="00FF020A">
        <w:t xml:space="preserve"> 47 CFR § 64.606(a)(2)(v).</w:t>
      </w:r>
    </w:p>
  </w:footnote>
  <w:footnote w:id="25">
    <w:p w:rsidR="001D7060" w:rsidP="001D7060" w14:paraId="761EBE3A" w14:textId="4F6657CE">
      <w:pPr>
        <w:pStyle w:val="FootnoteText"/>
      </w:pPr>
      <w:r>
        <w:rPr>
          <w:rStyle w:val="FootnoteReference"/>
        </w:rPr>
        <w:footnoteRef/>
      </w:r>
      <w:r>
        <w:t xml:space="preserve"> Other relevant information includes</w:t>
      </w:r>
      <w:r w:rsidR="002F6272">
        <w:t>,</w:t>
      </w:r>
      <w:r>
        <w:t xml:space="preserve"> but is not limited to</w:t>
      </w:r>
      <w:r w:rsidR="002F6272">
        <w:t>,</w:t>
      </w:r>
      <w:r>
        <w:t xml:space="preserve"> audit reports, complaint logs, call record and speed of answer compliance data, certifications, and performance testing reports.</w:t>
      </w:r>
    </w:p>
  </w:footnote>
  <w:footnote w:id="26">
    <w:p w:rsidR="004E6B39" w:rsidRPr="00C36603" w:rsidP="004E6B39" w14:paraId="78F4F848" w14:textId="3663C622">
      <w:pPr>
        <w:pStyle w:val="FootnoteText"/>
        <w:rPr>
          <w:i/>
        </w:rPr>
      </w:pPr>
      <w:r w:rsidRPr="00C36603">
        <w:rPr>
          <w:rStyle w:val="FootnoteReference"/>
        </w:rPr>
        <w:footnoteRef/>
      </w:r>
      <w:r w:rsidRPr="00C36603">
        <w:t xml:space="preserve"> </w:t>
      </w:r>
      <w:r w:rsidRPr="00C36603">
        <w:rPr>
          <w:i/>
        </w:rPr>
        <w:t>See</w:t>
      </w:r>
      <w:r w:rsidRPr="00C36603">
        <w:t xml:space="preserve"> 47 CFR § 64.606(c)(2).</w:t>
      </w:r>
      <w:r w:rsidR="00442875">
        <w:t xml:space="preserve">  </w:t>
      </w:r>
      <w:r w:rsidRPr="00442875" w:rsidR="00442875">
        <w:t xml:space="preserve">Accordingly, InnoCaption's new certification will expire on December </w:t>
      </w:r>
      <w:r w:rsidR="00E8111E">
        <w:t>8</w:t>
      </w:r>
      <w:r w:rsidRPr="00442875" w:rsidR="00442875">
        <w:t>, 2027.</w:t>
      </w:r>
    </w:p>
  </w:footnote>
  <w:footnote w:id="27">
    <w:p w:rsidR="004E6B39" w:rsidP="004E6B39" w14:paraId="68E5CF53" w14:textId="77777777">
      <w:pPr>
        <w:pStyle w:val="FootnoteText"/>
      </w:pPr>
      <w:r>
        <w:rPr>
          <w:rStyle w:val="FootnoteReference"/>
        </w:rPr>
        <w:footnoteRef/>
      </w:r>
      <w:r>
        <w:t xml:space="preserve"> </w:t>
      </w:r>
      <w:r>
        <w:rPr>
          <w:i/>
        </w:rPr>
        <w:t>See Internet-based TRS Certification Order</w:t>
      </w:r>
      <w:r>
        <w:t>, 26 FCC Rcd at 10900, para. 2.</w:t>
      </w:r>
    </w:p>
  </w:footnote>
  <w:footnote w:id="28">
    <w:p w:rsidR="004E6B39" w:rsidRPr="00C36603" w:rsidP="004E6B39" w14:paraId="534F9604" w14:textId="483F638C">
      <w:pPr>
        <w:pStyle w:val="FootnoteText"/>
      </w:pPr>
      <w:r w:rsidRPr="00C36603">
        <w:rPr>
          <w:rStyle w:val="FootnoteReference"/>
        </w:rPr>
        <w:footnoteRef/>
      </w:r>
      <w:r w:rsidRPr="00C36603">
        <w:t xml:space="preserve"> </w:t>
      </w:r>
      <w:r w:rsidRPr="00C36603">
        <w:rPr>
          <w:i/>
        </w:rPr>
        <w:t xml:space="preserve">See </w:t>
      </w:r>
      <w:r w:rsidR="00064D86">
        <w:t xml:space="preserve">47 CFR </w:t>
      </w:r>
      <w:r w:rsidRPr="00C36603">
        <w:t>§ 64.606(e)(2).</w:t>
      </w:r>
    </w:p>
  </w:footnote>
  <w:footnote w:id="29">
    <w:p w:rsidR="004E6B39" w:rsidRPr="00C36603" w:rsidP="004E6B39" w14:paraId="05E55DCA" w14:textId="76EE6B61">
      <w:pPr>
        <w:pStyle w:val="FootnoteText"/>
      </w:pPr>
      <w:r w:rsidRPr="00C36603">
        <w:rPr>
          <w:rStyle w:val="FootnoteReference"/>
        </w:rPr>
        <w:footnoteRef/>
      </w:r>
      <w:r w:rsidRPr="00C36603">
        <w:t xml:space="preserve"> </w:t>
      </w:r>
      <w:r w:rsidR="00064D86">
        <w:t>47 CFR</w:t>
      </w:r>
      <w:r w:rsidRPr="005D1DC1">
        <w:t xml:space="preserve"> </w:t>
      </w:r>
      <w:r w:rsidRPr="00C36603">
        <w:t>§ 64.606(</w:t>
      </w:r>
      <w:r w:rsidR="00425A1D">
        <w:t>c</w:t>
      </w:r>
      <w:r w:rsidRPr="00C36603">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58804F" w14:textId="4BD28D84">
    <w:pPr>
      <w:pStyle w:val="Header"/>
      <w:rPr>
        <w:b w:val="0"/>
      </w:rPr>
    </w:pPr>
    <w:r>
      <w:tab/>
      <w:t>Federal Communications Commission</w:t>
    </w:r>
    <w:r>
      <w:tab/>
    </w:r>
    <w:r w:rsidR="00A93B0A">
      <w:t>DA 22-809</w:t>
    </w:r>
  </w:p>
  <w:p w:rsidR="00D25FB5" w14:paraId="213F0C2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D25FB5" w14:paraId="0AC0EEA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F2C916" w14:textId="3257E0A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tab/>
      <w:t>Federal Communications Commission</w:t>
    </w:r>
    <w:r>
      <w:tab/>
    </w:r>
    <w:r w:rsidR="00A93B0A">
      <w:rPr>
        <w:spacing w:val="-2"/>
      </w:rPr>
      <w:t xml:space="preserve">DA </w:t>
    </w:r>
    <w:r w:rsidR="00B318CC">
      <w:rPr>
        <w:spacing w:val="-2"/>
      </w:rPr>
      <w:t>22-</w:t>
    </w:r>
    <w:r w:rsidR="00422265">
      <w:rPr>
        <w:spacing w:val="-2"/>
      </w:rPr>
      <w:t>1283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3904BB5"/>
    <w:multiLevelType w:val="hybridMultilevel"/>
    <w:tmpl w:val="1A3AA4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startOverride w:val="1"/>
    </w:lvlOverride>
  </w:num>
  <w:num w:numId="23">
    <w:abstractNumId w:val="5"/>
  </w:num>
  <w:num w:numId="24">
    <w:abstractNumId w:val="5"/>
    <w:lvlOverride w:ilvl="0">
      <w:startOverride w:val="1"/>
    </w:lvlOverride>
  </w:num>
  <w:num w:numId="25">
    <w:abstractNumId w:val="5"/>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0A"/>
    <w:rsid w:val="00003D3D"/>
    <w:rsid w:val="00004942"/>
    <w:rsid w:val="00036039"/>
    <w:rsid w:val="00037F90"/>
    <w:rsid w:val="000410EB"/>
    <w:rsid w:val="00047220"/>
    <w:rsid w:val="00047487"/>
    <w:rsid w:val="00052E4E"/>
    <w:rsid w:val="00064D86"/>
    <w:rsid w:val="00084CAA"/>
    <w:rsid w:val="000875BF"/>
    <w:rsid w:val="00094A61"/>
    <w:rsid w:val="00096D8C"/>
    <w:rsid w:val="000A3928"/>
    <w:rsid w:val="000A482B"/>
    <w:rsid w:val="000B465F"/>
    <w:rsid w:val="000B694E"/>
    <w:rsid w:val="000C0B65"/>
    <w:rsid w:val="000C2B0C"/>
    <w:rsid w:val="000D4D19"/>
    <w:rsid w:val="000E05FE"/>
    <w:rsid w:val="000E3D42"/>
    <w:rsid w:val="000F0035"/>
    <w:rsid w:val="000F1C19"/>
    <w:rsid w:val="000F4A1D"/>
    <w:rsid w:val="000F5A6F"/>
    <w:rsid w:val="00117D88"/>
    <w:rsid w:val="00122BD5"/>
    <w:rsid w:val="00133F79"/>
    <w:rsid w:val="00136F79"/>
    <w:rsid w:val="001434E5"/>
    <w:rsid w:val="00147CD8"/>
    <w:rsid w:val="00150AB2"/>
    <w:rsid w:val="001513A8"/>
    <w:rsid w:val="001557A8"/>
    <w:rsid w:val="00155BA0"/>
    <w:rsid w:val="00164B4E"/>
    <w:rsid w:val="00167842"/>
    <w:rsid w:val="0017296B"/>
    <w:rsid w:val="00194A66"/>
    <w:rsid w:val="00194E81"/>
    <w:rsid w:val="00195114"/>
    <w:rsid w:val="001B27E6"/>
    <w:rsid w:val="001D2D10"/>
    <w:rsid w:val="001D5B6F"/>
    <w:rsid w:val="001D6BCF"/>
    <w:rsid w:val="001D7060"/>
    <w:rsid w:val="001E01CA"/>
    <w:rsid w:val="001F396B"/>
    <w:rsid w:val="0020077E"/>
    <w:rsid w:val="00211662"/>
    <w:rsid w:val="00235335"/>
    <w:rsid w:val="00257103"/>
    <w:rsid w:val="00273EB6"/>
    <w:rsid w:val="00275CF5"/>
    <w:rsid w:val="0028301F"/>
    <w:rsid w:val="00283839"/>
    <w:rsid w:val="00285017"/>
    <w:rsid w:val="00287437"/>
    <w:rsid w:val="00293DB6"/>
    <w:rsid w:val="0029491A"/>
    <w:rsid w:val="00295155"/>
    <w:rsid w:val="002A2D2E"/>
    <w:rsid w:val="002A43D0"/>
    <w:rsid w:val="002B019E"/>
    <w:rsid w:val="002B1EE7"/>
    <w:rsid w:val="002C00E8"/>
    <w:rsid w:val="002C436C"/>
    <w:rsid w:val="002D2FA4"/>
    <w:rsid w:val="002D74EE"/>
    <w:rsid w:val="002E4B0D"/>
    <w:rsid w:val="002F2576"/>
    <w:rsid w:val="002F3F64"/>
    <w:rsid w:val="002F6272"/>
    <w:rsid w:val="00300826"/>
    <w:rsid w:val="00305D1D"/>
    <w:rsid w:val="00313403"/>
    <w:rsid w:val="003157E9"/>
    <w:rsid w:val="00317EC3"/>
    <w:rsid w:val="00323FA0"/>
    <w:rsid w:val="0032550A"/>
    <w:rsid w:val="003361D2"/>
    <w:rsid w:val="0034044B"/>
    <w:rsid w:val="00343749"/>
    <w:rsid w:val="00350957"/>
    <w:rsid w:val="00357387"/>
    <w:rsid w:val="00361154"/>
    <w:rsid w:val="00362EDD"/>
    <w:rsid w:val="003660ED"/>
    <w:rsid w:val="00375FDE"/>
    <w:rsid w:val="003832C4"/>
    <w:rsid w:val="003960AD"/>
    <w:rsid w:val="003A2BBC"/>
    <w:rsid w:val="003A67A2"/>
    <w:rsid w:val="003B0550"/>
    <w:rsid w:val="003B32C8"/>
    <w:rsid w:val="003B694F"/>
    <w:rsid w:val="003C208A"/>
    <w:rsid w:val="003C7A49"/>
    <w:rsid w:val="003D7C1D"/>
    <w:rsid w:val="003E10D1"/>
    <w:rsid w:val="003E1D9B"/>
    <w:rsid w:val="003E69BB"/>
    <w:rsid w:val="003F171C"/>
    <w:rsid w:val="003F6D2E"/>
    <w:rsid w:val="00412FC5"/>
    <w:rsid w:val="00422265"/>
    <w:rsid w:val="00422276"/>
    <w:rsid w:val="004230FB"/>
    <w:rsid w:val="004242F1"/>
    <w:rsid w:val="00425734"/>
    <w:rsid w:val="00425A1D"/>
    <w:rsid w:val="004328DE"/>
    <w:rsid w:val="00442875"/>
    <w:rsid w:val="00445A00"/>
    <w:rsid w:val="00447529"/>
    <w:rsid w:val="00451B0F"/>
    <w:rsid w:val="00454993"/>
    <w:rsid w:val="004837A7"/>
    <w:rsid w:val="0049680B"/>
    <w:rsid w:val="004A0065"/>
    <w:rsid w:val="004A0B68"/>
    <w:rsid w:val="004B18DB"/>
    <w:rsid w:val="004B3957"/>
    <w:rsid w:val="004C2EE3"/>
    <w:rsid w:val="004D4208"/>
    <w:rsid w:val="004D46B3"/>
    <w:rsid w:val="004E426D"/>
    <w:rsid w:val="004E4A22"/>
    <w:rsid w:val="004E6998"/>
    <w:rsid w:val="004E6B39"/>
    <w:rsid w:val="004F374F"/>
    <w:rsid w:val="004F37B3"/>
    <w:rsid w:val="00506B21"/>
    <w:rsid w:val="00511968"/>
    <w:rsid w:val="00537F65"/>
    <w:rsid w:val="0054379C"/>
    <w:rsid w:val="005453FC"/>
    <w:rsid w:val="00552099"/>
    <w:rsid w:val="0055614C"/>
    <w:rsid w:val="00565F26"/>
    <w:rsid w:val="00566D06"/>
    <w:rsid w:val="0057315A"/>
    <w:rsid w:val="00574E4A"/>
    <w:rsid w:val="00576203"/>
    <w:rsid w:val="00577A8B"/>
    <w:rsid w:val="00580220"/>
    <w:rsid w:val="00584F7E"/>
    <w:rsid w:val="005910A9"/>
    <w:rsid w:val="005D1DC1"/>
    <w:rsid w:val="005D2F2D"/>
    <w:rsid w:val="005E0D94"/>
    <w:rsid w:val="005E11F4"/>
    <w:rsid w:val="005E14C2"/>
    <w:rsid w:val="005E4954"/>
    <w:rsid w:val="005E75E6"/>
    <w:rsid w:val="005F16F6"/>
    <w:rsid w:val="00607BA5"/>
    <w:rsid w:val="0061180A"/>
    <w:rsid w:val="00614D3A"/>
    <w:rsid w:val="00621BB1"/>
    <w:rsid w:val="00624871"/>
    <w:rsid w:val="00626EB6"/>
    <w:rsid w:val="00647D92"/>
    <w:rsid w:val="00655D03"/>
    <w:rsid w:val="00667BB6"/>
    <w:rsid w:val="00680CC1"/>
    <w:rsid w:val="00683388"/>
    <w:rsid w:val="00683F84"/>
    <w:rsid w:val="006920E6"/>
    <w:rsid w:val="006A6A81"/>
    <w:rsid w:val="006C57D8"/>
    <w:rsid w:val="006D0B27"/>
    <w:rsid w:val="006D541B"/>
    <w:rsid w:val="006D684F"/>
    <w:rsid w:val="006E0BF5"/>
    <w:rsid w:val="006E1A95"/>
    <w:rsid w:val="006E2455"/>
    <w:rsid w:val="006F23ED"/>
    <w:rsid w:val="006F7393"/>
    <w:rsid w:val="0070224F"/>
    <w:rsid w:val="0070436B"/>
    <w:rsid w:val="0070769E"/>
    <w:rsid w:val="007115F7"/>
    <w:rsid w:val="00716D42"/>
    <w:rsid w:val="00727661"/>
    <w:rsid w:val="00736A0E"/>
    <w:rsid w:val="007478F5"/>
    <w:rsid w:val="00747B50"/>
    <w:rsid w:val="00754BDD"/>
    <w:rsid w:val="00756DA3"/>
    <w:rsid w:val="0076308A"/>
    <w:rsid w:val="00785689"/>
    <w:rsid w:val="0079754B"/>
    <w:rsid w:val="007A1E6D"/>
    <w:rsid w:val="007A20A7"/>
    <w:rsid w:val="007B0EB2"/>
    <w:rsid w:val="007B2078"/>
    <w:rsid w:val="007B4D04"/>
    <w:rsid w:val="007D048B"/>
    <w:rsid w:val="007D5E7D"/>
    <w:rsid w:val="007E6E79"/>
    <w:rsid w:val="00810B6F"/>
    <w:rsid w:val="0081168D"/>
    <w:rsid w:val="0081263F"/>
    <w:rsid w:val="00816C5C"/>
    <w:rsid w:val="00822CE0"/>
    <w:rsid w:val="00831793"/>
    <w:rsid w:val="0083283C"/>
    <w:rsid w:val="00836CD9"/>
    <w:rsid w:val="00841AB1"/>
    <w:rsid w:val="0084290F"/>
    <w:rsid w:val="00854A9B"/>
    <w:rsid w:val="00866225"/>
    <w:rsid w:val="00894804"/>
    <w:rsid w:val="008A7B6D"/>
    <w:rsid w:val="008B7800"/>
    <w:rsid w:val="008C45C2"/>
    <w:rsid w:val="008C4C86"/>
    <w:rsid w:val="008C68F1"/>
    <w:rsid w:val="008E0164"/>
    <w:rsid w:val="008E2B90"/>
    <w:rsid w:val="008E34C1"/>
    <w:rsid w:val="008F2231"/>
    <w:rsid w:val="009066E9"/>
    <w:rsid w:val="0092050E"/>
    <w:rsid w:val="00921803"/>
    <w:rsid w:val="00926503"/>
    <w:rsid w:val="00926FCE"/>
    <w:rsid w:val="00947FA4"/>
    <w:rsid w:val="00955939"/>
    <w:rsid w:val="00960F48"/>
    <w:rsid w:val="009726D8"/>
    <w:rsid w:val="00974D6C"/>
    <w:rsid w:val="00981215"/>
    <w:rsid w:val="009862B6"/>
    <w:rsid w:val="009964D5"/>
    <w:rsid w:val="009A3A1E"/>
    <w:rsid w:val="009B5DAD"/>
    <w:rsid w:val="009D4C72"/>
    <w:rsid w:val="009D7308"/>
    <w:rsid w:val="009E1694"/>
    <w:rsid w:val="009F22BF"/>
    <w:rsid w:val="009F53C1"/>
    <w:rsid w:val="009F76DB"/>
    <w:rsid w:val="00A001AB"/>
    <w:rsid w:val="00A00728"/>
    <w:rsid w:val="00A018F4"/>
    <w:rsid w:val="00A04708"/>
    <w:rsid w:val="00A0476F"/>
    <w:rsid w:val="00A27221"/>
    <w:rsid w:val="00A32C3B"/>
    <w:rsid w:val="00A45F4F"/>
    <w:rsid w:val="00A558B4"/>
    <w:rsid w:val="00A600A9"/>
    <w:rsid w:val="00A60208"/>
    <w:rsid w:val="00A60974"/>
    <w:rsid w:val="00A613D9"/>
    <w:rsid w:val="00A61574"/>
    <w:rsid w:val="00A650FA"/>
    <w:rsid w:val="00A67093"/>
    <w:rsid w:val="00A74B9C"/>
    <w:rsid w:val="00A775EF"/>
    <w:rsid w:val="00A86477"/>
    <w:rsid w:val="00A93B0A"/>
    <w:rsid w:val="00AA55B7"/>
    <w:rsid w:val="00AA5B9E"/>
    <w:rsid w:val="00AB0AB0"/>
    <w:rsid w:val="00AB2407"/>
    <w:rsid w:val="00AB53DF"/>
    <w:rsid w:val="00AC2479"/>
    <w:rsid w:val="00AC5E1C"/>
    <w:rsid w:val="00AD705D"/>
    <w:rsid w:val="00AE4677"/>
    <w:rsid w:val="00AF0EA0"/>
    <w:rsid w:val="00AF28A0"/>
    <w:rsid w:val="00AF3F5F"/>
    <w:rsid w:val="00B0376D"/>
    <w:rsid w:val="00B07E5C"/>
    <w:rsid w:val="00B23FCA"/>
    <w:rsid w:val="00B25087"/>
    <w:rsid w:val="00B27EDD"/>
    <w:rsid w:val="00B318CC"/>
    <w:rsid w:val="00B343F2"/>
    <w:rsid w:val="00B40A7C"/>
    <w:rsid w:val="00B45C7B"/>
    <w:rsid w:val="00B51F11"/>
    <w:rsid w:val="00B54877"/>
    <w:rsid w:val="00B60781"/>
    <w:rsid w:val="00B811F7"/>
    <w:rsid w:val="00B840D7"/>
    <w:rsid w:val="00B94275"/>
    <w:rsid w:val="00BA5DC6"/>
    <w:rsid w:val="00BA6196"/>
    <w:rsid w:val="00BC1A54"/>
    <w:rsid w:val="00BC5299"/>
    <w:rsid w:val="00BC5AE9"/>
    <w:rsid w:val="00BC6D8C"/>
    <w:rsid w:val="00BD2B19"/>
    <w:rsid w:val="00BD5D68"/>
    <w:rsid w:val="00BD6DD0"/>
    <w:rsid w:val="00BD7140"/>
    <w:rsid w:val="00BE2D34"/>
    <w:rsid w:val="00BF678A"/>
    <w:rsid w:val="00C07F0D"/>
    <w:rsid w:val="00C13CC2"/>
    <w:rsid w:val="00C21450"/>
    <w:rsid w:val="00C25F2F"/>
    <w:rsid w:val="00C34006"/>
    <w:rsid w:val="00C35238"/>
    <w:rsid w:val="00C36603"/>
    <w:rsid w:val="00C36B4C"/>
    <w:rsid w:val="00C3731F"/>
    <w:rsid w:val="00C426B1"/>
    <w:rsid w:val="00C44E34"/>
    <w:rsid w:val="00C60689"/>
    <w:rsid w:val="00C64885"/>
    <w:rsid w:val="00C66160"/>
    <w:rsid w:val="00C721AC"/>
    <w:rsid w:val="00C75D51"/>
    <w:rsid w:val="00C90D6A"/>
    <w:rsid w:val="00CA247E"/>
    <w:rsid w:val="00CA5308"/>
    <w:rsid w:val="00CA6D21"/>
    <w:rsid w:val="00CC72B6"/>
    <w:rsid w:val="00CD2FF5"/>
    <w:rsid w:val="00CD6C70"/>
    <w:rsid w:val="00CE08F2"/>
    <w:rsid w:val="00CE664F"/>
    <w:rsid w:val="00D0218D"/>
    <w:rsid w:val="00D03D68"/>
    <w:rsid w:val="00D06F6D"/>
    <w:rsid w:val="00D1242F"/>
    <w:rsid w:val="00D15E20"/>
    <w:rsid w:val="00D25FB5"/>
    <w:rsid w:val="00D44223"/>
    <w:rsid w:val="00D539DC"/>
    <w:rsid w:val="00D65EB0"/>
    <w:rsid w:val="00D7345A"/>
    <w:rsid w:val="00D75085"/>
    <w:rsid w:val="00D83167"/>
    <w:rsid w:val="00D835F4"/>
    <w:rsid w:val="00D87E4A"/>
    <w:rsid w:val="00DA0C0F"/>
    <w:rsid w:val="00DA2529"/>
    <w:rsid w:val="00DA3BDE"/>
    <w:rsid w:val="00DB130A"/>
    <w:rsid w:val="00DB2BDE"/>
    <w:rsid w:val="00DB2EBB"/>
    <w:rsid w:val="00DC10A1"/>
    <w:rsid w:val="00DC1A8C"/>
    <w:rsid w:val="00DC3977"/>
    <w:rsid w:val="00DC655F"/>
    <w:rsid w:val="00DD0B59"/>
    <w:rsid w:val="00DD165E"/>
    <w:rsid w:val="00DD7EBD"/>
    <w:rsid w:val="00DE6037"/>
    <w:rsid w:val="00DE667F"/>
    <w:rsid w:val="00DF1C09"/>
    <w:rsid w:val="00DF62B6"/>
    <w:rsid w:val="00E002D5"/>
    <w:rsid w:val="00E07225"/>
    <w:rsid w:val="00E215E0"/>
    <w:rsid w:val="00E21C81"/>
    <w:rsid w:val="00E33542"/>
    <w:rsid w:val="00E3625E"/>
    <w:rsid w:val="00E371E8"/>
    <w:rsid w:val="00E5409F"/>
    <w:rsid w:val="00E667C6"/>
    <w:rsid w:val="00E74F2D"/>
    <w:rsid w:val="00E8111E"/>
    <w:rsid w:val="00E82020"/>
    <w:rsid w:val="00E8299C"/>
    <w:rsid w:val="00E83425"/>
    <w:rsid w:val="00EA6273"/>
    <w:rsid w:val="00EB7091"/>
    <w:rsid w:val="00EE6488"/>
    <w:rsid w:val="00EF7A0A"/>
    <w:rsid w:val="00F021FA"/>
    <w:rsid w:val="00F05938"/>
    <w:rsid w:val="00F07E48"/>
    <w:rsid w:val="00F2066B"/>
    <w:rsid w:val="00F218C8"/>
    <w:rsid w:val="00F23C15"/>
    <w:rsid w:val="00F2444D"/>
    <w:rsid w:val="00F30979"/>
    <w:rsid w:val="00F34BDA"/>
    <w:rsid w:val="00F554F4"/>
    <w:rsid w:val="00F5609E"/>
    <w:rsid w:val="00F57FB3"/>
    <w:rsid w:val="00F6036A"/>
    <w:rsid w:val="00F62E97"/>
    <w:rsid w:val="00F64209"/>
    <w:rsid w:val="00F67F29"/>
    <w:rsid w:val="00F70BAC"/>
    <w:rsid w:val="00F726C1"/>
    <w:rsid w:val="00F8075C"/>
    <w:rsid w:val="00F8263F"/>
    <w:rsid w:val="00F83AA2"/>
    <w:rsid w:val="00F86D0E"/>
    <w:rsid w:val="00F9071E"/>
    <w:rsid w:val="00F93BF5"/>
    <w:rsid w:val="00FA67B2"/>
    <w:rsid w:val="00FB0F51"/>
    <w:rsid w:val="00FB3EF7"/>
    <w:rsid w:val="00FB7E22"/>
    <w:rsid w:val="00FC0478"/>
    <w:rsid w:val="00FC4B80"/>
    <w:rsid w:val="00FD19C2"/>
    <w:rsid w:val="00FE7EE5"/>
    <w:rsid w:val="00FF020A"/>
    <w:rsid w:val="700E4D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1B8E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C2B0C"/>
    <w:pPr>
      <w:widowControl w:val="0"/>
    </w:pPr>
    <w:rPr>
      <w:snapToGrid w:val="0"/>
      <w:kern w:val="28"/>
      <w:sz w:val="22"/>
    </w:rPr>
  </w:style>
  <w:style w:type="paragraph" w:styleId="Heading1">
    <w:name w:val="heading 1"/>
    <w:basedOn w:val="Normal"/>
    <w:next w:val="ParaNum"/>
    <w:qFormat/>
    <w:rsid w:val="000C2B0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C2B0C"/>
    <w:pPr>
      <w:keepNext/>
      <w:numPr>
        <w:ilvl w:val="1"/>
        <w:numId w:val="3"/>
      </w:numPr>
      <w:spacing w:after="120"/>
      <w:outlineLvl w:val="1"/>
    </w:pPr>
    <w:rPr>
      <w:b/>
    </w:rPr>
  </w:style>
  <w:style w:type="paragraph" w:styleId="Heading3">
    <w:name w:val="heading 3"/>
    <w:basedOn w:val="Normal"/>
    <w:next w:val="ParaNum"/>
    <w:qFormat/>
    <w:rsid w:val="000C2B0C"/>
    <w:pPr>
      <w:keepNext/>
      <w:numPr>
        <w:ilvl w:val="2"/>
        <w:numId w:val="3"/>
      </w:numPr>
      <w:tabs>
        <w:tab w:val="left" w:pos="2160"/>
      </w:tabs>
      <w:spacing w:after="120"/>
      <w:outlineLvl w:val="2"/>
    </w:pPr>
    <w:rPr>
      <w:b/>
    </w:rPr>
  </w:style>
  <w:style w:type="paragraph" w:styleId="Heading4">
    <w:name w:val="heading 4"/>
    <w:basedOn w:val="Normal"/>
    <w:next w:val="ParaNum"/>
    <w:qFormat/>
    <w:rsid w:val="000C2B0C"/>
    <w:pPr>
      <w:keepNext/>
      <w:numPr>
        <w:ilvl w:val="3"/>
        <w:numId w:val="3"/>
      </w:numPr>
      <w:tabs>
        <w:tab w:val="left" w:pos="2880"/>
      </w:tabs>
      <w:spacing w:after="120"/>
      <w:outlineLvl w:val="3"/>
    </w:pPr>
    <w:rPr>
      <w:b/>
    </w:rPr>
  </w:style>
  <w:style w:type="paragraph" w:styleId="Heading5">
    <w:name w:val="heading 5"/>
    <w:basedOn w:val="Normal"/>
    <w:next w:val="ParaNum"/>
    <w:qFormat/>
    <w:rsid w:val="000C2B0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C2B0C"/>
    <w:pPr>
      <w:numPr>
        <w:ilvl w:val="5"/>
        <w:numId w:val="3"/>
      </w:numPr>
      <w:tabs>
        <w:tab w:val="left" w:pos="4320"/>
      </w:tabs>
      <w:spacing w:after="120"/>
      <w:outlineLvl w:val="5"/>
    </w:pPr>
    <w:rPr>
      <w:b/>
    </w:rPr>
  </w:style>
  <w:style w:type="paragraph" w:styleId="Heading7">
    <w:name w:val="heading 7"/>
    <w:basedOn w:val="Normal"/>
    <w:next w:val="ParaNum"/>
    <w:qFormat/>
    <w:rsid w:val="000C2B0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C2B0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C2B0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C2B0C"/>
    <w:pPr>
      <w:numPr>
        <w:numId w:val="2"/>
      </w:numPr>
      <w:tabs>
        <w:tab w:val="clear" w:pos="1080"/>
        <w:tab w:val="num" w:pos="1440"/>
      </w:tabs>
      <w:spacing w:after="120"/>
    </w:pPr>
  </w:style>
  <w:style w:type="paragraph" w:styleId="EndnoteText">
    <w:name w:val="endnote text"/>
    <w:basedOn w:val="Normal"/>
    <w:semiHidden/>
    <w:rsid w:val="000C2B0C"/>
    <w:rPr>
      <w:sz w:val="20"/>
    </w:rPr>
  </w:style>
  <w:style w:type="character" w:styleId="EndnoteReference">
    <w:name w:val="endnote reference"/>
    <w:semiHidden/>
    <w:rsid w:val="000C2B0C"/>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C2B0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C2B0C"/>
    <w:rPr>
      <w:rFonts w:ascii="Times New Roman" w:hAnsi="Times New Roman"/>
      <w:dstrike w:val="0"/>
      <w:color w:val="auto"/>
      <w:sz w:val="20"/>
      <w:vertAlign w:val="superscript"/>
    </w:rPr>
  </w:style>
  <w:style w:type="paragraph" w:styleId="TOC1">
    <w:name w:val="toc 1"/>
    <w:basedOn w:val="Normal"/>
    <w:next w:val="Normal"/>
    <w:semiHidden/>
    <w:rsid w:val="000C2B0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C2B0C"/>
    <w:pPr>
      <w:tabs>
        <w:tab w:val="left" w:pos="720"/>
        <w:tab w:val="right" w:leader="dot" w:pos="9360"/>
      </w:tabs>
      <w:suppressAutoHyphens/>
      <w:ind w:left="720" w:right="720" w:hanging="360"/>
    </w:pPr>
    <w:rPr>
      <w:noProof/>
    </w:rPr>
  </w:style>
  <w:style w:type="paragraph" w:styleId="TOC3">
    <w:name w:val="toc 3"/>
    <w:basedOn w:val="Normal"/>
    <w:next w:val="Normal"/>
    <w:semiHidden/>
    <w:rsid w:val="000C2B0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C2B0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C2B0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C2B0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C2B0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C2B0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C2B0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C2B0C"/>
    <w:pPr>
      <w:tabs>
        <w:tab w:val="right" w:pos="9360"/>
      </w:tabs>
      <w:suppressAutoHyphens/>
    </w:pPr>
  </w:style>
  <w:style w:type="character" w:customStyle="1" w:styleId="EquationCaption">
    <w:name w:val="_Equation Caption"/>
    <w:rsid w:val="000C2B0C"/>
  </w:style>
  <w:style w:type="paragraph" w:styleId="Header">
    <w:name w:val="header"/>
    <w:basedOn w:val="Normal"/>
    <w:autoRedefine/>
    <w:rsid w:val="000C2B0C"/>
    <w:pPr>
      <w:tabs>
        <w:tab w:val="center" w:pos="4680"/>
        <w:tab w:val="right" w:pos="9360"/>
      </w:tabs>
    </w:pPr>
    <w:rPr>
      <w:b/>
    </w:rPr>
  </w:style>
  <w:style w:type="paragraph" w:styleId="Footer">
    <w:name w:val="footer"/>
    <w:basedOn w:val="Normal"/>
    <w:link w:val="FooterChar"/>
    <w:uiPriority w:val="99"/>
    <w:rsid w:val="000C2B0C"/>
    <w:pPr>
      <w:tabs>
        <w:tab w:val="center" w:pos="4320"/>
        <w:tab w:val="right" w:pos="8640"/>
      </w:tabs>
    </w:pPr>
  </w:style>
  <w:style w:type="character" w:styleId="PageNumber">
    <w:name w:val="page number"/>
    <w:basedOn w:val="DefaultParagraphFont"/>
    <w:rsid w:val="000C2B0C"/>
  </w:style>
  <w:style w:type="paragraph" w:styleId="BlockText">
    <w:name w:val="Block Text"/>
    <w:basedOn w:val="Normal"/>
    <w:rsid w:val="000C2B0C"/>
    <w:pPr>
      <w:spacing w:after="240"/>
      <w:ind w:left="1440" w:right="1440"/>
    </w:pPr>
  </w:style>
  <w:style w:type="paragraph" w:customStyle="1" w:styleId="Paratitle">
    <w:name w:val="Para title"/>
    <w:basedOn w:val="Normal"/>
    <w:rsid w:val="000C2B0C"/>
    <w:pPr>
      <w:tabs>
        <w:tab w:val="center" w:pos="9270"/>
      </w:tabs>
      <w:spacing w:after="240"/>
    </w:pPr>
    <w:rPr>
      <w:spacing w:val="-2"/>
    </w:rPr>
  </w:style>
  <w:style w:type="paragraph" w:customStyle="1" w:styleId="Bullet">
    <w:name w:val="Bullet"/>
    <w:basedOn w:val="Normal"/>
    <w:rsid w:val="000C2B0C"/>
    <w:pPr>
      <w:tabs>
        <w:tab w:val="left" w:pos="2160"/>
      </w:tabs>
      <w:spacing w:after="220"/>
      <w:ind w:left="2160" w:hanging="720"/>
    </w:pPr>
  </w:style>
  <w:style w:type="paragraph" w:customStyle="1" w:styleId="TableFormat">
    <w:name w:val="TableFormat"/>
    <w:basedOn w:val="Bullet"/>
    <w:rsid w:val="000C2B0C"/>
    <w:pPr>
      <w:tabs>
        <w:tab w:val="clear" w:pos="2160"/>
        <w:tab w:val="left" w:pos="5040"/>
      </w:tabs>
      <w:ind w:left="5040" w:hanging="3600"/>
    </w:pPr>
  </w:style>
  <w:style w:type="paragraph" w:customStyle="1" w:styleId="TOCTitle">
    <w:name w:val="TOC Title"/>
    <w:basedOn w:val="Normal"/>
    <w:rsid w:val="000C2B0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C2B0C"/>
    <w:pPr>
      <w:jc w:val="center"/>
    </w:pPr>
    <w:rPr>
      <w:rFonts w:ascii="Times New Roman Bold" w:hAnsi="Times New Roman Bold"/>
      <w:b/>
      <w:bCs/>
      <w:caps/>
      <w:szCs w:val="22"/>
    </w:rPr>
  </w:style>
  <w:style w:type="character" w:styleId="Hyperlink">
    <w:name w:val="Hyperlink"/>
    <w:rsid w:val="000C2B0C"/>
    <w:rPr>
      <w:color w:val="0000FF"/>
      <w:u w:val="single"/>
    </w:rPr>
  </w:style>
  <w:style w:type="character" w:customStyle="1" w:styleId="FooterChar">
    <w:name w:val="Footer Char"/>
    <w:link w:val="Footer"/>
    <w:uiPriority w:val="99"/>
    <w:rsid w:val="000C2B0C"/>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A93B0A"/>
  </w:style>
  <w:style w:type="character" w:styleId="CommentReference">
    <w:name w:val="annotation reference"/>
    <w:basedOn w:val="DefaultParagraphFont"/>
    <w:rsid w:val="0076308A"/>
    <w:rPr>
      <w:sz w:val="16"/>
      <w:szCs w:val="16"/>
    </w:rPr>
  </w:style>
  <w:style w:type="paragraph" w:styleId="CommentText">
    <w:name w:val="annotation text"/>
    <w:basedOn w:val="Normal"/>
    <w:link w:val="CommentTextChar"/>
    <w:rsid w:val="0076308A"/>
    <w:rPr>
      <w:sz w:val="20"/>
    </w:rPr>
  </w:style>
  <w:style w:type="character" w:customStyle="1" w:styleId="CommentTextChar">
    <w:name w:val="Comment Text Char"/>
    <w:basedOn w:val="DefaultParagraphFont"/>
    <w:link w:val="CommentText"/>
    <w:rsid w:val="0076308A"/>
    <w:rPr>
      <w:snapToGrid w:val="0"/>
      <w:kern w:val="28"/>
    </w:rPr>
  </w:style>
  <w:style w:type="paragraph" w:styleId="CommentSubject">
    <w:name w:val="annotation subject"/>
    <w:basedOn w:val="CommentText"/>
    <w:next w:val="CommentText"/>
    <w:link w:val="CommentSubjectChar"/>
    <w:rsid w:val="0076308A"/>
    <w:rPr>
      <w:b/>
      <w:bCs/>
    </w:rPr>
  </w:style>
  <w:style w:type="character" w:customStyle="1" w:styleId="CommentSubjectChar">
    <w:name w:val="Comment Subject Char"/>
    <w:basedOn w:val="CommentTextChar"/>
    <w:link w:val="CommentSubject"/>
    <w:rsid w:val="0076308A"/>
    <w:rPr>
      <w:b/>
      <w:bCs/>
      <w:snapToGrid w:val="0"/>
      <w:kern w:val="28"/>
    </w:rPr>
  </w:style>
  <w:style w:type="character" w:customStyle="1" w:styleId="FootnoteTextCharCharChar2Char">
    <w:name w:val="Footnote Text Char Char Char2 Char"/>
    <w:aliases w:val="Footnote Text Char Char Char2 Char Char Char,Footnote Text Char1 Char2 Char Char1 Char,Footnote Text Char1 Char2 Char Char1 Char Char Char,Footnote Text Char2 Char"/>
    <w:locked/>
    <w:rsid w:val="00D1242F"/>
  </w:style>
  <w:style w:type="paragraph" w:styleId="ListParagraph">
    <w:name w:val="List Paragraph"/>
    <w:basedOn w:val="Normal"/>
    <w:uiPriority w:val="34"/>
    <w:qFormat/>
    <w:rsid w:val="00A61574"/>
    <w:pPr>
      <w:widowControl/>
      <w:ind w:left="720"/>
      <w:contextualSpacing/>
    </w:pPr>
    <w:rPr>
      <w:snapToGrid/>
      <w:kern w:val="0"/>
    </w:rPr>
  </w:style>
  <w:style w:type="character" w:customStyle="1" w:styleId="ParaNumChar">
    <w:name w:val="ParaNum Char"/>
    <w:link w:val="ParaNum"/>
    <w:locked/>
    <w:rsid w:val="00C07F0D"/>
    <w:rPr>
      <w:snapToGrid w:val="0"/>
      <w:kern w:val="28"/>
      <w:sz w:val="22"/>
    </w:rPr>
  </w:style>
  <w:style w:type="character" w:customStyle="1" w:styleId="ParaNumChar1">
    <w:name w:val="ParaNum Char1"/>
    <w:rsid w:val="00323FA0"/>
  </w:style>
  <w:style w:type="paragraph" w:styleId="Revision">
    <w:name w:val="Revision"/>
    <w:hidden/>
    <w:uiPriority w:val="99"/>
    <w:semiHidden/>
    <w:rsid w:val="00894804"/>
    <w:rPr>
      <w:snapToGrid w:val="0"/>
      <w:kern w:val="28"/>
      <w:sz w:val="22"/>
    </w:rPr>
  </w:style>
  <w:style w:type="character" w:styleId="FollowedHyperlink">
    <w:name w:val="FollowedHyperlink"/>
    <w:basedOn w:val="DefaultParagraphFont"/>
    <w:rsid w:val="002E4B0D"/>
    <w:rPr>
      <w:color w:val="954F72" w:themeColor="followedHyperlink"/>
      <w:u w:val="single"/>
    </w:rPr>
  </w:style>
  <w:style w:type="character" w:styleId="UnresolvedMention">
    <w:name w:val="Unresolved Mention"/>
    <w:basedOn w:val="DefaultParagraphFont"/>
    <w:rsid w:val="00AF0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shua.Mendelsohn@fcc.gov" TargetMode="External" /><Relationship Id="rId6" Type="http://schemas.openxmlformats.org/officeDocument/2006/relationships/hyperlink" Target="mailto:Ike.Ofobik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313420020708/FINAL_Amendment%20to%20InnoCaption%20Application_%2003.13.2020.pdf" TargetMode="External" /><Relationship Id="rId2" Type="http://schemas.openxmlformats.org/officeDocument/2006/relationships/hyperlink" Target="https://ecfsapi.fcc.gov/file/1001106028181/ASR%20Supplement%20-%20Final%20Redacted%20-%2010.01.2020.pdf" TargetMode="External" /><Relationship Id="rId3" Type="http://schemas.openxmlformats.org/officeDocument/2006/relationships/hyperlink" Target="https://www.fcc.gov/ecfs/document/10912237476222/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