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173B" w:rsidRPr="00323E08" w:rsidP="00171D2C" w14:paraId="211D130C" w14:textId="059CEF5F">
      <w:r w:rsidRPr="00323E08">
        <w:t xml:space="preserve"> </w:t>
      </w:r>
      <w:r w:rsidRPr="00323E08" w:rsidR="008E0A04">
        <w:t xml:space="preserve"> </w:t>
      </w:r>
    </w:p>
    <w:p w:rsidR="000D013A" w:rsidRPr="00323E08" w:rsidP="000D013A" w14:paraId="73707E49" w14:textId="5D1CA68E">
      <w:pPr>
        <w:autoSpaceDE w:val="0"/>
        <w:autoSpaceDN w:val="0"/>
        <w:adjustRightInd w:val="0"/>
        <w:jc w:val="right"/>
        <w:rPr>
          <w:rFonts w:eastAsia="TimesNewRoman"/>
          <w:b/>
          <w:bCs/>
          <w:sz w:val="24"/>
          <w:szCs w:val="24"/>
        </w:rPr>
      </w:pPr>
      <w:r w:rsidRPr="00323E08">
        <w:rPr>
          <w:sz w:val="36"/>
          <w:szCs w:val="36"/>
        </w:rPr>
        <w:tab/>
      </w:r>
      <w:r w:rsidRPr="00323E08">
        <w:rPr>
          <w:sz w:val="36"/>
          <w:szCs w:val="36"/>
        </w:rPr>
        <w:tab/>
      </w:r>
      <w:r w:rsidRPr="00323E08">
        <w:rPr>
          <w:sz w:val="36"/>
          <w:szCs w:val="36"/>
        </w:rPr>
        <w:tab/>
      </w:r>
      <w:r w:rsidRPr="00323E08">
        <w:rPr>
          <w:sz w:val="36"/>
          <w:szCs w:val="36"/>
        </w:rPr>
        <w:tab/>
      </w:r>
      <w:r w:rsidRPr="00323E08">
        <w:rPr>
          <w:sz w:val="36"/>
          <w:szCs w:val="36"/>
        </w:rPr>
        <w:tab/>
      </w:r>
      <w:r w:rsidRPr="00323E08">
        <w:rPr>
          <w:sz w:val="36"/>
          <w:szCs w:val="36"/>
        </w:rPr>
        <w:tab/>
      </w:r>
      <w:r w:rsidRPr="00323E08">
        <w:rPr>
          <w:sz w:val="36"/>
          <w:szCs w:val="36"/>
        </w:rPr>
        <w:tab/>
      </w:r>
      <w:r w:rsidRPr="00323E08">
        <w:rPr>
          <w:sz w:val="36"/>
          <w:szCs w:val="36"/>
        </w:rPr>
        <w:tab/>
      </w:r>
      <w:r w:rsidRPr="00323E08">
        <w:rPr>
          <w:sz w:val="36"/>
          <w:szCs w:val="36"/>
        </w:rPr>
        <w:tab/>
      </w:r>
      <w:r w:rsidRPr="00323E08" w:rsidR="00504CF0">
        <w:rPr>
          <w:rFonts w:eastAsia="TimesNewRoman"/>
          <w:b/>
          <w:bCs/>
          <w:sz w:val="24"/>
          <w:szCs w:val="24"/>
        </w:rPr>
        <w:t xml:space="preserve">DA </w:t>
      </w:r>
      <w:r w:rsidRPr="00323E08" w:rsidR="00522DBE">
        <w:rPr>
          <w:rFonts w:eastAsia="TimesNewRoman"/>
          <w:b/>
          <w:bCs/>
          <w:sz w:val="24"/>
          <w:szCs w:val="24"/>
        </w:rPr>
        <w:t>2</w:t>
      </w:r>
      <w:r w:rsidRPr="00323E08" w:rsidR="001127CB">
        <w:rPr>
          <w:rFonts w:eastAsia="TimesNewRoman"/>
          <w:b/>
          <w:bCs/>
          <w:sz w:val="24"/>
          <w:szCs w:val="24"/>
        </w:rPr>
        <w:t>2</w:t>
      </w:r>
      <w:r w:rsidRPr="00323E08" w:rsidR="00504CF0">
        <w:rPr>
          <w:rFonts w:eastAsia="TimesNewRoman"/>
          <w:b/>
          <w:bCs/>
          <w:sz w:val="24"/>
          <w:szCs w:val="24"/>
        </w:rPr>
        <w:t>-</w:t>
      </w:r>
      <w:r w:rsidR="00D95196">
        <w:rPr>
          <w:rFonts w:eastAsia="TimesNewRoman"/>
          <w:b/>
          <w:bCs/>
          <w:sz w:val="24"/>
          <w:szCs w:val="24"/>
        </w:rPr>
        <w:t>1301</w:t>
      </w:r>
    </w:p>
    <w:p w:rsidR="000D013A" w:rsidRPr="00323E08" w14:paraId="3DA9A8EF" w14:textId="77777777">
      <w:pPr>
        <w:jc w:val="center"/>
        <w:rPr>
          <w:sz w:val="22"/>
          <w:szCs w:val="22"/>
        </w:rPr>
      </w:pPr>
    </w:p>
    <w:p w:rsidR="00B65A1F" w:rsidRPr="00323E08" w:rsidP="00B65A1F" w14:paraId="755B7581" w14:textId="77777777">
      <w:pPr>
        <w:jc w:val="center"/>
        <w:rPr>
          <w:b/>
          <w:sz w:val="28"/>
          <w:szCs w:val="28"/>
        </w:rPr>
      </w:pPr>
      <w:r w:rsidRPr="00323E08">
        <w:rPr>
          <w:b/>
          <w:sz w:val="28"/>
          <w:szCs w:val="28"/>
        </w:rPr>
        <w:t>SMALL ENTITY COMPLIANCE GUIDE</w:t>
      </w:r>
    </w:p>
    <w:p w:rsidR="00C9777C" w:rsidRPr="00323E08" w:rsidP="00B65A1F" w14:paraId="1B913A50" w14:textId="77777777">
      <w:pPr>
        <w:jc w:val="center"/>
        <w:rPr>
          <w:b/>
          <w:sz w:val="22"/>
          <w:szCs w:val="22"/>
        </w:rPr>
      </w:pPr>
    </w:p>
    <w:p w:rsidR="004B1019" w:rsidRPr="00323E08" w:rsidP="001127CB" w14:paraId="6EB9DF14" w14:textId="1D6A7415">
      <w:pPr>
        <w:jc w:val="center"/>
        <w:rPr>
          <w:b/>
          <w:sz w:val="22"/>
          <w:szCs w:val="22"/>
        </w:rPr>
      </w:pPr>
      <w:r w:rsidRPr="00323E08">
        <w:rPr>
          <w:b/>
          <w:sz w:val="22"/>
          <w:szCs w:val="22"/>
        </w:rPr>
        <w:t>Amendment of Part 11 of the Commission’s Rules Regarding the Emergency Alert Syste</w:t>
      </w:r>
      <w:r w:rsidRPr="00323E08" w:rsidR="00C9777C">
        <w:rPr>
          <w:b/>
          <w:sz w:val="22"/>
          <w:szCs w:val="22"/>
        </w:rPr>
        <w:t>m</w:t>
      </w:r>
    </w:p>
    <w:p w:rsidR="004B1019" w:rsidRPr="00323E08" w:rsidP="001127CB" w14:paraId="5792A76A" w14:textId="05AB4BE2">
      <w:pPr>
        <w:jc w:val="center"/>
        <w:rPr>
          <w:b/>
          <w:sz w:val="22"/>
          <w:szCs w:val="22"/>
        </w:rPr>
      </w:pPr>
      <w:r w:rsidRPr="00323E08">
        <w:rPr>
          <w:b/>
          <w:sz w:val="22"/>
          <w:szCs w:val="22"/>
        </w:rPr>
        <w:t xml:space="preserve">FCC </w:t>
      </w:r>
      <w:r w:rsidRPr="00323E08" w:rsidR="00A4280C">
        <w:rPr>
          <w:b/>
          <w:sz w:val="22"/>
          <w:szCs w:val="22"/>
        </w:rPr>
        <w:t>2</w:t>
      </w:r>
      <w:r w:rsidRPr="00323E08" w:rsidR="001127CB">
        <w:rPr>
          <w:b/>
          <w:sz w:val="22"/>
          <w:szCs w:val="22"/>
        </w:rPr>
        <w:t>2-</w:t>
      </w:r>
      <w:r w:rsidRPr="00323E08" w:rsidR="00116F67">
        <w:rPr>
          <w:b/>
          <w:sz w:val="22"/>
          <w:szCs w:val="22"/>
        </w:rPr>
        <w:t>75</w:t>
      </w:r>
    </w:p>
    <w:p w:rsidR="00B65A1F" w:rsidRPr="00323E08" w:rsidP="00B65A1F" w14:paraId="644ECF9E" w14:textId="363AD0B7">
      <w:pPr>
        <w:jc w:val="center"/>
        <w:rPr>
          <w:b/>
          <w:sz w:val="22"/>
          <w:szCs w:val="22"/>
        </w:rPr>
      </w:pPr>
      <w:r w:rsidRPr="00323E08">
        <w:rPr>
          <w:b/>
          <w:sz w:val="22"/>
          <w:szCs w:val="22"/>
        </w:rPr>
        <w:t>PS</w:t>
      </w:r>
      <w:r w:rsidRPr="00323E08">
        <w:rPr>
          <w:b/>
          <w:sz w:val="22"/>
          <w:szCs w:val="22"/>
        </w:rPr>
        <w:t xml:space="preserve"> Docket No. </w:t>
      </w:r>
      <w:r w:rsidRPr="00323E08">
        <w:rPr>
          <w:b/>
          <w:sz w:val="22"/>
          <w:szCs w:val="22"/>
        </w:rPr>
        <w:t>15</w:t>
      </w:r>
      <w:r w:rsidRPr="00323E08">
        <w:rPr>
          <w:b/>
          <w:sz w:val="22"/>
          <w:szCs w:val="22"/>
        </w:rPr>
        <w:t>-9</w:t>
      </w:r>
      <w:r w:rsidRPr="00323E08">
        <w:rPr>
          <w:b/>
          <w:sz w:val="22"/>
          <w:szCs w:val="22"/>
        </w:rPr>
        <w:t>4</w:t>
      </w:r>
    </w:p>
    <w:p w:rsidR="004D173B" w:rsidRPr="00323E08" w:rsidP="00B65A1F" w14:paraId="1D8E48E6" w14:textId="51481155">
      <w:pPr>
        <w:ind w:left="1080"/>
        <w:rPr>
          <w:sz w:val="22"/>
          <w:szCs w:val="22"/>
        </w:rPr>
      </w:pPr>
      <w:r w:rsidRPr="00323E08">
        <w:rPr>
          <w:b/>
          <w:sz w:val="22"/>
          <w:szCs w:val="22"/>
        </w:rPr>
        <w:t xml:space="preserve">                                 Released</w:t>
      </w:r>
      <w:r w:rsidRPr="00323E08" w:rsidR="00B611DC">
        <w:rPr>
          <w:b/>
          <w:sz w:val="22"/>
          <w:szCs w:val="22"/>
        </w:rPr>
        <w:t>:</w:t>
      </w:r>
      <w:r w:rsidRPr="00323E08" w:rsidR="00732DA0">
        <w:rPr>
          <w:b/>
          <w:sz w:val="22"/>
          <w:szCs w:val="22"/>
        </w:rPr>
        <w:t xml:space="preserve"> </w:t>
      </w:r>
      <w:r w:rsidRPr="00323E08" w:rsidR="001127CB">
        <w:rPr>
          <w:b/>
          <w:sz w:val="22"/>
          <w:szCs w:val="22"/>
        </w:rPr>
        <w:t>September 30</w:t>
      </w:r>
      <w:r w:rsidRPr="00323E08">
        <w:rPr>
          <w:b/>
          <w:sz w:val="22"/>
          <w:szCs w:val="22"/>
        </w:rPr>
        <w:t>, 20</w:t>
      </w:r>
      <w:r w:rsidRPr="00323E08" w:rsidR="00A4280C">
        <w:rPr>
          <w:b/>
          <w:sz w:val="22"/>
          <w:szCs w:val="22"/>
        </w:rPr>
        <w:t>2</w:t>
      </w:r>
      <w:r w:rsidRPr="00323E08" w:rsidR="001127CB">
        <w:rPr>
          <w:b/>
          <w:sz w:val="22"/>
          <w:szCs w:val="22"/>
        </w:rPr>
        <w:t>2</w:t>
      </w:r>
    </w:p>
    <w:p w:rsidR="00B65A1F" w:rsidRPr="00323E08" w:rsidP="00B65A1F" w14:paraId="5679982D" w14:textId="77777777">
      <w:pPr>
        <w:ind w:left="270"/>
        <w:jc w:val="both"/>
        <w:rPr>
          <w:b/>
          <w:bCs/>
          <w:sz w:val="22"/>
          <w:szCs w:val="22"/>
        </w:rPr>
      </w:pPr>
    </w:p>
    <w:p w:rsidR="007A259C" w:rsidRPr="00323E08" w:rsidP="00522DBE" w14:paraId="768F5354" w14:textId="09AD4B33">
      <w:pPr>
        <w:ind w:left="270"/>
        <w:jc w:val="both"/>
        <w:rPr>
          <w:b/>
          <w:bCs/>
          <w:sz w:val="22"/>
          <w:szCs w:val="22"/>
        </w:rPr>
      </w:pPr>
      <w:r w:rsidRPr="00323E08">
        <w:rPr>
          <w:b/>
          <w:bCs/>
          <w:sz w:val="22"/>
          <w:szCs w:val="22"/>
        </w:rPr>
        <w:t>This Guide is prepared in accordance with the requirements of Section 212 of the Small Business Regulatory Enforcement Fairness Act of 1996.</w:t>
      </w:r>
      <w:r w:rsidRPr="00323E08" w:rsidR="00530FA8">
        <w:rPr>
          <w:b/>
          <w:bCs/>
          <w:sz w:val="22"/>
          <w:szCs w:val="22"/>
        </w:rPr>
        <w:t xml:space="preserve"> </w:t>
      </w:r>
      <w:r w:rsidRPr="00323E08">
        <w:rPr>
          <w:b/>
          <w:bCs/>
          <w:sz w:val="22"/>
          <w:szCs w:val="22"/>
        </w:rPr>
        <w:t xml:space="preserve"> It is intended to help small entities—small businesses</w:t>
      </w:r>
      <w:r w:rsidRPr="00323E08" w:rsidR="00160081">
        <w:rPr>
          <w:b/>
          <w:bCs/>
          <w:sz w:val="22"/>
          <w:szCs w:val="22"/>
        </w:rPr>
        <w:t xml:space="preserve"> and</w:t>
      </w:r>
      <w:r w:rsidRPr="00323E08">
        <w:rPr>
          <w:b/>
          <w:bCs/>
          <w:sz w:val="22"/>
          <w:szCs w:val="22"/>
        </w:rPr>
        <w:t xml:space="preserve"> small organizations (non-profits), and small governmental jurisdictions—comply with the </w:t>
      </w:r>
      <w:r w:rsidRPr="00323E08" w:rsidR="00281F10">
        <w:rPr>
          <w:b/>
          <w:bCs/>
          <w:sz w:val="22"/>
          <w:szCs w:val="22"/>
        </w:rPr>
        <w:t xml:space="preserve">revised </w:t>
      </w:r>
      <w:r w:rsidRPr="00323E08">
        <w:rPr>
          <w:b/>
          <w:bCs/>
          <w:sz w:val="22"/>
          <w:szCs w:val="22"/>
        </w:rPr>
        <w:t xml:space="preserve">rules adopted in the above-referenced </w:t>
      </w:r>
      <w:r w:rsidRPr="00323E08" w:rsidR="005F4F44">
        <w:rPr>
          <w:b/>
          <w:sz w:val="22"/>
          <w:szCs w:val="22"/>
        </w:rPr>
        <w:t xml:space="preserve">Federal Communications Commission (FCC or Commission) </w:t>
      </w:r>
      <w:r w:rsidRPr="00323E08">
        <w:rPr>
          <w:b/>
          <w:bCs/>
          <w:sz w:val="22"/>
          <w:szCs w:val="22"/>
        </w:rPr>
        <w:t>rulemaking docket</w:t>
      </w:r>
      <w:r w:rsidRPr="00323E08" w:rsidR="00AB41D4">
        <w:rPr>
          <w:b/>
          <w:bCs/>
          <w:sz w:val="22"/>
          <w:szCs w:val="22"/>
        </w:rPr>
        <w:t>s</w:t>
      </w:r>
      <w:r w:rsidRPr="00323E08">
        <w:rPr>
          <w:b/>
          <w:bCs/>
          <w:sz w:val="22"/>
          <w:szCs w:val="22"/>
        </w:rPr>
        <w:t>.</w:t>
      </w:r>
      <w:r w:rsidRPr="00323E08" w:rsidR="00530FA8">
        <w:rPr>
          <w:b/>
          <w:bCs/>
          <w:sz w:val="22"/>
          <w:szCs w:val="22"/>
        </w:rPr>
        <w:t xml:space="preserve"> </w:t>
      </w:r>
      <w:r w:rsidRPr="00323E08">
        <w:rPr>
          <w:b/>
          <w:bCs/>
          <w:sz w:val="22"/>
          <w:szCs w:val="22"/>
        </w:rPr>
        <w:t xml:space="preserve"> This Guide is not intended to replace </w:t>
      </w:r>
      <w:r w:rsidRPr="00323E08" w:rsidR="005F4F44">
        <w:rPr>
          <w:b/>
          <w:sz w:val="22"/>
          <w:szCs w:val="22"/>
        </w:rPr>
        <w:t xml:space="preserve">or supersede these </w:t>
      </w:r>
      <w:r w:rsidRPr="00323E08">
        <w:rPr>
          <w:b/>
          <w:bCs/>
          <w:sz w:val="22"/>
          <w:szCs w:val="22"/>
        </w:rPr>
        <w:t>rules</w:t>
      </w:r>
      <w:r w:rsidRPr="00323E08" w:rsidR="005F4F44">
        <w:rPr>
          <w:b/>
          <w:bCs/>
          <w:sz w:val="22"/>
          <w:szCs w:val="22"/>
        </w:rPr>
        <w:t xml:space="preserve">, </w:t>
      </w:r>
      <w:r w:rsidRPr="00323E08" w:rsidR="005F4F44">
        <w:rPr>
          <w:b/>
          <w:sz w:val="22"/>
          <w:szCs w:val="22"/>
        </w:rPr>
        <w:t>but to facilitate compliance</w:t>
      </w:r>
      <w:r w:rsidRPr="00323E08">
        <w:rPr>
          <w:b/>
          <w:bCs/>
          <w:sz w:val="22"/>
          <w:szCs w:val="22"/>
        </w:rPr>
        <w:t xml:space="preserve"> with the rules.  Although we have attempted to cover all parts of the rules that might be especially important to small entities, the coverage may not be exhaustive.</w:t>
      </w:r>
      <w:r w:rsidRPr="00323E08" w:rsidR="00530FA8">
        <w:rPr>
          <w:b/>
          <w:bCs/>
          <w:sz w:val="22"/>
          <w:szCs w:val="22"/>
        </w:rPr>
        <w:t xml:space="preserve"> </w:t>
      </w:r>
      <w:r w:rsidRPr="00323E08">
        <w:rPr>
          <w:b/>
          <w:bCs/>
          <w:sz w:val="22"/>
          <w:szCs w:val="22"/>
        </w:rPr>
        <w:t xml:space="preserve"> This Guide </w:t>
      </w:r>
      <w:r w:rsidRPr="00323E08" w:rsidR="005F4F44">
        <w:rPr>
          <w:b/>
          <w:sz w:val="22"/>
          <w:szCs w:val="22"/>
        </w:rPr>
        <w:t>cannot anticipate all situations in which the rules apply.  Furthermore, the Commission</w:t>
      </w:r>
      <w:r w:rsidRPr="00323E08" w:rsidR="005F4F44">
        <w:rPr>
          <w:b/>
          <w:bCs/>
          <w:sz w:val="22"/>
          <w:szCs w:val="22"/>
        </w:rPr>
        <w:t xml:space="preserve"> </w:t>
      </w:r>
      <w:r w:rsidRPr="00323E08">
        <w:rPr>
          <w:b/>
          <w:bCs/>
          <w:sz w:val="22"/>
          <w:szCs w:val="22"/>
        </w:rPr>
        <w:t xml:space="preserve">retains the discretion to adopt </w:t>
      </w:r>
      <w:r w:rsidRPr="00323E08" w:rsidR="005F4F44">
        <w:rPr>
          <w:b/>
          <w:sz w:val="22"/>
          <w:szCs w:val="22"/>
        </w:rPr>
        <w:t xml:space="preserve">case-by-case </w:t>
      </w:r>
      <w:r w:rsidRPr="00323E08">
        <w:rPr>
          <w:b/>
          <w:bCs/>
          <w:sz w:val="22"/>
          <w:szCs w:val="22"/>
        </w:rPr>
        <w:t>approaches</w:t>
      </w:r>
      <w:r w:rsidRPr="00323E08" w:rsidR="005F4F44">
        <w:rPr>
          <w:b/>
          <w:bCs/>
          <w:sz w:val="22"/>
          <w:szCs w:val="22"/>
        </w:rPr>
        <w:t>,</w:t>
      </w:r>
      <w:r w:rsidRPr="00323E08">
        <w:rPr>
          <w:b/>
          <w:bCs/>
          <w:sz w:val="22"/>
          <w:szCs w:val="22"/>
        </w:rPr>
        <w:t xml:space="preserve"> where appropriate</w:t>
      </w:r>
      <w:r w:rsidRPr="00323E08" w:rsidR="005F4F44">
        <w:rPr>
          <w:b/>
          <w:bCs/>
          <w:sz w:val="22"/>
          <w:szCs w:val="22"/>
        </w:rPr>
        <w:t>, that may differ from this Guide</w:t>
      </w:r>
      <w:r w:rsidRPr="00323E08">
        <w:rPr>
          <w:b/>
          <w:bCs/>
          <w:sz w:val="22"/>
          <w:szCs w:val="22"/>
        </w:rPr>
        <w:t>.  Any decisions regarding a particular small entity will be based on the statute and</w:t>
      </w:r>
      <w:r w:rsidRPr="00323E08" w:rsidR="005F4F44">
        <w:rPr>
          <w:b/>
          <w:sz w:val="22"/>
          <w:szCs w:val="22"/>
        </w:rPr>
        <w:t xml:space="preserve"> any relevant rules</w:t>
      </w:r>
      <w:r w:rsidRPr="00323E08">
        <w:rPr>
          <w:b/>
          <w:bCs/>
          <w:sz w:val="22"/>
          <w:szCs w:val="22"/>
        </w:rPr>
        <w:t>.</w:t>
      </w:r>
    </w:p>
    <w:p w:rsidR="007A259C" w:rsidRPr="00323E08" w:rsidP="00522DBE" w14:paraId="737CAB0F" w14:textId="77777777">
      <w:pPr>
        <w:ind w:left="270"/>
        <w:rPr>
          <w:b/>
          <w:bCs/>
          <w:sz w:val="22"/>
          <w:szCs w:val="22"/>
        </w:rPr>
      </w:pPr>
    </w:p>
    <w:p w:rsidR="007A259C" w:rsidRPr="00323E08" w:rsidP="00522DBE" w14:paraId="10BB4DDF" w14:textId="7011C431">
      <w:pPr>
        <w:ind w:left="270"/>
        <w:jc w:val="both"/>
        <w:rPr>
          <w:b/>
          <w:bCs/>
          <w:sz w:val="22"/>
          <w:szCs w:val="22"/>
        </w:rPr>
      </w:pPr>
      <w:r w:rsidRPr="00323E08">
        <w:rPr>
          <w:b/>
          <w:bCs/>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323E08" w:rsidR="00AB41D4">
        <w:rPr>
          <w:b/>
          <w:bCs/>
          <w:sz w:val="22"/>
          <w:szCs w:val="22"/>
        </w:rPr>
        <w:t>.</w:t>
      </w:r>
      <w:r w:rsidRPr="00323E08">
        <w:rPr>
          <w:b/>
          <w:bCs/>
          <w:sz w:val="22"/>
          <w:szCs w:val="22"/>
        </w:rPr>
        <w:t xml:space="preserve"> </w:t>
      </w:r>
      <w:r w:rsidRPr="00323E08" w:rsidR="00AB41D4">
        <w:rPr>
          <w:b/>
          <w:bCs/>
          <w:sz w:val="22"/>
          <w:szCs w:val="22"/>
        </w:rPr>
        <w:t>T</w:t>
      </w:r>
      <w:r w:rsidRPr="00323E08">
        <w:rPr>
          <w:b/>
          <w:bCs/>
          <w:sz w:val="22"/>
          <w:szCs w:val="22"/>
        </w:rPr>
        <w:t xml:space="preserve">he FCC will </w:t>
      </w:r>
      <w:r w:rsidRPr="00323E08" w:rsidR="00AB41D4">
        <w:rPr>
          <w:b/>
          <w:bCs/>
          <w:sz w:val="22"/>
          <w:szCs w:val="22"/>
        </w:rPr>
        <w:t xml:space="preserve">then </w:t>
      </w:r>
      <w:r w:rsidRPr="00323E08">
        <w:rPr>
          <w:b/>
          <w:bCs/>
          <w:sz w:val="22"/>
          <w:szCs w:val="22"/>
        </w:rPr>
        <w:t xml:space="preserve">consider whether the recommendations or interpretations in the Guide are appropriate in that situation. The FCC may decide to revise this Guide without public notice to reflect changes in the FCC’s approach to implementing a rule, or </w:t>
      </w:r>
      <w:r w:rsidRPr="00323E08" w:rsidR="00AB41D4">
        <w:rPr>
          <w:b/>
          <w:bCs/>
          <w:sz w:val="22"/>
          <w:szCs w:val="22"/>
        </w:rPr>
        <w:t xml:space="preserve">it may </w:t>
      </w:r>
      <w:r w:rsidRPr="00323E08">
        <w:rPr>
          <w:b/>
          <w:bCs/>
          <w:sz w:val="22"/>
          <w:szCs w:val="22"/>
        </w:rPr>
        <w:t>clarify or update the text of the Guide.  Direct your comments and recommendations, or calls for further assistance, to the FCC’s Consumer Center:</w:t>
      </w:r>
    </w:p>
    <w:p w:rsidR="007A259C" w:rsidRPr="00323E08" w:rsidP="00522DBE" w14:paraId="7CA71B61" w14:textId="1C90B1F1">
      <w:pPr>
        <w:ind w:left="270"/>
        <w:jc w:val="center"/>
        <w:rPr>
          <w:b/>
          <w:bCs/>
          <w:sz w:val="22"/>
          <w:szCs w:val="22"/>
        </w:rPr>
      </w:pPr>
    </w:p>
    <w:p w:rsidR="00D74AF3" w:rsidRPr="00323E08" w:rsidP="00522DBE" w14:paraId="76073267" w14:textId="77777777">
      <w:pPr>
        <w:ind w:left="270"/>
        <w:jc w:val="center"/>
        <w:rPr>
          <w:b/>
          <w:bCs/>
          <w:sz w:val="22"/>
          <w:szCs w:val="22"/>
        </w:rPr>
      </w:pPr>
    </w:p>
    <w:p w:rsidR="00F13B3B" w:rsidRPr="00323E08" w:rsidP="00522DBE" w14:paraId="27183542" w14:textId="77777777">
      <w:pPr>
        <w:ind w:left="270" w:right="360"/>
        <w:jc w:val="center"/>
        <w:rPr>
          <w:b/>
          <w:sz w:val="22"/>
          <w:szCs w:val="22"/>
        </w:rPr>
      </w:pPr>
      <w:r w:rsidRPr="00323E08">
        <w:rPr>
          <w:b/>
          <w:sz w:val="22"/>
          <w:szCs w:val="22"/>
        </w:rPr>
        <w:t>1-888-CALL-FCC (1-888-225-5322)  </w:t>
      </w:r>
      <w:r w:rsidRPr="00323E08">
        <w:rPr>
          <w:b/>
          <w:sz w:val="22"/>
          <w:szCs w:val="22"/>
        </w:rPr>
        <w:br/>
        <w:t>TTY: 1-888-TELL-FCC (1-888-835-5322)  </w:t>
      </w:r>
    </w:p>
    <w:p w:rsidR="00F13B3B" w:rsidRPr="00323E08" w:rsidP="00522DBE" w14:paraId="6AAB971E" w14:textId="77777777">
      <w:pPr>
        <w:pStyle w:val="ListParagraph"/>
        <w:ind w:left="270"/>
        <w:jc w:val="center"/>
        <w:rPr>
          <w:b/>
          <w:sz w:val="22"/>
          <w:szCs w:val="22"/>
        </w:rPr>
      </w:pPr>
      <w:r w:rsidRPr="00323E08">
        <w:rPr>
          <w:b/>
          <w:sz w:val="22"/>
          <w:szCs w:val="22"/>
        </w:rPr>
        <w:t>Videophone: 1-844-4-FCC-ASL (1-844-432-2275)</w:t>
      </w:r>
    </w:p>
    <w:p w:rsidR="0087409A" w:rsidRPr="00323E08" w:rsidP="00522DBE" w14:paraId="31D2615C" w14:textId="53D15275">
      <w:pPr>
        <w:ind w:left="270" w:right="360"/>
        <w:jc w:val="center"/>
        <w:rPr>
          <w:b/>
          <w:sz w:val="22"/>
          <w:szCs w:val="22"/>
        </w:rPr>
      </w:pPr>
      <w:r w:rsidRPr="00323E08">
        <w:rPr>
          <w:b/>
          <w:sz w:val="22"/>
          <w:szCs w:val="22"/>
        </w:rPr>
        <w:t xml:space="preserve">Fax: </w:t>
      </w:r>
      <w:r w:rsidRPr="00323E08" w:rsidR="00AE0870">
        <w:rPr>
          <w:b/>
          <w:sz w:val="22"/>
          <w:szCs w:val="22"/>
        </w:rPr>
        <w:t>1-866-</w:t>
      </w:r>
      <w:r w:rsidRPr="00323E08">
        <w:rPr>
          <w:b/>
          <w:sz w:val="22"/>
          <w:szCs w:val="22"/>
        </w:rPr>
        <w:t>418-0232</w:t>
      </w:r>
    </w:p>
    <w:p w:rsidR="00F13B3B" w:rsidRPr="00323E08" w:rsidP="00522DBE" w14:paraId="3FB502B1" w14:textId="77777777">
      <w:pPr>
        <w:ind w:left="270"/>
        <w:jc w:val="center"/>
        <w:rPr>
          <w:b/>
          <w:sz w:val="22"/>
          <w:szCs w:val="22"/>
        </w:rPr>
      </w:pPr>
    </w:p>
    <w:p w:rsidR="00F13B3B" w:rsidRPr="00323E08" w:rsidP="008E3521" w14:paraId="1E351040" w14:textId="77777777">
      <w:pPr>
        <w:jc w:val="center"/>
        <w:rPr>
          <w:b/>
          <w:sz w:val="22"/>
          <w:szCs w:val="22"/>
        </w:rPr>
      </w:pPr>
    </w:p>
    <w:p w:rsidR="001E7077" w:rsidRPr="00323E08" w:rsidP="008E3521" w14:paraId="31B429CA" w14:textId="77777777">
      <w:pPr>
        <w:jc w:val="center"/>
        <w:rPr>
          <w:b/>
          <w:sz w:val="22"/>
          <w:szCs w:val="22"/>
        </w:rPr>
        <w:sectPr w:rsidSect="00C11C5C">
          <w:footerReference w:type="even" r:id="rId5"/>
          <w:headerReference w:type="first" r:id="rId6"/>
          <w:pgSz w:w="12240" w:h="15840" w:code="1"/>
          <w:pgMar w:top="1440" w:right="1800" w:bottom="1440" w:left="1800" w:header="720" w:footer="720" w:gutter="0"/>
          <w:cols w:space="720"/>
          <w:titlePg/>
        </w:sectPr>
      </w:pPr>
    </w:p>
    <w:p w:rsidR="00F13B3B" w:rsidRPr="00323E08" w:rsidP="008E3521" w14:paraId="74BD39D1" w14:textId="6C591CD6">
      <w:pPr>
        <w:jc w:val="center"/>
        <w:rPr>
          <w:b/>
          <w:sz w:val="22"/>
          <w:szCs w:val="22"/>
        </w:rPr>
      </w:pPr>
    </w:p>
    <w:p w:rsidR="00F13B3B" w:rsidRPr="00323E08" w:rsidP="008E3521" w14:paraId="1A600D93" w14:textId="77777777">
      <w:pPr>
        <w:jc w:val="center"/>
        <w:rPr>
          <w:b/>
          <w:sz w:val="22"/>
          <w:szCs w:val="22"/>
        </w:rPr>
      </w:pPr>
    </w:p>
    <w:p w:rsidR="00F13B3B" w:rsidRPr="00323E08" w:rsidP="008E3521" w14:paraId="71F5839C" w14:textId="77777777">
      <w:pPr>
        <w:jc w:val="center"/>
        <w:rPr>
          <w:b/>
          <w:sz w:val="22"/>
          <w:szCs w:val="22"/>
        </w:rPr>
      </w:pPr>
    </w:p>
    <w:p w:rsidR="00F13B3B" w:rsidRPr="00323E08" w:rsidP="00F13B3B" w14:paraId="72C6F540" w14:textId="77777777">
      <w:pPr>
        <w:jc w:val="center"/>
        <w:rPr>
          <w:b/>
          <w:sz w:val="22"/>
          <w:szCs w:val="22"/>
          <w:u w:val="single"/>
        </w:rPr>
      </w:pPr>
      <w:r w:rsidRPr="00323E08">
        <w:rPr>
          <w:b/>
          <w:sz w:val="22"/>
          <w:szCs w:val="22"/>
          <w:u w:val="single"/>
        </w:rPr>
        <w:t>TABLE OF CONTENTS</w:t>
      </w:r>
    </w:p>
    <w:p w:rsidR="00F13B3B" w:rsidRPr="00323E08" w:rsidP="00F13B3B" w14:paraId="55BB8292" w14:textId="77777777">
      <w:pPr>
        <w:jc w:val="center"/>
        <w:rPr>
          <w:b/>
          <w:sz w:val="22"/>
          <w:szCs w:val="22"/>
          <w:u w:val="single"/>
        </w:rPr>
      </w:pPr>
    </w:p>
    <w:p w:rsidR="00F13B3B" w:rsidRPr="00323E08" w:rsidP="00F13B3B" w14:paraId="54C8C48C" w14:textId="77777777">
      <w:pPr>
        <w:rPr>
          <w:sz w:val="22"/>
          <w:szCs w:val="22"/>
        </w:rPr>
      </w:pPr>
    </w:p>
    <w:p w:rsidR="0021292C" w:rsidRPr="00323E08" w:rsidP="0021292C" w14:paraId="235B13C2" w14:textId="665BEEEF">
      <w:pPr>
        <w:tabs>
          <w:tab w:val="right" w:leader="dot" w:pos="8640"/>
        </w:tabs>
        <w:rPr>
          <w:b/>
          <w:sz w:val="22"/>
          <w:szCs w:val="22"/>
        </w:rPr>
      </w:pPr>
      <w:r w:rsidRPr="00323E08">
        <w:rPr>
          <w:b/>
          <w:sz w:val="22"/>
          <w:szCs w:val="22"/>
        </w:rPr>
        <w:t xml:space="preserve">I.          OBJECTIVES OF THE PROCEEDING </w:t>
      </w:r>
      <w:r w:rsidRPr="00323E08">
        <w:rPr>
          <w:b/>
          <w:sz w:val="22"/>
          <w:szCs w:val="22"/>
        </w:rPr>
        <w:tab/>
      </w:r>
      <w:r w:rsidRPr="00323E08" w:rsidR="00422F74">
        <w:rPr>
          <w:b/>
          <w:sz w:val="22"/>
          <w:szCs w:val="22"/>
        </w:rPr>
        <w:t>1</w:t>
      </w:r>
    </w:p>
    <w:p w:rsidR="0021292C" w:rsidRPr="00323E08" w:rsidP="0021292C" w14:paraId="7811C381" w14:textId="6FEA393D">
      <w:pPr>
        <w:tabs>
          <w:tab w:val="right" w:leader="dot" w:pos="8640"/>
        </w:tabs>
        <w:rPr>
          <w:b/>
          <w:sz w:val="22"/>
          <w:szCs w:val="22"/>
        </w:rPr>
      </w:pPr>
      <w:r w:rsidRPr="00323E08">
        <w:rPr>
          <w:b/>
          <w:sz w:val="22"/>
          <w:szCs w:val="22"/>
        </w:rPr>
        <w:t xml:space="preserve">II.        COMPLIANCE REQUIREMENTS </w:t>
      </w:r>
      <w:r w:rsidRPr="00323E08">
        <w:rPr>
          <w:b/>
          <w:sz w:val="22"/>
          <w:szCs w:val="22"/>
        </w:rPr>
        <w:tab/>
      </w:r>
      <w:r w:rsidRPr="00323E08" w:rsidR="00422F74">
        <w:rPr>
          <w:b/>
          <w:sz w:val="22"/>
          <w:szCs w:val="22"/>
        </w:rPr>
        <w:t>1</w:t>
      </w:r>
    </w:p>
    <w:p w:rsidR="0021292C" w:rsidRPr="00323E08" w:rsidP="0021292C" w14:paraId="5C861762" w14:textId="38CFA83F">
      <w:pPr>
        <w:tabs>
          <w:tab w:val="right" w:leader="dot" w:pos="8640"/>
        </w:tabs>
        <w:rPr>
          <w:b/>
          <w:sz w:val="22"/>
          <w:szCs w:val="22"/>
        </w:rPr>
      </w:pPr>
      <w:r w:rsidRPr="00323E08">
        <w:rPr>
          <w:b/>
          <w:sz w:val="22"/>
          <w:szCs w:val="22"/>
        </w:rPr>
        <w:t xml:space="preserve">III.       RECORDKEEPING AND REPORTING REQUIREMENTS </w:t>
      </w:r>
      <w:r w:rsidRPr="00323E08">
        <w:rPr>
          <w:b/>
          <w:sz w:val="22"/>
          <w:szCs w:val="22"/>
        </w:rPr>
        <w:tab/>
      </w:r>
      <w:r w:rsidRPr="00323E08" w:rsidR="00B12075">
        <w:rPr>
          <w:b/>
          <w:sz w:val="22"/>
          <w:szCs w:val="22"/>
        </w:rPr>
        <w:t>5</w:t>
      </w:r>
    </w:p>
    <w:p w:rsidR="0021292C" w:rsidRPr="00323E08" w:rsidP="0021292C" w14:paraId="1F3BFD9E" w14:textId="11763B0D">
      <w:pPr>
        <w:tabs>
          <w:tab w:val="right" w:leader="dot" w:pos="8640"/>
        </w:tabs>
        <w:rPr>
          <w:b/>
          <w:sz w:val="22"/>
          <w:szCs w:val="22"/>
        </w:rPr>
      </w:pPr>
      <w:r w:rsidRPr="00323E08">
        <w:rPr>
          <w:b/>
          <w:sz w:val="22"/>
          <w:szCs w:val="22"/>
        </w:rPr>
        <w:t xml:space="preserve">IV.       IMPLEMENTATION DATE </w:t>
      </w:r>
      <w:r w:rsidRPr="00323E08">
        <w:rPr>
          <w:b/>
          <w:sz w:val="22"/>
          <w:szCs w:val="22"/>
        </w:rPr>
        <w:tab/>
      </w:r>
      <w:r w:rsidRPr="00323E08" w:rsidR="00B12075">
        <w:rPr>
          <w:b/>
          <w:sz w:val="22"/>
          <w:szCs w:val="22"/>
        </w:rPr>
        <w:t>5</w:t>
      </w:r>
    </w:p>
    <w:p w:rsidR="0021292C" w:rsidRPr="00323E08" w:rsidP="0021292C" w14:paraId="5B7D6945" w14:textId="7FC4241B">
      <w:pPr>
        <w:tabs>
          <w:tab w:val="right" w:leader="dot" w:pos="8640"/>
        </w:tabs>
        <w:rPr>
          <w:b/>
          <w:sz w:val="22"/>
          <w:szCs w:val="22"/>
        </w:rPr>
      </w:pPr>
      <w:r w:rsidRPr="00323E08">
        <w:rPr>
          <w:b/>
          <w:sz w:val="22"/>
          <w:szCs w:val="22"/>
        </w:rPr>
        <w:t xml:space="preserve">V.         INTERNET LINKS </w:t>
      </w:r>
      <w:r w:rsidRPr="00323E08">
        <w:rPr>
          <w:b/>
          <w:sz w:val="22"/>
          <w:szCs w:val="22"/>
        </w:rPr>
        <w:tab/>
      </w:r>
      <w:r w:rsidRPr="00323E08" w:rsidR="00B12075">
        <w:rPr>
          <w:b/>
          <w:sz w:val="22"/>
          <w:szCs w:val="22"/>
        </w:rPr>
        <w:t>6</w:t>
      </w:r>
    </w:p>
    <w:p w:rsidR="0021292C" w:rsidRPr="00323E08" w:rsidP="0021292C" w14:paraId="753C51DB" w14:textId="77777777">
      <w:pPr>
        <w:pStyle w:val="ListParagraph"/>
        <w:ind w:left="0"/>
        <w:rPr>
          <w:b/>
        </w:rPr>
      </w:pPr>
    </w:p>
    <w:p w:rsidR="0021292C" w:rsidRPr="00323E08" w:rsidP="0021292C" w14:paraId="261D3DF0" w14:textId="77777777">
      <w:pPr>
        <w:rPr>
          <w:b/>
        </w:rPr>
      </w:pPr>
    </w:p>
    <w:p w:rsidR="0021292C" w:rsidRPr="00323E08" w:rsidP="0021292C" w14:paraId="4ADDF1EF" w14:textId="77777777">
      <w:pPr>
        <w:rPr>
          <w:b/>
        </w:rPr>
      </w:pPr>
    </w:p>
    <w:p w:rsidR="001E7077" w:rsidRPr="00323E08" w:rsidP="008E3521" w14:paraId="7FAB5508" w14:textId="77777777">
      <w:pPr>
        <w:jc w:val="center"/>
        <w:rPr>
          <w:b/>
          <w:sz w:val="22"/>
          <w:szCs w:val="22"/>
        </w:rPr>
        <w:sectPr w:rsidSect="00C11C5C">
          <w:headerReference w:type="first" r:id="rId7"/>
          <w:footerReference w:type="first" r:id="rId8"/>
          <w:pgSz w:w="12240" w:h="15840" w:code="1"/>
          <w:pgMar w:top="1440" w:right="1800" w:bottom="1440" w:left="1800" w:header="720" w:footer="720" w:gutter="0"/>
          <w:cols w:space="720"/>
          <w:titlePg/>
        </w:sectPr>
      </w:pPr>
    </w:p>
    <w:p w:rsidR="0087409A" w:rsidRPr="00323E08" w:rsidP="008E3521" w14:paraId="6EEDC97B" w14:textId="67B40186">
      <w:pPr>
        <w:jc w:val="center"/>
        <w:rPr>
          <w:b/>
          <w:sz w:val="22"/>
          <w:szCs w:val="22"/>
        </w:rPr>
      </w:pPr>
      <w:r w:rsidRPr="00323E08">
        <w:rPr>
          <w:b/>
          <w:sz w:val="22"/>
          <w:szCs w:val="22"/>
        </w:rPr>
        <w:br w:type="page"/>
      </w:r>
    </w:p>
    <w:p w:rsidR="005F1FDF" w:rsidRPr="00323E08" w:rsidP="00345802" w14:paraId="0BD8950F" w14:textId="77777777">
      <w:pPr>
        <w:tabs>
          <w:tab w:val="left" w:pos="720"/>
        </w:tabs>
        <w:rPr>
          <w:b/>
          <w:sz w:val="22"/>
          <w:szCs w:val="22"/>
        </w:rPr>
        <w:sectPr w:rsidSect="005F1FDF">
          <w:headerReference w:type="default" r:id="rId9"/>
          <w:footerReference w:type="default" r:id="rId10"/>
          <w:type w:val="continuous"/>
          <w:pgSz w:w="12240" w:h="15840" w:code="1"/>
          <w:pgMar w:top="1440" w:right="1800" w:bottom="1440" w:left="1800" w:header="720" w:footer="720" w:gutter="0"/>
          <w:pgNumType w:start="1"/>
          <w:cols w:space="720"/>
          <w:docGrid w:linePitch="272"/>
        </w:sectPr>
      </w:pPr>
    </w:p>
    <w:p w:rsidR="00345802" w:rsidRPr="00323E08" w:rsidP="00345802" w14:paraId="2B8DC756" w14:textId="77777777">
      <w:pPr>
        <w:tabs>
          <w:tab w:val="left" w:pos="720"/>
        </w:tabs>
        <w:rPr>
          <w:b/>
          <w:sz w:val="22"/>
          <w:szCs w:val="22"/>
        </w:rPr>
      </w:pPr>
      <w:r w:rsidRPr="00323E08">
        <w:rPr>
          <w:b/>
          <w:sz w:val="22"/>
          <w:szCs w:val="22"/>
        </w:rPr>
        <w:t>I.            OBJECTIVES OF THE PROCEEDING</w:t>
      </w:r>
    </w:p>
    <w:p w:rsidR="00345802" w:rsidRPr="00323E08" w:rsidP="00DE24E5" w14:paraId="4701CFCD" w14:textId="77777777">
      <w:pPr>
        <w:autoSpaceDE w:val="0"/>
        <w:autoSpaceDN w:val="0"/>
        <w:adjustRightInd w:val="0"/>
        <w:rPr>
          <w:sz w:val="22"/>
          <w:szCs w:val="22"/>
        </w:rPr>
      </w:pPr>
    </w:p>
    <w:p w:rsidR="00A4280C" w:rsidRPr="00323E08" w:rsidP="001B5A38" w14:paraId="39706D8D" w14:textId="2871A4EF">
      <w:pPr>
        <w:autoSpaceDE w:val="0"/>
        <w:autoSpaceDN w:val="0"/>
        <w:adjustRightInd w:val="0"/>
        <w:rPr>
          <w:sz w:val="22"/>
          <w:szCs w:val="22"/>
        </w:rPr>
      </w:pPr>
      <w:r w:rsidRPr="00323E08">
        <w:rPr>
          <w:sz w:val="22"/>
          <w:szCs w:val="22"/>
        </w:rPr>
        <w:t xml:space="preserve">In the </w:t>
      </w:r>
      <w:r w:rsidRPr="00323E08">
        <w:rPr>
          <w:sz w:val="22"/>
          <w:szCs w:val="22"/>
        </w:rPr>
        <w:t xml:space="preserve">Report and </w:t>
      </w:r>
      <w:r w:rsidRPr="00323E08" w:rsidR="00522DBE">
        <w:rPr>
          <w:sz w:val="22"/>
          <w:szCs w:val="22"/>
        </w:rPr>
        <w:t xml:space="preserve">Order </w:t>
      </w:r>
      <w:r w:rsidRPr="00323E08">
        <w:rPr>
          <w:sz w:val="22"/>
          <w:szCs w:val="22"/>
        </w:rPr>
        <w:t>(</w:t>
      </w:r>
      <w:r w:rsidRPr="00323E08">
        <w:rPr>
          <w:i/>
          <w:sz w:val="22"/>
          <w:szCs w:val="22"/>
        </w:rPr>
        <w:t>Order</w:t>
      </w:r>
      <w:r w:rsidRPr="00323E08">
        <w:rPr>
          <w:sz w:val="22"/>
          <w:szCs w:val="22"/>
        </w:rPr>
        <w:t xml:space="preserve">) in </w:t>
      </w:r>
      <w:r w:rsidRPr="00323E08">
        <w:rPr>
          <w:sz w:val="22"/>
          <w:szCs w:val="22"/>
        </w:rPr>
        <w:t>PS</w:t>
      </w:r>
      <w:r w:rsidRPr="00323E08" w:rsidR="00522DBE">
        <w:rPr>
          <w:sz w:val="22"/>
          <w:szCs w:val="22"/>
        </w:rPr>
        <w:t xml:space="preserve"> Docket No. </w:t>
      </w:r>
      <w:r w:rsidRPr="00323E08">
        <w:rPr>
          <w:sz w:val="22"/>
          <w:szCs w:val="22"/>
        </w:rPr>
        <w:t>15-9</w:t>
      </w:r>
      <w:r w:rsidRPr="00323E08" w:rsidR="00E74053">
        <w:rPr>
          <w:sz w:val="22"/>
          <w:szCs w:val="22"/>
        </w:rPr>
        <w:t>4</w:t>
      </w:r>
      <w:r w:rsidRPr="00323E08">
        <w:rPr>
          <w:sz w:val="22"/>
          <w:szCs w:val="22"/>
        </w:rPr>
        <w:t xml:space="preserve">, </w:t>
      </w:r>
      <w:r w:rsidRPr="00323E08" w:rsidR="003466DF">
        <w:rPr>
          <w:sz w:val="22"/>
          <w:szCs w:val="22"/>
        </w:rPr>
        <w:t xml:space="preserve">FCC 22-75, </w:t>
      </w:r>
      <w:r w:rsidRPr="00323E08">
        <w:rPr>
          <w:sz w:val="22"/>
          <w:szCs w:val="22"/>
        </w:rPr>
        <w:t xml:space="preserve">the Commission </w:t>
      </w:r>
      <w:r w:rsidRPr="00323E08" w:rsidR="00522DBE">
        <w:rPr>
          <w:sz w:val="22"/>
          <w:szCs w:val="22"/>
        </w:rPr>
        <w:t>revised the</w:t>
      </w:r>
      <w:r w:rsidRPr="00323E08">
        <w:t xml:space="preserve"> </w:t>
      </w:r>
      <w:r w:rsidRPr="00323E08">
        <w:rPr>
          <w:sz w:val="22"/>
          <w:szCs w:val="22"/>
        </w:rPr>
        <w:t xml:space="preserve">Emergency Alert System (EAS) </w:t>
      </w:r>
      <w:r w:rsidRPr="00323E08">
        <w:rPr>
          <w:sz w:val="22"/>
          <w:szCs w:val="22"/>
        </w:rPr>
        <w:t xml:space="preserve">rules </w:t>
      </w:r>
      <w:r w:rsidRPr="00323E08" w:rsidR="00ED07CA">
        <w:rPr>
          <w:sz w:val="22"/>
          <w:szCs w:val="22"/>
        </w:rPr>
        <w:t xml:space="preserve">to </w:t>
      </w:r>
      <w:r w:rsidRPr="00323E08" w:rsidR="00160081">
        <w:rPr>
          <w:sz w:val="22"/>
          <w:szCs w:val="22"/>
        </w:rPr>
        <w:t>improve the comprehensibility of EAS alerts</w:t>
      </w:r>
      <w:r w:rsidRPr="00323E08" w:rsidR="006B5825">
        <w:rPr>
          <w:sz w:val="22"/>
          <w:szCs w:val="22"/>
        </w:rPr>
        <w:t xml:space="preserve"> issued by federal, state, local, Tribal, and territorial governments and delivered over radio and television</w:t>
      </w:r>
      <w:r w:rsidRPr="00323E08" w:rsidR="00ED07CA">
        <w:rPr>
          <w:sz w:val="22"/>
          <w:szCs w:val="22"/>
        </w:rPr>
        <w:t>.</w:t>
      </w:r>
      <w:r>
        <w:rPr>
          <w:rStyle w:val="FootnoteReference"/>
          <w:szCs w:val="22"/>
        </w:rPr>
        <w:footnoteReference w:id="3"/>
      </w:r>
      <w:r w:rsidRPr="00323E08" w:rsidR="00ED07CA">
        <w:rPr>
          <w:sz w:val="24"/>
          <w:szCs w:val="24"/>
        </w:rPr>
        <w:t xml:space="preserve"> </w:t>
      </w:r>
      <w:r w:rsidRPr="00323E08" w:rsidR="00ED07CA">
        <w:rPr>
          <w:sz w:val="22"/>
          <w:szCs w:val="22"/>
        </w:rPr>
        <w:t xml:space="preserve"> </w:t>
      </w:r>
      <w:r w:rsidRPr="00323E08" w:rsidR="002C3FC8">
        <w:rPr>
          <w:sz w:val="22"/>
          <w:szCs w:val="22"/>
        </w:rPr>
        <w:t>Th</w:t>
      </w:r>
      <w:r w:rsidRPr="00323E08" w:rsidR="00160081">
        <w:rPr>
          <w:sz w:val="22"/>
          <w:szCs w:val="22"/>
        </w:rPr>
        <w:t>e</w:t>
      </w:r>
      <w:r w:rsidRPr="00323E08" w:rsidR="002C3FC8">
        <w:rPr>
          <w:sz w:val="22"/>
          <w:szCs w:val="22"/>
        </w:rPr>
        <w:t xml:space="preserve"> Commission implement</w:t>
      </w:r>
      <w:r w:rsidRPr="00323E08" w:rsidR="00160081">
        <w:rPr>
          <w:sz w:val="22"/>
          <w:szCs w:val="22"/>
        </w:rPr>
        <w:t>ed</w:t>
      </w:r>
      <w:r w:rsidRPr="00323E08" w:rsidR="002C3FC8">
        <w:rPr>
          <w:sz w:val="22"/>
          <w:szCs w:val="22"/>
        </w:rPr>
        <w:t xml:space="preserve"> various changes to the EAS rules to ensure that </w:t>
      </w:r>
      <w:r w:rsidRPr="00323E08" w:rsidR="006B5825">
        <w:rPr>
          <w:sz w:val="22"/>
          <w:szCs w:val="22"/>
        </w:rPr>
        <w:t xml:space="preserve">emergency </w:t>
      </w:r>
      <w:r w:rsidRPr="00323E08" w:rsidR="00160081">
        <w:rPr>
          <w:sz w:val="22"/>
          <w:szCs w:val="22"/>
        </w:rPr>
        <w:t xml:space="preserve">alerts are more informative, </w:t>
      </w:r>
      <w:r w:rsidRPr="00323E08" w:rsidR="00566C7A">
        <w:rPr>
          <w:sz w:val="22"/>
          <w:szCs w:val="22"/>
        </w:rPr>
        <w:t xml:space="preserve">more </w:t>
      </w:r>
      <w:r w:rsidRPr="00323E08" w:rsidR="001B5A38">
        <w:rPr>
          <w:sz w:val="22"/>
          <w:szCs w:val="22"/>
        </w:rPr>
        <w:t xml:space="preserve">accessible </w:t>
      </w:r>
      <w:r w:rsidRPr="00323E08" w:rsidR="00566C7A">
        <w:rPr>
          <w:sz w:val="22"/>
          <w:szCs w:val="22"/>
        </w:rPr>
        <w:t>to people with disabilities</w:t>
      </w:r>
      <w:r w:rsidRPr="00323E08" w:rsidR="006B5825">
        <w:rPr>
          <w:sz w:val="22"/>
          <w:szCs w:val="22"/>
        </w:rPr>
        <w:t xml:space="preserve"> </w:t>
      </w:r>
      <w:r w:rsidRPr="00323E08" w:rsidR="001B5A38">
        <w:rPr>
          <w:sz w:val="22"/>
          <w:szCs w:val="22"/>
        </w:rPr>
        <w:t>(</w:t>
      </w:r>
      <w:r w:rsidRPr="00323E08" w:rsidR="006B5825">
        <w:rPr>
          <w:sz w:val="22"/>
          <w:szCs w:val="22"/>
        </w:rPr>
        <w:t>particularly hearing disabilities</w:t>
      </w:r>
      <w:r w:rsidRPr="00323E08" w:rsidR="001B5A38">
        <w:rPr>
          <w:sz w:val="22"/>
          <w:szCs w:val="22"/>
        </w:rPr>
        <w:t>)</w:t>
      </w:r>
      <w:r w:rsidRPr="00323E08" w:rsidR="006B5825">
        <w:rPr>
          <w:sz w:val="22"/>
          <w:szCs w:val="22"/>
        </w:rPr>
        <w:t>,</w:t>
      </w:r>
      <w:r w:rsidRPr="00323E08" w:rsidR="00566C7A">
        <w:rPr>
          <w:sz w:val="22"/>
          <w:szCs w:val="22"/>
        </w:rPr>
        <w:t xml:space="preserve"> easier to understand</w:t>
      </w:r>
      <w:r w:rsidRPr="00323E08" w:rsidR="00984FCF">
        <w:rPr>
          <w:sz w:val="22"/>
          <w:szCs w:val="22"/>
        </w:rPr>
        <w:t>,</w:t>
      </w:r>
      <w:r w:rsidRPr="00323E08" w:rsidR="00566C7A">
        <w:rPr>
          <w:sz w:val="22"/>
          <w:szCs w:val="22"/>
        </w:rPr>
        <w:t xml:space="preserve"> and </w:t>
      </w:r>
      <w:r w:rsidRPr="00323E08" w:rsidR="00160081">
        <w:rPr>
          <w:sz w:val="22"/>
          <w:szCs w:val="22"/>
        </w:rPr>
        <w:t>communicate information in plain language</w:t>
      </w:r>
      <w:r w:rsidRPr="00323E08" w:rsidR="002C3FC8">
        <w:rPr>
          <w:sz w:val="22"/>
          <w:szCs w:val="22"/>
        </w:rPr>
        <w:t>.</w:t>
      </w:r>
      <w:r w:rsidRPr="00323E08" w:rsidR="00280F7B">
        <w:rPr>
          <w:sz w:val="22"/>
          <w:szCs w:val="22"/>
        </w:rPr>
        <w:t xml:space="preserve">  The rules adopted in the </w:t>
      </w:r>
      <w:r w:rsidRPr="00323E08" w:rsidR="00280F7B">
        <w:rPr>
          <w:i/>
          <w:iCs/>
          <w:sz w:val="22"/>
          <w:szCs w:val="22"/>
        </w:rPr>
        <w:t>Order</w:t>
      </w:r>
      <w:r w:rsidRPr="00323E08" w:rsidR="00280F7B">
        <w:rPr>
          <w:sz w:val="22"/>
          <w:szCs w:val="22"/>
        </w:rPr>
        <w:t xml:space="preserve"> are intended to </w:t>
      </w:r>
      <w:r w:rsidRPr="00323E08" w:rsidR="003E60B2">
        <w:rPr>
          <w:sz w:val="22"/>
          <w:szCs w:val="22"/>
        </w:rPr>
        <w:t xml:space="preserve">improve the efficacy of EAS as </w:t>
      </w:r>
      <w:r w:rsidRPr="00323E08" w:rsidR="00566C7A">
        <w:rPr>
          <w:sz w:val="22"/>
          <w:szCs w:val="22"/>
        </w:rPr>
        <w:t xml:space="preserve">a </w:t>
      </w:r>
      <w:r w:rsidRPr="00323E08" w:rsidR="003E60B2">
        <w:rPr>
          <w:sz w:val="22"/>
          <w:szCs w:val="22"/>
        </w:rPr>
        <w:t xml:space="preserve">system for distributing vital </w:t>
      </w:r>
      <w:r w:rsidRPr="00323E08" w:rsidR="006B5825">
        <w:rPr>
          <w:sz w:val="22"/>
          <w:szCs w:val="22"/>
        </w:rPr>
        <w:t xml:space="preserve">emergency </w:t>
      </w:r>
      <w:r w:rsidRPr="00323E08" w:rsidR="003E60B2">
        <w:rPr>
          <w:sz w:val="22"/>
          <w:szCs w:val="22"/>
        </w:rPr>
        <w:t>alert information to all Americans in a cost-effective manner</w:t>
      </w:r>
      <w:r w:rsidRPr="00323E08" w:rsidR="001E5E7A">
        <w:rPr>
          <w:sz w:val="22"/>
          <w:szCs w:val="22"/>
        </w:rPr>
        <w:t>,</w:t>
      </w:r>
      <w:r w:rsidRPr="00323E08" w:rsidR="006B5825">
        <w:rPr>
          <w:sz w:val="22"/>
          <w:szCs w:val="22"/>
        </w:rPr>
        <w:t xml:space="preserve"> and to increase the public’s trust in the EAS system</w:t>
      </w:r>
      <w:r w:rsidRPr="00323E08" w:rsidR="003E60B2">
        <w:rPr>
          <w:sz w:val="22"/>
          <w:szCs w:val="22"/>
        </w:rPr>
        <w:t xml:space="preserve">. </w:t>
      </w:r>
      <w:r w:rsidRPr="00323E08" w:rsidR="00280F7B">
        <w:rPr>
          <w:sz w:val="22"/>
          <w:szCs w:val="22"/>
        </w:rPr>
        <w:t xml:space="preserve"> </w:t>
      </w:r>
    </w:p>
    <w:p w:rsidR="00022ED4" w:rsidRPr="00323E08" w:rsidP="009C3382" w14:paraId="27FE2142" w14:textId="54DCB511">
      <w:pPr>
        <w:autoSpaceDE w:val="0"/>
        <w:autoSpaceDN w:val="0"/>
        <w:adjustRightInd w:val="0"/>
        <w:rPr>
          <w:sz w:val="22"/>
          <w:szCs w:val="22"/>
        </w:rPr>
      </w:pPr>
    </w:p>
    <w:p w:rsidR="00984FCF" w:rsidRPr="00323E08" w:rsidP="00984FCF" w14:paraId="59A264AA" w14:textId="53C57F15">
      <w:pPr>
        <w:autoSpaceDE w:val="0"/>
        <w:autoSpaceDN w:val="0"/>
        <w:adjustRightInd w:val="0"/>
        <w:rPr>
          <w:sz w:val="22"/>
          <w:szCs w:val="22"/>
        </w:rPr>
      </w:pPr>
      <w:r w:rsidRPr="00323E08">
        <w:rPr>
          <w:sz w:val="22"/>
          <w:szCs w:val="22"/>
        </w:rPr>
        <w:t>T</w:t>
      </w:r>
      <w:r w:rsidRPr="00323E08" w:rsidR="00971972">
        <w:rPr>
          <w:sz w:val="22"/>
          <w:szCs w:val="22"/>
        </w:rPr>
        <w:t xml:space="preserve">he </w:t>
      </w:r>
      <w:r w:rsidRPr="00323E08">
        <w:rPr>
          <w:i/>
          <w:iCs/>
          <w:sz w:val="22"/>
          <w:szCs w:val="22"/>
        </w:rPr>
        <w:t>Order</w:t>
      </w:r>
      <w:r w:rsidRPr="00323E08">
        <w:rPr>
          <w:sz w:val="22"/>
          <w:szCs w:val="22"/>
        </w:rPr>
        <w:t xml:space="preserve"> amends the </w:t>
      </w:r>
      <w:r w:rsidRPr="00323E08" w:rsidR="00971972">
        <w:rPr>
          <w:sz w:val="22"/>
          <w:szCs w:val="22"/>
        </w:rPr>
        <w:t>Commission</w:t>
      </w:r>
      <w:r w:rsidRPr="00323E08">
        <w:rPr>
          <w:sz w:val="22"/>
          <w:szCs w:val="22"/>
        </w:rPr>
        <w:t>’s</w:t>
      </w:r>
      <w:r w:rsidRPr="00323E08" w:rsidR="00971972">
        <w:rPr>
          <w:sz w:val="22"/>
          <w:szCs w:val="22"/>
        </w:rPr>
        <w:t xml:space="preserve"> rules to</w:t>
      </w:r>
      <w:r w:rsidRPr="00323E08" w:rsidR="00566C7A">
        <w:rPr>
          <w:sz w:val="22"/>
          <w:szCs w:val="22"/>
        </w:rPr>
        <w:t xml:space="preserve"> require EAS participants</w:t>
      </w:r>
      <w:r>
        <w:rPr>
          <w:rStyle w:val="FootnoteReference"/>
          <w:szCs w:val="22"/>
        </w:rPr>
        <w:footnoteReference w:id="4"/>
      </w:r>
      <w:r w:rsidRPr="00323E08" w:rsidR="00566C7A">
        <w:rPr>
          <w:sz w:val="22"/>
          <w:szCs w:val="22"/>
        </w:rPr>
        <w:t xml:space="preserve"> to</w:t>
      </w:r>
      <w:r w:rsidRPr="00323E08" w:rsidR="00AD6B61">
        <w:rPr>
          <w:sz w:val="22"/>
          <w:szCs w:val="22"/>
        </w:rPr>
        <w:t xml:space="preserve"> modify their EAS equipment to:</w:t>
      </w:r>
      <w:r w:rsidRPr="00323E08" w:rsidR="00971972">
        <w:rPr>
          <w:sz w:val="22"/>
          <w:szCs w:val="22"/>
        </w:rPr>
        <w:t xml:space="preserve"> (</w:t>
      </w:r>
      <w:r w:rsidRPr="00323E08" w:rsidR="00971972">
        <w:rPr>
          <w:sz w:val="22"/>
          <w:szCs w:val="22"/>
        </w:rPr>
        <w:t>i</w:t>
      </w:r>
      <w:r w:rsidRPr="00323E08" w:rsidR="00971972">
        <w:rPr>
          <w:sz w:val="22"/>
          <w:szCs w:val="22"/>
        </w:rPr>
        <w:t>)</w:t>
      </w:r>
      <w:r w:rsidRPr="00323E08" w:rsidR="00566C7A">
        <w:rPr>
          <w:sz w:val="22"/>
          <w:szCs w:val="22"/>
        </w:rPr>
        <w:t xml:space="preserve"> check for a Common Alerting Protocol (CAP) version of a received legacy alert, and to disseminate the CAP version instead of the legacy version if available</w:t>
      </w:r>
      <w:r w:rsidRPr="00323E08" w:rsidR="00971972">
        <w:rPr>
          <w:sz w:val="22"/>
          <w:szCs w:val="22"/>
        </w:rPr>
        <w:t xml:space="preserve">; (ii) </w:t>
      </w:r>
      <w:r w:rsidRPr="00323E08" w:rsidR="00566C7A">
        <w:rPr>
          <w:sz w:val="22"/>
          <w:szCs w:val="22"/>
        </w:rPr>
        <w:t>change the national emergency message displayed text from “Emergency Action Notification” to “National Emergency Message”</w:t>
      </w:r>
      <w:r w:rsidRPr="00323E08" w:rsidR="00971972">
        <w:rPr>
          <w:sz w:val="22"/>
          <w:szCs w:val="22"/>
        </w:rPr>
        <w:t>; (iii)</w:t>
      </w:r>
      <w:r w:rsidRPr="00323E08" w:rsidR="00566C7A">
        <w:rPr>
          <w:sz w:val="22"/>
          <w:szCs w:val="22"/>
        </w:rPr>
        <w:t xml:space="preserve"> change the national alert originator displayed text from “Primary Entry Point” to “United States Government”;</w:t>
      </w:r>
      <w:r w:rsidRPr="00323E08" w:rsidR="00971972">
        <w:rPr>
          <w:sz w:val="22"/>
          <w:szCs w:val="22"/>
        </w:rPr>
        <w:t xml:space="preserve"> (iv) </w:t>
      </w:r>
      <w:r w:rsidRPr="00323E08" w:rsidR="00566C7A">
        <w:rPr>
          <w:sz w:val="22"/>
          <w:szCs w:val="22"/>
        </w:rPr>
        <w:t>change the national test message displayed text from “National Periodic Test” to “Nationwide Test of the Emergency Alert System”;</w:t>
      </w:r>
      <w:r w:rsidRPr="00323E08" w:rsidR="00971972">
        <w:rPr>
          <w:sz w:val="22"/>
          <w:szCs w:val="22"/>
        </w:rPr>
        <w:t xml:space="preserve"> (v) </w:t>
      </w:r>
      <w:r w:rsidRPr="00323E08" w:rsidR="00566C7A">
        <w:rPr>
          <w:sz w:val="22"/>
          <w:szCs w:val="22"/>
        </w:rPr>
        <w:t xml:space="preserve">display a longer standard visual script for legacy-only national test </w:t>
      </w:r>
      <w:r w:rsidRPr="00323E08" w:rsidR="003A74F1">
        <w:rPr>
          <w:sz w:val="22"/>
          <w:szCs w:val="22"/>
        </w:rPr>
        <w:t xml:space="preserve">alert </w:t>
      </w:r>
      <w:r w:rsidRPr="00323E08" w:rsidR="00566C7A">
        <w:rPr>
          <w:sz w:val="22"/>
          <w:szCs w:val="22"/>
        </w:rPr>
        <w:t>messages which adds additional explanation about the origin and nature of the test message, and emphasizing that it is only a test</w:t>
      </w:r>
      <w:r w:rsidRPr="00323E08" w:rsidR="001E5E7A">
        <w:rPr>
          <w:sz w:val="22"/>
          <w:szCs w:val="22"/>
        </w:rPr>
        <w:t>,</w:t>
      </w:r>
      <w:r w:rsidRPr="00323E08" w:rsidR="00566C7A">
        <w:rPr>
          <w:sz w:val="22"/>
          <w:szCs w:val="22"/>
        </w:rPr>
        <w:t xml:space="preserve"> and </w:t>
      </w:r>
      <w:r w:rsidRPr="00323E08" w:rsidR="00971972">
        <w:rPr>
          <w:sz w:val="22"/>
          <w:szCs w:val="22"/>
        </w:rPr>
        <w:t xml:space="preserve">(vi) </w:t>
      </w:r>
      <w:r w:rsidRPr="00323E08" w:rsidR="006B35F5">
        <w:rPr>
          <w:sz w:val="22"/>
          <w:szCs w:val="22"/>
        </w:rPr>
        <w:t>delete the “National Information Center” alert code</w:t>
      </w:r>
      <w:r w:rsidRPr="00323E08" w:rsidR="00971972">
        <w:rPr>
          <w:sz w:val="22"/>
          <w:szCs w:val="22"/>
        </w:rPr>
        <w:t xml:space="preserve">.  </w:t>
      </w:r>
      <w:r w:rsidRPr="00323E08">
        <w:rPr>
          <w:sz w:val="22"/>
          <w:szCs w:val="22"/>
        </w:rPr>
        <w:t>The amended Commission rules are consistent with congressional directives</w:t>
      </w:r>
      <w:r w:rsidR="00323E08">
        <w:rPr>
          <w:sz w:val="22"/>
          <w:szCs w:val="22"/>
        </w:rPr>
        <w:t xml:space="preserve">, </w:t>
      </w:r>
      <w:r w:rsidRPr="00323E08" w:rsidR="001B5A38">
        <w:rPr>
          <w:sz w:val="22"/>
          <w:szCs w:val="22"/>
        </w:rPr>
        <w:t>will</w:t>
      </w:r>
      <w:r w:rsidRPr="00323E08">
        <w:rPr>
          <w:sz w:val="22"/>
          <w:szCs w:val="22"/>
        </w:rPr>
        <w:t xml:space="preserve"> ensure the superior visual “enhanced text” capabilities of CAP alerts are more frequently distributed to the public</w:t>
      </w:r>
      <w:r w:rsidRPr="00323E08" w:rsidR="001B5A38">
        <w:rPr>
          <w:sz w:val="22"/>
          <w:szCs w:val="22"/>
        </w:rPr>
        <w:t>, and will</w:t>
      </w:r>
      <w:r w:rsidRPr="00323E08">
        <w:rPr>
          <w:sz w:val="22"/>
          <w:szCs w:val="22"/>
        </w:rPr>
        <w:t xml:space="preserve"> improve the overall quality of emergency information the public receives.</w:t>
      </w:r>
    </w:p>
    <w:p w:rsidR="00971972" w:rsidRPr="00323E08" w:rsidP="003466DF" w14:paraId="156AC98B" w14:textId="77777777">
      <w:pPr>
        <w:autoSpaceDE w:val="0"/>
        <w:autoSpaceDN w:val="0"/>
        <w:adjustRightInd w:val="0"/>
        <w:jc w:val="both"/>
        <w:rPr>
          <w:sz w:val="22"/>
          <w:szCs w:val="22"/>
        </w:rPr>
      </w:pPr>
    </w:p>
    <w:p w:rsidR="00345802" w:rsidRPr="00323E08" w:rsidP="003466DF" w14:paraId="0005CD4A" w14:textId="4E2E3A2B">
      <w:pPr>
        <w:tabs>
          <w:tab w:val="left" w:pos="720"/>
        </w:tabs>
        <w:rPr>
          <w:b/>
          <w:sz w:val="22"/>
          <w:szCs w:val="22"/>
        </w:rPr>
      </w:pPr>
      <w:r w:rsidRPr="00323E08">
        <w:rPr>
          <w:b/>
          <w:sz w:val="22"/>
          <w:szCs w:val="22"/>
        </w:rPr>
        <w:t xml:space="preserve">II. </w:t>
      </w:r>
      <w:r w:rsidRPr="00323E08">
        <w:rPr>
          <w:b/>
          <w:sz w:val="22"/>
          <w:szCs w:val="22"/>
        </w:rPr>
        <w:tab/>
        <w:t>COMPLIANCE REQUIREMENTS</w:t>
      </w:r>
    </w:p>
    <w:p w:rsidR="003466DF" w:rsidRPr="00323E08" w:rsidP="003466DF" w14:paraId="5E7A622E" w14:textId="77777777">
      <w:pPr>
        <w:tabs>
          <w:tab w:val="left" w:pos="720"/>
        </w:tabs>
        <w:rPr>
          <w:bCs/>
          <w:sz w:val="22"/>
          <w:szCs w:val="22"/>
        </w:rPr>
      </w:pPr>
    </w:p>
    <w:p w:rsidR="00B819CC" w:rsidRPr="00323E08" w:rsidP="003466DF" w14:paraId="063A9134" w14:textId="361D1743">
      <w:pPr>
        <w:pStyle w:val="ParaNum"/>
        <w:numPr>
          <w:ilvl w:val="0"/>
          <w:numId w:val="0"/>
        </w:numPr>
        <w:tabs>
          <w:tab w:val="left" w:pos="720"/>
          <w:tab w:val="left" w:pos="1440"/>
        </w:tabs>
        <w:spacing w:after="0"/>
        <w:rPr>
          <w:rFonts w:cs="TimesNewRoman"/>
          <w:szCs w:val="22"/>
        </w:rPr>
      </w:pPr>
      <w:r w:rsidRPr="00323E08">
        <w:rPr>
          <w:rFonts w:cs="TimesNewRoman"/>
          <w:szCs w:val="22"/>
        </w:rPr>
        <w:t xml:space="preserve">The </w:t>
      </w:r>
      <w:r w:rsidRPr="00323E08">
        <w:rPr>
          <w:rFonts w:cs="TimesNewRoman"/>
          <w:i/>
          <w:szCs w:val="22"/>
        </w:rPr>
        <w:t xml:space="preserve">Order </w:t>
      </w:r>
      <w:r w:rsidRPr="00323E08">
        <w:rPr>
          <w:rFonts w:cs="TimesNewRoman"/>
          <w:szCs w:val="22"/>
        </w:rPr>
        <w:t>make</w:t>
      </w:r>
      <w:r w:rsidRPr="00323E08" w:rsidR="00522DBE">
        <w:rPr>
          <w:rFonts w:cs="TimesNewRoman"/>
          <w:szCs w:val="22"/>
        </w:rPr>
        <w:t>s</w:t>
      </w:r>
      <w:r w:rsidRPr="00323E08" w:rsidR="00FD11C4">
        <w:rPr>
          <w:rFonts w:cs="TimesNewRoman"/>
          <w:szCs w:val="22"/>
        </w:rPr>
        <w:t xml:space="preserve"> </w:t>
      </w:r>
      <w:r w:rsidRPr="00323E08" w:rsidR="009B0ADD">
        <w:rPr>
          <w:rFonts w:cs="TimesNewRoman"/>
          <w:szCs w:val="22"/>
        </w:rPr>
        <w:t xml:space="preserve">several changes to the rules governing EAS to improve </w:t>
      </w:r>
      <w:r w:rsidRPr="00323E08" w:rsidR="00183E39">
        <w:rPr>
          <w:rFonts w:cs="TimesNewRoman"/>
          <w:szCs w:val="22"/>
        </w:rPr>
        <w:t>its effectiveness</w:t>
      </w:r>
      <w:r w:rsidRPr="00323E08" w:rsidR="005B2100">
        <w:rPr>
          <w:rFonts w:cs="TimesNewRoman"/>
          <w:szCs w:val="22"/>
        </w:rPr>
        <w:t xml:space="preserve"> and</w:t>
      </w:r>
      <w:r w:rsidRPr="00323E08" w:rsidR="00183E39">
        <w:rPr>
          <w:rFonts w:cs="TimesNewRoman"/>
          <w:szCs w:val="22"/>
        </w:rPr>
        <w:t xml:space="preserve"> require EAS participants to update the</w:t>
      </w:r>
      <w:r w:rsidRPr="00323E08" w:rsidR="005B2100">
        <w:rPr>
          <w:rFonts w:cs="TimesNewRoman"/>
          <w:szCs w:val="22"/>
        </w:rPr>
        <w:t xml:space="preserve"> </w:t>
      </w:r>
      <w:r w:rsidRPr="00323E08" w:rsidR="00183E39">
        <w:rPr>
          <w:rFonts w:cs="TimesNewRoman"/>
          <w:szCs w:val="22"/>
        </w:rPr>
        <w:t xml:space="preserve">equipment used </w:t>
      </w:r>
      <w:r w:rsidRPr="00323E08" w:rsidR="00B87253">
        <w:rPr>
          <w:rFonts w:cs="TimesNewRoman"/>
          <w:szCs w:val="22"/>
        </w:rPr>
        <w:t>to</w:t>
      </w:r>
      <w:r w:rsidRPr="00323E08" w:rsidR="00637098">
        <w:rPr>
          <w:rFonts w:cs="TimesNewRoman"/>
          <w:szCs w:val="22"/>
        </w:rPr>
        <w:t xml:space="preserve"> </w:t>
      </w:r>
      <w:r w:rsidRPr="00323E08" w:rsidR="00AD6B61">
        <w:rPr>
          <w:rFonts w:cs="TimesNewRoman"/>
          <w:szCs w:val="22"/>
        </w:rPr>
        <w:t>receiv</w:t>
      </w:r>
      <w:r w:rsidRPr="00323E08" w:rsidR="00B87253">
        <w:rPr>
          <w:rFonts w:cs="TimesNewRoman"/>
          <w:szCs w:val="22"/>
        </w:rPr>
        <w:t>e</w:t>
      </w:r>
      <w:r w:rsidRPr="00323E08" w:rsidR="00AD6B61">
        <w:rPr>
          <w:rFonts w:cs="TimesNewRoman"/>
          <w:szCs w:val="22"/>
        </w:rPr>
        <w:t xml:space="preserve"> and distribut</w:t>
      </w:r>
      <w:r w:rsidRPr="00323E08" w:rsidR="00B87253">
        <w:rPr>
          <w:rFonts w:cs="TimesNewRoman"/>
          <w:szCs w:val="22"/>
        </w:rPr>
        <w:t>e</w:t>
      </w:r>
      <w:r w:rsidRPr="00323E08" w:rsidR="00AD6B61">
        <w:rPr>
          <w:rFonts w:cs="TimesNewRoman"/>
          <w:szCs w:val="22"/>
        </w:rPr>
        <w:t xml:space="preserve"> </w:t>
      </w:r>
      <w:r w:rsidRPr="00323E08" w:rsidR="005B2100">
        <w:rPr>
          <w:rFonts w:cs="TimesNewRoman"/>
          <w:szCs w:val="22"/>
        </w:rPr>
        <w:t xml:space="preserve">EAS </w:t>
      </w:r>
      <w:r w:rsidRPr="00323E08" w:rsidR="00183E39">
        <w:rPr>
          <w:rFonts w:cs="TimesNewRoman"/>
          <w:szCs w:val="22"/>
        </w:rPr>
        <w:t>alerts</w:t>
      </w:r>
      <w:r w:rsidRPr="00323E08" w:rsidR="00522DBE">
        <w:rPr>
          <w:rFonts w:cs="TimesNewRoman"/>
          <w:szCs w:val="22"/>
        </w:rPr>
        <w:t xml:space="preserve">. </w:t>
      </w:r>
    </w:p>
    <w:p w:rsidR="003466DF" w:rsidRPr="00323E08" w:rsidP="00D05097" w14:paraId="07461BA3" w14:textId="46FC69AF">
      <w:pPr>
        <w:pStyle w:val="ParaNum"/>
        <w:numPr>
          <w:ilvl w:val="0"/>
          <w:numId w:val="0"/>
        </w:numPr>
        <w:tabs>
          <w:tab w:val="left" w:pos="720"/>
        </w:tabs>
        <w:spacing w:after="0"/>
        <w:rPr>
          <w:rFonts w:cs="TimesNewRoman"/>
          <w:szCs w:val="22"/>
        </w:rPr>
      </w:pPr>
    </w:p>
    <w:p w:rsidR="00BE7F0E" w:rsidRPr="008200B9" w:rsidP="00D05097" w14:paraId="5C6F3903" w14:textId="39B90B5E">
      <w:pPr>
        <w:pStyle w:val="ParaNum"/>
        <w:numPr>
          <w:ilvl w:val="0"/>
          <w:numId w:val="56"/>
        </w:numPr>
        <w:tabs>
          <w:tab w:val="left" w:pos="360"/>
        </w:tabs>
        <w:spacing w:after="0"/>
        <w:ind w:left="360"/>
        <w:rPr>
          <w:rFonts w:cs="TimesNewRoman"/>
          <w:szCs w:val="22"/>
        </w:rPr>
      </w:pPr>
      <w:r w:rsidRPr="00323E08">
        <w:rPr>
          <w:rFonts w:cs="TimesNewRoman"/>
          <w:b/>
          <w:bCs/>
          <w:szCs w:val="22"/>
        </w:rPr>
        <w:t>CAP Format</w:t>
      </w:r>
      <w:r w:rsidRPr="00323E08" w:rsidR="0029534D">
        <w:rPr>
          <w:rFonts w:cs="TimesNewRoman"/>
          <w:b/>
          <w:bCs/>
          <w:szCs w:val="22"/>
        </w:rPr>
        <w:t xml:space="preserve"> and Prioritization Requirements</w:t>
      </w:r>
      <w:r w:rsidRPr="00323E08" w:rsidR="00381F5B">
        <w:rPr>
          <w:rFonts w:cs="TimesNewRoman"/>
          <w:b/>
          <w:bCs/>
          <w:szCs w:val="22"/>
        </w:rPr>
        <w:t xml:space="preserve"> (</w:t>
      </w:r>
      <w:r w:rsidRPr="00323E08" w:rsidR="00381F5B">
        <w:rPr>
          <w:b/>
          <w:szCs w:val="22"/>
        </w:rPr>
        <w:t xml:space="preserve">47 CFR §§ </w:t>
      </w:r>
      <w:r w:rsidRPr="00323E08" w:rsidR="00381F5B">
        <w:rPr>
          <w:b/>
          <w:bCs/>
          <w:szCs w:val="22"/>
        </w:rPr>
        <w:t>11.52, 11.55)</w:t>
      </w:r>
    </w:p>
    <w:p w:rsidR="00D05097" w:rsidRPr="00323E08" w:rsidP="00171D2C" w14:paraId="012CA9A3" w14:textId="77777777">
      <w:pPr>
        <w:pStyle w:val="ParaNum"/>
        <w:numPr>
          <w:ilvl w:val="0"/>
          <w:numId w:val="0"/>
        </w:numPr>
        <w:tabs>
          <w:tab w:val="left" w:pos="360"/>
        </w:tabs>
        <w:spacing w:after="0"/>
        <w:ind w:left="360"/>
        <w:rPr>
          <w:rFonts w:cs="TimesNewRoman"/>
          <w:szCs w:val="22"/>
        </w:rPr>
      </w:pPr>
    </w:p>
    <w:p w:rsidR="00522DBE" w:rsidRPr="00323E08" w:rsidP="003466DF" w14:paraId="49138950" w14:textId="7CB469B3">
      <w:pPr>
        <w:pStyle w:val="ParaNum"/>
        <w:numPr>
          <w:ilvl w:val="0"/>
          <w:numId w:val="53"/>
        </w:numPr>
        <w:tabs>
          <w:tab w:val="left" w:pos="720"/>
          <w:tab w:val="left" w:pos="1440"/>
        </w:tabs>
        <w:spacing w:after="0"/>
        <w:rPr>
          <w:b/>
          <w:szCs w:val="22"/>
        </w:rPr>
      </w:pPr>
      <w:r w:rsidRPr="00323E08">
        <w:rPr>
          <w:rFonts w:cs="TimesNewRoman"/>
          <w:b/>
          <w:bCs/>
          <w:szCs w:val="22"/>
        </w:rPr>
        <w:t>CAP Polling</w:t>
      </w:r>
      <w:r w:rsidRPr="00323E08" w:rsidR="00B32404">
        <w:rPr>
          <w:rFonts w:cs="TimesNewRoman"/>
          <w:b/>
          <w:bCs/>
          <w:szCs w:val="22"/>
        </w:rPr>
        <w:t xml:space="preserve"> and Prioritization</w:t>
      </w:r>
      <w:r w:rsidRPr="00323E08">
        <w:rPr>
          <w:rFonts w:cs="TimesNewRoman"/>
          <w:b/>
          <w:bCs/>
          <w:szCs w:val="22"/>
        </w:rPr>
        <w:t xml:space="preserve"> (</w:t>
      </w:r>
      <w:r w:rsidRPr="00323E08">
        <w:rPr>
          <w:b/>
          <w:szCs w:val="22"/>
        </w:rPr>
        <w:t xml:space="preserve">47 CFR </w:t>
      </w:r>
      <w:r w:rsidRPr="00323E08" w:rsidR="00E23974">
        <w:rPr>
          <w:b/>
          <w:szCs w:val="22"/>
        </w:rPr>
        <w:t>§</w:t>
      </w:r>
      <w:r w:rsidRPr="00323E08">
        <w:rPr>
          <w:b/>
          <w:szCs w:val="22"/>
        </w:rPr>
        <w:t>§</w:t>
      </w:r>
      <w:r w:rsidRPr="00323E08" w:rsidR="00381F5B">
        <w:rPr>
          <w:b/>
          <w:szCs w:val="22"/>
        </w:rPr>
        <w:t xml:space="preserve"> </w:t>
      </w:r>
      <w:r w:rsidRPr="00323E08" w:rsidR="00D3134D">
        <w:rPr>
          <w:b/>
          <w:bCs/>
          <w:szCs w:val="22"/>
        </w:rPr>
        <w:t>11.52(d</w:t>
      </w:r>
      <w:r w:rsidRPr="00323E08" w:rsidR="00920712">
        <w:rPr>
          <w:b/>
          <w:bCs/>
          <w:szCs w:val="22"/>
        </w:rPr>
        <w:t>)</w:t>
      </w:r>
      <w:r w:rsidRPr="00323E08" w:rsidR="00D3134D">
        <w:rPr>
          <w:b/>
          <w:bCs/>
          <w:szCs w:val="22"/>
        </w:rPr>
        <w:t>(2),</w:t>
      </w:r>
      <w:r w:rsidRPr="00323E08">
        <w:rPr>
          <w:b/>
          <w:bCs/>
          <w:szCs w:val="22"/>
        </w:rPr>
        <w:t xml:space="preserve"> </w:t>
      </w:r>
      <w:r w:rsidRPr="00323E08" w:rsidR="00D3134D">
        <w:rPr>
          <w:b/>
          <w:bCs/>
          <w:szCs w:val="22"/>
        </w:rPr>
        <w:t>11.55(c</w:t>
      </w:r>
      <w:r w:rsidRPr="00323E08" w:rsidR="003F71E5">
        <w:rPr>
          <w:b/>
          <w:bCs/>
          <w:szCs w:val="22"/>
        </w:rPr>
        <w:t>), 11.55</w:t>
      </w:r>
      <w:r w:rsidRPr="00323E08" w:rsidR="00D3134D">
        <w:rPr>
          <w:b/>
          <w:bCs/>
          <w:szCs w:val="22"/>
        </w:rPr>
        <w:t>(c)(2)(</w:t>
      </w:r>
      <w:r w:rsidRPr="00323E08" w:rsidR="00D3134D">
        <w:rPr>
          <w:b/>
          <w:bCs/>
          <w:szCs w:val="22"/>
        </w:rPr>
        <w:t>i</w:t>
      </w:r>
      <w:r w:rsidRPr="00323E08" w:rsidR="00D3134D">
        <w:rPr>
          <w:b/>
          <w:bCs/>
          <w:szCs w:val="22"/>
        </w:rPr>
        <w:t>)-(iii),</w:t>
      </w:r>
      <w:r w:rsidRPr="00323E08" w:rsidR="00D3134D">
        <w:rPr>
          <w:szCs w:val="22"/>
        </w:rPr>
        <w:t xml:space="preserve"> </w:t>
      </w:r>
      <w:r w:rsidRPr="00323E08" w:rsidR="00A620E4">
        <w:rPr>
          <w:b/>
          <w:szCs w:val="22"/>
        </w:rPr>
        <w:t>11.5</w:t>
      </w:r>
      <w:r w:rsidRPr="00323E08" w:rsidR="00D3134D">
        <w:rPr>
          <w:b/>
          <w:szCs w:val="22"/>
        </w:rPr>
        <w:t>5</w:t>
      </w:r>
      <w:r w:rsidRPr="00323E08" w:rsidR="00A620E4">
        <w:rPr>
          <w:b/>
          <w:szCs w:val="22"/>
        </w:rPr>
        <w:t>(d)</w:t>
      </w:r>
      <w:r w:rsidRPr="00323E08" w:rsidR="003F71E5">
        <w:rPr>
          <w:b/>
          <w:szCs w:val="22"/>
        </w:rPr>
        <w:t>, 11.55(d)</w:t>
      </w:r>
      <w:r w:rsidRPr="00323E08" w:rsidR="00A620E4">
        <w:rPr>
          <w:b/>
          <w:szCs w:val="22"/>
        </w:rPr>
        <w:t>(2)</w:t>
      </w:r>
      <w:r w:rsidRPr="00323E08" w:rsidR="00381F5B">
        <w:rPr>
          <w:b/>
          <w:szCs w:val="22"/>
        </w:rPr>
        <w:t>,</w:t>
      </w:r>
      <w:r w:rsidRPr="00323E08" w:rsidR="00A620E4">
        <w:rPr>
          <w:b/>
          <w:szCs w:val="22"/>
        </w:rPr>
        <w:t xml:space="preserve"> </w:t>
      </w:r>
      <w:r w:rsidRPr="00323E08" w:rsidR="003A74F1">
        <w:rPr>
          <w:b/>
          <w:szCs w:val="22"/>
        </w:rPr>
        <w:t>11.61</w:t>
      </w:r>
      <w:r w:rsidRPr="00323E08">
        <w:rPr>
          <w:b/>
          <w:szCs w:val="22"/>
        </w:rPr>
        <w:t>)</w:t>
      </w:r>
    </w:p>
    <w:p w:rsidR="00B819CC" w:rsidRPr="00323E08" w:rsidP="003466DF" w14:paraId="6747F09A" w14:textId="0694C622">
      <w:pPr>
        <w:rPr>
          <w:bCs/>
          <w:iCs/>
          <w:sz w:val="22"/>
          <w:szCs w:val="22"/>
        </w:rPr>
      </w:pPr>
    </w:p>
    <w:p w:rsidR="00F210AB" w:rsidRPr="00323E08" w:rsidP="003466DF" w14:paraId="66AB5477" w14:textId="3047E3C7">
      <w:pPr>
        <w:pStyle w:val="ListParagraph"/>
        <w:contextualSpacing/>
        <w:rPr>
          <w:sz w:val="22"/>
          <w:szCs w:val="22"/>
        </w:rPr>
      </w:pPr>
      <w:r w:rsidRPr="00323E08">
        <w:rPr>
          <w:sz w:val="22"/>
          <w:szCs w:val="22"/>
        </w:rPr>
        <w:t xml:space="preserve">The </w:t>
      </w:r>
      <w:r w:rsidRPr="00323E08" w:rsidR="006B35F5">
        <w:rPr>
          <w:sz w:val="22"/>
          <w:szCs w:val="22"/>
        </w:rPr>
        <w:t xml:space="preserve">new and </w:t>
      </w:r>
      <w:r w:rsidRPr="00323E08">
        <w:rPr>
          <w:sz w:val="22"/>
          <w:szCs w:val="22"/>
        </w:rPr>
        <w:t>amended rule</w:t>
      </w:r>
      <w:r w:rsidRPr="00323E08" w:rsidR="00DA3CAC">
        <w:rPr>
          <w:sz w:val="22"/>
          <w:szCs w:val="22"/>
        </w:rPr>
        <w:t>s</w:t>
      </w:r>
      <w:r w:rsidRPr="00323E08">
        <w:rPr>
          <w:sz w:val="22"/>
          <w:szCs w:val="22"/>
        </w:rPr>
        <w:t xml:space="preserve"> </w:t>
      </w:r>
      <w:r w:rsidRPr="00323E08" w:rsidR="00882BB7">
        <w:rPr>
          <w:sz w:val="22"/>
          <w:szCs w:val="22"/>
        </w:rPr>
        <w:t xml:space="preserve">require EAS participants </w:t>
      </w:r>
      <w:r w:rsidRPr="00323E08" w:rsidR="00C41E6A">
        <w:rPr>
          <w:sz w:val="22"/>
          <w:szCs w:val="22"/>
        </w:rPr>
        <w:t xml:space="preserve">to update their equipment </w:t>
      </w:r>
      <w:r w:rsidRPr="00323E08" w:rsidR="00882BB7">
        <w:rPr>
          <w:sz w:val="22"/>
          <w:szCs w:val="22"/>
        </w:rPr>
        <w:t xml:space="preserve">to check FEMA’s Integrated Public Warning and Alert System (IPAWS) servers for a CAP alert after receiving a legacy-formatted alert, and to </w:t>
      </w:r>
      <w:r w:rsidRPr="00323E08" w:rsidR="00BB608C">
        <w:rPr>
          <w:sz w:val="22"/>
          <w:szCs w:val="22"/>
        </w:rPr>
        <w:t xml:space="preserve">always </w:t>
      </w:r>
      <w:r w:rsidRPr="00323E08" w:rsidR="00882BB7">
        <w:rPr>
          <w:sz w:val="22"/>
          <w:szCs w:val="22"/>
        </w:rPr>
        <w:t xml:space="preserve">distribute </w:t>
      </w:r>
      <w:r w:rsidRPr="00323E08" w:rsidR="00BB608C">
        <w:rPr>
          <w:sz w:val="22"/>
          <w:szCs w:val="22"/>
        </w:rPr>
        <w:t>any</w:t>
      </w:r>
      <w:r w:rsidRPr="00323E08" w:rsidR="00442EF6">
        <w:rPr>
          <w:sz w:val="22"/>
          <w:szCs w:val="22"/>
        </w:rPr>
        <w:t xml:space="preserve"> available</w:t>
      </w:r>
      <w:r w:rsidRPr="00323E08" w:rsidR="00882BB7">
        <w:rPr>
          <w:sz w:val="22"/>
          <w:szCs w:val="22"/>
        </w:rPr>
        <w:t xml:space="preserve"> CAP version instead of the legacy version</w:t>
      </w:r>
      <w:r w:rsidRPr="00323E08" w:rsidR="00F0195E">
        <w:rPr>
          <w:sz w:val="22"/>
          <w:szCs w:val="22"/>
        </w:rPr>
        <w:t>.</w:t>
      </w:r>
      <w:r w:rsidRPr="00323E08" w:rsidR="009330D5">
        <w:rPr>
          <w:sz w:val="22"/>
          <w:szCs w:val="22"/>
        </w:rPr>
        <w:t xml:space="preserve">  These rules apply to all state and local area alerts and Required Monthly Test alerts</w:t>
      </w:r>
      <w:r w:rsidRPr="00323E08" w:rsidR="00442EF6">
        <w:rPr>
          <w:sz w:val="22"/>
          <w:szCs w:val="22"/>
        </w:rPr>
        <w:t>.</w:t>
      </w:r>
      <w:r w:rsidRPr="00323E08" w:rsidR="00F0195E">
        <w:rPr>
          <w:sz w:val="22"/>
          <w:szCs w:val="22"/>
        </w:rPr>
        <w:t xml:space="preserve"> </w:t>
      </w:r>
    </w:p>
    <w:p w:rsidR="006647DC" w:rsidRPr="00323E08" w:rsidP="003466DF" w14:paraId="53EC4503" w14:textId="19FC00B1">
      <w:pPr>
        <w:pStyle w:val="ListParagraph"/>
        <w:contextualSpacing/>
        <w:rPr>
          <w:sz w:val="22"/>
          <w:szCs w:val="22"/>
        </w:rPr>
      </w:pPr>
    </w:p>
    <w:p w:rsidR="00650187" w14:paraId="7487DB05" w14:textId="77777777">
      <w:pPr>
        <w:rPr>
          <w:b/>
          <w:sz w:val="22"/>
          <w:szCs w:val="22"/>
        </w:rPr>
      </w:pPr>
      <w:r>
        <w:rPr>
          <w:b/>
          <w:sz w:val="22"/>
          <w:szCs w:val="22"/>
        </w:rPr>
        <w:br w:type="page"/>
      </w:r>
    </w:p>
    <w:p w:rsidR="00BC68B4" w:rsidRPr="00BC68B4" w:rsidP="00BC68B4" w14:paraId="16E9B0E1" w14:textId="095F2363">
      <w:pPr>
        <w:pStyle w:val="ListParagraph"/>
        <w:numPr>
          <w:ilvl w:val="0"/>
          <w:numId w:val="59"/>
        </w:numPr>
        <w:spacing w:after="120"/>
        <w:ind w:left="1080"/>
        <w:contextualSpacing/>
        <w:rPr>
          <w:sz w:val="22"/>
          <w:szCs w:val="22"/>
        </w:rPr>
      </w:pPr>
      <w:r w:rsidRPr="00323E08">
        <w:rPr>
          <w:b/>
          <w:sz w:val="22"/>
          <w:szCs w:val="22"/>
        </w:rPr>
        <w:t xml:space="preserve">§ </w:t>
      </w:r>
      <w:r w:rsidRPr="00323E08">
        <w:rPr>
          <w:b/>
          <w:bCs/>
          <w:sz w:val="22"/>
          <w:szCs w:val="22"/>
        </w:rPr>
        <w:t xml:space="preserve">11.52 </w:t>
      </w:r>
      <w:r w:rsidRPr="00323E08">
        <w:rPr>
          <w:rFonts w:eastAsia="Calibri"/>
          <w:b/>
          <w:bCs/>
          <w:sz w:val="22"/>
          <w:szCs w:val="22"/>
        </w:rPr>
        <w:t>EAS Code and Attention Signal Monitoring Requirements</w:t>
      </w:r>
    </w:p>
    <w:p w:rsidR="00A620E4" w:rsidRPr="00323E08" w:rsidP="00BC68B4" w14:paraId="22384B39" w14:textId="21E8A88A">
      <w:pPr>
        <w:pStyle w:val="ListParagraph"/>
        <w:numPr>
          <w:ilvl w:val="0"/>
          <w:numId w:val="52"/>
        </w:numPr>
        <w:spacing w:before="120" w:after="240"/>
        <w:rPr>
          <w:sz w:val="22"/>
          <w:szCs w:val="22"/>
        </w:rPr>
      </w:pPr>
      <w:r w:rsidRPr="00323E08">
        <w:rPr>
          <w:sz w:val="22"/>
          <w:szCs w:val="22"/>
        </w:rPr>
        <w:t xml:space="preserve">Amended </w:t>
      </w:r>
      <w:r w:rsidRPr="00323E08">
        <w:rPr>
          <w:sz w:val="22"/>
          <w:szCs w:val="22"/>
        </w:rPr>
        <w:t>section 11.5</w:t>
      </w:r>
      <w:r w:rsidRPr="00323E08" w:rsidR="00D3134D">
        <w:rPr>
          <w:sz w:val="22"/>
          <w:szCs w:val="22"/>
        </w:rPr>
        <w:t>2</w:t>
      </w:r>
      <w:r w:rsidRPr="00323E08">
        <w:rPr>
          <w:sz w:val="22"/>
          <w:szCs w:val="22"/>
        </w:rPr>
        <w:t xml:space="preserve">(d)(2) </w:t>
      </w:r>
      <w:r w:rsidRPr="00323E08" w:rsidR="00B267B9">
        <w:rPr>
          <w:sz w:val="22"/>
          <w:szCs w:val="22"/>
        </w:rPr>
        <w:t xml:space="preserve">continues to </w:t>
      </w:r>
      <w:r w:rsidRPr="00323E08">
        <w:rPr>
          <w:sz w:val="22"/>
          <w:szCs w:val="22"/>
        </w:rPr>
        <w:t xml:space="preserve">require EAS participants’ </w:t>
      </w:r>
      <w:r w:rsidRPr="00323E08">
        <w:rPr>
          <w:rFonts w:eastAsia="Calibri"/>
          <w:sz w:val="22"/>
          <w:szCs w:val="22"/>
        </w:rPr>
        <w:t>EAS equipment to regularly poll the Federal Emergency Management Agency’s Integrated Public Alert and Warning System (IPAWS) EAS alert distribution channel</w:t>
      </w:r>
      <w:r w:rsidRPr="00323E08">
        <w:rPr>
          <w:rFonts w:eastAsia="Calibri"/>
          <w:sz w:val="24"/>
          <w:szCs w:val="24"/>
        </w:rPr>
        <w:t xml:space="preserve"> </w:t>
      </w:r>
      <w:r w:rsidRPr="00323E08">
        <w:rPr>
          <w:rFonts w:eastAsia="Calibri"/>
          <w:sz w:val="22"/>
          <w:szCs w:val="22"/>
        </w:rPr>
        <w:t>to detect and acquire Common Alert Protocol (CAP)-formatted alert messages from the IPAWS system to EAS Participants’ EAS equipment.</w:t>
      </w:r>
    </w:p>
    <w:p w:rsidR="006647DC" w:rsidRPr="00323E08" w:rsidP="00171D2C" w14:paraId="26EEB9AC" w14:textId="07E9BC17">
      <w:pPr>
        <w:pStyle w:val="ListParagraph"/>
        <w:numPr>
          <w:ilvl w:val="0"/>
          <w:numId w:val="59"/>
        </w:numPr>
        <w:spacing w:after="120"/>
        <w:ind w:left="1080"/>
        <w:rPr>
          <w:sz w:val="22"/>
          <w:szCs w:val="22"/>
        </w:rPr>
      </w:pPr>
      <w:r w:rsidRPr="00323E08">
        <w:rPr>
          <w:b/>
          <w:sz w:val="22"/>
          <w:szCs w:val="22"/>
        </w:rPr>
        <w:t xml:space="preserve">§ </w:t>
      </w:r>
      <w:r w:rsidRPr="00323E08">
        <w:rPr>
          <w:rFonts w:eastAsia="Calibri"/>
          <w:b/>
          <w:bCs/>
          <w:sz w:val="22"/>
          <w:szCs w:val="22"/>
        </w:rPr>
        <w:t>11.55 EAS Operation During a State or Local Area Emergency</w:t>
      </w:r>
    </w:p>
    <w:p w:rsidR="00B6340C" w:rsidRPr="00323E08" w:rsidP="003466DF" w14:paraId="3F2BB009" w14:textId="1156B450">
      <w:pPr>
        <w:pStyle w:val="ListParagraph"/>
        <w:numPr>
          <w:ilvl w:val="0"/>
          <w:numId w:val="52"/>
        </w:numPr>
        <w:contextualSpacing/>
        <w:rPr>
          <w:sz w:val="22"/>
          <w:szCs w:val="22"/>
        </w:rPr>
      </w:pPr>
      <w:r w:rsidRPr="00323E08">
        <w:rPr>
          <w:sz w:val="22"/>
          <w:szCs w:val="22"/>
        </w:rPr>
        <w:t xml:space="preserve">Amended section 11.55(c) requires EAS Participants that participate in the State or Local Area EAS, upon receipt of a State or Local Area EAS message that has been formatted in the EAS Protocol and that has event and location header codes indicating that it is a type of message that the EAS Participant normally relays, consistent with the procedures in the State or Local Area EAS Plan, to comply with the </w:t>
      </w:r>
      <w:r w:rsidRPr="00323E08" w:rsidR="00AD484B">
        <w:rPr>
          <w:sz w:val="22"/>
          <w:szCs w:val="22"/>
        </w:rPr>
        <w:t xml:space="preserve">rules </w:t>
      </w:r>
      <w:r w:rsidRPr="00323E08">
        <w:rPr>
          <w:sz w:val="22"/>
          <w:szCs w:val="22"/>
        </w:rPr>
        <w:t>in sections 11.55(c)(2)(</w:t>
      </w:r>
      <w:r w:rsidRPr="00323E08">
        <w:rPr>
          <w:sz w:val="22"/>
          <w:szCs w:val="22"/>
        </w:rPr>
        <w:t>i</w:t>
      </w:r>
      <w:r w:rsidRPr="00323E08">
        <w:rPr>
          <w:sz w:val="22"/>
          <w:szCs w:val="22"/>
        </w:rPr>
        <w:t>)-(iii).</w:t>
      </w:r>
    </w:p>
    <w:p w:rsidR="00B6340C" w:rsidRPr="00323E08" w:rsidP="00171D2C" w14:paraId="00B27AA1" w14:textId="77777777">
      <w:pPr>
        <w:pStyle w:val="ListParagraph"/>
        <w:ind w:left="1440"/>
        <w:contextualSpacing/>
        <w:rPr>
          <w:sz w:val="22"/>
          <w:szCs w:val="22"/>
        </w:rPr>
      </w:pPr>
    </w:p>
    <w:p w:rsidR="00BB25B6" w:rsidRPr="00323E08" w:rsidP="00920712" w14:paraId="3FFEFE51" w14:textId="0B5E7916">
      <w:pPr>
        <w:pStyle w:val="ListParagraph"/>
        <w:numPr>
          <w:ilvl w:val="0"/>
          <w:numId w:val="52"/>
        </w:numPr>
        <w:contextualSpacing/>
        <w:rPr>
          <w:sz w:val="22"/>
          <w:szCs w:val="22"/>
        </w:rPr>
      </w:pPr>
      <w:r w:rsidRPr="00323E08">
        <w:rPr>
          <w:sz w:val="22"/>
          <w:szCs w:val="22"/>
        </w:rPr>
        <w:t xml:space="preserve">Amended section 11.55(c)(1) requires </w:t>
      </w:r>
      <w:r w:rsidRPr="00323E08" w:rsidR="006561CE">
        <w:rPr>
          <w:sz w:val="22"/>
          <w:szCs w:val="22"/>
        </w:rPr>
        <w:t xml:space="preserve">that prior to effective date of </w:t>
      </w:r>
      <w:r w:rsidRPr="00323E08" w:rsidR="0089334A">
        <w:rPr>
          <w:sz w:val="22"/>
          <w:szCs w:val="22"/>
        </w:rPr>
        <w:t>new or amended rules in this section,</w:t>
      </w:r>
      <w:r w:rsidRPr="00323E08" w:rsidR="006561CE">
        <w:rPr>
          <w:sz w:val="22"/>
          <w:szCs w:val="22"/>
        </w:rPr>
        <w:t xml:space="preserve"> </w:t>
      </w:r>
      <w:r w:rsidRPr="00323E08">
        <w:rPr>
          <w:sz w:val="22"/>
          <w:szCs w:val="22"/>
        </w:rPr>
        <w:t xml:space="preserve">EAS participants </w:t>
      </w:r>
      <w:r w:rsidRPr="00323E08" w:rsidR="006561CE">
        <w:rPr>
          <w:sz w:val="22"/>
          <w:szCs w:val="22"/>
        </w:rPr>
        <w:t xml:space="preserve">shall continue to </w:t>
      </w:r>
      <w:r w:rsidRPr="00323E08">
        <w:rPr>
          <w:sz w:val="22"/>
          <w:szCs w:val="22"/>
        </w:rPr>
        <w:t>follow the procedures in State EAS plans and sections 11.55(c)(3)-(7)</w:t>
      </w:r>
      <w:r w:rsidRPr="00323E08" w:rsidR="006561CE">
        <w:rPr>
          <w:sz w:val="22"/>
          <w:szCs w:val="22"/>
        </w:rPr>
        <w:t xml:space="preserve"> of the Commission’s rules.</w:t>
      </w:r>
    </w:p>
    <w:p w:rsidR="00BB25B6" w:rsidRPr="00323E08" w:rsidP="00171D2C" w14:paraId="346F4A4F" w14:textId="77777777">
      <w:pPr>
        <w:pStyle w:val="ListParagraph"/>
        <w:rPr>
          <w:sz w:val="22"/>
          <w:szCs w:val="22"/>
        </w:rPr>
      </w:pPr>
    </w:p>
    <w:p w:rsidR="00920712" w:rsidRPr="00323E08" w:rsidP="009227F6" w14:paraId="4BF27E5F" w14:textId="64A76F8C">
      <w:pPr>
        <w:pStyle w:val="ListParagraph"/>
        <w:numPr>
          <w:ilvl w:val="0"/>
          <w:numId w:val="52"/>
        </w:numPr>
        <w:contextualSpacing/>
        <w:rPr>
          <w:sz w:val="22"/>
          <w:szCs w:val="22"/>
        </w:rPr>
      </w:pPr>
      <w:r w:rsidRPr="00323E08">
        <w:rPr>
          <w:sz w:val="22"/>
          <w:szCs w:val="22"/>
        </w:rPr>
        <w:t xml:space="preserve">Amended section 11.55(c)(2) </w:t>
      </w:r>
      <w:r w:rsidRPr="00323E08" w:rsidR="00BC4CD0">
        <w:rPr>
          <w:sz w:val="22"/>
          <w:szCs w:val="22"/>
        </w:rPr>
        <w:t xml:space="preserve">requires </w:t>
      </w:r>
      <w:r w:rsidRPr="00323E08">
        <w:rPr>
          <w:sz w:val="22"/>
          <w:szCs w:val="22"/>
        </w:rPr>
        <w:t>EAS participants</w:t>
      </w:r>
      <w:r w:rsidRPr="00323E08" w:rsidR="00BB25B6">
        <w:rPr>
          <w:sz w:val="22"/>
          <w:szCs w:val="22"/>
        </w:rPr>
        <w:t>’</w:t>
      </w:r>
      <w:r w:rsidRPr="00323E08">
        <w:rPr>
          <w:sz w:val="22"/>
          <w:szCs w:val="22"/>
        </w:rPr>
        <w:t xml:space="preserve"> operations </w:t>
      </w:r>
      <w:r w:rsidRPr="00323E08" w:rsidR="00BC4CD0">
        <w:rPr>
          <w:sz w:val="22"/>
          <w:szCs w:val="22"/>
        </w:rPr>
        <w:t xml:space="preserve">to </w:t>
      </w:r>
      <w:r w:rsidRPr="00323E08" w:rsidR="009227F6">
        <w:rPr>
          <w:sz w:val="22"/>
          <w:szCs w:val="22"/>
        </w:rPr>
        <w:t xml:space="preserve">comply </w:t>
      </w:r>
      <w:r w:rsidRPr="00323E08">
        <w:rPr>
          <w:sz w:val="22"/>
          <w:szCs w:val="22"/>
        </w:rPr>
        <w:t>with the requirements in sections 11.55(c)(2)(</w:t>
      </w:r>
      <w:r w:rsidRPr="00323E08">
        <w:rPr>
          <w:sz w:val="22"/>
          <w:szCs w:val="22"/>
        </w:rPr>
        <w:t>i</w:t>
      </w:r>
      <w:r w:rsidRPr="00323E08">
        <w:rPr>
          <w:sz w:val="22"/>
          <w:szCs w:val="22"/>
        </w:rPr>
        <w:t xml:space="preserve">)-(iii) </w:t>
      </w:r>
      <w:r w:rsidRPr="00323E08" w:rsidR="009227F6">
        <w:rPr>
          <w:sz w:val="22"/>
          <w:szCs w:val="22"/>
        </w:rPr>
        <w:t xml:space="preserve">by </w:t>
      </w:r>
      <w:r w:rsidRPr="00323E08" w:rsidR="000419B9">
        <w:rPr>
          <w:sz w:val="22"/>
          <w:szCs w:val="22"/>
        </w:rPr>
        <w:t>no later than</w:t>
      </w:r>
      <w:r w:rsidRPr="00323E08" w:rsidR="006B09FE">
        <w:rPr>
          <w:sz w:val="22"/>
          <w:szCs w:val="22"/>
        </w:rPr>
        <w:t xml:space="preserve"> one year and </w:t>
      </w:r>
      <w:r w:rsidRPr="00323E08" w:rsidR="001E5E7A">
        <w:rPr>
          <w:sz w:val="22"/>
          <w:szCs w:val="22"/>
        </w:rPr>
        <w:t>one</w:t>
      </w:r>
      <w:r w:rsidRPr="00323E08" w:rsidR="006B09FE">
        <w:rPr>
          <w:sz w:val="22"/>
          <w:szCs w:val="22"/>
        </w:rPr>
        <w:t xml:space="preserve"> </w:t>
      </w:r>
      <w:r w:rsidRPr="00323E08">
        <w:rPr>
          <w:sz w:val="22"/>
          <w:szCs w:val="22"/>
        </w:rPr>
        <w:t xml:space="preserve">month after publication of the </w:t>
      </w:r>
      <w:r w:rsidRPr="00323E08">
        <w:rPr>
          <w:i/>
          <w:iCs/>
          <w:sz w:val="22"/>
          <w:szCs w:val="22"/>
        </w:rPr>
        <w:t>Order</w:t>
      </w:r>
      <w:r w:rsidRPr="00323E08">
        <w:rPr>
          <w:sz w:val="22"/>
          <w:szCs w:val="22"/>
        </w:rPr>
        <w:t xml:space="preserve"> in the Federal Register.  </w:t>
      </w:r>
    </w:p>
    <w:p w:rsidR="00920712" w:rsidRPr="00323E08" w:rsidP="00171D2C" w14:paraId="547EB374" w14:textId="77777777">
      <w:pPr>
        <w:pStyle w:val="ListParagraph"/>
        <w:rPr>
          <w:sz w:val="22"/>
          <w:szCs w:val="22"/>
        </w:rPr>
      </w:pPr>
    </w:p>
    <w:p w:rsidR="00A02498" w:rsidRPr="00323E08" w:rsidP="001B5A38" w14:paraId="51E975E6" w14:textId="066F49DF">
      <w:pPr>
        <w:pStyle w:val="ListParagraph"/>
        <w:numPr>
          <w:ilvl w:val="0"/>
          <w:numId w:val="52"/>
        </w:numPr>
        <w:contextualSpacing/>
        <w:rPr>
          <w:sz w:val="22"/>
          <w:szCs w:val="22"/>
        </w:rPr>
      </w:pPr>
      <w:r w:rsidRPr="00323E08">
        <w:rPr>
          <w:sz w:val="22"/>
          <w:szCs w:val="22"/>
        </w:rPr>
        <w:t>New</w:t>
      </w:r>
      <w:r w:rsidRPr="00323E08" w:rsidR="00820C98">
        <w:rPr>
          <w:sz w:val="22"/>
          <w:szCs w:val="22"/>
        </w:rPr>
        <w:t xml:space="preserve"> section </w:t>
      </w:r>
      <w:bookmarkStart w:id="0" w:name="_Hlk77596113"/>
      <w:r w:rsidRPr="00323E08" w:rsidR="007375E9">
        <w:rPr>
          <w:sz w:val="22"/>
          <w:szCs w:val="22"/>
        </w:rPr>
        <w:t>11.</w:t>
      </w:r>
      <w:r w:rsidRPr="00323E08" w:rsidR="003A74F1">
        <w:rPr>
          <w:sz w:val="22"/>
          <w:szCs w:val="22"/>
        </w:rPr>
        <w:t>55(c)(2)(</w:t>
      </w:r>
      <w:r w:rsidRPr="00323E08" w:rsidR="003A74F1">
        <w:rPr>
          <w:sz w:val="22"/>
          <w:szCs w:val="22"/>
        </w:rPr>
        <w:t>i</w:t>
      </w:r>
      <w:r w:rsidRPr="00323E08" w:rsidR="003A74F1">
        <w:rPr>
          <w:sz w:val="22"/>
          <w:szCs w:val="22"/>
        </w:rPr>
        <w:t>)</w:t>
      </w:r>
      <w:r w:rsidRPr="00323E08" w:rsidR="007375E9">
        <w:rPr>
          <w:sz w:val="22"/>
          <w:szCs w:val="22"/>
        </w:rPr>
        <w:t xml:space="preserve"> </w:t>
      </w:r>
      <w:r w:rsidRPr="00323E08" w:rsidR="00B2103A">
        <w:rPr>
          <w:sz w:val="22"/>
          <w:szCs w:val="22"/>
        </w:rPr>
        <w:t>requires EAS participants that receive both a legacy-formatted alert and a duplicate CAP alert to distribute the CAP</w:t>
      </w:r>
      <w:r w:rsidRPr="00323E08" w:rsidR="001B5A38">
        <w:rPr>
          <w:sz w:val="22"/>
          <w:szCs w:val="22"/>
        </w:rPr>
        <w:t>-</w:t>
      </w:r>
      <w:r w:rsidRPr="00323E08" w:rsidR="00B2103A">
        <w:rPr>
          <w:sz w:val="22"/>
          <w:szCs w:val="22"/>
        </w:rPr>
        <w:t>formatted alert to the pub</w:t>
      </w:r>
      <w:r w:rsidRPr="00323E08" w:rsidR="001E5E7A">
        <w:rPr>
          <w:sz w:val="22"/>
          <w:szCs w:val="22"/>
        </w:rPr>
        <w:t>l</w:t>
      </w:r>
      <w:r w:rsidRPr="00323E08" w:rsidR="00B2103A">
        <w:rPr>
          <w:sz w:val="22"/>
          <w:szCs w:val="22"/>
        </w:rPr>
        <w:t xml:space="preserve">ic instead of the legacy-formatted alert.  </w:t>
      </w:r>
      <w:r w:rsidRPr="00323E08" w:rsidR="007375E9">
        <w:rPr>
          <w:sz w:val="22"/>
          <w:szCs w:val="22"/>
        </w:rPr>
        <w:t xml:space="preserve">  </w:t>
      </w:r>
    </w:p>
    <w:p w:rsidR="00A02498" w:rsidRPr="00323E08" w:rsidP="003466DF" w14:paraId="48229C0B" w14:textId="77777777">
      <w:pPr>
        <w:pStyle w:val="ListParagraph"/>
        <w:rPr>
          <w:sz w:val="22"/>
          <w:szCs w:val="22"/>
        </w:rPr>
      </w:pPr>
    </w:p>
    <w:p w:rsidR="00105D91" w:rsidRPr="00323E08" w:rsidP="003466DF" w14:paraId="7D02CE83" w14:textId="3251B01F">
      <w:pPr>
        <w:pStyle w:val="ListParagraph"/>
        <w:numPr>
          <w:ilvl w:val="0"/>
          <w:numId w:val="52"/>
        </w:numPr>
        <w:contextualSpacing/>
        <w:rPr>
          <w:sz w:val="22"/>
          <w:szCs w:val="22"/>
        </w:rPr>
      </w:pPr>
      <w:r w:rsidRPr="00323E08">
        <w:rPr>
          <w:sz w:val="22"/>
          <w:szCs w:val="22"/>
        </w:rPr>
        <w:t>New</w:t>
      </w:r>
      <w:r w:rsidRPr="00323E08" w:rsidR="00320177">
        <w:rPr>
          <w:sz w:val="22"/>
          <w:szCs w:val="22"/>
        </w:rPr>
        <w:t xml:space="preserve"> section </w:t>
      </w:r>
      <w:r w:rsidRPr="00323E08" w:rsidR="007375E9">
        <w:rPr>
          <w:sz w:val="22"/>
          <w:szCs w:val="22"/>
        </w:rPr>
        <w:t>11.</w:t>
      </w:r>
      <w:r w:rsidRPr="00323E08" w:rsidR="00B2103A">
        <w:rPr>
          <w:sz w:val="22"/>
          <w:szCs w:val="22"/>
        </w:rPr>
        <w:t>55(c)(2)(ii)</w:t>
      </w:r>
      <w:r w:rsidRPr="00323E08" w:rsidR="007375E9">
        <w:rPr>
          <w:sz w:val="22"/>
          <w:szCs w:val="22"/>
        </w:rPr>
        <w:t xml:space="preserve"> requires</w:t>
      </w:r>
      <w:r w:rsidRPr="00323E08" w:rsidR="00B2103A">
        <w:rPr>
          <w:sz w:val="22"/>
          <w:szCs w:val="22"/>
        </w:rPr>
        <w:t xml:space="preserve"> EAS participants to poll IPAWS for any available CAP alert at least once ten seconds after detecting the initial header codes of an incoming legacy-formatted alert and </w:t>
      </w:r>
      <w:r w:rsidRPr="00323E08" w:rsidR="00835618">
        <w:rPr>
          <w:sz w:val="22"/>
          <w:szCs w:val="22"/>
        </w:rPr>
        <w:t>before</w:t>
      </w:r>
      <w:r w:rsidRPr="00323E08" w:rsidR="00B2103A">
        <w:rPr>
          <w:sz w:val="22"/>
          <w:szCs w:val="22"/>
        </w:rPr>
        <w:t xml:space="preserve"> distributing </w:t>
      </w:r>
      <w:r w:rsidRPr="00323E08" w:rsidR="00835618">
        <w:rPr>
          <w:sz w:val="22"/>
          <w:szCs w:val="22"/>
        </w:rPr>
        <w:t>that</w:t>
      </w:r>
      <w:r w:rsidRPr="00323E08" w:rsidR="00B2103A">
        <w:rPr>
          <w:sz w:val="22"/>
          <w:szCs w:val="22"/>
        </w:rPr>
        <w:t xml:space="preserve"> legacy-formatted alert to the public.  </w:t>
      </w:r>
    </w:p>
    <w:p w:rsidR="00B32404" w:rsidRPr="00323E08" w:rsidP="00B32404" w14:paraId="28288356" w14:textId="77777777">
      <w:pPr>
        <w:pStyle w:val="ListParagraph"/>
        <w:rPr>
          <w:sz w:val="22"/>
          <w:szCs w:val="22"/>
        </w:rPr>
      </w:pPr>
    </w:p>
    <w:p w:rsidR="00B32404" w:rsidRPr="00323E08" w:rsidP="00B32404" w14:paraId="02DE607E" w14:textId="568019E4">
      <w:pPr>
        <w:pStyle w:val="ListParagraph"/>
        <w:numPr>
          <w:ilvl w:val="1"/>
          <w:numId w:val="52"/>
        </w:numPr>
        <w:contextualSpacing/>
        <w:rPr>
          <w:sz w:val="22"/>
          <w:szCs w:val="22"/>
        </w:rPr>
      </w:pPr>
      <w:r w:rsidRPr="00323E08">
        <w:rPr>
          <w:sz w:val="22"/>
          <w:szCs w:val="22"/>
        </w:rPr>
        <w:t xml:space="preserve">New section 11.55(c)(2)(ii)(B) provides that, if the IPAWS polling conducted after detecting a legacy alert identifies the existence of a duplicate CAP alert, but that CAP alert cannot be fully acquired by the EAS participant in a reasonable amount of time, the EAS participant should distribute the legacy alert to the public.   </w:t>
      </w:r>
    </w:p>
    <w:bookmarkEnd w:id="0"/>
    <w:p w:rsidR="00B6340C" w:rsidRPr="00323E08" w:rsidP="00171D2C" w14:paraId="0C67D28B" w14:textId="75CCC152">
      <w:pPr>
        <w:pStyle w:val="ListParagraph"/>
        <w:ind w:left="1440"/>
        <w:contextualSpacing/>
        <w:rPr>
          <w:sz w:val="22"/>
          <w:szCs w:val="22"/>
        </w:rPr>
      </w:pPr>
    </w:p>
    <w:p w:rsidR="00AD484B" w:rsidRPr="00323E08" w:rsidP="00AD484B" w14:paraId="67A6B372" w14:textId="5192D7E1">
      <w:pPr>
        <w:pStyle w:val="ListParagraph"/>
        <w:numPr>
          <w:ilvl w:val="0"/>
          <w:numId w:val="52"/>
        </w:numPr>
        <w:contextualSpacing/>
        <w:rPr>
          <w:sz w:val="22"/>
          <w:szCs w:val="22"/>
        </w:rPr>
      </w:pPr>
      <w:r w:rsidRPr="00323E08">
        <w:rPr>
          <w:sz w:val="22"/>
          <w:szCs w:val="22"/>
        </w:rPr>
        <w:t xml:space="preserve">Amended section 11.55(d) </w:t>
      </w:r>
      <w:r w:rsidRPr="00323E08" w:rsidR="00B267B9">
        <w:rPr>
          <w:sz w:val="22"/>
          <w:szCs w:val="22"/>
        </w:rPr>
        <w:t xml:space="preserve">continues to </w:t>
      </w:r>
      <w:r w:rsidRPr="00323E08">
        <w:rPr>
          <w:sz w:val="22"/>
          <w:szCs w:val="22"/>
        </w:rPr>
        <w:t xml:space="preserve">require </w:t>
      </w:r>
      <w:r w:rsidRPr="00323E08">
        <w:rPr>
          <w:rFonts w:eastAsia="Calibri"/>
          <w:sz w:val="22"/>
          <w:szCs w:val="22"/>
        </w:rPr>
        <w:t>EAS Participant</w:t>
      </w:r>
      <w:r w:rsidRPr="00323E08" w:rsidR="002372D1">
        <w:rPr>
          <w:rFonts w:eastAsia="Calibri"/>
          <w:sz w:val="22"/>
          <w:szCs w:val="22"/>
        </w:rPr>
        <w:t>s</w:t>
      </w:r>
      <w:r w:rsidRPr="00323E08">
        <w:rPr>
          <w:rFonts w:eastAsia="Calibri"/>
          <w:sz w:val="22"/>
          <w:szCs w:val="22"/>
        </w:rPr>
        <w:t xml:space="preserve"> that participate in the State or Local Area EAS, upon receipt of a State or Local Area EAS message that has been formatted in the Common Alerting Protocol and that has event and location header codes indicating that it is a type of message that the EAS Participant normally relays</w:t>
      </w:r>
      <w:r w:rsidRPr="00323E08" w:rsidR="001E5E7A">
        <w:rPr>
          <w:rFonts w:eastAsia="Calibri"/>
          <w:sz w:val="22"/>
          <w:szCs w:val="22"/>
        </w:rPr>
        <w:t>,</w:t>
      </w:r>
      <w:r w:rsidRPr="00323E08" w:rsidR="002372D1">
        <w:rPr>
          <w:rFonts w:eastAsia="Calibri"/>
          <w:sz w:val="22"/>
          <w:szCs w:val="22"/>
        </w:rPr>
        <w:t xml:space="preserve"> to comply with </w:t>
      </w:r>
      <w:r w:rsidRPr="00323E08">
        <w:rPr>
          <w:rFonts w:eastAsia="Calibri"/>
          <w:sz w:val="22"/>
          <w:szCs w:val="22"/>
        </w:rPr>
        <w:t xml:space="preserve">the </w:t>
      </w:r>
      <w:r w:rsidRPr="00323E08" w:rsidR="002372D1">
        <w:rPr>
          <w:sz w:val="22"/>
          <w:szCs w:val="22"/>
        </w:rPr>
        <w:t>rules in sections 11.55(d)(1)-(4).</w:t>
      </w:r>
      <w:r w:rsidRPr="00323E08">
        <w:rPr>
          <w:sz w:val="22"/>
          <w:szCs w:val="22"/>
        </w:rPr>
        <w:t xml:space="preserve"> </w:t>
      </w:r>
    </w:p>
    <w:p w:rsidR="00AD484B" w:rsidRPr="00323E08" w:rsidP="00171D2C" w14:paraId="4AB31466" w14:textId="4701B745">
      <w:pPr>
        <w:pStyle w:val="ListParagraph"/>
        <w:ind w:left="1440"/>
        <w:contextualSpacing/>
        <w:rPr>
          <w:sz w:val="22"/>
          <w:szCs w:val="22"/>
        </w:rPr>
      </w:pPr>
    </w:p>
    <w:p w:rsidR="00954006" w:rsidRPr="00323E08" w:rsidP="00171D2C" w14:paraId="5051AE2A" w14:textId="772A0939">
      <w:pPr>
        <w:pStyle w:val="ListParagraph"/>
        <w:numPr>
          <w:ilvl w:val="0"/>
          <w:numId w:val="52"/>
        </w:numPr>
        <w:spacing w:after="240"/>
        <w:rPr>
          <w:sz w:val="22"/>
          <w:szCs w:val="22"/>
        </w:rPr>
      </w:pPr>
      <w:r w:rsidRPr="00323E08">
        <w:rPr>
          <w:sz w:val="22"/>
          <w:szCs w:val="22"/>
        </w:rPr>
        <w:t>Amended 11.55(d)</w:t>
      </w:r>
      <w:r w:rsidRPr="00323E08" w:rsidR="003F71E5">
        <w:rPr>
          <w:sz w:val="22"/>
          <w:szCs w:val="22"/>
        </w:rPr>
        <w:t>(2)</w:t>
      </w:r>
      <w:r w:rsidRPr="00323E08">
        <w:rPr>
          <w:sz w:val="22"/>
          <w:szCs w:val="22"/>
        </w:rPr>
        <w:t xml:space="preserve"> </w:t>
      </w:r>
      <w:r w:rsidRPr="00323E08" w:rsidR="00B267B9">
        <w:rPr>
          <w:sz w:val="22"/>
          <w:szCs w:val="22"/>
        </w:rPr>
        <w:t xml:space="preserve">continues to </w:t>
      </w:r>
      <w:r w:rsidRPr="00323E08">
        <w:rPr>
          <w:sz w:val="22"/>
          <w:szCs w:val="22"/>
        </w:rPr>
        <w:t xml:space="preserve">require </w:t>
      </w:r>
      <w:r w:rsidRPr="00323E08" w:rsidR="009227F6">
        <w:rPr>
          <w:sz w:val="22"/>
          <w:szCs w:val="22"/>
        </w:rPr>
        <w:t xml:space="preserve">all EAS Participants </w:t>
      </w:r>
      <w:r w:rsidRPr="00323E08">
        <w:rPr>
          <w:rFonts w:eastAsia="Calibri"/>
          <w:sz w:val="22"/>
          <w:szCs w:val="22"/>
        </w:rPr>
        <w:t>to transmit all EAS announcements visually and aurally</w:t>
      </w:r>
      <w:r w:rsidRPr="00323E08" w:rsidR="00B267B9">
        <w:rPr>
          <w:rFonts w:eastAsia="Calibri"/>
          <w:sz w:val="22"/>
          <w:szCs w:val="22"/>
        </w:rPr>
        <w:t>,</w:t>
      </w:r>
      <w:r w:rsidRPr="00323E08">
        <w:rPr>
          <w:rFonts w:eastAsia="Calibri"/>
          <w:sz w:val="22"/>
          <w:szCs w:val="22"/>
        </w:rPr>
        <w:t xml:space="preserve"> as specified in </w:t>
      </w:r>
      <w:r w:rsidRPr="00323E08" w:rsidR="009227F6">
        <w:rPr>
          <w:rFonts w:eastAsia="Calibri"/>
          <w:sz w:val="22"/>
          <w:szCs w:val="22"/>
        </w:rPr>
        <w:t xml:space="preserve">the specific paragraphs of </w:t>
      </w:r>
      <w:r w:rsidRPr="00323E08">
        <w:rPr>
          <w:rFonts w:eastAsia="Calibri"/>
          <w:sz w:val="22"/>
          <w:szCs w:val="22"/>
        </w:rPr>
        <w:t xml:space="preserve">§ 11.51(a) through </w:t>
      </w:r>
      <w:r w:rsidRPr="00323E08" w:rsidR="009227F6">
        <w:rPr>
          <w:rFonts w:eastAsia="Calibri"/>
          <w:sz w:val="22"/>
          <w:szCs w:val="22"/>
        </w:rPr>
        <w:t xml:space="preserve">(j) </w:t>
      </w:r>
      <w:r w:rsidRPr="00323E08">
        <w:rPr>
          <w:rFonts w:eastAsia="Calibri"/>
          <w:sz w:val="22"/>
          <w:szCs w:val="22"/>
        </w:rPr>
        <w:t xml:space="preserve">and </w:t>
      </w:r>
      <w:r w:rsidRPr="00323E08" w:rsidR="00246E5D">
        <w:rPr>
          <w:rFonts w:eastAsia="Calibri"/>
          <w:sz w:val="22"/>
          <w:szCs w:val="22"/>
        </w:rPr>
        <w:t>4</w:t>
      </w:r>
      <w:r w:rsidRPr="00323E08" w:rsidR="001E5E7A">
        <w:rPr>
          <w:rFonts w:eastAsia="Calibri"/>
          <w:sz w:val="22"/>
          <w:szCs w:val="22"/>
        </w:rPr>
        <w:t xml:space="preserve">7 CFR </w:t>
      </w:r>
      <w:r w:rsidRPr="00323E08">
        <w:rPr>
          <w:rFonts w:eastAsia="Calibri"/>
          <w:sz w:val="22"/>
          <w:szCs w:val="22"/>
        </w:rPr>
        <w:t>73.1250(h)</w:t>
      </w:r>
      <w:r w:rsidRPr="00323E08" w:rsidR="009227F6">
        <w:rPr>
          <w:rFonts w:eastAsia="Calibri"/>
          <w:sz w:val="22"/>
          <w:szCs w:val="22"/>
        </w:rPr>
        <w:t xml:space="preserve"> that apply to their </w:t>
      </w:r>
      <w:r w:rsidRPr="00323E08" w:rsidR="00B267B9">
        <w:rPr>
          <w:rFonts w:eastAsia="Calibri"/>
          <w:sz w:val="22"/>
          <w:szCs w:val="22"/>
        </w:rPr>
        <w:t xml:space="preserve">respective </w:t>
      </w:r>
      <w:r w:rsidRPr="00323E08" w:rsidR="009227F6">
        <w:rPr>
          <w:rFonts w:eastAsia="Calibri"/>
          <w:sz w:val="22"/>
          <w:szCs w:val="22"/>
        </w:rPr>
        <w:t>industry categories.</w:t>
      </w:r>
      <w:r w:rsidRPr="00323E08" w:rsidR="00B267B9">
        <w:rPr>
          <w:rFonts w:eastAsia="Calibri"/>
          <w:sz w:val="22"/>
          <w:szCs w:val="22"/>
        </w:rPr>
        <w:t xml:space="preserve">  The rule continues to require </w:t>
      </w:r>
      <w:r w:rsidRPr="00323E08">
        <w:rPr>
          <w:rFonts w:eastAsia="Calibri"/>
          <w:sz w:val="22"/>
          <w:szCs w:val="22"/>
        </w:rPr>
        <w:t xml:space="preserve">EAS Participants providing foreign language programming </w:t>
      </w:r>
      <w:r w:rsidRPr="00323E08" w:rsidR="00B267B9">
        <w:rPr>
          <w:rFonts w:eastAsia="Calibri"/>
          <w:sz w:val="22"/>
          <w:szCs w:val="22"/>
        </w:rPr>
        <w:t xml:space="preserve">to </w:t>
      </w:r>
      <w:r w:rsidRPr="00323E08">
        <w:rPr>
          <w:rFonts w:eastAsia="Calibri"/>
          <w:sz w:val="22"/>
          <w:szCs w:val="22"/>
        </w:rPr>
        <w:t xml:space="preserve">transmit all EAS announcements in the same language as the primary language of </w:t>
      </w:r>
      <w:r w:rsidRPr="00323E08" w:rsidR="009227F6">
        <w:rPr>
          <w:rFonts w:eastAsia="Calibri"/>
          <w:sz w:val="22"/>
          <w:szCs w:val="22"/>
        </w:rPr>
        <w:t xml:space="preserve">their programming. </w:t>
      </w:r>
    </w:p>
    <w:p w:rsidR="00E952FD" w:rsidRPr="00323E08" w:rsidP="00171D2C" w14:paraId="479DE8DD" w14:textId="11F200E5">
      <w:pPr>
        <w:pStyle w:val="ListParagraph"/>
        <w:numPr>
          <w:ilvl w:val="0"/>
          <w:numId w:val="59"/>
        </w:numPr>
        <w:ind w:left="1080"/>
        <w:contextualSpacing/>
        <w:rPr>
          <w:sz w:val="22"/>
          <w:szCs w:val="22"/>
        </w:rPr>
      </w:pPr>
      <w:r w:rsidRPr="00323E08">
        <w:rPr>
          <w:rFonts w:eastAsia="Calibri"/>
          <w:b/>
          <w:bCs/>
          <w:sz w:val="22"/>
          <w:szCs w:val="22"/>
        </w:rPr>
        <w:t>§ 11.61 Tests of EAS Procedures</w:t>
      </w:r>
    </w:p>
    <w:p w:rsidR="008A0104" w:rsidRPr="00323E08" w:rsidP="00171D2C" w14:paraId="424E40C5" w14:textId="77777777">
      <w:pPr>
        <w:pStyle w:val="ListParagraph"/>
        <w:ind w:left="1440"/>
        <w:contextualSpacing/>
        <w:rPr>
          <w:sz w:val="22"/>
          <w:szCs w:val="22"/>
        </w:rPr>
      </w:pPr>
    </w:p>
    <w:p w:rsidR="00B6340C" w:rsidRPr="00323E08" w:rsidP="00B6340C" w14:paraId="3141F49D" w14:textId="6B579EAB">
      <w:pPr>
        <w:pStyle w:val="ListParagraph"/>
        <w:numPr>
          <w:ilvl w:val="0"/>
          <w:numId w:val="52"/>
        </w:numPr>
        <w:contextualSpacing/>
        <w:rPr>
          <w:sz w:val="22"/>
          <w:szCs w:val="22"/>
        </w:rPr>
      </w:pPr>
      <w:r w:rsidRPr="00323E08">
        <w:rPr>
          <w:sz w:val="22"/>
          <w:szCs w:val="22"/>
        </w:rPr>
        <w:t xml:space="preserve">New section 11.61(a)(1)(iv) </w:t>
      </w:r>
      <w:r w:rsidRPr="00323E08" w:rsidR="0086765B">
        <w:rPr>
          <w:sz w:val="22"/>
          <w:szCs w:val="22"/>
        </w:rPr>
        <w:t>requires EAS Participant</w:t>
      </w:r>
      <w:r w:rsidRPr="00323E08" w:rsidR="00341621">
        <w:rPr>
          <w:sz w:val="22"/>
          <w:szCs w:val="22"/>
        </w:rPr>
        <w:t>s</w:t>
      </w:r>
      <w:r w:rsidRPr="00323E08" w:rsidR="0086765B">
        <w:rPr>
          <w:sz w:val="22"/>
          <w:szCs w:val="22"/>
        </w:rPr>
        <w:t xml:space="preserve"> to follow the</w:t>
      </w:r>
      <w:r w:rsidRPr="00323E08" w:rsidR="00FA1ED8">
        <w:rPr>
          <w:sz w:val="22"/>
          <w:szCs w:val="22"/>
        </w:rPr>
        <w:t xml:space="preserve"> rules in sections 11.55(c)(1)-(3)</w:t>
      </w:r>
      <w:r w:rsidRPr="00323E08" w:rsidR="00341621">
        <w:rPr>
          <w:sz w:val="22"/>
          <w:szCs w:val="22"/>
        </w:rPr>
        <w:t>,</w:t>
      </w:r>
      <w:r w:rsidRPr="00323E08" w:rsidR="00FA1ED8">
        <w:rPr>
          <w:sz w:val="22"/>
          <w:szCs w:val="22"/>
        </w:rPr>
        <w:t xml:space="preserve"> which include the new CAP polling and prioritization requirements, </w:t>
      </w:r>
      <w:r w:rsidRPr="00323E08" w:rsidR="00FA1ED8">
        <w:rPr>
          <w:rFonts w:eastAsia="Calibri"/>
          <w:sz w:val="22"/>
          <w:szCs w:val="22"/>
        </w:rPr>
        <w:t>upon receipt of an EAS message in the EAS Protocol format with the Required Monthly Test (RMT) event code</w:t>
      </w:r>
      <w:r w:rsidRPr="00323E08">
        <w:rPr>
          <w:sz w:val="22"/>
          <w:szCs w:val="22"/>
        </w:rPr>
        <w:t xml:space="preserve">.  </w:t>
      </w:r>
    </w:p>
    <w:p w:rsidR="009330D5" w:rsidRPr="00323E08" w:rsidP="009330D5" w14:paraId="37EF9284" w14:textId="4EF17A38">
      <w:pPr>
        <w:contextualSpacing/>
        <w:rPr>
          <w:sz w:val="22"/>
          <w:szCs w:val="22"/>
        </w:rPr>
      </w:pPr>
    </w:p>
    <w:p w:rsidR="00D05097" w:rsidRPr="00323E08" w:rsidP="00171D2C" w14:paraId="20EA859F" w14:textId="77B5CB90">
      <w:pPr>
        <w:pStyle w:val="ListParagraph"/>
        <w:numPr>
          <w:ilvl w:val="0"/>
          <w:numId w:val="56"/>
        </w:numPr>
        <w:contextualSpacing/>
        <w:rPr>
          <w:b/>
          <w:bCs/>
          <w:sz w:val="22"/>
          <w:szCs w:val="22"/>
        </w:rPr>
      </w:pPr>
      <w:r w:rsidRPr="00323E08">
        <w:rPr>
          <w:b/>
          <w:bCs/>
          <w:sz w:val="22"/>
          <w:szCs w:val="22"/>
        </w:rPr>
        <w:t xml:space="preserve">EAS </w:t>
      </w:r>
      <w:r w:rsidRPr="00323E08" w:rsidR="00D46D53">
        <w:rPr>
          <w:b/>
          <w:bCs/>
          <w:sz w:val="22"/>
          <w:szCs w:val="22"/>
        </w:rPr>
        <w:t xml:space="preserve">Originator and National </w:t>
      </w:r>
      <w:r w:rsidRPr="00323E08">
        <w:rPr>
          <w:b/>
          <w:bCs/>
          <w:sz w:val="22"/>
          <w:szCs w:val="22"/>
        </w:rPr>
        <w:t xml:space="preserve">Alert </w:t>
      </w:r>
      <w:r w:rsidRPr="00323E08" w:rsidR="00D46D53">
        <w:rPr>
          <w:b/>
          <w:bCs/>
          <w:sz w:val="22"/>
          <w:szCs w:val="22"/>
        </w:rPr>
        <w:t>Code Revisions</w:t>
      </w:r>
      <w:r w:rsidRPr="00323E08" w:rsidR="00513659">
        <w:rPr>
          <w:b/>
          <w:bCs/>
          <w:sz w:val="22"/>
          <w:szCs w:val="22"/>
        </w:rPr>
        <w:t xml:space="preserve"> and </w:t>
      </w:r>
      <w:r w:rsidRPr="00323E08" w:rsidR="00513659">
        <w:rPr>
          <w:b/>
          <w:iCs/>
          <w:sz w:val="22"/>
          <w:szCs w:val="22"/>
        </w:rPr>
        <w:t>Visual Message Display</w:t>
      </w:r>
      <w:r w:rsidRPr="00323E08">
        <w:rPr>
          <w:b/>
          <w:bCs/>
          <w:sz w:val="22"/>
          <w:szCs w:val="22"/>
        </w:rPr>
        <w:t xml:space="preserve"> </w:t>
      </w:r>
      <w:r w:rsidRPr="00323E08" w:rsidR="00143C51">
        <w:rPr>
          <w:rFonts w:cs="TimesNewRoman"/>
          <w:b/>
          <w:bCs/>
          <w:sz w:val="22"/>
          <w:szCs w:val="22"/>
        </w:rPr>
        <w:t>(</w:t>
      </w:r>
      <w:r w:rsidRPr="00323E08" w:rsidR="00143C51">
        <w:rPr>
          <w:b/>
          <w:sz w:val="22"/>
          <w:szCs w:val="22"/>
        </w:rPr>
        <w:t>47</w:t>
      </w:r>
      <w:r w:rsidRPr="00323E08" w:rsidR="00530FA8">
        <w:rPr>
          <w:b/>
          <w:sz w:val="22"/>
          <w:szCs w:val="22"/>
        </w:rPr>
        <w:t> </w:t>
      </w:r>
      <w:r w:rsidRPr="00323E08" w:rsidR="00143C51">
        <w:rPr>
          <w:b/>
          <w:sz w:val="22"/>
          <w:szCs w:val="22"/>
        </w:rPr>
        <w:t xml:space="preserve">CFR §§ </w:t>
      </w:r>
      <w:r w:rsidRPr="00323E08" w:rsidR="00143C51">
        <w:rPr>
          <w:b/>
          <w:bCs/>
          <w:sz w:val="22"/>
          <w:szCs w:val="22"/>
        </w:rPr>
        <w:t>11.31, 11.51)</w:t>
      </w:r>
    </w:p>
    <w:p w:rsidR="00D05097" w:rsidRPr="00323E08" w:rsidP="009330D5" w14:paraId="660FC0EB" w14:textId="77777777">
      <w:pPr>
        <w:contextualSpacing/>
        <w:rPr>
          <w:sz w:val="22"/>
          <w:szCs w:val="22"/>
        </w:rPr>
      </w:pPr>
    </w:p>
    <w:p w:rsidR="0000099C" w:rsidRPr="00323E08" w:rsidP="00171D2C" w14:paraId="28B88628" w14:textId="77777777">
      <w:pPr>
        <w:pStyle w:val="ParaNum"/>
        <w:numPr>
          <w:ilvl w:val="0"/>
          <w:numId w:val="57"/>
        </w:numPr>
        <w:tabs>
          <w:tab w:val="left" w:pos="1080"/>
        </w:tabs>
        <w:spacing w:after="0"/>
        <w:ind w:left="1080"/>
        <w:rPr>
          <w:szCs w:val="22"/>
        </w:rPr>
      </w:pPr>
      <w:r w:rsidRPr="00323E08">
        <w:rPr>
          <w:rFonts w:eastAsia="Calibri"/>
          <w:b/>
          <w:bCs/>
          <w:snapToGrid/>
          <w:kern w:val="0"/>
          <w:szCs w:val="22"/>
        </w:rPr>
        <w:t>§ 11.31 EAS Protocol</w:t>
      </w:r>
    </w:p>
    <w:p w:rsidR="0000099C" w:rsidRPr="00323E08" w:rsidP="0000099C" w14:paraId="6165C697" w14:textId="77777777">
      <w:pPr>
        <w:pStyle w:val="ParaNum"/>
        <w:numPr>
          <w:ilvl w:val="0"/>
          <w:numId w:val="0"/>
        </w:numPr>
        <w:tabs>
          <w:tab w:val="left" w:pos="1440"/>
        </w:tabs>
        <w:spacing w:after="0"/>
        <w:ind w:left="720"/>
        <w:rPr>
          <w:szCs w:val="22"/>
        </w:rPr>
      </w:pPr>
    </w:p>
    <w:p w:rsidR="0000099C" w:rsidRPr="00323E08" w:rsidP="00171D2C" w14:paraId="227E53F8" w14:textId="46F67DFA">
      <w:pPr>
        <w:pStyle w:val="ParaNum"/>
        <w:numPr>
          <w:ilvl w:val="0"/>
          <w:numId w:val="61"/>
        </w:numPr>
        <w:tabs>
          <w:tab w:val="left" w:pos="1440"/>
        </w:tabs>
        <w:spacing w:after="0"/>
        <w:rPr>
          <w:b/>
          <w:szCs w:val="22"/>
        </w:rPr>
      </w:pPr>
      <w:r w:rsidRPr="00323E08">
        <w:rPr>
          <w:b/>
          <w:bCs/>
          <w:szCs w:val="22"/>
        </w:rPr>
        <w:t>Originator Code Revision</w:t>
      </w:r>
      <w:r w:rsidRPr="00323E08" w:rsidR="00076F47">
        <w:rPr>
          <w:b/>
          <w:bCs/>
          <w:szCs w:val="22"/>
        </w:rPr>
        <w:t>s</w:t>
      </w:r>
      <w:r w:rsidRPr="00323E08" w:rsidR="00D46D53">
        <w:rPr>
          <w:b/>
          <w:bCs/>
          <w:szCs w:val="22"/>
        </w:rPr>
        <w:t xml:space="preserve"> </w:t>
      </w:r>
      <w:r w:rsidRPr="00323E08" w:rsidR="00D46D53">
        <w:rPr>
          <w:b/>
          <w:szCs w:val="22"/>
        </w:rPr>
        <w:t>(47 CFR § 11.31(d))</w:t>
      </w:r>
    </w:p>
    <w:p w:rsidR="00D46D53" w:rsidRPr="00323E08" w:rsidP="00D46D53" w14:paraId="25FEF865" w14:textId="03099B49">
      <w:pPr>
        <w:pStyle w:val="ParaNum"/>
        <w:numPr>
          <w:ilvl w:val="0"/>
          <w:numId w:val="0"/>
        </w:numPr>
        <w:tabs>
          <w:tab w:val="left" w:pos="1440"/>
        </w:tabs>
        <w:spacing w:after="0"/>
        <w:ind w:left="720"/>
        <w:rPr>
          <w:szCs w:val="22"/>
        </w:rPr>
      </w:pPr>
    </w:p>
    <w:p w:rsidR="00B453BA" w:rsidRPr="00323E08" w:rsidP="0028473E" w14:paraId="2296E8A8" w14:textId="6955FAD3">
      <w:pPr>
        <w:pStyle w:val="ParaNum"/>
        <w:numPr>
          <w:ilvl w:val="0"/>
          <w:numId w:val="0"/>
        </w:numPr>
        <w:tabs>
          <w:tab w:val="left" w:pos="1440"/>
        </w:tabs>
        <w:spacing w:after="0"/>
        <w:ind w:left="1080"/>
        <w:rPr>
          <w:szCs w:val="22"/>
        </w:rPr>
      </w:pPr>
      <w:r w:rsidRPr="00323E08">
        <w:rPr>
          <w:szCs w:val="22"/>
        </w:rPr>
        <w:t xml:space="preserve">The new and amended rules </w:t>
      </w:r>
      <w:r w:rsidRPr="00323E08" w:rsidR="00E17573">
        <w:rPr>
          <w:szCs w:val="22"/>
        </w:rPr>
        <w:t>modif</w:t>
      </w:r>
      <w:r w:rsidRPr="00323E08" w:rsidR="00E414F4">
        <w:rPr>
          <w:szCs w:val="22"/>
        </w:rPr>
        <w:t>y</w:t>
      </w:r>
      <w:r w:rsidRPr="00323E08" w:rsidR="00E17573">
        <w:rPr>
          <w:szCs w:val="22"/>
        </w:rPr>
        <w:t xml:space="preserve"> or </w:t>
      </w:r>
      <w:r w:rsidRPr="00323E08">
        <w:rPr>
          <w:szCs w:val="22"/>
        </w:rPr>
        <w:t xml:space="preserve">eliminate </w:t>
      </w:r>
      <w:r w:rsidRPr="00323E08" w:rsidR="001B5A38">
        <w:rPr>
          <w:szCs w:val="22"/>
        </w:rPr>
        <w:t xml:space="preserve">certain specified </w:t>
      </w:r>
      <w:r w:rsidRPr="00323E08">
        <w:rPr>
          <w:szCs w:val="22"/>
        </w:rPr>
        <w:t>authorized alert originator code</w:t>
      </w:r>
      <w:r w:rsidRPr="00323E08" w:rsidR="00E17573">
        <w:rPr>
          <w:szCs w:val="22"/>
        </w:rPr>
        <w:t>s</w:t>
      </w:r>
      <w:r w:rsidRPr="00323E08">
        <w:rPr>
          <w:szCs w:val="22"/>
        </w:rPr>
        <w:t xml:space="preserve"> and establish the </w:t>
      </w:r>
      <w:r w:rsidRPr="00323E08" w:rsidR="00695B91">
        <w:rPr>
          <w:szCs w:val="22"/>
        </w:rPr>
        <w:t>compliance deadline</w:t>
      </w:r>
      <w:r w:rsidRPr="00323E08" w:rsidR="001B5A38">
        <w:rPr>
          <w:szCs w:val="22"/>
        </w:rPr>
        <w:t>s</w:t>
      </w:r>
      <w:r w:rsidRPr="00323E08" w:rsidR="00695B91">
        <w:rPr>
          <w:szCs w:val="22"/>
        </w:rPr>
        <w:t xml:space="preserve"> for </w:t>
      </w:r>
      <w:r w:rsidRPr="00323E08">
        <w:rPr>
          <w:szCs w:val="22"/>
        </w:rPr>
        <w:t xml:space="preserve">EAS </w:t>
      </w:r>
      <w:r w:rsidRPr="00323E08" w:rsidR="007422C0">
        <w:rPr>
          <w:szCs w:val="22"/>
        </w:rPr>
        <w:t>Participants</w:t>
      </w:r>
      <w:r w:rsidRPr="00323E08" w:rsidR="00695B91">
        <w:rPr>
          <w:szCs w:val="22"/>
        </w:rPr>
        <w:t xml:space="preserve"> to discontinue use of the eliminated code</w:t>
      </w:r>
      <w:r w:rsidRPr="00323E08" w:rsidR="001B5A38">
        <w:rPr>
          <w:szCs w:val="22"/>
        </w:rPr>
        <w:t>s</w:t>
      </w:r>
      <w:r w:rsidRPr="00323E08" w:rsidR="00695B91">
        <w:rPr>
          <w:szCs w:val="22"/>
        </w:rPr>
        <w:t>.</w:t>
      </w:r>
      <w:r w:rsidRPr="00323E08">
        <w:rPr>
          <w:szCs w:val="22"/>
        </w:rPr>
        <w:t xml:space="preserve"> </w:t>
      </w:r>
    </w:p>
    <w:p w:rsidR="00B453BA" w:rsidRPr="00323E08" w:rsidP="00D46D53" w14:paraId="5BA7F837" w14:textId="77777777">
      <w:pPr>
        <w:pStyle w:val="ParaNum"/>
        <w:numPr>
          <w:ilvl w:val="0"/>
          <w:numId w:val="0"/>
        </w:numPr>
        <w:tabs>
          <w:tab w:val="left" w:pos="1440"/>
        </w:tabs>
        <w:spacing w:after="0"/>
        <w:ind w:left="720"/>
        <w:rPr>
          <w:szCs w:val="22"/>
        </w:rPr>
      </w:pPr>
    </w:p>
    <w:p w:rsidR="00E17573" w:rsidRPr="00323E08" w:rsidP="007422C0" w14:paraId="785AE0D0" w14:textId="7B58CF2A">
      <w:pPr>
        <w:pStyle w:val="ParaNum"/>
        <w:numPr>
          <w:ilvl w:val="0"/>
          <w:numId w:val="58"/>
        </w:numPr>
        <w:tabs>
          <w:tab w:val="left" w:pos="1440"/>
        </w:tabs>
        <w:spacing w:after="0"/>
        <w:rPr>
          <w:bCs/>
          <w:iCs/>
          <w:szCs w:val="22"/>
        </w:rPr>
      </w:pPr>
      <w:r w:rsidRPr="00323E08">
        <w:rPr>
          <w:rFonts w:cs="TimesNewRoman"/>
          <w:szCs w:val="22"/>
        </w:rPr>
        <w:t xml:space="preserve">Amended rule </w:t>
      </w:r>
      <w:r w:rsidRPr="00323E08">
        <w:rPr>
          <w:bCs/>
          <w:iCs/>
          <w:szCs w:val="22"/>
        </w:rPr>
        <w:t xml:space="preserve">11.31(d)(1) </w:t>
      </w:r>
      <w:r w:rsidRPr="00323E08">
        <w:rPr>
          <w:bCs/>
          <w:iCs/>
          <w:szCs w:val="22"/>
        </w:rPr>
        <w:t xml:space="preserve">makes the following </w:t>
      </w:r>
      <w:r w:rsidRPr="00323E08" w:rsidR="001600A3">
        <w:rPr>
          <w:bCs/>
          <w:iCs/>
          <w:szCs w:val="22"/>
        </w:rPr>
        <w:t>revision</w:t>
      </w:r>
      <w:r w:rsidRPr="00323E08" w:rsidR="00311DD0">
        <w:rPr>
          <w:bCs/>
          <w:iCs/>
          <w:szCs w:val="22"/>
        </w:rPr>
        <w:t>s</w:t>
      </w:r>
      <w:r w:rsidRPr="00323E08">
        <w:rPr>
          <w:bCs/>
          <w:iCs/>
          <w:szCs w:val="22"/>
        </w:rPr>
        <w:t xml:space="preserve">: </w:t>
      </w:r>
    </w:p>
    <w:p w:rsidR="00E17573" w:rsidRPr="00323E08" w:rsidP="00171D2C" w14:paraId="5CA6801A" w14:textId="77777777">
      <w:pPr>
        <w:pStyle w:val="ParaNum"/>
        <w:numPr>
          <w:ilvl w:val="0"/>
          <w:numId w:val="0"/>
        </w:numPr>
        <w:tabs>
          <w:tab w:val="left" w:pos="1440"/>
        </w:tabs>
        <w:spacing w:after="0"/>
        <w:ind w:left="2160"/>
        <w:rPr>
          <w:bCs/>
          <w:iCs/>
          <w:szCs w:val="22"/>
        </w:rPr>
      </w:pPr>
    </w:p>
    <w:p w:rsidR="00D46D53" w:rsidRPr="00323E08" w:rsidP="00171D2C" w14:paraId="65910B0E" w14:textId="4C18818D">
      <w:pPr>
        <w:pStyle w:val="ParaNum"/>
        <w:numPr>
          <w:ilvl w:val="1"/>
          <w:numId w:val="58"/>
        </w:numPr>
        <w:tabs>
          <w:tab w:val="left" w:pos="1440"/>
        </w:tabs>
        <w:spacing w:after="0"/>
        <w:rPr>
          <w:bCs/>
          <w:iCs/>
          <w:szCs w:val="22"/>
        </w:rPr>
      </w:pPr>
      <w:r w:rsidRPr="00323E08">
        <w:rPr>
          <w:bCs/>
          <w:iCs/>
          <w:szCs w:val="22"/>
        </w:rPr>
        <w:t>R</w:t>
      </w:r>
      <w:r w:rsidRPr="00323E08">
        <w:rPr>
          <w:bCs/>
          <w:iCs/>
          <w:szCs w:val="22"/>
        </w:rPr>
        <w:t xml:space="preserve">emoves the “National Information Center” (NIC) as an authorized alert originator.  </w:t>
      </w:r>
    </w:p>
    <w:p w:rsidR="00E17573" w:rsidRPr="00323E08" w:rsidP="00171D2C" w14:paraId="00D90CE1" w14:textId="77777777">
      <w:pPr>
        <w:pStyle w:val="ParaNum"/>
        <w:numPr>
          <w:ilvl w:val="0"/>
          <w:numId w:val="0"/>
        </w:numPr>
        <w:tabs>
          <w:tab w:val="left" w:pos="1440"/>
        </w:tabs>
        <w:spacing w:after="0"/>
        <w:ind w:left="1440"/>
        <w:rPr>
          <w:bCs/>
          <w:iCs/>
          <w:szCs w:val="22"/>
        </w:rPr>
      </w:pPr>
    </w:p>
    <w:p w:rsidR="00E17573" w:rsidRPr="00323E08" w:rsidP="00171D2C" w14:paraId="17909B0E" w14:textId="60F73956">
      <w:pPr>
        <w:pStyle w:val="ParaNum"/>
        <w:numPr>
          <w:ilvl w:val="1"/>
          <w:numId w:val="58"/>
        </w:numPr>
        <w:tabs>
          <w:tab w:val="left" w:pos="1440"/>
        </w:tabs>
        <w:spacing w:after="0"/>
        <w:rPr>
          <w:bCs/>
          <w:iCs/>
          <w:szCs w:val="22"/>
        </w:rPr>
      </w:pPr>
      <w:r w:rsidRPr="00323E08">
        <w:rPr>
          <w:szCs w:val="22"/>
        </w:rPr>
        <w:t xml:space="preserve">Changes </w:t>
      </w:r>
      <w:r w:rsidRPr="00323E08">
        <w:rPr>
          <w:rFonts w:cs="TimesNewRoman"/>
          <w:szCs w:val="22"/>
        </w:rPr>
        <w:t xml:space="preserve">the name of the PEP nationwide originator code from “Primary Entry Point System” to “United States Government.”  </w:t>
      </w:r>
    </w:p>
    <w:p w:rsidR="00D46D53" w:rsidRPr="00323E08" w:rsidP="00D46D53" w14:paraId="15E515CE" w14:textId="77777777">
      <w:pPr>
        <w:pStyle w:val="ParaNum"/>
        <w:numPr>
          <w:ilvl w:val="0"/>
          <w:numId w:val="0"/>
        </w:numPr>
        <w:tabs>
          <w:tab w:val="left" w:pos="1440"/>
        </w:tabs>
        <w:spacing w:after="0"/>
        <w:ind w:left="720"/>
        <w:rPr>
          <w:bCs/>
          <w:iCs/>
          <w:szCs w:val="22"/>
        </w:rPr>
      </w:pPr>
    </w:p>
    <w:p w:rsidR="00D46D53" w:rsidRPr="00323E08" w:rsidP="00171D2C" w14:paraId="418BFFDA" w14:textId="0D104FA3">
      <w:pPr>
        <w:pStyle w:val="ParaNum"/>
        <w:numPr>
          <w:ilvl w:val="0"/>
          <w:numId w:val="58"/>
        </w:numPr>
        <w:tabs>
          <w:tab w:val="left" w:pos="1440"/>
        </w:tabs>
        <w:spacing w:after="0"/>
        <w:rPr>
          <w:rFonts w:cs="TimesNewRoman"/>
          <w:szCs w:val="22"/>
        </w:rPr>
      </w:pPr>
      <w:r w:rsidRPr="00323E08">
        <w:rPr>
          <w:bCs/>
          <w:iCs/>
          <w:szCs w:val="22"/>
        </w:rPr>
        <w:t xml:space="preserve">New rule 11.31(d)(2) requires EAS participants to discontinue use of the NIC originator code </w:t>
      </w:r>
      <w:r w:rsidRPr="00323E08" w:rsidR="00341621">
        <w:rPr>
          <w:bCs/>
          <w:iCs/>
          <w:szCs w:val="22"/>
        </w:rPr>
        <w:t xml:space="preserve">by </w:t>
      </w:r>
      <w:r w:rsidRPr="00323E08" w:rsidR="000419B9">
        <w:rPr>
          <w:szCs w:val="22"/>
        </w:rPr>
        <w:t xml:space="preserve">no later than 13 months after publication of the </w:t>
      </w:r>
      <w:r w:rsidRPr="00323E08" w:rsidR="000419B9">
        <w:rPr>
          <w:i/>
          <w:iCs/>
          <w:szCs w:val="22"/>
        </w:rPr>
        <w:t>Order</w:t>
      </w:r>
      <w:r w:rsidRPr="00323E08" w:rsidR="000419B9">
        <w:rPr>
          <w:szCs w:val="22"/>
        </w:rPr>
        <w:t xml:space="preserve"> in the Federal Register</w:t>
      </w:r>
      <w:r w:rsidRPr="00323E08">
        <w:rPr>
          <w:rFonts w:cs="TimesNewRoman"/>
          <w:szCs w:val="22"/>
        </w:rPr>
        <w:t xml:space="preserve">.   </w:t>
      </w:r>
    </w:p>
    <w:p w:rsidR="00BC4CD0" w:rsidRPr="00323E08" w:rsidP="00171D2C" w14:paraId="2F63C8F1" w14:textId="77777777">
      <w:pPr>
        <w:pStyle w:val="ListParagraph"/>
        <w:rPr>
          <w:b/>
          <w:iCs/>
          <w:sz w:val="22"/>
          <w:szCs w:val="22"/>
        </w:rPr>
      </w:pPr>
    </w:p>
    <w:p w:rsidR="00076F47" w:rsidRPr="00323E08" w:rsidP="00171D2C" w14:paraId="50078434" w14:textId="6E5E1117">
      <w:pPr>
        <w:pStyle w:val="ListParagraph"/>
        <w:numPr>
          <w:ilvl w:val="0"/>
          <w:numId w:val="61"/>
        </w:numPr>
        <w:rPr>
          <w:b/>
          <w:iCs/>
          <w:sz w:val="22"/>
          <w:szCs w:val="22"/>
        </w:rPr>
      </w:pPr>
      <w:r w:rsidRPr="00323E08">
        <w:rPr>
          <w:b/>
          <w:iCs/>
          <w:sz w:val="22"/>
          <w:szCs w:val="22"/>
        </w:rPr>
        <w:t>Authorized Event Code Revisions</w:t>
      </w:r>
      <w:r w:rsidRPr="00323E08" w:rsidR="00160ECA">
        <w:rPr>
          <w:b/>
          <w:iCs/>
          <w:sz w:val="22"/>
          <w:szCs w:val="22"/>
        </w:rPr>
        <w:t xml:space="preserve"> (</w:t>
      </w:r>
      <w:r w:rsidRPr="00323E08" w:rsidR="00160ECA">
        <w:rPr>
          <w:b/>
          <w:sz w:val="22"/>
          <w:szCs w:val="22"/>
        </w:rPr>
        <w:t>47 CFR § 11.31(e))</w:t>
      </w:r>
    </w:p>
    <w:p w:rsidR="00076F47" w:rsidRPr="00323E08" w:rsidP="001600A3" w14:paraId="5823BBC0" w14:textId="1D2379C6">
      <w:pPr>
        <w:pStyle w:val="ListParagraph"/>
        <w:rPr>
          <w:b/>
          <w:iCs/>
          <w:sz w:val="22"/>
          <w:szCs w:val="22"/>
        </w:rPr>
      </w:pPr>
    </w:p>
    <w:p w:rsidR="00160ECA" w:rsidRPr="00323E08" w:rsidP="0028473E" w14:paraId="33B5138C" w14:textId="45CBDE1B">
      <w:pPr>
        <w:pStyle w:val="ParaNum"/>
        <w:numPr>
          <w:ilvl w:val="0"/>
          <w:numId w:val="0"/>
        </w:numPr>
        <w:tabs>
          <w:tab w:val="left" w:pos="1440"/>
        </w:tabs>
        <w:spacing w:after="0"/>
        <w:ind w:left="1080"/>
        <w:rPr>
          <w:rFonts w:cs="TimesNewRoman"/>
          <w:szCs w:val="22"/>
        </w:rPr>
      </w:pPr>
      <w:r w:rsidRPr="00323E08">
        <w:rPr>
          <w:rFonts w:cs="TimesNewRoman"/>
          <w:szCs w:val="22"/>
        </w:rPr>
        <w:t>The new and amended rules require</w:t>
      </w:r>
      <w:r w:rsidRPr="00323E08">
        <w:rPr>
          <w:bCs/>
          <w:iCs/>
          <w:szCs w:val="22"/>
        </w:rPr>
        <w:t xml:space="preserve"> EAS participants to </w:t>
      </w:r>
      <w:r w:rsidRPr="00323E08">
        <w:rPr>
          <w:szCs w:val="22"/>
        </w:rPr>
        <w:t xml:space="preserve">update their equipment to </w:t>
      </w:r>
      <w:r w:rsidRPr="00323E08">
        <w:rPr>
          <w:bCs/>
          <w:iCs/>
          <w:szCs w:val="22"/>
        </w:rPr>
        <w:t xml:space="preserve">change the displayed alert text </w:t>
      </w:r>
      <w:r w:rsidRPr="00323E08">
        <w:rPr>
          <w:rFonts w:cs="TimesNewRoman"/>
          <w:szCs w:val="22"/>
        </w:rPr>
        <w:t xml:space="preserve">to reflect changes to the </w:t>
      </w:r>
      <w:r w:rsidRPr="00323E08" w:rsidR="001B5A38">
        <w:rPr>
          <w:rFonts w:cs="TimesNewRoman"/>
          <w:szCs w:val="22"/>
        </w:rPr>
        <w:t xml:space="preserve">names of three </w:t>
      </w:r>
      <w:r w:rsidRPr="00323E08">
        <w:rPr>
          <w:rFonts w:cs="TimesNewRoman"/>
          <w:szCs w:val="22"/>
        </w:rPr>
        <w:t>authorized event code</w:t>
      </w:r>
      <w:r w:rsidRPr="00323E08" w:rsidR="001B5A38">
        <w:rPr>
          <w:rFonts w:cs="TimesNewRoman"/>
          <w:szCs w:val="22"/>
        </w:rPr>
        <w:t>s</w:t>
      </w:r>
      <w:r w:rsidRPr="00323E08">
        <w:rPr>
          <w:rFonts w:cs="TimesNewRoman"/>
          <w:szCs w:val="22"/>
        </w:rPr>
        <w:t xml:space="preserve"> adopted in the </w:t>
      </w:r>
      <w:r w:rsidRPr="00323E08">
        <w:rPr>
          <w:rFonts w:cs="TimesNewRoman"/>
          <w:i/>
          <w:iCs/>
          <w:szCs w:val="22"/>
        </w:rPr>
        <w:t>Order.</w:t>
      </w:r>
      <w:r w:rsidRPr="00323E08">
        <w:rPr>
          <w:rFonts w:cs="TimesNewRoman"/>
          <w:szCs w:val="22"/>
        </w:rPr>
        <w:t xml:space="preserve"> </w:t>
      </w:r>
    </w:p>
    <w:p w:rsidR="00160ECA" w:rsidRPr="00323E08" w:rsidP="001600A3" w14:paraId="750369D5" w14:textId="77777777">
      <w:pPr>
        <w:pStyle w:val="ListParagraph"/>
        <w:rPr>
          <w:b/>
          <w:iCs/>
          <w:sz w:val="22"/>
          <w:szCs w:val="22"/>
        </w:rPr>
      </w:pPr>
    </w:p>
    <w:p w:rsidR="00311DD0" w:rsidRPr="00323E08" w:rsidP="00B958E7" w14:paraId="5F5736E0" w14:textId="77777777">
      <w:pPr>
        <w:pStyle w:val="ParaNum"/>
        <w:numPr>
          <w:ilvl w:val="0"/>
          <w:numId w:val="58"/>
        </w:numPr>
        <w:tabs>
          <w:tab w:val="left" w:pos="1440"/>
        </w:tabs>
        <w:spacing w:after="0"/>
        <w:rPr>
          <w:szCs w:val="22"/>
        </w:rPr>
      </w:pPr>
      <w:r w:rsidRPr="00323E08">
        <w:rPr>
          <w:szCs w:val="22"/>
        </w:rPr>
        <w:t xml:space="preserve">Amended section 11.31(e) </w:t>
      </w:r>
      <w:r w:rsidRPr="00323E08">
        <w:rPr>
          <w:bCs/>
          <w:iCs/>
          <w:szCs w:val="22"/>
        </w:rPr>
        <w:t xml:space="preserve">makes the following revisions: </w:t>
      </w:r>
    </w:p>
    <w:p w:rsidR="00311DD0" w:rsidRPr="00323E08" w:rsidP="00171D2C" w14:paraId="64B344F9" w14:textId="77777777">
      <w:pPr>
        <w:pStyle w:val="ParaNum"/>
        <w:numPr>
          <w:ilvl w:val="0"/>
          <w:numId w:val="0"/>
        </w:numPr>
        <w:tabs>
          <w:tab w:val="left" w:pos="1440"/>
        </w:tabs>
        <w:spacing w:after="0"/>
        <w:ind w:left="1440"/>
        <w:rPr>
          <w:szCs w:val="22"/>
        </w:rPr>
      </w:pPr>
      <w:r w:rsidRPr="00323E08">
        <w:rPr>
          <w:bCs/>
          <w:iCs/>
          <w:szCs w:val="22"/>
        </w:rPr>
        <w:t xml:space="preserve"> </w:t>
      </w:r>
    </w:p>
    <w:p w:rsidR="00B958E7" w:rsidRPr="00323E08" w:rsidP="00171D2C" w14:paraId="06B5EBA7" w14:textId="2C7E6178">
      <w:pPr>
        <w:pStyle w:val="ParaNum"/>
        <w:numPr>
          <w:ilvl w:val="1"/>
          <w:numId w:val="58"/>
        </w:numPr>
        <w:tabs>
          <w:tab w:val="left" w:pos="1440"/>
        </w:tabs>
        <w:spacing w:after="0"/>
        <w:rPr>
          <w:rFonts w:cs="TimesNewRoman"/>
          <w:szCs w:val="22"/>
        </w:rPr>
      </w:pPr>
      <w:r w:rsidRPr="00323E08">
        <w:rPr>
          <w:rFonts w:cs="TimesNewRoman"/>
          <w:szCs w:val="22"/>
        </w:rPr>
        <w:t xml:space="preserve">Changes the name of the required EAN national event code from “Emergency Action Notification” to “National Emergency Message.”   </w:t>
      </w:r>
    </w:p>
    <w:p w:rsidR="00B958E7" w:rsidRPr="00323E08" w:rsidP="00171D2C" w14:paraId="74980E85" w14:textId="77777777">
      <w:pPr>
        <w:pStyle w:val="ParaNum"/>
        <w:numPr>
          <w:ilvl w:val="0"/>
          <w:numId w:val="0"/>
        </w:numPr>
        <w:tabs>
          <w:tab w:val="left" w:pos="1440"/>
        </w:tabs>
        <w:spacing w:after="0"/>
        <w:ind w:left="2160"/>
        <w:rPr>
          <w:szCs w:val="22"/>
        </w:rPr>
      </w:pPr>
    </w:p>
    <w:p w:rsidR="001600A3" w:rsidRPr="00323E08" w:rsidP="00311DD0" w14:paraId="41117D66" w14:textId="5B696016">
      <w:pPr>
        <w:pStyle w:val="ParaNum"/>
        <w:numPr>
          <w:ilvl w:val="1"/>
          <w:numId w:val="58"/>
        </w:numPr>
        <w:tabs>
          <w:tab w:val="left" w:pos="1440"/>
        </w:tabs>
        <w:spacing w:after="0"/>
        <w:rPr>
          <w:szCs w:val="22"/>
        </w:rPr>
      </w:pPr>
      <w:r w:rsidRPr="00323E08">
        <w:rPr>
          <w:szCs w:val="22"/>
        </w:rPr>
        <w:t xml:space="preserve">Changes the name of the NPT national alert test event code from “National Periodic Test” to “Nationwide Test of the Emergency Alert System.”  </w:t>
      </w:r>
    </w:p>
    <w:p w:rsidR="001600A3" w:rsidRPr="00323E08" w:rsidP="00171D2C" w14:paraId="3A961C41" w14:textId="77777777">
      <w:pPr>
        <w:pStyle w:val="ListParagraph"/>
        <w:ind w:left="1080" w:hanging="360"/>
        <w:rPr>
          <w:bCs/>
          <w:iCs/>
          <w:sz w:val="22"/>
          <w:szCs w:val="22"/>
        </w:rPr>
      </w:pPr>
    </w:p>
    <w:p w:rsidR="00323E08" w14:paraId="15AC2525" w14:textId="77777777">
      <w:pPr>
        <w:rPr>
          <w:b/>
          <w:iCs/>
          <w:sz w:val="22"/>
          <w:szCs w:val="22"/>
        </w:rPr>
      </w:pPr>
      <w:r>
        <w:rPr>
          <w:b/>
          <w:iCs/>
          <w:sz w:val="22"/>
          <w:szCs w:val="22"/>
        </w:rPr>
        <w:br w:type="page"/>
      </w:r>
    </w:p>
    <w:p w:rsidR="006E7EE5" w:rsidRPr="00323E08" w14:paraId="27EB386F" w14:textId="6D880170">
      <w:pPr>
        <w:pStyle w:val="ListParagraph"/>
        <w:numPr>
          <w:ilvl w:val="0"/>
          <w:numId w:val="57"/>
        </w:numPr>
        <w:rPr>
          <w:b/>
          <w:iCs/>
          <w:sz w:val="22"/>
          <w:szCs w:val="22"/>
        </w:rPr>
      </w:pPr>
      <w:r w:rsidRPr="00323E08">
        <w:rPr>
          <w:b/>
          <w:iCs/>
          <w:sz w:val="22"/>
          <w:szCs w:val="22"/>
        </w:rPr>
        <w:t xml:space="preserve">§ 11.51 </w:t>
      </w:r>
      <w:r w:rsidRPr="00323E08">
        <w:rPr>
          <w:rFonts w:eastAsia="Calibri"/>
          <w:b/>
          <w:bCs/>
          <w:sz w:val="22"/>
          <w:szCs w:val="22"/>
        </w:rPr>
        <w:t>EAS Code and Attention Signal Transmission Requirements</w:t>
      </w:r>
    </w:p>
    <w:p w:rsidR="006E7EE5" w:rsidRPr="00323E08" w:rsidP="00171D2C" w14:paraId="56664CD8" w14:textId="628D936B">
      <w:pPr>
        <w:pStyle w:val="ListParagraph"/>
        <w:rPr>
          <w:bCs/>
          <w:iCs/>
          <w:sz w:val="22"/>
          <w:szCs w:val="22"/>
        </w:rPr>
      </w:pPr>
    </w:p>
    <w:p w:rsidR="00FB543E" w:rsidRPr="00323E08" w:rsidP="00171D2C" w14:paraId="0DDE4DB4" w14:textId="74B311B1">
      <w:pPr>
        <w:pStyle w:val="ListParagraph"/>
        <w:numPr>
          <w:ilvl w:val="1"/>
          <w:numId w:val="57"/>
        </w:numPr>
        <w:rPr>
          <w:b/>
          <w:iCs/>
          <w:sz w:val="22"/>
          <w:szCs w:val="22"/>
        </w:rPr>
      </w:pPr>
      <w:r w:rsidRPr="00323E08">
        <w:rPr>
          <w:b/>
          <w:iCs/>
          <w:sz w:val="22"/>
          <w:szCs w:val="22"/>
        </w:rPr>
        <w:t xml:space="preserve">EAS </w:t>
      </w:r>
      <w:r w:rsidRPr="00323E08" w:rsidR="00E41C1A">
        <w:rPr>
          <w:b/>
          <w:iCs/>
          <w:sz w:val="22"/>
          <w:szCs w:val="22"/>
        </w:rPr>
        <w:t xml:space="preserve">Alert </w:t>
      </w:r>
      <w:r w:rsidRPr="00323E08">
        <w:rPr>
          <w:b/>
          <w:iCs/>
          <w:sz w:val="22"/>
          <w:szCs w:val="22"/>
        </w:rPr>
        <w:t xml:space="preserve">Code </w:t>
      </w:r>
      <w:r w:rsidRPr="00323E08" w:rsidR="00E41C1A">
        <w:rPr>
          <w:b/>
          <w:iCs/>
          <w:sz w:val="22"/>
          <w:szCs w:val="22"/>
        </w:rPr>
        <w:t xml:space="preserve">Revision Implementation </w:t>
      </w:r>
      <w:r w:rsidRPr="00323E08" w:rsidR="00513659">
        <w:rPr>
          <w:b/>
          <w:iCs/>
          <w:sz w:val="22"/>
          <w:szCs w:val="22"/>
        </w:rPr>
        <w:t>for Visual Messages</w:t>
      </w:r>
      <w:r w:rsidRPr="00323E08" w:rsidR="00513659">
        <w:rPr>
          <w:b/>
          <w:iCs/>
          <w:sz w:val="22"/>
          <w:szCs w:val="22"/>
        </w:rPr>
        <w:t xml:space="preserve"> </w:t>
      </w:r>
      <w:r w:rsidRPr="00323E08">
        <w:rPr>
          <w:b/>
          <w:iCs/>
          <w:sz w:val="22"/>
          <w:szCs w:val="22"/>
        </w:rPr>
        <w:t>(</w:t>
      </w:r>
      <w:r w:rsidRPr="00323E08" w:rsidR="00104CB7">
        <w:rPr>
          <w:b/>
          <w:iCs/>
          <w:sz w:val="22"/>
          <w:szCs w:val="22"/>
        </w:rPr>
        <w:t>47 CFR §</w:t>
      </w:r>
      <w:r w:rsidR="008200B9">
        <w:rPr>
          <w:b/>
          <w:iCs/>
          <w:sz w:val="22"/>
          <w:szCs w:val="22"/>
        </w:rPr>
        <w:t> </w:t>
      </w:r>
      <w:r w:rsidRPr="00323E08" w:rsidR="005D788F">
        <w:rPr>
          <w:b/>
          <w:iCs/>
          <w:sz w:val="22"/>
          <w:szCs w:val="22"/>
        </w:rPr>
        <w:t>11.51</w:t>
      </w:r>
      <w:r w:rsidRPr="00323E08" w:rsidR="00ED5B43">
        <w:rPr>
          <w:b/>
          <w:iCs/>
          <w:sz w:val="22"/>
          <w:szCs w:val="22"/>
        </w:rPr>
        <w:t>(d)</w:t>
      </w:r>
      <w:r w:rsidRPr="00323E08" w:rsidR="00C3630E">
        <w:rPr>
          <w:b/>
          <w:iCs/>
          <w:sz w:val="22"/>
          <w:szCs w:val="22"/>
        </w:rPr>
        <w:t>)</w:t>
      </w:r>
    </w:p>
    <w:p w:rsidR="003466DF" w:rsidRPr="00323E08" w:rsidP="003466DF" w14:paraId="090D764E" w14:textId="411CA1C5">
      <w:pPr>
        <w:pStyle w:val="ListParagraph"/>
        <w:rPr>
          <w:bCs/>
          <w:iCs/>
          <w:sz w:val="22"/>
          <w:szCs w:val="22"/>
        </w:rPr>
      </w:pPr>
    </w:p>
    <w:p w:rsidR="009E0D98" w:rsidRPr="00323E08" w:rsidP="0028473E" w14:paraId="3F1FC241" w14:textId="76344C52">
      <w:pPr>
        <w:pStyle w:val="ParaNum"/>
        <w:numPr>
          <w:ilvl w:val="0"/>
          <w:numId w:val="0"/>
        </w:numPr>
        <w:tabs>
          <w:tab w:val="left" w:pos="1440"/>
        </w:tabs>
        <w:spacing w:after="0"/>
        <w:ind w:left="1080"/>
        <w:rPr>
          <w:rFonts w:cs="TimesNewRoman"/>
          <w:szCs w:val="22"/>
        </w:rPr>
      </w:pPr>
      <w:r w:rsidRPr="00323E08">
        <w:rPr>
          <w:rFonts w:cs="TimesNewRoman"/>
          <w:szCs w:val="22"/>
        </w:rPr>
        <w:t>The new and amended rules require</w:t>
      </w:r>
      <w:r w:rsidRPr="00323E08">
        <w:rPr>
          <w:bCs/>
          <w:iCs/>
          <w:szCs w:val="22"/>
        </w:rPr>
        <w:t xml:space="preserve"> EAS participants to </w:t>
      </w:r>
      <w:r w:rsidRPr="00323E08">
        <w:rPr>
          <w:szCs w:val="22"/>
        </w:rPr>
        <w:t xml:space="preserve">update their equipment </w:t>
      </w:r>
      <w:r w:rsidRPr="00323E08">
        <w:rPr>
          <w:bCs/>
          <w:iCs/>
          <w:szCs w:val="22"/>
        </w:rPr>
        <w:t>for visual messages associated with EAS alert</w:t>
      </w:r>
      <w:r w:rsidRPr="00323E08" w:rsidR="00F43DE5">
        <w:rPr>
          <w:bCs/>
          <w:iCs/>
          <w:szCs w:val="22"/>
        </w:rPr>
        <w:t xml:space="preserve"> </w:t>
      </w:r>
      <w:r w:rsidRPr="00323E08">
        <w:rPr>
          <w:rFonts w:cs="TimesNewRoman"/>
          <w:szCs w:val="22"/>
        </w:rPr>
        <w:t xml:space="preserve">to reflect </w:t>
      </w:r>
      <w:r w:rsidRPr="00323E08" w:rsidR="00F43DE5">
        <w:rPr>
          <w:rFonts w:cs="TimesNewRoman"/>
          <w:szCs w:val="22"/>
        </w:rPr>
        <w:t xml:space="preserve">originator and </w:t>
      </w:r>
      <w:r w:rsidRPr="00323E08">
        <w:rPr>
          <w:rFonts w:cs="TimesNewRoman"/>
          <w:szCs w:val="22"/>
        </w:rPr>
        <w:t xml:space="preserve">event code </w:t>
      </w:r>
      <w:r w:rsidRPr="00323E08" w:rsidR="00F43DE5">
        <w:rPr>
          <w:rFonts w:cs="TimesNewRoman"/>
          <w:szCs w:val="22"/>
        </w:rPr>
        <w:t xml:space="preserve">revisions </w:t>
      </w:r>
      <w:r w:rsidRPr="00323E08">
        <w:rPr>
          <w:rFonts w:cs="TimesNewRoman"/>
          <w:szCs w:val="22"/>
        </w:rPr>
        <w:t xml:space="preserve">adopted in the </w:t>
      </w:r>
      <w:r w:rsidRPr="00323E08">
        <w:rPr>
          <w:rFonts w:cs="TimesNewRoman"/>
          <w:i/>
          <w:iCs/>
          <w:szCs w:val="22"/>
        </w:rPr>
        <w:t>Order</w:t>
      </w:r>
      <w:r w:rsidRPr="00323E08" w:rsidR="00DF43EB">
        <w:rPr>
          <w:rFonts w:cs="TimesNewRoman"/>
          <w:i/>
          <w:iCs/>
          <w:szCs w:val="22"/>
        </w:rPr>
        <w:t xml:space="preserve">, </w:t>
      </w:r>
      <w:r w:rsidRPr="00323E08" w:rsidR="00DF43EB">
        <w:rPr>
          <w:rFonts w:cs="TimesNewRoman"/>
          <w:szCs w:val="22"/>
        </w:rPr>
        <w:t xml:space="preserve">implement </w:t>
      </w:r>
      <w:r w:rsidRPr="00323E08" w:rsidR="00DF43EB">
        <w:rPr>
          <w:bCs/>
          <w:szCs w:val="22"/>
        </w:rPr>
        <w:t>a</w:t>
      </w:r>
      <w:r w:rsidRPr="00323E08" w:rsidR="00DF43EB">
        <w:rPr>
          <w:bCs/>
          <w:iCs/>
          <w:szCs w:val="22"/>
        </w:rPr>
        <w:t xml:space="preserve"> standard script visual display for NPT nationwide test alerts </w:t>
      </w:r>
      <w:r w:rsidRPr="00323E08" w:rsidR="00E422E3">
        <w:rPr>
          <w:bCs/>
          <w:iCs/>
          <w:szCs w:val="22"/>
        </w:rPr>
        <w:t xml:space="preserve">that </w:t>
      </w:r>
      <w:r w:rsidRPr="00323E08" w:rsidR="00DF43EB">
        <w:rPr>
          <w:bCs/>
          <w:iCs/>
          <w:szCs w:val="22"/>
        </w:rPr>
        <w:t>are received in legacy</w:t>
      </w:r>
      <w:r w:rsidRPr="00323E08" w:rsidR="00E422E3">
        <w:rPr>
          <w:bCs/>
          <w:iCs/>
          <w:szCs w:val="22"/>
        </w:rPr>
        <w:t xml:space="preserve"> </w:t>
      </w:r>
      <w:r w:rsidRPr="00323E08" w:rsidR="00DF43EB">
        <w:rPr>
          <w:bCs/>
          <w:iCs/>
          <w:szCs w:val="22"/>
        </w:rPr>
        <w:t xml:space="preserve">format only, and establish extended compliance deadlines for implementation of EAN alert text changes for cable system operations </w:t>
      </w:r>
      <w:r w:rsidRPr="00323E08" w:rsidR="00E422E3">
        <w:rPr>
          <w:bCs/>
          <w:iCs/>
          <w:szCs w:val="22"/>
        </w:rPr>
        <w:t xml:space="preserve">in certain specified circumstances </w:t>
      </w:r>
      <w:r w:rsidRPr="00323E08" w:rsidR="00DF43EB">
        <w:rPr>
          <w:bCs/>
          <w:iCs/>
          <w:szCs w:val="22"/>
        </w:rPr>
        <w:t xml:space="preserve">involving </w:t>
      </w:r>
      <w:r w:rsidRPr="00323E08" w:rsidR="00341621">
        <w:rPr>
          <w:bCs/>
          <w:iCs/>
          <w:szCs w:val="22"/>
        </w:rPr>
        <w:t xml:space="preserve">cable system </w:t>
      </w:r>
      <w:r w:rsidRPr="00323E08" w:rsidR="00DF43EB">
        <w:rPr>
          <w:bCs/>
          <w:iCs/>
          <w:szCs w:val="22"/>
        </w:rPr>
        <w:t>set-top box software changes or replacement.</w:t>
      </w:r>
    </w:p>
    <w:p w:rsidR="003466DF" w:rsidRPr="00323E08" w:rsidP="003466DF" w14:paraId="2A1B7B33" w14:textId="77777777">
      <w:pPr>
        <w:pStyle w:val="ParaNum"/>
        <w:numPr>
          <w:ilvl w:val="0"/>
          <w:numId w:val="0"/>
        </w:numPr>
        <w:tabs>
          <w:tab w:val="left" w:pos="1440"/>
        </w:tabs>
        <w:spacing w:after="0"/>
        <w:ind w:left="1440"/>
        <w:rPr>
          <w:rFonts w:cs="TimesNewRoman"/>
          <w:szCs w:val="22"/>
        </w:rPr>
      </w:pPr>
    </w:p>
    <w:p w:rsidR="00C45E7D" w:rsidRPr="00323E08" w:rsidP="00C45E7D" w14:paraId="4FA911EA" w14:textId="1DA3B18D">
      <w:pPr>
        <w:pStyle w:val="ParaNum"/>
        <w:numPr>
          <w:ilvl w:val="0"/>
          <w:numId w:val="47"/>
        </w:numPr>
        <w:tabs>
          <w:tab w:val="left" w:pos="1440"/>
        </w:tabs>
        <w:spacing w:after="0"/>
        <w:rPr>
          <w:szCs w:val="22"/>
        </w:rPr>
      </w:pPr>
      <w:r w:rsidRPr="00323E08">
        <w:rPr>
          <w:rFonts w:cs="TimesNewRoman"/>
          <w:szCs w:val="22"/>
        </w:rPr>
        <w:t xml:space="preserve">Amended rule 11.51(d) </w:t>
      </w:r>
      <w:r w:rsidRPr="00323E08" w:rsidR="005D788F">
        <w:rPr>
          <w:rFonts w:cs="TimesNewRoman"/>
          <w:szCs w:val="22"/>
        </w:rPr>
        <w:t xml:space="preserve">continues to </w:t>
      </w:r>
      <w:r w:rsidRPr="00323E08">
        <w:rPr>
          <w:rFonts w:cs="TimesNewRoman"/>
          <w:szCs w:val="22"/>
        </w:rPr>
        <w:t xml:space="preserve">require EAS participants to create visual </w:t>
      </w:r>
      <w:r w:rsidRPr="00323E08" w:rsidR="005D788F">
        <w:rPr>
          <w:rFonts w:cs="TimesNewRoman"/>
          <w:szCs w:val="22"/>
        </w:rPr>
        <w:t xml:space="preserve">message </w:t>
      </w:r>
      <w:r w:rsidRPr="00323E08">
        <w:rPr>
          <w:rFonts w:cs="TimesNewRoman"/>
          <w:szCs w:val="22"/>
        </w:rPr>
        <w:t xml:space="preserve">displays that contain identification of the alert event. </w:t>
      </w:r>
    </w:p>
    <w:p w:rsidR="009E0D98" w:rsidRPr="00323E08" w:rsidP="00F43DE5" w14:paraId="4CCD2560" w14:textId="1636D285">
      <w:pPr>
        <w:pStyle w:val="ParaNum"/>
        <w:numPr>
          <w:ilvl w:val="0"/>
          <w:numId w:val="0"/>
        </w:numPr>
        <w:tabs>
          <w:tab w:val="left" w:pos="1440"/>
        </w:tabs>
        <w:spacing w:after="0"/>
        <w:ind w:left="1440"/>
        <w:rPr>
          <w:szCs w:val="22"/>
        </w:rPr>
      </w:pPr>
    </w:p>
    <w:p w:rsidR="00ED5B43" w:rsidRPr="00323E08" w:rsidP="00E422E3" w14:paraId="11E20EAF" w14:textId="745A35CB">
      <w:pPr>
        <w:pStyle w:val="ParaNum"/>
        <w:numPr>
          <w:ilvl w:val="0"/>
          <w:numId w:val="47"/>
        </w:numPr>
        <w:tabs>
          <w:tab w:val="left" w:pos="1440"/>
        </w:tabs>
        <w:spacing w:after="0"/>
        <w:rPr>
          <w:szCs w:val="22"/>
        </w:rPr>
      </w:pPr>
      <w:r w:rsidRPr="00323E08">
        <w:rPr>
          <w:szCs w:val="22"/>
        </w:rPr>
        <w:t>Amended rule 11.51(d)(3) requires EAS participants</w:t>
      </w:r>
      <w:r w:rsidRPr="00323E08">
        <w:rPr>
          <w:szCs w:val="22"/>
        </w:rPr>
        <w:t xml:space="preserve"> </w:t>
      </w:r>
      <w:r w:rsidRPr="00323E08" w:rsidR="00E422E3">
        <w:rPr>
          <w:szCs w:val="22"/>
        </w:rPr>
        <w:t xml:space="preserve">to modify the visual display of messages with the codes listed below by </w:t>
      </w:r>
      <w:r w:rsidRPr="00323E08">
        <w:rPr>
          <w:szCs w:val="22"/>
        </w:rPr>
        <w:t>no later than</w:t>
      </w:r>
      <w:r w:rsidRPr="00323E08" w:rsidR="006B09FE">
        <w:rPr>
          <w:szCs w:val="22"/>
        </w:rPr>
        <w:t xml:space="preserve"> one year and one </w:t>
      </w:r>
      <w:r w:rsidRPr="00323E08">
        <w:rPr>
          <w:szCs w:val="22"/>
        </w:rPr>
        <w:t xml:space="preserve">month after publication of the </w:t>
      </w:r>
      <w:r w:rsidRPr="00323E08">
        <w:rPr>
          <w:i/>
          <w:iCs/>
          <w:szCs w:val="22"/>
        </w:rPr>
        <w:t xml:space="preserve">Order </w:t>
      </w:r>
      <w:r w:rsidRPr="00323E08">
        <w:rPr>
          <w:szCs w:val="22"/>
        </w:rPr>
        <w:t>in the Federal Register</w:t>
      </w:r>
      <w:r w:rsidRPr="00323E08" w:rsidR="00E422E3">
        <w:rPr>
          <w:szCs w:val="22"/>
        </w:rPr>
        <w:t xml:space="preserve">. </w:t>
      </w:r>
    </w:p>
    <w:p w:rsidR="00ED5B43" w:rsidRPr="00323E08" w:rsidP="00171D2C" w14:paraId="285A175B" w14:textId="77777777">
      <w:pPr>
        <w:pStyle w:val="ListParagraph"/>
        <w:rPr>
          <w:szCs w:val="22"/>
        </w:rPr>
      </w:pPr>
    </w:p>
    <w:p w:rsidR="00EB48F0" w:rsidRPr="00323E08" w:rsidP="00171D2C" w14:paraId="5C7C8AE8" w14:textId="2610C62E">
      <w:pPr>
        <w:pStyle w:val="ParaNum"/>
        <w:numPr>
          <w:ilvl w:val="1"/>
          <w:numId w:val="47"/>
        </w:numPr>
        <w:tabs>
          <w:tab w:val="left" w:pos="1440"/>
        </w:tabs>
        <w:rPr>
          <w:szCs w:val="22"/>
        </w:rPr>
      </w:pPr>
      <w:r w:rsidRPr="00323E08">
        <w:rPr>
          <w:szCs w:val="22"/>
        </w:rPr>
        <w:t>Implement t</w:t>
      </w:r>
      <w:r w:rsidRPr="00323E08" w:rsidR="00314350">
        <w:rPr>
          <w:szCs w:val="22"/>
        </w:rPr>
        <w:t>he</w:t>
      </w:r>
      <w:r w:rsidRPr="00323E08">
        <w:rPr>
          <w:szCs w:val="22"/>
        </w:rPr>
        <w:t xml:space="preserve"> new PEP originator code name change (</w:t>
      </w:r>
      <w:r w:rsidRPr="00323E08">
        <w:rPr>
          <w:bCs/>
          <w:iCs/>
          <w:szCs w:val="22"/>
        </w:rPr>
        <w:t>“Primary Entry Point System” to “United States Government</w:t>
      </w:r>
      <w:r w:rsidRPr="00323E08">
        <w:rPr>
          <w:rFonts w:cs="TimesNewRoman"/>
          <w:szCs w:val="22"/>
        </w:rPr>
        <w:t xml:space="preserve">”).   </w:t>
      </w:r>
    </w:p>
    <w:p w:rsidR="00EB48F0" w:rsidRPr="00323E08" w:rsidP="00171D2C" w14:paraId="4C824980" w14:textId="1A46B7D7">
      <w:pPr>
        <w:pStyle w:val="ParaNum"/>
        <w:numPr>
          <w:ilvl w:val="1"/>
          <w:numId w:val="47"/>
        </w:numPr>
        <w:tabs>
          <w:tab w:val="left" w:pos="1440"/>
        </w:tabs>
        <w:rPr>
          <w:szCs w:val="22"/>
        </w:rPr>
      </w:pPr>
      <w:r w:rsidRPr="00323E08">
        <w:rPr>
          <w:szCs w:val="22"/>
        </w:rPr>
        <w:t>Implement t</w:t>
      </w:r>
      <w:r w:rsidRPr="00323E08" w:rsidR="00314350">
        <w:rPr>
          <w:szCs w:val="22"/>
        </w:rPr>
        <w:t>he</w:t>
      </w:r>
      <w:r w:rsidRPr="00323E08" w:rsidR="00F43DE5">
        <w:rPr>
          <w:szCs w:val="22"/>
        </w:rPr>
        <w:t xml:space="preserve"> new EAN event code name change</w:t>
      </w:r>
      <w:r w:rsidRPr="00323E08">
        <w:rPr>
          <w:bCs/>
          <w:iCs/>
          <w:szCs w:val="22"/>
        </w:rPr>
        <w:t xml:space="preserve"> (“Emergency Action Notification” to “National Emergency Message</w:t>
      </w:r>
      <w:r w:rsidRPr="00323E08">
        <w:rPr>
          <w:rFonts w:cs="TimesNewRoman"/>
          <w:szCs w:val="22"/>
        </w:rPr>
        <w:t>”)</w:t>
      </w:r>
      <w:r w:rsidRPr="00323E08" w:rsidR="00F43DE5">
        <w:rPr>
          <w:rFonts w:cs="TimesNewRoman"/>
          <w:szCs w:val="22"/>
        </w:rPr>
        <w:t xml:space="preserve">.   </w:t>
      </w:r>
    </w:p>
    <w:p w:rsidR="00ED5B43" w:rsidRPr="00323E08" w:rsidP="00171D2C" w14:paraId="2A8F49B5" w14:textId="0480C11E">
      <w:pPr>
        <w:pStyle w:val="ParaNum"/>
        <w:numPr>
          <w:ilvl w:val="1"/>
          <w:numId w:val="47"/>
        </w:numPr>
        <w:tabs>
          <w:tab w:val="left" w:pos="1440"/>
        </w:tabs>
        <w:rPr>
          <w:szCs w:val="22"/>
        </w:rPr>
      </w:pPr>
      <w:r w:rsidRPr="00323E08">
        <w:rPr>
          <w:szCs w:val="22"/>
        </w:rPr>
        <w:t>Implement t</w:t>
      </w:r>
      <w:r w:rsidRPr="00323E08" w:rsidR="00314350">
        <w:rPr>
          <w:szCs w:val="22"/>
        </w:rPr>
        <w:t xml:space="preserve">he </w:t>
      </w:r>
      <w:r w:rsidRPr="00323E08" w:rsidR="00EB48F0">
        <w:rPr>
          <w:szCs w:val="22"/>
        </w:rPr>
        <w:t>new NPT event code name change (</w:t>
      </w:r>
      <w:r w:rsidRPr="00323E08" w:rsidR="00EE43D4">
        <w:rPr>
          <w:szCs w:val="22"/>
        </w:rPr>
        <w:t>“</w:t>
      </w:r>
      <w:r w:rsidRPr="00323E08" w:rsidR="00EB48F0">
        <w:rPr>
          <w:bCs/>
          <w:iCs/>
          <w:szCs w:val="22"/>
        </w:rPr>
        <w:t>National Periodic Test” to “Nationwide Test of the Emergency Alert System”)</w:t>
      </w:r>
      <w:r w:rsidRPr="00323E08" w:rsidR="00EB48F0">
        <w:rPr>
          <w:szCs w:val="22"/>
        </w:rPr>
        <w:t>.</w:t>
      </w:r>
    </w:p>
    <w:p w:rsidR="009055FC" w:rsidRPr="00323E08" w:rsidP="009055FC" w14:paraId="19898F51" w14:textId="77777777">
      <w:pPr>
        <w:pStyle w:val="ListParagraph"/>
        <w:rPr>
          <w:szCs w:val="22"/>
        </w:rPr>
      </w:pPr>
    </w:p>
    <w:p w:rsidR="00E414F4" w:rsidRPr="00323E08" w:rsidP="00E422E3" w14:paraId="61F7A921" w14:textId="43CEA3F5">
      <w:pPr>
        <w:pStyle w:val="ParaNum"/>
        <w:numPr>
          <w:ilvl w:val="0"/>
          <w:numId w:val="47"/>
        </w:numPr>
        <w:tabs>
          <w:tab w:val="left" w:pos="1440"/>
        </w:tabs>
        <w:spacing w:after="0"/>
        <w:rPr>
          <w:bCs/>
          <w:iCs/>
          <w:szCs w:val="22"/>
        </w:rPr>
      </w:pPr>
      <w:r w:rsidRPr="00323E08">
        <w:rPr>
          <w:rFonts w:cs="TimesNewRoman"/>
          <w:szCs w:val="22"/>
        </w:rPr>
        <w:t xml:space="preserve">New rule </w:t>
      </w:r>
      <w:r w:rsidRPr="00323E08">
        <w:rPr>
          <w:bCs/>
          <w:iCs/>
          <w:szCs w:val="22"/>
        </w:rPr>
        <w:t>11.51(d)(3)(iii) requires EAS participants</w:t>
      </w:r>
      <w:r w:rsidRPr="00323E08">
        <w:rPr>
          <w:szCs w:val="22"/>
        </w:rPr>
        <w:t xml:space="preserve"> to update their equipment </w:t>
      </w:r>
      <w:r w:rsidRPr="00323E08">
        <w:rPr>
          <w:bCs/>
          <w:iCs/>
          <w:szCs w:val="22"/>
        </w:rPr>
        <w:t>to use a standard script visual display for NPT nationwide test alerts which are received in legacy-format only, instead of constructing a visual display from the alert codes for these legacy tests</w:t>
      </w:r>
      <w:r w:rsidRPr="00323E08" w:rsidR="00E422E3">
        <w:rPr>
          <w:bCs/>
          <w:iCs/>
          <w:szCs w:val="22"/>
        </w:rPr>
        <w:t xml:space="preserve">, by </w:t>
      </w:r>
      <w:r w:rsidRPr="00323E08" w:rsidR="00E422E3">
        <w:rPr>
          <w:szCs w:val="22"/>
        </w:rPr>
        <w:t xml:space="preserve">no later than one year and one month after publication of the </w:t>
      </w:r>
      <w:r w:rsidRPr="00323E08" w:rsidR="00E422E3">
        <w:rPr>
          <w:i/>
          <w:iCs/>
          <w:szCs w:val="22"/>
        </w:rPr>
        <w:t>Order</w:t>
      </w:r>
      <w:r w:rsidRPr="00323E08" w:rsidR="00E422E3">
        <w:rPr>
          <w:szCs w:val="22"/>
        </w:rPr>
        <w:t xml:space="preserve"> in the Federal Register</w:t>
      </w:r>
      <w:r w:rsidRPr="00323E08">
        <w:rPr>
          <w:bCs/>
          <w:iCs/>
          <w:szCs w:val="22"/>
        </w:rPr>
        <w:t xml:space="preserve">.   </w:t>
      </w:r>
    </w:p>
    <w:p w:rsidR="00E414F4" w:rsidRPr="00323E08" w:rsidP="00171D2C" w14:paraId="135F70FD" w14:textId="16291DD0">
      <w:pPr>
        <w:pStyle w:val="ParaNum"/>
        <w:numPr>
          <w:ilvl w:val="0"/>
          <w:numId w:val="0"/>
        </w:numPr>
        <w:tabs>
          <w:tab w:val="left" w:pos="1440"/>
        </w:tabs>
        <w:spacing w:after="0"/>
        <w:ind w:left="1440"/>
        <w:rPr>
          <w:bCs/>
          <w:iCs/>
          <w:szCs w:val="22"/>
        </w:rPr>
      </w:pPr>
      <w:r w:rsidRPr="00323E08">
        <w:rPr>
          <w:rFonts w:cs="TimesNewRoman"/>
          <w:szCs w:val="22"/>
        </w:rPr>
        <w:t xml:space="preserve"> </w:t>
      </w:r>
    </w:p>
    <w:p w:rsidR="00E414F4" w:rsidRPr="00323E08" w:rsidP="00171D2C" w14:paraId="6B1C0340" w14:textId="28072B4E">
      <w:pPr>
        <w:pStyle w:val="ParaNum"/>
        <w:numPr>
          <w:ilvl w:val="1"/>
          <w:numId w:val="47"/>
        </w:numPr>
        <w:tabs>
          <w:tab w:val="left" w:pos="1440"/>
        </w:tabs>
        <w:spacing w:after="0"/>
        <w:rPr>
          <w:szCs w:val="22"/>
        </w:rPr>
      </w:pPr>
      <w:r w:rsidRPr="00323E08">
        <w:rPr>
          <w:szCs w:val="22"/>
        </w:rPr>
        <w:t xml:space="preserve">Radio broadcast EAS participants are exempted in the </w:t>
      </w:r>
      <w:r w:rsidRPr="00323E08">
        <w:rPr>
          <w:i/>
          <w:iCs/>
          <w:szCs w:val="22"/>
        </w:rPr>
        <w:t>Orde</w:t>
      </w:r>
      <w:r w:rsidRPr="00323E08">
        <w:rPr>
          <w:szCs w:val="22"/>
        </w:rPr>
        <w:t xml:space="preserve">r from compliance with the NPT legacy script requirement. </w:t>
      </w:r>
    </w:p>
    <w:p w:rsidR="00E414F4" w:rsidRPr="00323E08" w:rsidP="00171D2C" w14:paraId="11D9A369" w14:textId="77777777">
      <w:pPr>
        <w:pStyle w:val="ParaNum"/>
        <w:numPr>
          <w:ilvl w:val="0"/>
          <w:numId w:val="0"/>
        </w:numPr>
        <w:tabs>
          <w:tab w:val="left" w:pos="1440"/>
        </w:tabs>
        <w:spacing w:after="0"/>
        <w:ind w:left="1440"/>
        <w:rPr>
          <w:szCs w:val="22"/>
        </w:rPr>
      </w:pPr>
    </w:p>
    <w:p w:rsidR="00291CFE" w:rsidRPr="00323E08" w:rsidP="00171D2C" w14:paraId="0D6DA3B5" w14:textId="1943F991">
      <w:pPr>
        <w:pStyle w:val="ParaNum"/>
        <w:numPr>
          <w:ilvl w:val="0"/>
          <w:numId w:val="47"/>
        </w:numPr>
        <w:tabs>
          <w:tab w:val="left" w:pos="1440"/>
        </w:tabs>
        <w:spacing w:after="240"/>
        <w:rPr>
          <w:szCs w:val="22"/>
        </w:rPr>
      </w:pPr>
      <w:r w:rsidRPr="00323E08">
        <w:rPr>
          <w:rFonts w:cs="TimesNewRoman"/>
          <w:szCs w:val="22"/>
        </w:rPr>
        <w:t xml:space="preserve">New rule </w:t>
      </w:r>
      <w:r w:rsidRPr="00323E08">
        <w:rPr>
          <w:bCs/>
          <w:iCs/>
          <w:szCs w:val="22"/>
        </w:rPr>
        <w:t>11.51(d)(</w:t>
      </w:r>
      <w:r w:rsidRPr="00323E08">
        <w:rPr>
          <w:bCs/>
          <w:iCs/>
          <w:szCs w:val="22"/>
        </w:rPr>
        <w:t>4) allows</w:t>
      </w:r>
      <w:r w:rsidRPr="00323E08">
        <w:rPr>
          <w:bCs/>
          <w:iCs/>
          <w:szCs w:val="22"/>
        </w:rPr>
        <w:t xml:space="preserve"> EAS participants </w:t>
      </w:r>
      <w:r w:rsidRPr="00323E08" w:rsidR="00A76D6C">
        <w:rPr>
          <w:szCs w:val="22"/>
        </w:rPr>
        <w:t xml:space="preserve">to </w:t>
      </w:r>
      <w:r w:rsidRPr="00323E08" w:rsidR="00E422E3">
        <w:rPr>
          <w:szCs w:val="22"/>
        </w:rPr>
        <w:t xml:space="preserve">display </w:t>
      </w:r>
      <w:r w:rsidRPr="00323E08" w:rsidR="00513153">
        <w:rPr>
          <w:szCs w:val="22"/>
        </w:rPr>
        <w:t xml:space="preserve">visual messages that contain either the </w:t>
      </w:r>
      <w:r w:rsidRPr="00323E08" w:rsidR="00E422E3">
        <w:rPr>
          <w:szCs w:val="22"/>
        </w:rPr>
        <w:t xml:space="preserve">labels for the pertinent codes </w:t>
      </w:r>
      <w:r w:rsidRPr="00323E08" w:rsidR="00513153">
        <w:rPr>
          <w:szCs w:val="22"/>
        </w:rPr>
        <w:t xml:space="preserve">that were required </w:t>
      </w:r>
      <w:r w:rsidRPr="00323E08" w:rsidR="00434032">
        <w:rPr>
          <w:szCs w:val="22"/>
        </w:rPr>
        <w:t>prior to the rule becoming effective</w:t>
      </w:r>
      <w:r w:rsidRPr="00323E08" w:rsidR="00273FBA">
        <w:rPr>
          <w:szCs w:val="22"/>
        </w:rPr>
        <w:t xml:space="preserve">, </w:t>
      </w:r>
      <w:r w:rsidRPr="00323E08" w:rsidR="00D254DC">
        <w:rPr>
          <w:szCs w:val="22"/>
        </w:rPr>
        <w:t xml:space="preserve">or </w:t>
      </w:r>
      <w:r w:rsidRPr="00323E08" w:rsidR="00273FBA">
        <w:rPr>
          <w:szCs w:val="22"/>
        </w:rPr>
        <w:t>in the alternative</w:t>
      </w:r>
      <w:r w:rsidRPr="00323E08" w:rsidR="00D254DC">
        <w:rPr>
          <w:szCs w:val="22"/>
        </w:rPr>
        <w:t>,</w:t>
      </w:r>
      <w:r w:rsidRPr="00323E08" w:rsidR="00273FBA">
        <w:rPr>
          <w:szCs w:val="22"/>
        </w:rPr>
        <w:t xml:space="preserve"> </w:t>
      </w:r>
      <w:r w:rsidRPr="00323E08" w:rsidR="00E422E3">
        <w:rPr>
          <w:szCs w:val="22"/>
        </w:rPr>
        <w:t>to display the newly adopted labels before they are required to do so</w:t>
      </w:r>
      <w:r w:rsidRPr="00323E08" w:rsidR="00513153">
        <w:rPr>
          <w:szCs w:val="22"/>
        </w:rPr>
        <w:t>.</w:t>
      </w:r>
      <w:r w:rsidRPr="00323E08" w:rsidR="00E422E3">
        <w:rPr>
          <w:szCs w:val="22"/>
        </w:rPr>
        <w:t xml:space="preserve"> </w:t>
      </w:r>
    </w:p>
    <w:p w:rsidR="009055FC" w:rsidRPr="00323E08" w:rsidP="00171D2C" w14:paraId="6433A813" w14:textId="362FA71F">
      <w:pPr>
        <w:pStyle w:val="ParaNum"/>
        <w:numPr>
          <w:ilvl w:val="0"/>
          <w:numId w:val="47"/>
        </w:numPr>
        <w:tabs>
          <w:tab w:val="left" w:pos="1440"/>
        </w:tabs>
        <w:rPr>
          <w:szCs w:val="22"/>
        </w:rPr>
      </w:pPr>
      <w:r w:rsidRPr="00323E08">
        <w:rPr>
          <w:szCs w:val="22"/>
        </w:rPr>
        <w:t>New rule 11.51(d)(5)(</w:t>
      </w:r>
      <w:r w:rsidRPr="00323E08">
        <w:rPr>
          <w:szCs w:val="22"/>
        </w:rPr>
        <w:t>i</w:t>
      </w:r>
      <w:r w:rsidRPr="00323E08">
        <w:rPr>
          <w:szCs w:val="22"/>
        </w:rPr>
        <w:t xml:space="preserve">) extends </w:t>
      </w:r>
      <w:r w:rsidRPr="00323E08" w:rsidR="00207E8B">
        <w:rPr>
          <w:szCs w:val="22"/>
        </w:rPr>
        <w:t xml:space="preserve">the implementation </w:t>
      </w:r>
      <w:r w:rsidRPr="00323E08">
        <w:rPr>
          <w:szCs w:val="22"/>
        </w:rPr>
        <w:t>deadline</w:t>
      </w:r>
      <w:r w:rsidRPr="00323E08" w:rsidR="00207E8B">
        <w:rPr>
          <w:szCs w:val="22"/>
        </w:rPr>
        <w:t xml:space="preserve"> to</w:t>
      </w:r>
      <w:r w:rsidRPr="00323E08">
        <w:rPr>
          <w:szCs w:val="22"/>
        </w:rPr>
        <w:t xml:space="preserve"> </w:t>
      </w:r>
      <w:r w:rsidRPr="00323E08" w:rsidR="00207E8B">
        <w:rPr>
          <w:szCs w:val="22"/>
        </w:rPr>
        <w:t xml:space="preserve">no later than </w:t>
      </w:r>
      <w:r w:rsidRPr="00323E08" w:rsidR="006B09FE">
        <w:rPr>
          <w:szCs w:val="22"/>
        </w:rPr>
        <w:t xml:space="preserve">one year and </w:t>
      </w:r>
      <w:r w:rsidRPr="00323E08" w:rsidR="00884324">
        <w:rPr>
          <w:szCs w:val="22"/>
        </w:rPr>
        <w:t>four</w:t>
      </w:r>
      <w:r w:rsidRPr="00323E08" w:rsidR="006B09FE">
        <w:rPr>
          <w:szCs w:val="22"/>
        </w:rPr>
        <w:t xml:space="preserve"> months </w:t>
      </w:r>
      <w:r w:rsidRPr="00323E08" w:rsidR="00207E8B">
        <w:rPr>
          <w:szCs w:val="22"/>
        </w:rPr>
        <w:t xml:space="preserve">after publication of the </w:t>
      </w:r>
      <w:r w:rsidRPr="00323E08" w:rsidR="00207E8B">
        <w:rPr>
          <w:i/>
          <w:iCs/>
          <w:szCs w:val="22"/>
        </w:rPr>
        <w:t xml:space="preserve">Order </w:t>
      </w:r>
      <w:r w:rsidRPr="00323E08" w:rsidR="00207E8B">
        <w:rPr>
          <w:szCs w:val="22"/>
        </w:rPr>
        <w:t xml:space="preserve">in the Federal Register, </w:t>
      </w:r>
      <w:r w:rsidRPr="00323E08">
        <w:rPr>
          <w:szCs w:val="22"/>
        </w:rPr>
        <w:t xml:space="preserve">for cable systems to make the EAN alert text available to subscribers where </w:t>
      </w:r>
      <w:r w:rsidRPr="00323E08" w:rsidR="00F92A2D">
        <w:rPr>
          <w:szCs w:val="22"/>
        </w:rPr>
        <w:t xml:space="preserve">the </w:t>
      </w:r>
      <w:r w:rsidRPr="00323E08">
        <w:rPr>
          <w:szCs w:val="22"/>
        </w:rPr>
        <w:t>set-</w:t>
      </w:r>
      <w:r w:rsidRPr="00323E08">
        <w:rPr>
          <w:szCs w:val="22"/>
        </w:rPr>
        <w:t>top box</w:t>
      </w:r>
      <w:r w:rsidRPr="00323E08" w:rsidR="00F92A2D">
        <w:rPr>
          <w:szCs w:val="22"/>
        </w:rPr>
        <w:t>es (navigation devices)</w:t>
      </w:r>
      <w:r>
        <w:rPr>
          <w:rStyle w:val="FootnoteReference"/>
          <w:szCs w:val="22"/>
        </w:rPr>
        <w:footnoteReference w:id="5"/>
      </w:r>
      <w:r w:rsidRPr="00323E08" w:rsidR="00F92A2D">
        <w:rPr>
          <w:szCs w:val="22"/>
        </w:rPr>
        <w:t xml:space="preserve"> </w:t>
      </w:r>
      <w:r w:rsidRPr="00323E08">
        <w:rPr>
          <w:szCs w:val="22"/>
        </w:rPr>
        <w:t xml:space="preserve">can be updated by software </w:t>
      </w:r>
      <w:r w:rsidRPr="00323E08" w:rsidR="00207E8B">
        <w:rPr>
          <w:szCs w:val="22"/>
        </w:rPr>
        <w:t xml:space="preserve">or other </w:t>
      </w:r>
      <w:r w:rsidRPr="00323E08">
        <w:rPr>
          <w:szCs w:val="22"/>
        </w:rPr>
        <w:t>changes</w:t>
      </w:r>
      <w:r w:rsidRPr="00323E08" w:rsidR="00207E8B">
        <w:rPr>
          <w:szCs w:val="22"/>
        </w:rPr>
        <w:t xml:space="preserve"> that do not requirement replacement of a subscribers’ </w:t>
      </w:r>
      <w:r w:rsidRPr="00323E08" w:rsidR="001D4942">
        <w:t>set-top box (</w:t>
      </w:r>
      <w:r w:rsidRPr="00323E08" w:rsidR="00F92A2D">
        <w:rPr>
          <w:szCs w:val="22"/>
        </w:rPr>
        <w:t xml:space="preserve">navigation </w:t>
      </w:r>
      <w:r w:rsidRPr="00323E08" w:rsidR="00207E8B">
        <w:rPr>
          <w:szCs w:val="22"/>
        </w:rPr>
        <w:t>device</w:t>
      </w:r>
      <w:r w:rsidRPr="00323E08" w:rsidR="001D4942">
        <w:rPr>
          <w:szCs w:val="22"/>
        </w:rPr>
        <w:t>)</w:t>
      </w:r>
      <w:r w:rsidRPr="00323E08">
        <w:rPr>
          <w:szCs w:val="22"/>
        </w:rPr>
        <w:t xml:space="preserve">.  </w:t>
      </w:r>
    </w:p>
    <w:p w:rsidR="00207E8B" w:rsidRPr="00323E08" w:rsidP="00513153" w14:paraId="2E553976" w14:textId="5AD5C64F">
      <w:pPr>
        <w:pStyle w:val="ParaNum"/>
        <w:numPr>
          <w:ilvl w:val="1"/>
          <w:numId w:val="47"/>
        </w:numPr>
        <w:tabs>
          <w:tab w:val="left" w:pos="1440"/>
        </w:tabs>
        <w:spacing w:after="0"/>
        <w:rPr>
          <w:szCs w:val="22"/>
        </w:rPr>
      </w:pPr>
      <w:r w:rsidRPr="00323E08">
        <w:rPr>
          <w:szCs w:val="22"/>
        </w:rPr>
        <w:t xml:space="preserve">Prior to implementation of the new EAN alert text, </w:t>
      </w:r>
      <w:r w:rsidRPr="00323E08">
        <w:t xml:space="preserve">the portion of the required visual message displayed to the subscriber corresponding to the EAN Event code must comply with either paragraph </w:t>
      </w:r>
      <w:r w:rsidRPr="00323E08">
        <w:rPr>
          <w:szCs w:val="22"/>
        </w:rPr>
        <w:t>11.51</w:t>
      </w:r>
      <w:r w:rsidRPr="00323E08">
        <w:t xml:space="preserve">(d)(3)(ii) or </w:t>
      </w:r>
      <w:r w:rsidRPr="00323E08">
        <w:rPr>
          <w:szCs w:val="22"/>
        </w:rPr>
        <w:t>11.51</w:t>
      </w:r>
      <w:r w:rsidRPr="00323E08">
        <w:t>(d)(4)(</w:t>
      </w:r>
      <w:r w:rsidRPr="00323E08">
        <w:t>i</w:t>
      </w:r>
      <w:r w:rsidRPr="00323E08">
        <w:t>).</w:t>
      </w:r>
    </w:p>
    <w:p w:rsidR="009055FC" w:rsidRPr="00323E08" w:rsidP="009055FC" w14:paraId="6D610B5D" w14:textId="77777777">
      <w:pPr>
        <w:pStyle w:val="ParaNum"/>
        <w:numPr>
          <w:ilvl w:val="0"/>
          <w:numId w:val="0"/>
        </w:numPr>
        <w:tabs>
          <w:tab w:val="left" w:pos="1440"/>
        </w:tabs>
        <w:spacing w:after="0"/>
        <w:ind w:left="2160"/>
        <w:rPr>
          <w:szCs w:val="22"/>
        </w:rPr>
      </w:pPr>
    </w:p>
    <w:p w:rsidR="009055FC" w:rsidRPr="00323E08" w:rsidP="00171D2C" w14:paraId="4CBCB983" w14:textId="63AAD0E7">
      <w:pPr>
        <w:pStyle w:val="ParaNum"/>
        <w:numPr>
          <w:ilvl w:val="0"/>
          <w:numId w:val="47"/>
        </w:numPr>
        <w:tabs>
          <w:tab w:val="left" w:pos="1440"/>
        </w:tabs>
        <w:rPr>
          <w:szCs w:val="22"/>
        </w:rPr>
      </w:pPr>
      <w:r w:rsidRPr="00323E08">
        <w:rPr>
          <w:szCs w:val="22"/>
        </w:rPr>
        <w:t>New rule 11.51(d)(5)(ii)</w:t>
      </w:r>
      <w:r w:rsidRPr="00323E08" w:rsidR="007754B0">
        <w:rPr>
          <w:szCs w:val="22"/>
        </w:rPr>
        <w:t>(A)</w:t>
      </w:r>
      <w:r w:rsidRPr="00323E08" w:rsidR="00024591">
        <w:rPr>
          <w:szCs w:val="22"/>
        </w:rPr>
        <w:t xml:space="preserve"> </w:t>
      </w:r>
      <w:r w:rsidRPr="00323E08" w:rsidR="005902DD">
        <w:rPr>
          <w:szCs w:val="22"/>
        </w:rPr>
        <w:t xml:space="preserve">requires </w:t>
      </w:r>
      <w:r w:rsidRPr="00323E08" w:rsidR="00C82035">
        <w:rPr>
          <w:szCs w:val="22"/>
        </w:rPr>
        <w:t xml:space="preserve">that, in cases where </w:t>
      </w:r>
      <w:r w:rsidRPr="00323E08" w:rsidR="00341621">
        <w:rPr>
          <w:szCs w:val="22"/>
        </w:rPr>
        <w:t xml:space="preserve">cable </w:t>
      </w:r>
      <w:r w:rsidRPr="00323E08" w:rsidR="00C82035">
        <w:rPr>
          <w:szCs w:val="22"/>
        </w:rPr>
        <w:t xml:space="preserve">subscribers’ set-top boxes (navigation devices) need to be replaced in order to display the new text for the EAN code, cable </w:t>
      </w:r>
      <w:r w:rsidRPr="00323E08" w:rsidR="00341621">
        <w:rPr>
          <w:szCs w:val="22"/>
        </w:rPr>
        <w:t xml:space="preserve">system </w:t>
      </w:r>
      <w:r w:rsidRPr="00323E08" w:rsidR="00C82035">
        <w:rPr>
          <w:szCs w:val="22"/>
        </w:rPr>
        <w:t xml:space="preserve">operators must display the new text once such replacements occur, but in </w:t>
      </w:r>
      <w:r w:rsidRPr="00323E08" w:rsidR="00F92A2D">
        <w:rPr>
          <w:szCs w:val="22"/>
        </w:rPr>
        <w:t xml:space="preserve">no </w:t>
      </w:r>
      <w:r w:rsidRPr="00323E08" w:rsidR="00C82035">
        <w:rPr>
          <w:szCs w:val="22"/>
        </w:rPr>
        <w:t xml:space="preserve">event </w:t>
      </w:r>
      <w:r w:rsidRPr="00323E08" w:rsidR="00F92A2D">
        <w:rPr>
          <w:szCs w:val="22"/>
        </w:rPr>
        <w:t xml:space="preserve">later than six years and one month after publication of the </w:t>
      </w:r>
      <w:r w:rsidRPr="00323E08" w:rsidR="00F92A2D">
        <w:rPr>
          <w:i/>
          <w:iCs/>
          <w:szCs w:val="22"/>
        </w:rPr>
        <w:t xml:space="preserve">Order </w:t>
      </w:r>
      <w:r w:rsidRPr="00323E08" w:rsidR="00F92A2D">
        <w:rPr>
          <w:szCs w:val="22"/>
        </w:rPr>
        <w:t>in the Federal Register</w:t>
      </w:r>
      <w:r w:rsidRPr="00323E08" w:rsidR="00C82035">
        <w:rPr>
          <w:szCs w:val="22"/>
        </w:rPr>
        <w:t xml:space="preserve">.  </w:t>
      </w:r>
    </w:p>
    <w:p w:rsidR="00254F3E" w:rsidRPr="00323E08" w:rsidP="00C82035" w14:paraId="62640BB5" w14:textId="6DEC24B0">
      <w:pPr>
        <w:pStyle w:val="ParaNum"/>
        <w:numPr>
          <w:ilvl w:val="1"/>
          <w:numId w:val="47"/>
        </w:numPr>
        <w:tabs>
          <w:tab w:val="left" w:pos="1440"/>
        </w:tabs>
        <w:spacing w:after="0"/>
        <w:rPr>
          <w:szCs w:val="22"/>
        </w:rPr>
      </w:pPr>
      <w:r w:rsidRPr="00323E08">
        <w:rPr>
          <w:szCs w:val="22"/>
        </w:rPr>
        <w:t>N</w:t>
      </w:r>
      <w:r w:rsidRPr="00323E08" w:rsidR="006A01E6">
        <w:rPr>
          <w:szCs w:val="22"/>
        </w:rPr>
        <w:t>ew rule 11.51(d)(5)(ii)(B</w:t>
      </w:r>
      <w:r w:rsidRPr="00323E08" w:rsidR="00F03D7C">
        <w:rPr>
          <w:szCs w:val="22"/>
        </w:rPr>
        <w:t>)</w:t>
      </w:r>
      <w:r w:rsidRPr="00323E08" w:rsidR="006A01E6">
        <w:rPr>
          <w:szCs w:val="22"/>
        </w:rPr>
        <w:t xml:space="preserve"> </w:t>
      </w:r>
      <w:r w:rsidRPr="00323E08" w:rsidR="006A01E6">
        <w:rPr>
          <w:szCs w:val="22"/>
        </w:rPr>
        <w:t xml:space="preserve">requires </w:t>
      </w:r>
      <w:r w:rsidRPr="00323E08" w:rsidR="00341621">
        <w:rPr>
          <w:szCs w:val="22"/>
        </w:rPr>
        <w:t>that, during the period prior to the extended implementation</w:t>
      </w:r>
      <w:r w:rsidRPr="00323E08" w:rsidR="00341621">
        <w:rPr>
          <w:szCs w:val="22"/>
        </w:rPr>
        <w:t xml:space="preserve"> </w:t>
      </w:r>
      <w:r w:rsidRPr="00323E08" w:rsidR="00341621">
        <w:rPr>
          <w:szCs w:val="22"/>
        </w:rPr>
        <w:t xml:space="preserve">deadline of six years and one month after publication of the </w:t>
      </w:r>
      <w:r w:rsidRPr="00323E08" w:rsidR="00341621">
        <w:rPr>
          <w:i/>
          <w:iCs/>
          <w:szCs w:val="22"/>
        </w:rPr>
        <w:t xml:space="preserve">Order </w:t>
      </w:r>
      <w:r w:rsidRPr="00323E08" w:rsidR="00341621">
        <w:rPr>
          <w:szCs w:val="22"/>
        </w:rPr>
        <w:t xml:space="preserve">in the Federal Register for cable system operators to replace set-top boxes (navigation devices), </w:t>
      </w:r>
      <w:r w:rsidRPr="00323E08" w:rsidR="009055FC">
        <w:rPr>
          <w:szCs w:val="22"/>
        </w:rPr>
        <w:t>cable system</w:t>
      </w:r>
      <w:r w:rsidRPr="00323E08" w:rsidR="006A01E6">
        <w:rPr>
          <w:szCs w:val="22"/>
        </w:rPr>
        <w:t xml:space="preserve"> operator</w:t>
      </w:r>
      <w:r w:rsidRPr="00323E08" w:rsidR="009055FC">
        <w:rPr>
          <w:szCs w:val="22"/>
        </w:rPr>
        <w:t xml:space="preserve">s </w:t>
      </w:r>
      <w:r w:rsidRPr="00323E08" w:rsidR="00341621">
        <w:rPr>
          <w:szCs w:val="22"/>
        </w:rPr>
        <w:t>must</w:t>
      </w:r>
      <w:r w:rsidRPr="00323E08" w:rsidR="009055FC">
        <w:rPr>
          <w:szCs w:val="22"/>
        </w:rPr>
        <w:t xml:space="preserve"> provide new set</w:t>
      </w:r>
      <w:r w:rsidRPr="00323E08">
        <w:rPr>
          <w:szCs w:val="22"/>
        </w:rPr>
        <w:t>-</w:t>
      </w:r>
      <w:r w:rsidRPr="00323E08" w:rsidR="009055FC">
        <w:rPr>
          <w:szCs w:val="22"/>
        </w:rPr>
        <w:t>top boxes</w:t>
      </w:r>
      <w:r w:rsidRPr="00323E08" w:rsidR="00C50A7B">
        <w:rPr>
          <w:szCs w:val="22"/>
        </w:rPr>
        <w:t xml:space="preserve"> (navigation devices)</w:t>
      </w:r>
      <w:r w:rsidRPr="00323E08" w:rsidR="009055FC">
        <w:rPr>
          <w:szCs w:val="22"/>
        </w:rPr>
        <w:t xml:space="preserve"> </w:t>
      </w:r>
      <w:r w:rsidRPr="00323E08">
        <w:rPr>
          <w:szCs w:val="22"/>
        </w:rPr>
        <w:t xml:space="preserve">that are capable of displaying visual messages with the new EAN code, as required in rule 11.51(d)(1), </w:t>
      </w:r>
      <w:r w:rsidRPr="00323E08" w:rsidR="009055FC">
        <w:rPr>
          <w:szCs w:val="22"/>
        </w:rPr>
        <w:t xml:space="preserve">to </w:t>
      </w:r>
      <w:r w:rsidRPr="00323E08" w:rsidR="00C50A7B">
        <w:rPr>
          <w:szCs w:val="22"/>
        </w:rPr>
        <w:t xml:space="preserve">subscribers </w:t>
      </w:r>
      <w:r w:rsidRPr="00323E08">
        <w:rPr>
          <w:szCs w:val="22"/>
        </w:rPr>
        <w:t xml:space="preserve">who </w:t>
      </w:r>
      <w:r w:rsidRPr="00323E08" w:rsidR="00C50A7B">
        <w:rPr>
          <w:szCs w:val="22"/>
        </w:rPr>
        <w:t xml:space="preserve">are </w:t>
      </w:r>
      <w:r w:rsidRPr="00323E08" w:rsidR="006A01E6">
        <w:rPr>
          <w:szCs w:val="22"/>
        </w:rPr>
        <w:t xml:space="preserve">deaf or hard of hearing </w:t>
      </w:r>
      <w:r w:rsidRPr="00323E08" w:rsidR="00C50A7B">
        <w:rPr>
          <w:szCs w:val="22"/>
        </w:rPr>
        <w:t xml:space="preserve">or </w:t>
      </w:r>
      <w:r w:rsidRPr="00323E08">
        <w:rPr>
          <w:szCs w:val="22"/>
        </w:rPr>
        <w:t xml:space="preserve">with a </w:t>
      </w:r>
      <w:r w:rsidRPr="00323E08" w:rsidR="00C50A7B">
        <w:rPr>
          <w:szCs w:val="22"/>
        </w:rPr>
        <w:t xml:space="preserve">household member </w:t>
      </w:r>
      <w:r w:rsidRPr="00323E08">
        <w:rPr>
          <w:szCs w:val="22"/>
        </w:rPr>
        <w:t xml:space="preserve">who </w:t>
      </w:r>
      <w:r w:rsidRPr="00323E08" w:rsidR="00C50A7B">
        <w:rPr>
          <w:szCs w:val="22"/>
        </w:rPr>
        <w:t>is deaf or hard of hearing</w:t>
      </w:r>
      <w:r w:rsidRPr="00323E08">
        <w:rPr>
          <w:szCs w:val="22"/>
        </w:rPr>
        <w:t>, upon request</w:t>
      </w:r>
      <w:r w:rsidRPr="00323E08" w:rsidR="00C50A7B">
        <w:rPr>
          <w:szCs w:val="22"/>
        </w:rPr>
        <w:t>.</w:t>
      </w:r>
      <w:r w:rsidRPr="00323E08" w:rsidR="006A01E6">
        <w:rPr>
          <w:szCs w:val="22"/>
        </w:rPr>
        <w:t xml:space="preserve"> </w:t>
      </w:r>
      <w:r w:rsidRPr="00323E08" w:rsidR="009055FC">
        <w:rPr>
          <w:szCs w:val="22"/>
        </w:rPr>
        <w:t xml:space="preserve"> </w:t>
      </w:r>
    </w:p>
    <w:p w:rsidR="00254F3E" w:rsidRPr="00323E08" w:rsidP="00254F3E" w14:paraId="3322185D" w14:textId="77777777">
      <w:pPr>
        <w:pStyle w:val="ListParagraph"/>
        <w:rPr>
          <w:szCs w:val="22"/>
        </w:rPr>
      </w:pPr>
    </w:p>
    <w:p w:rsidR="009055FC" w:rsidRPr="00323E08" w:rsidP="00171D2C" w14:paraId="0E32C503" w14:textId="5167437E">
      <w:pPr>
        <w:pStyle w:val="ParaNum"/>
        <w:numPr>
          <w:ilvl w:val="1"/>
          <w:numId w:val="47"/>
        </w:numPr>
        <w:tabs>
          <w:tab w:val="left" w:pos="1440"/>
        </w:tabs>
        <w:spacing w:after="0"/>
        <w:rPr>
          <w:szCs w:val="22"/>
        </w:rPr>
      </w:pPr>
      <w:r w:rsidRPr="00323E08">
        <w:rPr>
          <w:szCs w:val="22"/>
        </w:rPr>
        <w:t>N</w:t>
      </w:r>
      <w:r w:rsidRPr="00323E08" w:rsidR="00254F3E">
        <w:rPr>
          <w:szCs w:val="22"/>
        </w:rPr>
        <w:t xml:space="preserve">ew rule 11.51(d)(5)(iii) requires </w:t>
      </w:r>
      <w:r w:rsidRPr="00323E08" w:rsidR="00285904">
        <w:rPr>
          <w:szCs w:val="22"/>
        </w:rPr>
        <w:t xml:space="preserve">that during the period </w:t>
      </w:r>
      <w:r w:rsidRPr="00323E08" w:rsidR="00341621">
        <w:rPr>
          <w:szCs w:val="22"/>
        </w:rPr>
        <w:t xml:space="preserve">of time when rule 11.51(d)(5)(ii)(A) is in effect, </w:t>
      </w:r>
      <w:r w:rsidRPr="00323E08" w:rsidR="00254F3E">
        <w:rPr>
          <w:szCs w:val="22"/>
        </w:rPr>
        <w:t>cable system</w:t>
      </w:r>
      <w:r w:rsidRPr="00323E08" w:rsidR="00285904">
        <w:rPr>
          <w:szCs w:val="22"/>
        </w:rPr>
        <w:t xml:space="preserve"> operators must</w:t>
      </w:r>
      <w:r w:rsidRPr="00323E08" w:rsidR="00254F3E">
        <w:rPr>
          <w:szCs w:val="22"/>
        </w:rPr>
        <w:t xml:space="preserve"> prominently display information on their websites about the availability of EAN alert text compliant set-top boxes for requesting subscribers</w:t>
      </w:r>
      <w:r w:rsidRPr="00323E08" w:rsidR="00796F4F">
        <w:rPr>
          <w:szCs w:val="22"/>
        </w:rPr>
        <w:t xml:space="preserve"> </w:t>
      </w:r>
      <w:r w:rsidRPr="00323E08" w:rsidR="00341621">
        <w:rPr>
          <w:szCs w:val="22"/>
        </w:rPr>
        <w:t xml:space="preserve">who </w:t>
      </w:r>
      <w:r w:rsidRPr="00323E08" w:rsidR="00796F4F">
        <w:rPr>
          <w:szCs w:val="22"/>
        </w:rPr>
        <w:t xml:space="preserve">that are deaf or hard of hearing or </w:t>
      </w:r>
      <w:r w:rsidRPr="00323E08" w:rsidR="00341621">
        <w:rPr>
          <w:szCs w:val="22"/>
        </w:rPr>
        <w:t xml:space="preserve">with a </w:t>
      </w:r>
      <w:r w:rsidRPr="00323E08" w:rsidR="00796F4F">
        <w:rPr>
          <w:szCs w:val="22"/>
        </w:rPr>
        <w:t xml:space="preserve">household member </w:t>
      </w:r>
      <w:r w:rsidRPr="00323E08" w:rsidR="00341621">
        <w:rPr>
          <w:szCs w:val="22"/>
        </w:rPr>
        <w:t xml:space="preserve">who </w:t>
      </w:r>
      <w:r w:rsidRPr="00323E08" w:rsidR="00796F4F">
        <w:rPr>
          <w:szCs w:val="22"/>
        </w:rPr>
        <w:t>that is deaf or hard of hearing</w:t>
      </w:r>
      <w:r w:rsidR="00650187">
        <w:rPr>
          <w:szCs w:val="22"/>
        </w:rPr>
        <w:t>.</w:t>
      </w:r>
    </w:p>
    <w:p w:rsidR="006B197C" w:rsidRPr="00323E08" w:rsidP="003466DF" w14:paraId="2E583801" w14:textId="3E456EC1">
      <w:pPr>
        <w:pStyle w:val="ParaNum"/>
        <w:numPr>
          <w:ilvl w:val="0"/>
          <w:numId w:val="0"/>
        </w:numPr>
        <w:tabs>
          <w:tab w:val="left" w:pos="1440"/>
        </w:tabs>
        <w:spacing w:after="0"/>
        <w:rPr>
          <w:szCs w:val="22"/>
        </w:rPr>
      </w:pPr>
      <w:r w:rsidRPr="00323E08">
        <w:rPr>
          <w:rFonts w:cs="TimesNewRoman"/>
          <w:szCs w:val="22"/>
        </w:rPr>
        <w:t xml:space="preserve"> </w:t>
      </w:r>
      <w:r w:rsidRPr="00323E08" w:rsidR="00563AE4">
        <w:rPr>
          <w:szCs w:val="22"/>
        </w:rPr>
        <w:t xml:space="preserve"> </w:t>
      </w:r>
    </w:p>
    <w:p w:rsidR="00392BB2" w:rsidRPr="00323E08" w:rsidP="003466DF" w14:paraId="67943675" w14:textId="7B698198">
      <w:pPr>
        <w:tabs>
          <w:tab w:val="left" w:pos="720"/>
        </w:tabs>
        <w:rPr>
          <w:b/>
          <w:sz w:val="22"/>
          <w:szCs w:val="22"/>
        </w:rPr>
      </w:pPr>
      <w:r w:rsidRPr="00323E08">
        <w:rPr>
          <w:b/>
          <w:sz w:val="22"/>
          <w:szCs w:val="22"/>
        </w:rPr>
        <w:t xml:space="preserve">III. </w:t>
      </w:r>
      <w:r w:rsidRPr="00323E08" w:rsidR="00732DA0">
        <w:rPr>
          <w:b/>
          <w:sz w:val="22"/>
          <w:szCs w:val="22"/>
        </w:rPr>
        <w:tab/>
      </w:r>
      <w:r w:rsidRPr="00323E08">
        <w:rPr>
          <w:b/>
          <w:sz w:val="22"/>
          <w:szCs w:val="22"/>
        </w:rPr>
        <w:t xml:space="preserve">RECORDKEEPING AND REPORTING REQUIREMENTS </w:t>
      </w:r>
    </w:p>
    <w:p w:rsidR="00392BB2" w:rsidRPr="00323E08" w:rsidP="003466DF" w14:paraId="3BFA0C68" w14:textId="77777777">
      <w:pPr>
        <w:tabs>
          <w:tab w:val="left" w:pos="720"/>
        </w:tabs>
        <w:rPr>
          <w:bCs/>
          <w:sz w:val="22"/>
          <w:szCs w:val="22"/>
        </w:rPr>
      </w:pPr>
    </w:p>
    <w:p w:rsidR="00392BB2" w:rsidRPr="00323E08" w:rsidP="003466DF" w14:paraId="02BACCD3" w14:textId="53E47E3B">
      <w:pPr>
        <w:autoSpaceDE w:val="0"/>
        <w:autoSpaceDN w:val="0"/>
        <w:adjustRightInd w:val="0"/>
        <w:rPr>
          <w:sz w:val="22"/>
          <w:szCs w:val="22"/>
        </w:rPr>
      </w:pPr>
      <w:bookmarkStart w:id="1" w:name="_Hlk82691177"/>
      <w:r w:rsidRPr="00323E08">
        <w:rPr>
          <w:sz w:val="22"/>
          <w:szCs w:val="22"/>
        </w:rPr>
        <w:t xml:space="preserve">The </w:t>
      </w:r>
      <w:r w:rsidRPr="00323E08" w:rsidR="00882BB7">
        <w:rPr>
          <w:sz w:val="22"/>
          <w:szCs w:val="22"/>
        </w:rPr>
        <w:t xml:space="preserve">rules </w:t>
      </w:r>
      <w:r w:rsidRPr="00323E08" w:rsidR="00637098">
        <w:rPr>
          <w:sz w:val="22"/>
          <w:szCs w:val="22"/>
        </w:rPr>
        <w:t xml:space="preserve">adopted in the </w:t>
      </w:r>
      <w:r w:rsidRPr="00323E08" w:rsidR="00637098">
        <w:rPr>
          <w:i/>
          <w:iCs/>
          <w:sz w:val="22"/>
          <w:szCs w:val="22"/>
        </w:rPr>
        <w:t>Order</w:t>
      </w:r>
      <w:r w:rsidRPr="00323E08" w:rsidR="00637098">
        <w:rPr>
          <w:sz w:val="22"/>
          <w:szCs w:val="22"/>
        </w:rPr>
        <w:t xml:space="preserve"> </w:t>
      </w:r>
      <w:r w:rsidRPr="00323E08" w:rsidR="00882BB7">
        <w:rPr>
          <w:sz w:val="22"/>
          <w:szCs w:val="22"/>
        </w:rPr>
        <w:t>do not impose any</w:t>
      </w:r>
      <w:r w:rsidRPr="00323E08">
        <w:rPr>
          <w:sz w:val="22"/>
          <w:szCs w:val="22"/>
        </w:rPr>
        <w:t xml:space="preserve"> new or modified recordkeeping </w:t>
      </w:r>
      <w:r w:rsidRPr="00323E08" w:rsidR="00637098">
        <w:rPr>
          <w:sz w:val="22"/>
          <w:szCs w:val="22"/>
        </w:rPr>
        <w:t xml:space="preserve">or reporting </w:t>
      </w:r>
      <w:r w:rsidRPr="00323E08">
        <w:rPr>
          <w:sz w:val="22"/>
          <w:szCs w:val="22"/>
        </w:rPr>
        <w:t xml:space="preserve">requirements.  </w:t>
      </w:r>
    </w:p>
    <w:bookmarkEnd w:id="1"/>
    <w:p w:rsidR="00FA2DAC" w:rsidRPr="00323E08" w:rsidP="003466DF" w14:paraId="0B2FA6E1" w14:textId="77777777">
      <w:pPr>
        <w:tabs>
          <w:tab w:val="left" w:pos="720"/>
        </w:tabs>
        <w:rPr>
          <w:bCs/>
          <w:sz w:val="22"/>
          <w:szCs w:val="22"/>
        </w:rPr>
      </w:pPr>
    </w:p>
    <w:p w:rsidR="00001CAD" w:rsidRPr="00323E08" w:rsidP="003466DF" w14:paraId="60469C2F" w14:textId="71CB0CEF">
      <w:pPr>
        <w:tabs>
          <w:tab w:val="left" w:pos="720"/>
        </w:tabs>
        <w:rPr>
          <w:b/>
          <w:sz w:val="22"/>
          <w:szCs w:val="22"/>
        </w:rPr>
      </w:pPr>
      <w:r w:rsidRPr="00323E08">
        <w:rPr>
          <w:b/>
          <w:sz w:val="22"/>
          <w:szCs w:val="22"/>
        </w:rPr>
        <w:t xml:space="preserve">IV. </w:t>
      </w:r>
      <w:r w:rsidRPr="00323E08">
        <w:rPr>
          <w:b/>
          <w:sz w:val="22"/>
          <w:szCs w:val="22"/>
        </w:rPr>
        <w:tab/>
        <w:t>IMPLEMENTATION DATE</w:t>
      </w:r>
      <w:r w:rsidR="00F8674E">
        <w:rPr>
          <w:b/>
          <w:sz w:val="22"/>
          <w:szCs w:val="22"/>
        </w:rPr>
        <w:t>S</w:t>
      </w:r>
    </w:p>
    <w:p w:rsidR="0078228C" w:rsidRPr="00323E08" w:rsidP="003466DF" w14:paraId="78D16AC8" w14:textId="77777777">
      <w:pPr>
        <w:rPr>
          <w:sz w:val="22"/>
          <w:szCs w:val="22"/>
        </w:rPr>
      </w:pPr>
    </w:p>
    <w:p w:rsidR="00323E08" w:rsidP="00171D2C" w14:paraId="4A3DE0FF" w14:textId="07EBE03F">
      <w:pPr>
        <w:rPr>
          <w:sz w:val="22"/>
          <w:szCs w:val="22"/>
        </w:rPr>
      </w:pPr>
      <w:r w:rsidRPr="00323E08">
        <w:rPr>
          <w:sz w:val="22"/>
          <w:szCs w:val="22"/>
        </w:rPr>
        <w:t xml:space="preserve">The </w:t>
      </w:r>
      <w:r w:rsidRPr="00323E08">
        <w:rPr>
          <w:i/>
          <w:sz w:val="22"/>
          <w:szCs w:val="22"/>
        </w:rPr>
        <w:t>Order</w:t>
      </w:r>
      <w:r w:rsidRPr="00323E08" w:rsidR="00341621">
        <w:rPr>
          <w:iCs/>
          <w:sz w:val="22"/>
          <w:szCs w:val="22"/>
        </w:rPr>
        <w:t>,</w:t>
      </w:r>
      <w:r w:rsidRPr="00323E08">
        <w:rPr>
          <w:sz w:val="22"/>
          <w:szCs w:val="22"/>
        </w:rPr>
        <w:t xml:space="preserve"> </w:t>
      </w:r>
      <w:r w:rsidRPr="00323E08" w:rsidR="004834A8">
        <w:rPr>
          <w:sz w:val="22"/>
          <w:szCs w:val="22"/>
        </w:rPr>
        <w:t xml:space="preserve">including the amended rules, </w:t>
      </w:r>
      <w:r w:rsidRPr="00323E08" w:rsidR="000A3093">
        <w:rPr>
          <w:sz w:val="22"/>
          <w:szCs w:val="22"/>
        </w:rPr>
        <w:t>is</w:t>
      </w:r>
      <w:r w:rsidRPr="00323E08" w:rsidR="00B43C52">
        <w:rPr>
          <w:sz w:val="22"/>
          <w:szCs w:val="22"/>
        </w:rPr>
        <w:t xml:space="preserve"> </w:t>
      </w:r>
      <w:r w:rsidRPr="00323E08" w:rsidR="00DA2D62">
        <w:rPr>
          <w:sz w:val="22"/>
          <w:szCs w:val="22"/>
        </w:rPr>
        <w:t>effective</w:t>
      </w:r>
      <w:r w:rsidRPr="00323E08" w:rsidR="00882BB7">
        <w:rPr>
          <w:sz w:val="22"/>
          <w:szCs w:val="22"/>
        </w:rPr>
        <w:t xml:space="preserve"> </w:t>
      </w:r>
      <w:r>
        <w:rPr>
          <w:sz w:val="22"/>
          <w:szCs w:val="22"/>
        </w:rPr>
        <w:t>30</w:t>
      </w:r>
      <w:r w:rsidRPr="00323E08" w:rsidR="00882BB7">
        <w:rPr>
          <w:sz w:val="22"/>
          <w:szCs w:val="22"/>
        </w:rPr>
        <w:t xml:space="preserve"> days after publication </w:t>
      </w:r>
      <w:r w:rsidRPr="00323E08" w:rsidR="00341621">
        <w:rPr>
          <w:sz w:val="22"/>
          <w:szCs w:val="22"/>
        </w:rPr>
        <w:t xml:space="preserve">of </w:t>
      </w:r>
      <w:r w:rsidRPr="00323E08" w:rsidR="005739D3">
        <w:rPr>
          <w:sz w:val="22"/>
          <w:szCs w:val="22"/>
        </w:rPr>
        <w:t xml:space="preserve">the text </w:t>
      </w:r>
      <w:r w:rsidRPr="00323E08" w:rsidR="004834A8">
        <w:rPr>
          <w:sz w:val="22"/>
          <w:szCs w:val="22"/>
        </w:rPr>
        <w:t xml:space="preserve">of the </w:t>
      </w:r>
      <w:r w:rsidRPr="00323E08" w:rsidR="004834A8">
        <w:rPr>
          <w:i/>
          <w:iCs/>
          <w:sz w:val="22"/>
          <w:szCs w:val="22"/>
        </w:rPr>
        <w:t>Order</w:t>
      </w:r>
      <w:r w:rsidRPr="00323E08" w:rsidR="004834A8">
        <w:rPr>
          <w:sz w:val="22"/>
          <w:szCs w:val="22"/>
        </w:rPr>
        <w:t xml:space="preserve"> </w:t>
      </w:r>
      <w:r w:rsidRPr="00323E08" w:rsidR="005739D3">
        <w:rPr>
          <w:sz w:val="22"/>
          <w:szCs w:val="22"/>
        </w:rPr>
        <w:t xml:space="preserve">or summary thereof </w:t>
      </w:r>
      <w:r w:rsidRPr="00323E08" w:rsidR="00882BB7">
        <w:rPr>
          <w:sz w:val="22"/>
          <w:szCs w:val="22"/>
        </w:rPr>
        <w:t xml:space="preserve">in the Federal Register.  </w:t>
      </w:r>
      <w:r w:rsidRPr="00323E08" w:rsidR="001D4F86">
        <w:rPr>
          <w:sz w:val="22"/>
          <w:szCs w:val="22"/>
        </w:rPr>
        <w:t xml:space="preserve">The effective date for </w:t>
      </w:r>
      <w:r w:rsidRPr="00323E08" w:rsidR="001526CD">
        <w:rPr>
          <w:sz w:val="22"/>
          <w:szCs w:val="22"/>
        </w:rPr>
        <w:t xml:space="preserve">the rule changes in sections 11.31(d)(2), 11.51(d)(3), </w:t>
      </w:r>
      <w:r w:rsidRPr="00323E08" w:rsidR="0014246E">
        <w:rPr>
          <w:snapToGrid w:val="0"/>
          <w:kern w:val="28"/>
          <w:sz w:val="22"/>
          <w:szCs w:val="22"/>
        </w:rPr>
        <w:t>11.55(c)(1),</w:t>
      </w:r>
      <w:r w:rsidR="005C5956">
        <w:rPr>
          <w:snapToGrid w:val="0"/>
          <w:kern w:val="28"/>
          <w:sz w:val="22"/>
          <w:szCs w:val="22"/>
        </w:rPr>
        <w:t xml:space="preserve"> </w:t>
      </w:r>
      <w:r w:rsidRPr="00323E08" w:rsidR="001526CD">
        <w:rPr>
          <w:sz w:val="22"/>
          <w:szCs w:val="22"/>
        </w:rPr>
        <w:t xml:space="preserve">and </w:t>
      </w:r>
      <w:r w:rsidRPr="00323E08" w:rsidR="001526CD">
        <w:rPr>
          <w:snapToGrid w:val="0"/>
          <w:kern w:val="28"/>
          <w:sz w:val="22"/>
          <w:szCs w:val="22"/>
        </w:rPr>
        <w:t>11.55(c)(2),</w:t>
      </w:r>
      <w:r w:rsidRPr="00323E08" w:rsidR="001526CD">
        <w:rPr>
          <w:sz w:val="22"/>
          <w:szCs w:val="22"/>
        </w:rPr>
        <w:t xml:space="preserve"> 11.61(a)(1)(iv) </w:t>
      </w:r>
      <w:r w:rsidRPr="00323E08" w:rsidR="001D4F86">
        <w:rPr>
          <w:sz w:val="22"/>
          <w:szCs w:val="22"/>
        </w:rPr>
        <w:t xml:space="preserve">is </w:t>
      </w:r>
      <w:r w:rsidRPr="00323E08" w:rsidR="005739D3">
        <w:rPr>
          <w:sz w:val="22"/>
          <w:szCs w:val="22"/>
        </w:rPr>
        <w:t>one year and one</w:t>
      </w:r>
      <w:r w:rsidRPr="00323E08" w:rsidR="00523DE3">
        <w:rPr>
          <w:sz w:val="22"/>
          <w:szCs w:val="22"/>
        </w:rPr>
        <w:t xml:space="preserve"> month after publication </w:t>
      </w:r>
      <w:r w:rsidRPr="00323E08" w:rsidR="005739D3">
        <w:rPr>
          <w:sz w:val="22"/>
          <w:szCs w:val="22"/>
        </w:rPr>
        <w:t xml:space="preserve">of the text </w:t>
      </w:r>
      <w:r w:rsidRPr="00323E08" w:rsidR="004834A8">
        <w:rPr>
          <w:sz w:val="22"/>
          <w:szCs w:val="22"/>
        </w:rPr>
        <w:t xml:space="preserve">of the </w:t>
      </w:r>
      <w:r w:rsidRPr="00323E08" w:rsidR="004834A8">
        <w:rPr>
          <w:i/>
          <w:iCs/>
          <w:sz w:val="22"/>
          <w:szCs w:val="22"/>
        </w:rPr>
        <w:t>Order</w:t>
      </w:r>
      <w:r w:rsidRPr="00323E08" w:rsidR="004834A8">
        <w:rPr>
          <w:sz w:val="22"/>
          <w:szCs w:val="22"/>
        </w:rPr>
        <w:t xml:space="preserve"> </w:t>
      </w:r>
      <w:r w:rsidRPr="00323E08" w:rsidR="005739D3">
        <w:rPr>
          <w:sz w:val="22"/>
          <w:szCs w:val="22"/>
        </w:rPr>
        <w:t xml:space="preserve">or summary thereof </w:t>
      </w:r>
      <w:r w:rsidRPr="00323E08" w:rsidR="00523DE3">
        <w:rPr>
          <w:sz w:val="22"/>
          <w:szCs w:val="22"/>
        </w:rPr>
        <w:t>in the Federal Register</w:t>
      </w:r>
      <w:r w:rsidRPr="00323E08" w:rsidR="003A74F1">
        <w:rPr>
          <w:sz w:val="22"/>
          <w:szCs w:val="22"/>
        </w:rPr>
        <w:t xml:space="preserve">.  </w:t>
      </w:r>
    </w:p>
    <w:p w:rsidR="00323E08" w:rsidP="00171D2C" w14:paraId="2831FED1" w14:textId="77777777">
      <w:pPr>
        <w:rPr>
          <w:sz w:val="22"/>
          <w:szCs w:val="22"/>
        </w:rPr>
      </w:pPr>
    </w:p>
    <w:p w:rsidR="00CC164E" w:rsidRPr="00323E08" w:rsidP="00171D2C" w14:paraId="1AC29D36" w14:textId="42ED646A">
      <w:pPr>
        <w:rPr>
          <w:szCs w:val="22"/>
        </w:rPr>
      </w:pPr>
      <w:r w:rsidRPr="00323E08">
        <w:rPr>
          <w:sz w:val="22"/>
          <w:szCs w:val="22"/>
        </w:rPr>
        <w:t>The effective date for the rule changes in section</w:t>
      </w:r>
      <w:r w:rsidRPr="00323E08" w:rsidR="00D80932">
        <w:rPr>
          <w:sz w:val="22"/>
          <w:szCs w:val="22"/>
        </w:rPr>
        <w:t xml:space="preserve"> </w:t>
      </w:r>
      <w:r w:rsidRPr="00323E08">
        <w:rPr>
          <w:sz w:val="22"/>
          <w:szCs w:val="22"/>
        </w:rPr>
        <w:t>11.51(d)(5)(</w:t>
      </w:r>
      <w:r w:rsidRPr="00323E08">
        <w:rPr>
          <w:sz w:val="22"/>
          <w:szCs w:val="22"/>
        </w:rPr>
        <w:t>i</w:t>
      </w:r>
      <w:r w:rsidRPr="00323E08">
        <w:rPr>
          <w:sz w:val="22"/>
          <w:szCs w:val="22"/>
        </w:rPr>
        <w:t xml:space="preserve">) is one year and </w:t>
      </w:r>
      <w:r w:rsidRPr="00323E08" w:rsidR="00884324">
        <w:rPr>
          <w:sz w:val="22"/>
          <w:szCs w:val="22"/>
        </w:rPr>
        <w:t>four</w:t>
      </w:r>
      <w:r w:rsidRPr="00323E08">
        <w:rPr>
          <w:sz w:val="22"/>
          <w:szCs w:val="22"/>
        </w:rPr>
        <w:t xml:space="preserve"> months after publication of the text of the </w:t>
      </w:r>
      <w:r w:rsidRPr="00323E08">
        <w:rPr>
          <w:i/>
          <w:iCs/>
          <w:sz w:val="22"/>
          <w:szCs w:val="22"/>
        </w:rPr>
        <w:t>Order</w:t>
      </w:r>
      <w:r w:rsidRPr="00323E08">
        <w:rPr>
          <w:sz w:val="22"/>
          <w:szCs w:val="22"/>
        </w:rPr>
        <w:t xml:space="preserve"> or summary thereof in the Federal Register.  </w:t>
      </w:r>
      <w:r w:rsidRPr="00323E08" w:rsidR="001D4F86">
        <w:rPr>
          <w:sz w:val="22"/>
          <w:szCs w:val="22"/>
        </w:rPr>
        <w:t xml:space="preserve">The effective </w:t>
      </w:r>
      <w:r w:rsidRPr="00323E08" w:rsidR="001D4F86">
        <w:rPr>
          <w:sz w:val="22"/>
          <w:szCs w:val="22"/>
        </w:rPr>
        <w:t xml:space="preserve">date for the </w:t>
      </w:r>
      <w:r w:rsidRPr="00323E08" w:rsidR="00CE6A02">
        <w:rPr>
          <w:sz w:val="22"/>
          <w:szCs w:val="22"/>
        </w:rPr>
        <w:t xml:space="preserve">rule changes in </w:t>
      </w:r>
      <w:r w:rsidRPr="00323E08">
        <w:rPr>
          <w:sz w:val="22"/>
          <w:szCs w:val="22"/>
        </w:rPr>
        <w:t xml:space="preserve">sections 11.51(d)(5)(ii) and 11.51(d)(5)(iii) </w:t>
      </w:r>
      <w:r w:rsidRPr="00323E08" w:rsidR="00C03498">
        <w:rPr>
          <w:sz w:val="22"/>
          <w:szCs w:val="22"/>
        </w:rPr>
        <w:t>is</w:t>
      </w:r>
      <w:r w:rsidRPr="00323E08">
        <w:rPr>
          <w:sz w:val="22"/>
          <w:szCs w:val="22"/>
        </w:rPr>
        <w:t xml:space="preserve"> </w:t>
      </w:r>
      <w:r w:rsidRPr="00323E08" w:rsidR="001D4F86">
        <w:rPr>
          <w:sz w:val="22"/>
          <w:szCs w:val="22"/>
        </w:rPr>
        <w:t xml:space="preserve">six </w:t>
      </w:r>
      <w:r w:rsidRPr="00323E08">
        <w:rPr>
          <w:sz w:val="22"/>
          <w:szCs w:val="22"/>
        </w:rPr>
        <w:t>years and one month after publication of the</w:t>
      </w:r>
      <w:r w:rsidRPr="00323E08" w:rsidR="00CE6A02">
        <w:rPr>
          <w:sz w:val="22"/>
          <w:szCs w:val="22"/>
        </w:rPr>
        <w:t xml:space="preserve"> text of</w:t>
      </w:r>
      <w:r w:rsidRPr="00323E08">
        <w:rPr>
          <w:sz w:val="22"/>
          <w:szCs w:val="22"/>
        </w:rPr>
        <w:t xml:space="preserve"> </w:t>
      </w:r>
      <w:r w:rsidRPr="00323E08" w:rsidR="00CE6A02">
        <w:rPr>
          <w:sz w:val="22"/>
          <w:szCs w:val="22"/>
        </w:rPr>
        <w:t xml:space="preserve">the </w:t>
      </w:r>
      <w:r w:rsidRPr="00323E08">
        <w:rPr>
          <w:i/>
          <w:iCs/>
          <w:sz w:val="22"/>
          <w:szCs w:val="22"/>
        </w:rPr>
        <w:t>Order</w:t>
      </w:r>
      <w:r w:rsidRPr="00323E08">
        <w:rPr>
          <w:sz w:val="22"/>
          <w:szCs w:val="22"/>
        </w:rPr>
        <w:t xml:space="preserve"> </w:t>
      </w:r>
      <w:r w:rsidRPr="00323E08" w:rsidR="00CE6A02">
        <w:rPr>
          <w:sz w:val="22"/>
          <w:szCs w:val="22"/>
        </w:rPr>
        <w:t xml:space="preserve">or summary thereof </w:t>
      </w:r>
      <w:r w:rsidRPr="00323E08">
        <w:rPr>
          <w:sz w:val="22"/>
          <w:szCs w:val="22"/>
        </w:rPr>
        <w:t>in the Federal Register.</w:t>
      </w:r>
    </w:p>
    <w:p w:rsidR="00B43C52" w:rsidRPr="00323E08" w:rsidP="00CC164E" w14:paraId="6D65FD6B" w14:textId="77777777">
      <w:pPr>
        <w:rPr>
          <w:snapToGrid w:val="0"/>
          <w:kern w:val="28"/>
          <w:sz w:val="22"/>
          <w:szCs w:val="22"/>
        </w:rPr>
      </w:pPr>
    </w:p>
    <w:p w:rsidR="00EF75B4" w:rsidRPr="00323E08" w:rsidP="003466DF" w14:paraId="3EC098E7" w14:textId="3D74BF9C">
      <w:pPr>
        <w:tabs>
          <w:tab w:val="left" w:pos="720"/>
        </w:tabs>
        <w:rPr>
          <w:rFonts w:cs="TimesNewRoman"/>
          <w:b/>
          <w:sz w:val="22"/>
          <w:szCs w:val="22"/>
        </w:rPr>
      </w:pPr>
      <w:r w:rsidRPr="00323E08">
        <w:rPr>
          <w:b/>
          <w:sz w:val="22"/>
          <w:szCs w:val="22"/>
        </w:rPr>
        <w:t>V.</w:t>
      </w:r>
      <w:r w:rsidRPr="00323E08">
        <w:rPr>
          <w:b/>
          <w:sz w:val="22"/>
          <w:szCs w:val="22"/>
        </w:rPr>
        <w:tab/>
        <w:t>INTERNET LINKS</w:t>
      </w:r>
    </w:p>
    <w:p w:rsidR="00C475A9" w:rsidRPr="00323E08" w:rsidP="003466DF" w14:paraId="7DB6A364" w14:textId="77777777">
      <w:pPr>
        <w:autoSpaceDE w:val="0"/>
        <w:autoSpaceDN w:val="0"/>
        <w:adjustRightInd w:val="0"/>
        <w:rPr>
          <w:rFonts w:cs="TimesNewRoman"/>
          <w:sz w:val="22"/>
          <w:szCs w:val="22"/>
        </w:rPr>
      </w:pPr>
    </w:p>
    <w:p w:rsidR="00224036" w:rsidRPr="00323E08" w:rsidP="003466DF" w14:paraId="2019AAF7" w14:textId="09B4D610">
      <w:pPr>
        <w:tabs>
          <w:tab w:val="center" w:pos="4320"/>
        </w:tabs>
        <w:rPr>
          <w:sz w:val="22"/>
          <w:szCs w:val="22"/>
        </w:rPr>
      </w:pPr>
      <w:r w:rsidRPr="00323E08">
        <w:rPr>
          <w:sz w:val="22"/>
          <w:szCs w:val="22"/>
        </w:rPr>
        <w:t xml:space="preserve">A copy of the </w:t>
      </w:r>
      <w:r w:rsidRPr="00323E08" w:rsidR="002207A8">
        <w:rPr>
          <w:i/>
          <w:sz w:val="22"/>
          <w:szCs w:val="22"/>
        </w:rPr>
        <w:t>O</w:t>
      </w:r>
      <w:r w:rsidRPr="00323E08">
        <w:rPr>
          <w:i/>
          <w:sz w:val="22"/>
          <w:szCs w:val="22"/>
        </w:rPr>
        <w:t>rder</w:t>
      </w:r>
      <w:r w:rsidRPr="00323E08">
        <w:rPr>
          <w:sz w:val="22"/>
          <w:szCs w:val="22"/>
        </w:rPr>
        <w:t xml:space="preserve"> is available at:</w:t>
      </w:r>
      <w:r w:rsidRPr="00323E08" w:rsidR="005778FB">
        <w:rPr>
          <w:sz w:val="22"/>
          <w:szCs w:val="22"/>
        </w:rPr>
        <w:t xml:space="preserve"> </w:t>
      </w:r>
    </w:p>
    <w:p w:rsidR="006B3F8A" w:rsidRPr="00323E08" w:rsidP="003466DF" w14:paraId="4F31A369" w14:textId="14591002">
      <w:pPr>
        <w:rPr>
          <w:sz w:val="22"/>
          <w:szCs w:val="22"/>
          <w:highlight w:val="yellow"/>
        </w:rPr>
      </w:pPr>
      <w:hyperlink r:id="rId11" w:history="1">
        <w:r w:rsidRPr="00323E08" w:rsidR="00F10E46">
          <w:rPr>
            <w:rStyle w:val="Hyperlink"/>
            <w:color w:val="auto"/>
            <w:sz w:val="22"/>
            <w:szCs w:val="22"/>
          </w:rPr>
          <w:t>https://www.fcc.gov/document/fcc-improves-accessibility-and-clarity-emergency-alerts</w:t>
        </w:r>
      </w:hyperlink>
      <w:r w:rsidRPr="00323E08" w:rsidR="00F64500">
        <w:rPr>
          <w:rStyle w:val="Hyperlink"/>
          <w:color w:val="auto"/>
          <w:sz w:val="22"/>
          <w:szCs w:val="22"/>
          <w:u w:val="none"/>
        </w:rPr>
        <w:t>.</w:t>
      </w:r>
      <w:r w:rsidRPr="00323E08" w:rsidR="00F10E46">
        <w:rPr>
          <w:sz w:val="22"/>
          <w:szCs w:val="22"/>
        </w:rPr>
        <w:t xml:space="preserve"> </w:t>
      </w:r>
    </w:p>
    <w:p w:rsidR="00E61E31" w:rsidRPr="00323E08" w:rsidP="003466DF" w14:paraId="4781620F" w14:textId="48A0783D">
      <w:pPr>
        <w:rPr>
          <w:sz w:val="22"/>
          <w:szCs w:val="22"/>
          <w:highlight w:val="yellow"/>
        </w:rPr>
      </w:pPr>
      <w:r w:rsidRPr="00323E08">
        <w:rPr>
          <w:sz w:val="22"/>
          <w:szCs w:val="22"/>
          <w:highlight w:val="yellow"/>
        </w:rPr>
        <w:t xml:space="preserve"> </w:t>
      </w:r>
    </w:p>
    <w:p w:rsidR="00A6420C" w:rsidRPr="00323E08" w:rsidP="003466DF" w14:paraId="724F689C" w14:textId="4B664FA0">
      <w:pPr>
        <w:rPr>
          <w:sz w:val="22"/>
          <w:szCs w:val="22"/>
          <w:lang w:val="es-ES_tradnl"/>
        </w:rPr>
      </w:pPr>
      <w:r w:rsidRPr="00323E08">
        <w:rPr>
          <w:sz w:val="22"/>
          <w:szCs w:val="22"/>
          <w:lang w:val="es-ES_tradnl"/>
        </w:rPr>
        <w:t xml:space="preserve">The EAS rules </w:t>
      </w:r>
      <w:r w:rsidRPr="00323E08" w:rsidR="006176DB">
        <w:rPr>
          <w:sz w:val="22"/>
          <w:szCs w:val="22"/>
          <w:lang w:val="es-ES_tradnl"/>
        </w:rPr>
        <w:t>are available at:</w:t>
      </w:r>
    </w:p>
    <w:p w:rsidR="00803A5B" w:rsidRPr="00323E08" w:rsidP="003466DF" w14:paraId="21D11C46" w14:textId="5D928D19">
      <w:pPr>
        <w:rPr>
          <w:sz w:val="22"/>
          <w:szCs w:val="22"/>
          <w:lang w:val="es-ES_tradnl"/>
        </w:rPr>
      </w:pPr>
      <w:hyperlink r:id="rId12" w:history="1">
        <w:r w:rsidRPr="00323E08">
          <w:rPr>
            <w:rStyle w:val="Hyperlink"/>
            <w:color w:val="auto"/>
            <w:sz w:val="22"/>
            <w:szCs w:val="22"/>
            <w:lang w:val="es-ES_tradnl"/>
          </w:rPr>
          <w:t>https://www.ecfr.gov/current/title-47/chapter-I/subchapter-A/part-11</w:t>
        </w:r>
      </w:hyperlink>
      <w:r w:rsidRPr="00323E08" w:rsidR="00F64500">
        <w:rPr>
          <w:rStyle w:val="Hyperlink"/>
          <w:color w:val="auto"/>
          <w:sz w:val="22"/>
          <w:szCs w:val="22"/>
          <w:u w:val="none"/>
          <w:lang w:val="es-ES_tradnl"/>
        </w:rPr>
        <w:t>.</w:t>
      </w:r>
      <w:r w:rsidRPr="00323E08">
        <w:rPr>
          <w:sz w:val="22"/>
          <w:szCs w:val="22"/>
          <w:lang w:val="es-ES_tradnl"/>
        </w:rPr>
        <w:t xml:space="preserve"> </w:t>
      </w:r>
    </w:p>
    <w:sectPr w:rsidSect="005E5EA6">
      <w:footerReference w:type="default" r:id="rId13"/>
      <w:pgSz w:w="12240" w:h="15840" w:code="1"/>
      <w:pgMar w:top="1440" w:right="1800" w:bottom="1440" w:left="180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D7133C" w14:paraId="5D4F9970" w14:textId="77777777">
    <w:pPr>
      <w:pStyle w:val="Footer"/>
      <w:framePr w:wrap="around" w:vAnchor="text" w:hAnchor="margin" w:xAlign="center" w:y="1"/>
      <w:rPr>
        <w:rStyle w:val="PageNumber"/>
      </w:rPr>
    </w:pPr>
  </w:p>
  <w:p w:rsidR="00FC20FA" w14:paraId="51BE3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7CEE97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5380D9A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EA6" w:rsidRPr="005E5EA6" w:rsidP="005E5EA6" w14:paraId="373EFC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0617" w14:paraId="49A40AF1" w14:textId="77777777">
      <w:r>
        <w:separator/>
      </w:r>
    </w:p>
  </w:footnote>
  <w:footnote w:type="continuationSeparator" w:id="1">
    <w:p w:rsidR="00D80617" w14:paraId="25331231" w14:textId="77777777">
      <w:r>
        <w:continuationSeparator/>
      </w:r>
    </w:p>
  </w:footnote>
  <w:footnote w:type="continuationNotice" w:id="2">
    <w:p w:rsidR="00D80617" w14:paraId="428714EA" w14:textId="77777777"/>
  </w:footnote>
  <w:footnote w:id="3">
    <w:p w:rsidR="00BD3E47" w:rsidRPr="00965306" w:rsidP="00BD3E47" w14:paraId="2AD12E8E" w14:textId="7BF6467B">
      <w:pPr>
        <w:pStyle w:val="FootnoteText"/>
        <w:spacing w:after="120"/>
        <w:ind w:firstLine="0"/>
        <w:rPr>
          <w:sz w:val="20"/>
        </w:rPr>
      </w:pPr>
      <w:r>
        <w:rPr>
          <w:rStyle w:val="FootnoteReference"/>
        </w:rPr>
        <w:footnoteRef/>
      </w:r>
      <w:r>
        <w:t xml:space="preserve"> </w:t>
      </w:r>
      <w:r w:rsidRPr="00BD3E47">
        <w:rPr>
          <w:i/>
          <w:iCs/>
          <w:sz w:val="20"/>
        </w:rPr>
        <w:t>Amendment of the Commission’s Rules Regarding the Emergency Alert System</w:t>
      </w:r>
      <w:r w:rsidRPr="00BD3E47">
        <w:rPr>
          <w:sz w:val="20"/>
        </w:rPr>
        <w:t>, PS Docket 15-94, Report and Order, FCC 22-75 (Sept. 30, 2022)</w:t>
      </w:r>
      <w:r>
        <w:rPr>
          <w:sz w:val="20"/>
        </w:rPr>
        <w:t xml:space="preserve">, available at </w:t>
      </w:r>
      <w:hyperlink r:id="rId1" w:history="1">
        <w:r w:rsidRPr="00B92E61">
          <w:rPr>
            <w:rStyle w:val="Hyperlink"/>
            <w:sz w:val="20"/>
          </w:rPr>
          <w:t>https://www.fcc.gov/document/fcc-improves-accessibility-and-clarity-emergency-alerts</w:t>
        </w:r>
      </w:hyperlink>
      <w:r>
        <w:rPr>
          <w:sz w:val="20"/>
        </w:rPr>
        <w:t>.</w:t>
      </w:r>
    </w:p>
  </w:footnote>
  <w:footnote w:id="4">
    <w:p w:rsidR="00BE7F0E" w:rsidRPr="00650187" w:rsidP="00171D2C" w14:paraId="254F9E39" w14:textId="288B22D2">
      <w:pPr>
        <w:pStyle w:val="FootnoteText"/>
        <w:ind w:firstLine="0"/>
        <w:rPr>
          <w:sz w:val="20"/>
        </w:rPr>
      </w:pPr>
      <w:r w:rsidRPr="00171D2C">
        <w:rPr>
          <w:rStyle w:val="FootnoteReference"/>
          <w:sz w:val="20"/>
        </w:rPr>
        <w:footnoteRef/>
      </w:r>
      <w:r w:rsidRPr="00171D2C">
        <w:rPr>
          <w:sz w:val="20"/>
        </w:rPr>
        <w:t xml:space="preserve"> This includes EAS participants that are radio broadcasters, </w:t>
      </w:r>
      <w:r w:rsidRPr="00171D2C" w:rsidR="000F161B">
        <w:rPr>
          <w:sz w:val="20"/>
        </w:rPr>
        <w:t xml:space="preserve">analog and digital </w:t>
      </w:r>
      <w:r w:rsidRPr="00171D2C">
        <w:rPr>
          <w:sz w:val="20"/>
        </w:rPr>
        <w:t xml:space="preserve">television broadcasters, and operators of </w:t>
      </w:r>
      <w:r w:rsidRPr="00171D2C" w:rsidR="00151EE8">
        <w:rPr>
          <w:sz w:val="20"/>
        </w:rPr>
        <w:t xml:space="preserve">direct broadcast </w:t>
      </w:r>
      <w:r w:rsidRPr="00171D2C">
        <w:rPr>
          <w:sz w:val="20"/>
        </w:rPr>
        <w:t xml:space="preserve">satellite, </w:t>
      </w:r>
      <w:r w:rsidRPr="00171D2C" w:rsidR="000F161B">
        <w:rPr>
          <w:sz w:val="20"/>
        </w:rPr>
        <w:t>analog</w:t>
      </w:r>
      <w:r w:rsidR="004934BD">
        <w:rPr>
          <w:sz w:val="20"/>
        </w:rPr>
        <w:t>,</w:t>
      </w:r>
      <w:r w:rsidRPr="00171D2C" w:rsidR="000F161B">
        <w:rPr>
          <w:sz w:val="20"/>
        </w:rPr>
        <w:t xml:space="preserve"> digital </w:t>
      </w:r>
      <w:r w:rsidR="004934BD">
        <w:rPr>
          <w:sz w:val="20"/>
        </w:rPr>
        <w:t xml:space="preserve">and wireless </w:t>
      </w:r>
      <w:r w:rsidRPr="00171D2C">
        <w:rPr>
          <w:sz w:val="20"/>
        </w:rPr>
        <w:t xml:space="preserve">cable </w:t>
      </w:r>
      <w:r w:rsidRPr="00171D2C" w:rsidR="000F161B">
        <w:rPr>
          <w:sz w:val="20"/>
        </w:rPr>
        <w:t>systems</w:t>
      </w:r>
      <w:r w:rsidRPr="00171D2C">
        <w:rPr>
          <w:sz w:val="20"/>
        </w:rPr>
        <w:t>, and wireline video services.</w:t>
      </w:r>
      <w:r w:rsidR="00650187">
        <w:rPr>
          <w:sz w:val="20"/>
        </w:rPr>
        <w:t xml:space="preserve">  </w:t>
      </w:r>
      <w:r w:rsidRPr="00650187" w:rsidR="00650187">
        <w:rPr>
          <w:i/>
          <w:iCs/>
          <w:sz w:val="20"/>
        </w:rPr>
        <w:t xml:space="preserve">See </w:t>
      </w:r>
      <w:r w:rsidRPr="00650187" w:rsidR="00650187">
        <w:rPr>
          <w:sz w:val="20"/>
        </w:rPr>
        <w:t>47 CFR § 11.1(b)</w:t>
      </w:r>
      <w:r w:rsidR="00650187">
        <w:rPr>
          <w:sz w:val="20"/>
        </w:rPr>
        <w:t>.</w:t>
      </w:r>
    </w:p>
  </w:footnote>
  <w:footnote w:id="5">
    <w:p w:rsidR="00295D49" w:rsidRPr="00295D49" w:rsidP="00171D2C" w14:paraId="6702BF0E" w14:textId="504532A5">
      <w:pPr>
        <w:spacing w:after="120"/>
      </w:pPr>
      <w:r>
        <w:rPr>
          <w:rStyle w:val="FootnoteReference"/>
        </w:rPr>
        <w:footnoteRef/>
      </w:r>
      <w:r>
        <w:t xml:space="preserve"> </w:t>
      </w:r>
      <w:r w:rsidRPr="00295D49">
        <w:t xml:space="preserve">47 CFR § </w:t>
      </w:r>
      <w:r w:rsidRPr="00171D2C">
        <w:t>11.51(d)(5)</w:t>
      </w:r>
      <w:r w:rsidRPr="00295D49">
        <w:t>(iv)</w:t>
      </w:r>
      <w:r>
        <w:t>.</w:t>
      </w:r>
      <w:r w:rsidRPr="00295D49">
        <w:t xml:space="preserve"> </w:t>
      </w:r>
      <w:r w:rsidR="00566494">
        <w:t xml:space="preserve"> </w:t>
      </w:r>
      <w:r w:rsidRPr="00295D49">
        <w:t>For purposes of paragraph (d)(5), the term “navigation device” means equipment that is located at a subscriber’s premises and satisfies the definition of “navigation device” in</w:t>
      </w:r>
      <w:r>
        <w:t xml:space="preserve"> </w:t>
      </w:r>
      <w:r w:rsidRPr="00295D49">
        <w:t>47</w:t>
      </w:r>
      <w:r w:rsidR="00650187">
        <w:t> </w:t>
      </w:r>
      <w:r w:rsidRPr="00295D49">
        <w:t>CFR § 76.1200(c).</w:t>
      </w:r>
    </w:p>
    <w:p w:rsidR="00295D49" w:rsidRPr="00650187" w:rsidP="00171D2C" w14:paraId="25C4A14B" w14:textId="6F68782B">
      <w:pPr>
        <w:pStyle w:val="FootnoteText"/>
        <w:ind w:firstLine="0"/>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522DBE" w14:paraId="70040CBA" w14:textId="23D1AA98">
    <w:pPr>
      <w:pStyle w:val="Header"/>
      <w:tabs>
        <w:tab w:val="left" w:pos="1440"/>
        <w:tab w:val="left" w:pos="2160"/>
      </w:tabs>
      <w:spacing w:before="360" w:line="228" w:lineRule="auto"/>
      <w:ind w:firstLine="1440"/>
    </w:pPr>
    <w:r>
      <w:rPr>
        <w:noProof/>
        <w:lang w:bidi="he-IL"/>
      </w:rPr>
      <w:drawing>
        <wp:anchor distT="0" distB="0" distL="114300" distR="114300" simplePos="0" relativeHeight="251658240" behindDoc="0" locked="0" layoutInCell="1" allowOverlap="1">
          <wp:simplePos x="0" y="0"/>
          <wp:positionH relativeFrom="column">
            <wp:posOffset>-431320</wp:posOffset>
          </wp:positionH>
          <wp:positionV relativeFrom="paragraph">
            <wp:posOffset>69227</wp:posOffset>
          </wp:positionV>
          <wp:extent cx="747395" cy="695960"/>
          <wp:effectExtent l="0" t="0" r="0" b="8890"/>
          <wp:wrapThrough wrapText="bothSides">
            <wp:wrapPolygon>
              <wp:start x="0" y="0"/>
              <wp:lineTo x="0" y="21285"/>
              <wp:lineTo x="20921" y="21285"/>
              <wp:lineTo x="209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47395" cy="695960"/>
                  </a:xfrm>
                  <a:prstGeom prst="rect">
                    <a:avLst/>
                  </a:prstGeom>
                  <a:noFill/>
                </pic:spPr>
              </pic:pic>
            </a:graphicData>
          </a:graphic>
          <wp14:sizeRelH relativeFrom="page">
            <wp14:pctWidth>0</wp14:pctWidth>
          </wp14:sizeRelH>
          <wp14:sizeRelV relativeFrom="page">
            <wp14:pctHeight>0</wp14:pctHeight>
          </wp14:sizeRelV>
        </wp:anchor>
      </w:drawing>
    </w:r>
    <w:r w:rsidRPr="001064D9">
      <w:rPr>
        <w:rFonts w:ascii="CG Times (W1)" w:eastAsia="CG Times (W1)" w:hAnsi="CG Times (W1)" w:cs="CG Times (W1)"/>
        <w:sz w:val="28"/>
        <w:szCs w:val="28"/>
      </w:rPr>
      <w:t>Federal Communications Commission</w:t>
    </w:r>
  </w:p>
  <w:p w:rsidR="00FC20FA" w:rsidP="00522DBE" w14:paraId="66691E40" w14:textId="7B11DE15">
    <w:pPr>
      <w:tabs>
        <w:tab w:val="left" w:pos="2160"/>
        <w:tab w:val="left" w:pos="2880"/>
      </w:tabs>
      <w:spacing w:after="60"/>
    </w:pPr>
    <w:r>
      <w:rPr>
        <w:rFonts w:ascii="CG Times (W1)" w:eastAsia="CG Times (W1)" w:hAnsi="CG Times (W1)" w:cs="CG Times (W1)"/>
        <w:sz w:val="28"/>
        <w:szCs w:val="28"/>
      </w:rPr>
      <w:tab/>
    </w:r>
    <w:r>
      <w:rPr>
        <w:rFonts w:ascii="CG Times (W1)" w:eastAsia="CG Times (W1)" w:hAnsi="CG Times (W1)" w:cs="CG Times (W1)"/>
        <w:sz w:val="28"/>
        <w:szCs w:val="28"/>
      </w:rPr>
      <w:tab/>
    </w:r>
    <w:r w:rsidRPr="001064D9">
      <w:rPr>
        <w:rFonts w:ascii="CG Times (W1)" w:eastAsia="CG Times (W1)" w:hAnsi="CG Times (W1)" w:cs="CG Times (W1)"/>
        <w:sz w:val="28"/>
        <w:szCs w:val="28"/>
      </w:rPr>
      <w:t>Washington, D.C. 20554</w:t>
    </w:r>
  </w:p>
  <w:p w:rsidR="00FC20FA" w:rsidRPr="009851E6" w:rsidP="00522DBE" w14:paraId="2DF39049" w14:textId="18518E86">
    <w:pPr>
      <w:pStyle w:val="Header"/>
      <w:tabs>
        <w:tab w:val="left" w:pos="2880"/>
      </w:tabs>
      <w:rPr>
        <w:sz w:val="24"/>
        <w:szCs w:val="24"/>
      </w:rPr>
    </w:pPr>
    <w:r>
      <w:rPr>
        <w:sz w:val="24"/>
        <w:szCs w:val="24"/>
      </w:rPr>
      <w:tab/>
    </w:r>
    <w:r>
      <w:rPr>
        <w:sz w:val="24"/>
        <w:szCs w:val="24"/>
      </w:rPr>
      <w:tab/>
    </w:r>
    <w:r w:rsidR="00D95196">
      <w:rPr>
        <w:sz w:val="24"/>
        <w:szCs w:val="24"/>
      </w:rPr>
      <w:t>December 12</w:t>
    </w:r>
    <w:r>
      <w:rPr>
        <w:sz w:val="24"/>
        <w:szCs w:val="24"/>
      </w:rPr>
      <w:t>, 202</w:t>
    </w:r>
    <w:r w:rsidR="009C28D4">
      <w:rPr>
        <w:sz w:val="24"/>
        <w:szCs w:val="24"/>
      </w:rPr>
      <w:t>2</w:t>
    </w:r>
  </w:p>
  <w:p w:rsidR="00FC20FA" w14:paraId="73F310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182C0A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027C89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E088E"/>
    <w:multiLevelType w:val="hybridMultilevel"/>
    <w:tmpl w:val="F37463B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41B35C3"/>
    <w:multiLevelType w:val="hybridMultilevel"/>
    <w:tmpl w:val="5CDCF2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98604EE"/>
    <w:multiLevelType w:val="hybridMultilevel"/>
    <w:tmpl w:val="7D50D5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74389A"/>
    <w:multiLevelType w:val="hybridMultilevel"/>
    <w:tmpl w:val="64E293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C6524A4"/>
    <w:multiLevelType w:val="hybridMultilevel"/>
    <w:tmpl w:val="5D40EFEC"/>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01808"/>
    <w:multiLevelType w:val="hybridMultilevel"/>
    <w:tmpl w:val="2EC2424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E9F2646"/>
    <w:multiLevelType w:val="hybridMultilevel"/>
    <w:tmpl w:val="A0E6FE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FA3078B"/>
    <w:multiLevelType w:val="hybridMultilevel"/>
    <w:tmpl w:val="FAEA99E0"/>
    <w:lvl w:ilvl="0">
      <w:start w:val="1"/>
      <w:numFmt w:val="decimal"/>
      <w:lvlText w:val="%1."/>
      <w:lvlJc w:val="left"/>
      <w:pPr>
        <w:tabs>
          <w:tab w:val="num" w:pos="2520"/>
        </w:tabs>
        <w:ind w:left="2520" w:hanging="720"/>
      </w:pPr>
      <w:rPr>
        <w:rFonts w:hint="default"/>
        <w:b w:val="0"/>
        <w:i w:val="0"/>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6992962"/>
    <w:multiLevelType w:val="hybridMultilevel"/>
    <w:tmpl w:val="F7E00CF2"/>
    <w:lvl w:ilvl="0">
      <w:start w:val="1"/>
      <w:numFmt w:val="decimal"/>
      <w:lvlText w:val="%1."/>
      <w:lvlJc w:val="left"/>
      <w:pPr>
        <w:ind w:left="720" w:hanging="360"/>
      </w:pPr>
      <w:rPr>
        <w:rFonts w:cs="TimesNewRoman" w:hint="default"/>
        <w:b/>
        <w:bCs/>
        <w:i w:val="0"/>
        <w:color w:val="01010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AC7DED"/>
    <w:multiLevelType w:val="hybridMultilevel"/>
    <w:tmpl w:val="F1D4D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E62824"/>
    <w:multiLevelType w:val="hybridMultilevel"/>
    <w:tmpl w:val="3D8C7FB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2FF3BE4"/>
    <w:multiLevelType w:val="hybridMultilevel"/>
    <w:tmpl w:val="BBEE19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323296B"/>
    <w:multiLevelType w:val="hybridMultilevel"/>
    <w:tmpl w:val="2F461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D543132"/>
    <w:multiLevelType w:val="hybridMultilevel"/>
    <w:tmpl w:val="E59051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D8A39AB"/>
    <w:multiLevelType w:val="hybridMultilevel"/>
    <w:tmpl w:val="EDE05A30"/>
    <w:lvl w:ilvl="0">
      <w:start w:val="1"/>
      <w:numFmt w:val="lowerLetter"/>
      <w:lvlText w:val="%1."/>
      <w:lvlJc w:val="left"/>
      <w:pPr>
        <w:ind w:left="1440" w:hanging="360"/>
      </w:pPr>
      <w:rPr>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21C10E1"/>
    <w:multiLevelType w:val="hybridMultilevel"/>
    <w:tmpl w:val="1392082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3E346EA"/>
    <w:multiLevelType w:val="hybridMultilevel"/>
    <w:tmpl w:val="82E28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F04F27"/>
    <w:multiLevelType w:val="hybridMultilevel"/>
    <w:tmpl w:val="05C6E7A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720"/>
      </w:pPr>
      <w:rPr>
        <w:rFonts w:hint="default"/>
        <w:b w:val="0"/>
        <w:i w:val="0"/>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38834639"/>
    <w:multiLevelType w:val="hybridMultilevel"/>
    <w:tmpl w:val="C69CC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A1612B0"/>
    <w:multiLevelType w:val="hybridMultilevel"/>
    <w:tmpl w:val="43D6EF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1AD4DB1"/>
    <w:multiLevelType w:val="hybridMultilevel"/>
    <w:tmpl w:val="F7E00CF2"/>
    <w:lvl w:ilvl="0">
      <w:start w:val="1"/>
      <w:numFmt w:val="decimal"/>
      <w:lvlText w:val="%1."/>
      <w:lvlJc w:val="left"/>
      <w:pPr>
        <w:ind w:left="720" w:hanging="360"/>
      </w:pPr>
      <w:rPr>
        <w:rFonts w:cs="TimesNewRoman" w:hint="default"/>
        <w:b/>
        <w:bCs/>
        <w:i w:val="0"/>
        <w:color w:val="01010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F52285"/>
    <w:multiLevelType w:val="hybridMultilevel"/>
    <w:tmpl w:val="2604D5A4"/>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48265AC"/>
    <w:multiLevelType w:val="hybridMultilevel"/>
    <w:tmpl w:val="ACC8E6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54D7110"/>
    <w:multiLevelType w:val="hybridMultilevel"/>
    <w:tmpl w:val="6BEA688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47A84C35"/>
    <w:multiLevelType w:val="hybridMultilevel"/>
    <w:tmpl w:val="350A208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91A32D9"/>
    <w:multiLevelType w:val="hybridMultilevel"/>
    <w:tmpl w:val="F84E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96A3DD8"/>
    <w:multiLevelType w:val="hybridMultilevel"/>
    <w:tmpl w:val="E054A45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B5004D4"/>
    <w:multiLevelType w:val="hybridMultilevel"/>
    <w:tmpl w:val="8328254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4C965857"/>
    <w:multiLevelType w:val="hybridMultilevel"/>
    <w:tmpl w:val="A3580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B74EFF"/>
    <w:multiLevelType w:val="hybridMultilevel"/>
    <w:tmpl w:val="AC8C0BA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B7028F"/>
    <w:multiLevelType w:val="hybridMultilevel"/>
    <w:tmpl w:val="62AA7E4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9B5429E"/>
    <w:multiLevelType w:val="hybridMultilevel"/>
    <w:tmpl w:val="60AAE094"/>
    <w:lvl w:ilvl="0">
      <w:start w:val="1"/>
      <w:numFmt w:val="upperRoman"/>
      <w:lvlText w:val="%1."/>
      <w:lvlJc w:val="right"/>
      <w:pPr>
        <w:ind w:left="6210" w:hanging="360"/>
      </w:pPr>
      <w:rPr>
        <w:b/>
        <w:sz w:val="22"/>
        <w:szCs w:val="22"/>
      </w:rPr>
    </w:lvl>
    <w:lvl w:ilvl="1" w:tentative="1">
      <w:start w:val="1"/>
      <w:numFmt w:val="lowerLetter"/>
      <w:lvlText w:val="%2."/>
      <w:lvlJc w:val="left"/>
      <w:pPr>
        <w:ind w:left="7200" w:hanging="360"/>
      </w:pPr>
    </w:lvl>
    <w:lvl w:ilvl="2" w:tentative="1">
      <w:start w:val="1"/>
      <w:numFmt w:val="lowerRoman"/>
      <w:lvlText w:val="%3."/>
      <w:lvlJc w:val="right"/>
      <w:pPr>
        <w:ind w:left="7920" w:hanging="180"/>
      </w:pPr>
    </w:lvl>
    <w:lvl w:ilvl="3" w:tentative="1">
      <w:start w:val="1"/>
      <w:numFmt w:val="decimal"/>
      <w:lvlText w:val="%4."/>
      <w:lvlJc w:val="left"/>
      <w:pPr>
        <w:ind w:left="8640" w:hanging="360"/>
      </w:pPr>
    </w:lvl>
    <w:lvl w:ilvl="4" w:tentative="1">
      <w:start w:val="1"/>
      <w:numFmt w:val="lowerLetter"/>
      <w:lvlText w:val="%5."/>
      <w:lvlJc w:val="left"/>
      <w:pPr>
        <w:ind w:left="9360" w:hanging="360"/>
      </w:pPr>
    </w:lvl>
    <w:lvl w:ilvl="5" w:tentative="1">
      <w:start w:val="1"/>
      <w:numFmt w:val="lowerRoman"/>
      <w:lvlText w:val="%6."/>
      <w:lvlJc w:val="right"/>
      <w:pPr>
        <w:ind w:left="10080" w:hanging="180"/>
      </w:pPr>
    </w:lvl>
    <w:lvl w:ilvl="6" w:tentative="1">
      <w:start w:val="1"/>
      <w:numFmt w:val="decimal"/>
      <w:lvlText w:val="%7."/>
      <w:lvlJc w:val="left"/>
      <w:pPr>
        <w:ind w:left="10800" w:hanging="360"/>
      </w:pPr>
    </w:lvl>
    <w:lvl w:ilvl="7" w:tentative="1">
      <w:start w:val="1"/>
      <w:numFmt w:val="lowerLetter"/>
      <w:lvlText w:val="%8."/>
      <w:lvlJc w:val="left"/>
      <w:pPr>
        <w:ind w:left="11520" w:hanging="360"/>
      </w:pPr>
    </w:lvl>
    <w:lvl w:ilvl="8" w:tentative="1">
      <w:start w:val="1"/>
      <w:numFmt w:val="lowerRoman"/>
      <w:lvlText w:val="%9."/>
      <w:lvlJc w:val="right"/>
      <w:pPr>
        <w:ind w:left="12240" w:hanging="180"/>
      </w:pPr>
    </w:lvl>
  </w:abstractNum>
  <w:abstractNum w:abstractNumId="33">
    <w:nsid w:val="5DCC1B18"/>
    <w:multiLevelType w:val="hybridMultilevel"/>
    <w:tmpl w:val="2B12A31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6">
    <w:nsid w:val="61E14B61"/>
    <w:multiLevelType w:val="hybridMultilevel"/>
    <w:tmpl w:val="0DAA7F82"/>
    <w:lvl w:ilvl="0">
      <w:start w:val="1"/>
      <w:numFmt w:val="bullet"/>
      <w:lvlText w:val=""/>
      <w:lvlJc w:val="left"/>
      <w:pPr>
        <w:tabs>
          <w:tab w:val="num" w:pos="1800"/>
        </w:tabs>
        <w:ind w:left="1800" w:hanging="360"/>
      </w:pPr>
      <w:rPr>
        <w:rFonts w:ascii="Symbol" w:hAnsi="Symbol" w:hint="default"/>
      </w:rPr>
    </w:lvl>
    <w:lvl w:ilvl="1">
      <w:start w:val="1"/>
      <w:numFmt w:val="none"/>
      <w:lvlText w:val="E"/>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621471FC"/>
    <w:multiLevelType w:val="hybridMultilevel"/>
    <w:tmpl w:val="41AE24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8292F2F"/>
    <w:multiLevelType w:val="hybridMultilevel"/>
    <w:tmpl w:val="5B727A4C"/>
    <w:lvl w:ilvl="0">
      <w:start w:val="1"/>
      <w:numFmt w:val="decimal"/>
      <w:lvlText w:val="%1."/>
      <w:lvlJc w:val="left"/>
      <w:pPr>
        <w:tabs>
          <w:tab w:val="num" w:pos="2250"/>
        </w:tabs>
        <w:ind w:left="2250" w:hanging="720"/>
      </w:pPr>
      <w:rPr>
        <w:rFonts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9133D54"/>
    <w:multiLevelType w:val="hybridMultilevel"/>
    <w:tmpl w:val="90D6D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9396BEB"/>
    <w:multiLevelType w:val="hybridMultilevel"/>
    <w:tmpl w:val="AA52A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A4A6C7A"/>
    <w:multiLevelType w:val="hybridMultilevel"/>
    <w:tmpl w:val="B0CE47DA"/>
    <w:lvl w:ilvl="0">
      <w:start w:val="1"/>
      <w:numFmt w:val="decimal"/>
      <w:lvlText w:val="%1."/>
      <w:lvlJc w:val="left"/>
      <w:pPr>
        <w:tabs>
          <w:tab w:val="num" w:pos="1296"/>
        </w:tabs>
        <w:ind w:left="360" w:firstLine="90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4"/>
      <w:numFmt w:val="upperLetter"/>
      <w:lvlText w:val="%2."/>
      <w:lvlJc w:val="left"/>
      <w:pPr>
        <w:tabs>
          <w:tab w:val="num" w:pos="1440"/>
        </w:tabs>
        <w:ind w:left="1440" w:hanging="360"/>
      </w:pPr>
      <w:rPr>
        <w:rFonts w:cs="Times New Roman" w:hint="default"/>
      </w:rPr>
    </w:lvl>
    <w:lvl w:ilvl="2">
      <w:start w:val="3"/>
      <w:numFmt w:val="lowerLetter"/>
      <w:lvlText w:val="%3."/>
      <w:lvlJc w:val="left"/>
      <w:pPr>
        <w:tabs>
          <w:tab w:val="num" w:pos="2340"/>
        </w:tabs>
        <w:ind w:left="2340" w:hanging="360"/>
      </w:pPr>
      <w:rPr>
        <w:rFonts w:cs="Times New Roman" w:hint="default"/>
      </w:rPr>
    </w:lvl>
    <w:lvl w:ilvl="3">
      <w:start w:val="5"/>
      <w:numFmt w:val="lowerRoman"/>
      <w:lvlText w:val="(%4)"/>
      <w:lvlJc w:val="left"/>
      <w:pPr>
        <w:tabs>
          <w:tab w:val="num" w:pos="3240"/>
        </w:tabs>
        <w:ind w:left="3240" w:hanging="720"/>
      </w:pPr>
      <w:rPr>
        <w:rFonts w:cs="Times New Roman" w:hint="default"/>
        <w:i/>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6D743857"/>
    <w:multiLevelType w:val="hybridMultilevel"/>
    <w:tmpl w:val="5F940D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44">
    <w:nsid w:val="70FA6B50"/>
    <w:multiLevelType w:val="hybridMultilevel"/>
    <w:tmpl w:val="736C8E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27A04F2"/>
    <w:multiLevelType w:val="hybridMultilevel"/>
    <w:tmpl w:val="D106887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nsid w:val="759A755A"/>
    <w:multiLevelType w:val="hybridMultilevel"/>
    <w:tmpl w:val="E7D2DF04"/>
    <w:lvl w:ilvl="0">
      <w:start w:val="1"/>
      <w:numFmt w:val="upperLetter"/>
      <w:pStyle w:val="Heading1"/>
      <w:lvlText w:val="%1."/>
      <w:lvlJc w:val="left"/>
      <w:pPr>
        <w:tabs>
          <w:tab w:val="num" w:pos="360"/>
        </w:tabs>
        <w:ind w:left="360" w:hanging="360"/>
      </w:pPr>
      <w:rPr>
        <w:rFonts w:hint="default"/>
        <w:b/>
        <w:i w:val="0"/>
      </w:rPr>
    </w:lvl>
    <w:lvl w:ilvl="1">
      <w:start w:val="1"/>
      <w:numFmt w:val="decimal"/>
      <w:lvlText w:val="%2."/>
      <w:lvlJc w:val="left"/>
      <w:pPr>
        <w:tabs>
          <w:tab w:val="num" w:pos="1800"/>
        </w:tabs>
        <w:ind w:left="1800" w:hanging="72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60E523E"/>
    <w:multiLevelType w:val="hybridMultilevel"/>
    <w:tmpl w:val="DA72F03E"/>
    <w:lvl w:ilvl="0">
      <w:start w:val="5"/>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A48752A"/>
    <w:multiLevelType w:val="hybridMultilevel"/>
    <w:tmpl w:val="35A8FE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C62102D"/>
    <w:multiLevelType w:val="hybridMultilevel"/>
    <w:tmpl w:val="8506C1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7F7C1652"/>
    <w:multiLevelType w:val="hybridMultilevel"/>
    <w:tmpl w:val="3EC80306"/>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38"/>
  </w:num>
  <w:num w:numId="4">
    <w:abstractNumId w:val="36"/>
  </w:num>
  <w:num w:numId="5">
    <w:abstractNumId w:val="1"/>
  </w:num>
  <w:num w:numId="6">
    <w:abstractNumId w:val="8"/>
  </w:num>
  <w:num w:numId="7">
    <w:abstractNumId w:val="17"/>
  </w:num>
  <w:num w:numId="8">
    <w:abstractNumId w:val="46"/>
  </w:num>
  <w:num w:numId="9">
    <w:abstractNumId w:val="22"/>
  </w:num>
  <w:num w:numId="10">
    <w:abstractNumId w:val="6"/>
  </w:num>
  <w:num w:numId="11">
    <w:abstractNumId w:val="24"/>
  </w:num>
  <w:num w:numId="12">
    <w:abstractNumId w:val="39"/>
  </w:num>
  <w:num w:numId="13">
    <w:abstractNumId w:val="40"/>
  </w:num>
  <w:num w:numId="14">
    <w:abstractNumId w:val="45"/>
  </w:num>
  <w:num w:numId="15">
    <w:abstractNumId w:val="47"/>
  </w:num>
  <w:num w:numId="16">
    <w:abstractNumId w:val="51"/>
  </w:num>
  <w:num w:numId="17">
    <w:abstractNumId w:val="26"/>
  </w:num>
  <w:num w:numId="18">
    <w:abstractNumId w:val="23"/>
  </w:num>
  <w:num w:numId="19">
    <w:abstractNumId w:val="13"/>
  </w:num>
  <w:num w:numId="20">
    <w:abstractNumId w:val="31"/>
  </w:num>
  <w:num w:numId="21">
    <w:abstractNumId w:val="35"/>
  </w:num>
  <w:num w:numId="22">
    <w:abstractNumId w:val="41"/>
  </w:num>
  <w:num w:numId="23">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24">
    <w:abstractNumId w:val="2"/>
  </w:num>
  <w:num w:numId="25">
    <w:abstractNumId w:val="43"/>
  </w:num>
  <w:num w:numId="26">
    <w:abstractNumId w:val="37"/>
  </w:num>
  <w:num w:numId="27">
    <w:abstractNumId w:val="11"/>
  </w:num>
  <w:num w:numId="28">
    <w:abstractNumId w:val="35"/>
  </w:num>
  <w:num w:numId="29">
    <w:abstractNumId w:val="35"/>
  </w:num>
  <w:num w:numId="30">
    <w:abstractNumId w:val="35"/>
  </w:num>
  <w:num w:numId="31">
    <w:abstractNumId w:val="30"/>
  </w:num>
  <w:num w:numId="32">
    <w:abstractNumId w:val="32"/>
  </w:num>
  <w:num w:numId="33">
    <w:abstractNumId w:val="33"/>
  </w:num>
  <w:num w:numId="34">
    <w:abstractNumId w:val="49"/>
  </w:num>
  <w:num w:numId="35">
    <w:abstractNumId w:val="27"/>
  </w:num>
  <w:num w:numId="36">
    <w:abstractNumId w:val="34"/>
  </w:num>
  <w:num w:numId="37">
    <w:abstractNumId w:val="35"/>
  </w:num>
  <w:num w:numId="38">
    <w:abstractNumId w:val="35"/>
  </w:num>
  <w:num w:numId="39">
    <w:abstractNumId w:val="42"/>
  </w:num>
  <w:num w:numId="40">
    <w:abstractNumId w:val="10"/>
  </w:num>
  <w:num w:numId="41">
    <w:abstractNumId w:val="3"/>
  </w:num>
  <w:num w:numId="42">
    <w:abstractNumId w:val="35"/>
  </w:num>
  <w:num w:numId="43">
    <w:abstractNumId w:val="35"/>
  </w:num>
  <w:num w:numId="44">
    <w:abstractNumId w:val="35"/>
  </w:num>
  <w:num w:numId="45">
    <w:abstractNumId w:val="29"/>
  </w:num>
  <w:num w:numId="46">
    <w:abstractNumId w:val="19"/>
  </w:num>
  <w:num w:numId="47">
    <w:abstractNumId w:val="48"/>
  </w:num>
  <w:num w:numId="48">
    <w:abstractNumId w:val="16"/>
  </w:num>
  <w:num w:numId="49">
    <w:abstractNumId w:val="50"/>
  </w:num>
  <w:num w:numId="50">
    <w:abstractNumId w:val="4"/>
  </w:num>
  <w:num w:numId="51">
    <w:abstractNumId w:val="28"/>
  </w:num>
  <w:num w:numId="52">
    <w:abstractNumId w:val="14"/>
  </w:num>
  <w:num w:numId="53">
    <w:abstractNumId w:val="21"/>
  </w:num>
  <w:num w:numId="54">
    <w:abstractNumId w:val="44"/>
  </w:num>
  <w:num w:numId="55">
    <w:abstractNumId w:val="12"/>
  </w:num>
  <w:num w:numId="56">
    <w:abstractNumId w:val="5"/>
  </w:num>
  <w:num w:numId="57">
    <w:abstractNumId w:val="9"/>
  </w:num>
  <w:num w:numId="58">
    <w:abstractNumId w:val="7"/>
  </w:num>
  <w:num w:numId="59">
    <w:abstractNumId w:val="15"/>
  </w:num>
  <w:num w:numId="60">
    <w:abstractNumId w:val="0"/>
  </w:num>
  <w:num w:numId="61">
    <w:abstractNumId w:val="20"/>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ED"/>
    <w:rsid w:val="0000099C"/>
    <w:rsid w:val="00001CAD"/>
    <w:rsid w:val="00022ED4"/>
    <w:rsid w:val="00024591"/>
    <w:rsid w:val="0003384B"/>
    <w:rsid w:val="000367C3"/>
    <w:rsid w:val="000419B9"/>
    <w:rsid w:val="00043330"/>
    <w:rsid w:val="00045114"/>
    <w:rsid w:val="00050525"/>
    <w:rsid w:val="000513F1"/>
    <w:rsid w:val="00051BB1"/>
    <w:rsid w:val="00060052"/>
    <w:rsid w:val="00062C9C"/>
    <w:rsid w:val="00065CEF"/>
    <w:rsid w:val="00071826"/>
    <w:rsid w:val="000725E9"/>
    <w:rsid w:val="000726CA"/>
    <w:rsid w:val="00076768"/>
    <w:rsid w:val="000768BA"/>
    <w:rsid w:val="00076F47"/>
    <w:rsid w:val="000847BE"/>
    <w:rsid w:val="00086FDB"/>
    <w:rsid w:val="0009235B"/>
    <w:rsid w:val="0009451A"/>
    <w:rsid w:val="00095153"/>
    <w:rsid w:val="000963A5"/>
    <w:rsid w:val="00097FAE"/>
    <w:rsid w:val="000A1B3A"/>
    <w:rsid w:val="000A3093"/>
    <w:rsid w:val="000A68C8"/>
    <w:rsid w:val="000A6DDD"/>
    <w:rsid w:val="000B24D2"/>
    <w:rsid w:val="000C0401"/>
    <w:rsid w:val="000C26B2"/>
    <w:rsid w:val="000C52EB"/>
    <w:rsid w:val="000C651A"/>
    <w:rsid w:val="000D013A"/>
    <w:rsid w:val="000D3A0E"/>
    <w:rsid w:val="000E3B6A"/>
    <w:rsid w:val="000F161B"/>
    <w:rsid w:val="000F4431"/>
    <w:rsid w:val="00104CB7"/>
    <w:rsid w:val="00105D91"/>
    <w:rsid w:val="001064D9"/>
    <w:rsid w:val="00106C0D"/>
    <w:rsid w:val="00110F50"/>
    <w:rsid w:val="001127CB"/>
    <w:rsid w:val="00112DDB"/>
    <w:rsid w:val="0011484A"/>
    <w:rsid w:val="00115AE6"/>
    <w:rsid w:val="00116F67"/>
    <w:rsid w:val="00125E89"/>
    <w:rsid w:val="001310DF"/>
    <w:rsid w:val="00131835"/>
    <w:rsid w:val="00134DD6"/>
    <w:rsid w:val="00135145"/>
    <w:rsid w:val="001410ED"/>
    <w:rsid w:val="0014246E"/>
    <w:rsid w:val="001435AD"/>
    <w:rsid w:val="00143C51"/>
    <w:rsid w:val="00144740"/>
    <w:rsid w:val="00147BD3"/>
    <w:rsid w:val="00150F38"/>
    <w:rsid w:val="00151052"/>
    <w:rsid w:val="0015134B"/>
    <w:rsid w:val="00151EE8"/>
    <w:rsid w:val="001526CD"/>
    <w:rsid w:val="001576A6"/>
    <w:rsid w:val="001577AF"/>
    <w:rsid w:val="00160081"/>
    <w:rsid w:val="001600A3"/>
    <w:rsid w:val="00160ECA"/>
    <w:rsid w:val="0017170A"/>
    <w:rsid w:val="00171D2C"/>
    <w:rsid w:val="00173991"/>
    <w:rsid w:val="0017572A"/>
    <w:rsid w:val="00177692"/>
    <w:rsid w:val="00177AA6"/>
    <w:rsid w:val="00183E39"/>
    <w:rsid w:val="00190B79"/>
    <w:rsid w:val="00191EA3"/>
    <w:rsid w:val="001931E5"/>
    <w:rsid w:val="001978CA"/>
    <w:rsid w:val="001A485C"/>
    <w:rsid w:val="001A527D"/>
    <w:rsid w:val="001B2DBB"/>
    <w:rsid w:val="001B5A38"/>
    <w:rsid w:val="001C1B62"/>
    <w:rsid w:val="001C6C62"/>
    <w:rsid w:val="001D36BD"/>
    <w:rsid w:val="001D4942"/>
    <w:rsid w:val="001D4F86"/>
    <w:rsid w:val="001E5E7A"/>
    <w:rsid w:val="001E7077"/>
    <w:rsid w:val="001F7C1B"/>
    <w:rsid w:val="002029D2"/>
    <w:rsid w:val="00202A0F"/>
    <w:rsid w:val="00203B94"/>
    <w:rsid w:val="002042A2"/>
    <w:rsid w:val="00207E8B"/>
    <w:rsid w:val="0021292C"/>
    <w:rsid w:val="002144DE"/>
    <w:rsid w:val="00214A9F"/>
    <w:rsid w:val="002207A8"/>
    <w:rsid w:val="00221210"/>
    <w:rsid w:val="00222712"/>
    <w:rsid w:val="002228A6"/>
    <w:rsid w:val="0022359D"/>
    <w:rsid w:val="00224036"/>
    <w:rsid w:val="00227C3A"/>
    <w:rsid w:val="002301F8"/>
    <w:rsid w:val="002319E1"/>
    <w:rsid w:val="00233B44"/>
    <w:rsid w:val="002372D1"/>
    <w:rsid w:val="00242E0B"/>
    <w:rsid w:val="00245081"/>
    <w:rsid w:val="00246E5D"/>
    <w:rsid w:val="00250A1A"/>
    <w:rsid w:val="00254F3E"/>
    <w:rsid w:val="00257E0B"/>
    <w:rsid w:val="00266BA7"/>
    <w:rsid w:val="00273349"/>
    <w:rsid w:val="00273FBA"/>
    <w:rsid w:val="00275EB3"/>
    <w:rsid w:val="002762B6"/>
    <w:rsid w:val="00280F7B"/>
    <w:rsid w:val="00281F10"/>
    <w:rsid w:val="0028473E"/>
    <w:rsid w:val="00285904"/>
    <w:rsid w:val="00286065"/>
    <w:rsid w:val="0029107D"/>
    <w:rsid w:val="00291641"/>
    <w:rsid w:val="00291CFE"/>
    <w:rsid w:val="002922CE"/>
    <w:rsid w:val="0029534D"/>
    <w:rsid w:val="00295D49"/>
    <w:rsid w:val="00296CD2"/>
    <w:rsid w:val="002A1008"/>
    <w:rsid w:val="002A72E5"/>
    <w:rsid w:val="002B6FFA"/>
    <w:rsid w:val="002C3FC8"/>
    <w:rsid w:val="002C48BA"/>
    <w:rsid w:val="002D12BC"/>
    <w:rsid w:val="002D4E9C"/>
    <w:rsid w:val="002D63B3"/>
    <w:rsid w:val="002E012C"/>
    <w:rsid w:val="002E23CD"/>
    <w:rsid w:val="002E4882"/>
    <w:rsid w:val="002E524D"/>
    <w:rsid w:val="002E7597"/>
    <w:rsid w:val="002E7BE7"/>
    <w:rsid w:val="002F076C"/>
    <w:rsid w:val="002F7A94"/>
    <w:rsid w:val="002F7B74"/>
    <w:rsid w:val="00302EF6"/>
    <w:rsid w:val="00311DD0"/>
    <w:rsid w:val="0031379E"/>
    <w:rsid w:val="00314350"/>
    <w:rsid w:val="00314AF6"/>
    <w:rsid w:val="003160A1"/>
    <w:rsid w:val="00320177"/>
    <w:rsid w:val="00323E08"/>
    <w:rsid w:val="0033436E"/>
    <w:rsid w:val="003362C6"/>
    <w:rsid w:val="00341621"/>
    <w:rsid w:val="00344062"/>
    <w:rsid w:val="003451C8"/>
    <w:rsid w:val="00345802"/>
    <w:rsid w:val="00345C4F"/>
    <w:rsid w:val="003466DF"/>
    <w:rsid w:val="003614B3"/>
    <w:rsid w:val="00361E8C"/>
    <w:rsid w:val="003636FB"/>
    <w:rsid w:val="00366F35"/>
    <w:rsid w:val="003709FB"/>
    <w:rsid w:val="00376AF3"/>
    <w:rsid w:val="00381CA3"/>
    <w:rsid w:val="00381F5B"/>
    <w:rsid w:val="0038524A"/>
    <w:rsid w:val="00391262"/>
    <w:rsid w:val="00392BB2"/>
    <w:rsid w:val="00394310"/>
    <w:rsid w:val="003A14C8"/>
    <w:rsid w:val="003A291C"/>
    <w:rsid w:val="003A47C3"/>
    <w:rsid w:val="003A74F1"/>
    <w:rsid w:val="003A7FE2"/>
    <w:rsid w:val="003B6E07"/>
    <w:rsid w:val="003D1274"/>
    <w:rsid w:val="003D198F"/>
    <w:rsid w:val="003D5AA3"/>
    <w:rsid w:val="003E0570"/>
    <w:rsid w:val="003E60B2"/>
    <w:rsid w:val="003E63DA"/>
    <w:rsid w:val="003F249D"/>
    <w:rsid w:val="003F275B"/>
    <w:rsid w:val="003F71E5"/>
    <w:rsid w:val="00400613"/>
    <w:rsid w:val="00400843"/>
    <w:rsid w:val="00422365"/>
    <w:rsid w:val="0042236F"/>
    <w:rsid w:val="00422F74"/>
    <w:rsid w:val="0042331B"/>
    <w:rsid w:val="00423972"/>
    <w:rsid w:val="00424853"/>
    <w:rsid w:val="00426DA0"/>
    <w:rsid w:val="004318A5"/>
    <w:rsid w:val="00434032"/>
    <w:rsid w:val="00441172"/>
    <w:rsid w:val="00442AFF"/>
    <w:rsid w:val="00442EF6"/>
    <w:rsid w:val="00445E8E"/>
    <w:rsid w:val="004548F1"/>
    <w:rsid w:val="004555F3"/>
    <w:rsid w:val="00455F88"/>
    <w:rsid w:val="00461711"/>
    <w:rsid w:val="00462EF2"/>
    <w:rsid w:val="00482E80"/>
    <w:rsid w:val="00482FB9"/>
    <w:rsid w:val="004834A8"/>
    <w:rsid w:val="0048388D"/>
    <w:rsid w:val="00483D0B"/>
    <w:rsid w:val="00484309"/>
    <w:rsid w:val="00490793"/>
    <w:rsid w:val="00491771"/>
    <w:rsid w:val="004934BD"/>
    <w:rsid w:val="00493A91"/>
    <w:rsid w:val="00493D79"/>
    <w:rsid w:val="00497E7A"/>
    <w:rsid w:val="004B1019"/>
    <w:rsid w:val="004B13A5"/>
    <w:rsid w:val="004B17B6"/>
    <w:rsid w:val="004B38E9"/>
    <w:rsid w:val="004B4A6F"/>
    <w:rsid w:val="004B7208"/>
    <w:rsid w:val="004C3FDF"/>
    <w:rsid w:val="004C4D7C"/>
    <w:rsid w:val="004C7141"/>
    <w:rsid w:val="004C72E0"/>
    <w:rsid w:val="004C7AE0"/>
    <w:rsid w:val="004D173B"/>
    <w:rsid w:val="004D2F53"/>
    <w:rsid w:val="004D67CF"/>
    <w:rsid w:val="004E60E6"/>
    <w:rsid w:val="004F3001"/>
    <w:rsid w:val="004F3CF7"/>
    <w:rsid w:val="00504CF0"/>
    <w:rsid w:val="00504F57"/>
    <w:rsid w:val="00510FFF"/>
    <w:rsid w:val="00513153"/>
    <w:rsid w:val="00513659"/>
    <w:rsid w:val="00522DBE"/>
    <w:rsid w:val="005230B1"/>
    <w:rsid w:val="00523DE3"/>
    <w:rsid w:val="00526871"/>
    <w:rsid w:val="005302A3"/>
    <w:rsid w:val="00530FA8"/>
    <w:rsid w:val="005339D2"/>
    <w:rsid w:val="00540680"/>
    <w:rsid w:val="00545478"/>
    <w:rsid w:val="005460EC"/>
    <w:rsid w:val="0054758A"/>
    <w:rsid w:val="00551F1E"/>
    <w:rsid w:val="005533DB"/>
    <w:rsid w:val="005633DD"/>
    <w:rsid w:val="00563AE4"/>
    <w:rsid w:val="00566494"/>
    <w:rsid w:val="00566BFB"/>
    <w:rsid w:val="00566C7A"/>
    <w:rsid w:val="00570D3B"/>
    <w:rsid w:val="005739D3"/>
    <w:rsid w:val="005778FB"/>
    <w:rsid w:val="00580872"/>
    <w:rsid w:val="0058104F"/>
    <w:rsid w:val="005827E9"/>
    <w:rsid w:val="0058295A"/>
    <w:rsid w:val="00586DD4"/>
    <w:rsid w:val="005902DD"/>
    <w:rsid w:val="0059053E"/>
    <w:rsid w:val="0059388D"/>
    <w:rsid w:val="005975E2"/>
    <w:rsid w:val="005A0072"/>
    <w:rsid w:val="005A0E99"/>
    <w:rsid w:val="005A111D"/>
    <w:rsid w:val="005A14DE"/>
    <w:rsid w:val="005A70B1"/>
    <w:rsid w:val="005B2100"/>
    <w:rsid w:val="005B37DD"/>
    <w:rsid w:val="005B60D7"/>
    <w:rsid w:val="005B79C1"/>
    <w:rsid w:val="005B7C9E"/>
    <w:rsid w:val="005C51DC"/>
    <w:rsid w:val="005C5956"/>
    <w:rsid w:val="005C61CE"/>
    <w:rsid w:val="005D0294"/>
    <w:rsid w:val="005D509F"/>
    <w:rsid w:val="005D73BC"/>
    <w:rsid w:val="005D788F"/>
    <w:rsid w:val="005E5EA6"/>
    <w:rsid w:val="005F06A8"/>
    <w:rsid w:val="005F1FDF"/>
    <w:rsid w:val="005F3086"/>
    <w:rsid w:val="005F4C8A"/>
    <w:rsid w:val="005F4F44"/>
    <w:rsid w:val="00601667"/>
    <w:rsid w:val="006027B3"/>
    <w:rsid w:val="00603A84"/>
    <w:rsid w:val="00612106"/>
    <w:rsid w:val="0061703D"/>
    <w:rsid w:val="006176DB"/>
    <w:rsid w:val="00617D80"/>
    <w:rsid w:val="00621D85"/>
    <w:rsid w:val="006221F3"/>
    <w:rsid w:val="00623B82"/>
    <w:rsid w:val="00625A67"/>
    <w:rsid w:val="00625C61"/>
    <w:rsid w:val="00635CC9"/>
    <w:rsid w:val="00637098"/>
    <w:rsid w:val="0064102B"/>
    <w:rsid w:val="006460EE"/>
    <w:rsid w:val="00647C79"/>
    <w:rsid w:val="00650187"/>
    <w:rsid w:val="006561CE"/>
    <w:rsid w:val="00661FB1"/>
    <w:rsid w:val="006647DC"/>
    <w:rsid w:val="00670C6D"/>
    <w:rsid w:val="00676B46"/>
    <w:rsid w:val="00685C2A"/>
    <w:rsid w:val="00690C1B"/>
    <w:rsid w:val="00694B05"/>
    <w:rsid w:val="00695B91"/>
    <w:rsid w:val="006A01E6"/>
    <w:rsid w:val="006A3438"/>
    <w:rsid w:val="006A35F4"/>
    <w:rsid w:val="006B09FE"/>
    <w:rsid w:val="006B197C"/>
    <w:rsid w:val="006B27FC"/>
    <w:rsid w:val="006B35F5"/>
    <w:rsid w:val="006B3AA1"/>
    <w:rsid w:val="006B3F8A"/>
    <w:rsid w:val="006B51D3"/>
    <w:rsid w:val="006B5825"/>
    <w:rsid w:val="006C1752"/>
    <w:rsid w:val="006D0C99"/>
    <w:rsid w:val="006D19C3"/>
    <w:rsid w:val="006E0742"/>
    <w:rsid w:val="006E1C82"/>
    <w:rsid w:val="006E7EE5"/>
    <w:rsid w:val="006F0769"/>
    <w:rsid w:val="006F3157"/>
    <w:rsid w:val="006F6023"/>
    <w:rsid w:val="00703A83"/>
    <w:rsid w:val="00710847"/>
    <w:rsid w:val="00711CDA"/>
    <w:rsid w:val="0071259D"/>
    <w:rsid w:val="00712719"/>
    <w:rsid w:val="00724927"/>
    <w:rsid w:val="007313DC"/>
    <w:rsid w:val="00731516"/>
    <w:rsid w:val="00732DA0"/>
    <w:rsid w:val="007345B3"/>
    <w:rsid w:val="007375E9"/>
    <w:rsid w:val="007422C0"/>
    <w:rsid w:val="00743443"/>
    <w:rsid w:val="007475E0"/>
    <w:rsid w:val="00751FCB"/>
    <w:rsid w:val="00755F27"/>
    <w:rsid w:val="0076511F"/>
    <w:rsid w:val="0076701B"/>
    <w:rsid w:val="00770B3D"/>
    <w:rsid w:val="00774714"/>
    <w:rsid w:val="007754B0"/>
    <w:rsid w:val="00781EA5"/>
    <w:rsid w:val="0078228C"/>
    <w:rsid w:val="007910BC"/>
    <w:rsid w:val="00796F4F"/>
    <w:rsid w:val="007A2584"/>
    <w:rsid w:val="007A259C"/>
    <w:rsid w:val="007A4B45"/>
    <w:rsid w:val="007A5745"/>
    <w:rsid w:val="007A5FCD"/>
    <w:rsid w:val="007A7A48"/>
    <w:rsid w:val="007A7DF2"/>
    <w:rsid w:val="007B2DE1"/>
    <w:rsid w:val="007B5347"/>
    <w:rsid w:val="007C1378"/>
    <w:rsid w:val="007D6A7A"/>
    <w:rsid w:val="007D6C19"/>
    <w:rsid w:val="007E1432"/>
    <w:rsid w:val="007E5968"/>
    <w:rsid w:val="007F0C47"/>
    <w:rsid w:val="007F1626"/>
    <w:rsid w:val="007F4C9F"/>
    <w:rsid w:val="007F4FC1"/>
    <w:rsid w:val="007F5ABB"/>
    <w:rsid w:val="00803A5B"/>
    <w:rsid w:val="00805350"/>
    <w:rsid w:val="008061EF"/>
    <w:rsid w:val="008070B7"/>
    <w:rsid w:val="00812158"/>
    <w:rsid w:val="008151B3"/>
    <w:rsid w:val="00815882"/>
    <w:rsid w:val="008200B9"/>
    <w:rsid w:val="00820C98"/>
    <w:rsid w:val="00821E2F"/>
    <w:rsid w:val="008276E2"/>
    <w:rsid w:val="00830587"/>
    <w:rsid w:val="008310DF"/>
    <w:rsid w:val="00833B74"/>
    <w:rsid w:val="00835618"/>
    <w:rsid w:val="008461FE"/>
    <w:rsid w:val="00847924"/>
    <w:rsid w:val="00853E70"/>
    <w:rsid w:val="00854A12"/>
    <w:rsid w:val="00854B12"/>
    <w:rsid w:val="00857CDF"/>
    <w:rsid w:val="00867365"/>
    <w:rsid w:val="0086765B"/>
    <w:rsid w:val="0087409A"/>
    <w:rsid w:val="00874300"/>
    <w:rsid w:val="00876A9C"/>
    <w:rsid w:val="00882BB7"/>
    <w:rsid w:val="00882D1F"/>
    <w:rsid w:val="0088403C"/>
    <w:rsid w:val="0088431B"/>
    <w:rsid w:val="00884324"/>
    <w:rsid w:val="00892E48"/>
    <w:rsid w:val="0089334A"/>
    <w:rsid w:val="00896C6B"/>
    <w:rsid w:val="008A0104"/>
    <w:rsid w:val="008A4BCD"/>
    <w:rsid w:val="008B29F6"/>
    <w:rsid w:val="008B2B70"/>
    <w:rsid w:val="008C6364"/>
    <w:rsid w:val="008C647A"/>
    <w:rsid w:val="008C6C79"/>
    <w:rsid w:val="008D5C40"/>
    <w:rsid w:val="008E0698"/>
    <w:rsid w:val="008E0A04"/>
    <w:rsid w:val="008E1B00"/>
    <w:rsid w:val="008E1E16"/>
    <w:rsid w:val="008E3521"/>
    <w:rsid w:val="008F6F05"/>
    <w:rsid w:val="00901BB4"/>
    <w:rsid w:val="00901D73"/>
    <w:rsid w:val="0090526E"/>
    <w:rsid w:val="009055FC"/>
    <w:rsid w:val="00905F77"/>
    <w:rsid w:val="00907C63"/>
    <w:rsid w:val="00907C78"/>
    <w:rsid w:val="00911533"/>
    <w:rsid w:val="0091248E"/>
    <w:rsid w:val="009137DD"/>
    <w:rsid w:val="00916BAB"/>
    <w:rsid w:val="00920712"/>
    <w:rsid w:val="009209BC"/>
    <w:rsid w:val="00920FAE"/>
    <w:rsid w:val="009227F6"/>
    <w:rsid w:val="00930F2D"/>
    <w:rsid w:val="009328C7"/>
    <w:rsid w:val="009330D5"/>
    <w:rsid w:val="009456B2"/>
    <w:rsid w:val="00945E4F"/>
    <w:rsid w:val="0095377B"/>
    <w:rsid w:val="00954006"/>
    <w:rsid w:val="009543E6"/>
    <w:rsid w:val="009549DA"/>
    <w:rsid w:val="00963ADF"/>
    <w:rsid w:val="0096431F"/>
    <w:rsid w:val="00965306"/>
    <w:rsid w:val="00970F0F"/>
    <w:rsid w:val="009717AE"/>
    <w:rsid w:val="00971972"/>
    <w:rsid w:val="009813C3"/>
    <w:rsid w:val="00984EFA"/>
    <w:rsid w:val="00984FCF"/>
    <w:rsid w:val="009851E6"/>
    <w:rsid w:val="009903A3"/>
    <w:rsid w:val="00990680"/>
    <w:rsid w:val="00994330"/>
    <w:rsid w:val="009A61A0"/>
    <w:rsid w:val="009B04CF"/>
    <w:rsid w:val="009B0ADD"/>
    <w:rsid w:val="009B4858"/>
    <w:rsid w:val="009B65AF"/>
    <w:rsid w:val="009C28D4"/>
    <w:rsid w:val="009C3382"/>
    <w:rsid w:val="009D2031"/>
    <w:rsid w:val="009D5BE4"/>
    <w:rsid w:val="009E0338"/>
    <w:rsid w:val="009E0D98"/>
    <w:rsid w:val="009E1C44"/>
    <w:rsid w:val="009E59A2"/>
    <w:rsid w:val="009E5F71"/>
    <w:rsid w:val="009F5F18"/>
    <w:rsid w:val="009F61F0"/>
    <w:rsid w:val="009F712F"/>
    <w:rsid w:val="00A0046A"/>
    <w:rsid w:val="00A0210B"/>
    <w:rsid w:val="00A02498"/>
    <w:rsid w:val="00A024DE"/>
    <w:rsid w:val="00A0670E"/>
    <w:rsid w:val="00A07933"/>
    <w:rsid w:val="00A14D02"/>
    <w:rsid w:val="00A214E9"/>
    <w:rsid w:val="00A31A07"/>
    <w:rsid w:val="00A32DE9"/>
    <w:rsid w:val="00A3442D"/>
    <w:rsid w:val="00A41BEB"/>
    <w:rsid w:val="00A4280C"/>
    <w:rsid w:val="00A42EE6"/>
    <w:rsid w:val="00A4653A"/>
    <w:rsid w:val="00A47160"/>
    <w:rsid w:val="00A511C3"/>
    <w:rsid w:val="00A60B6F"/>
    <w:rsid w:val="00A61FFB"/>
    <w:rsid w:val="00A620E4"/>
    <w:rsid w:val="00A62A4C"/>
    <w:rsid w:val="00A6420C"/>
    <w:rsid w:val="00A64C6F"/>
    <w:rsid w:val="00A64CCC"/>
    <w:rsid w:val="00A76D6C"/>
    <w:rsid w:val="00A77036"/>
    <w:rsid w:val="00A774E5"/>
    <w:rsid w:val="00A775FF"/>
    <w:rsid w:val="00A820B4"/>
    <w:rsid w:val="00A82DBD"/>
    <w:rsid w:val="00A84A8B"/>
    <w:rsid w:val="00A905D2"/>
    <w:rsid w:val="00A93644"/>
    <w:rsid w:val="00A94AA5"/>
    <w:rsid w:val="00A970F1"/>
    <w:rsid w:val="00AA7DD3"/>
    <w:rsid w:val="00AB20AD"/>
    <w:rsid w:val="00AB338B"/>
    <w:rsid w:val="00AB3C5B"/>
    <w:rsid w:val="00AB41D4"/>
    <w:rsid w:val="00AB6FDE"/>
    <w:rsid w:val="00AC3AFD"/>
    <w:rsid w:val="00AD2210"/>
    <w:rsid w:val="00AD484B"/>
    <w:rsid w:val="00AD6B61"/>
    <w:rsid w:val="00AE0870"/>
    <w:rsid w:val="00AE61C7"/>
    <w:rsid w:val="00AF2A2F"/>
    <w:rsid w:val="00AF32A7"/>
    <w:rsid w:val="00AF5EA7"/>
    <w:rsid w:val="00AF7AA2"/>
    <w:rsid w:val="00B0740A"/>
    <w:rsid w:val="00B11E22"/>
    <w:rsid w:val="00B12075"/>
    <w:rsid w:val="00B1633B"/>
    <w:rsid w:val="00B16609"/>
    <w:rsid w:val="00B2103A"/>
    <w:rsid w:val="00B21DEF"/>
    <w:rsid w:val="00B237C0"/>
    <w:rsid w:val="00B249B9"/>
    <w:rsid w:val="00B25D9B"/>
    <w:rsid w:val="00B267B9"/>
    <w:rsid w:val="00B30058"/>
    <w:rsid w:val="00B32404"/>
    <w:rsid w:val="00B37082"/>
    <w:rsid w:val="00B407D7"/>
    <w:rsid w:val="00B43C52"/>
    <w:rsid w:val="00B43DD5"/>
    <w:rsid w:val="00B453BA"/>
    <w:rsid w:val="00B532F3"/>
    <w:rsid w:val="00B5754E"/>
    <w:rsid w:val="00B611DC"/>
    <w:rsid w:val="00B6340C"/>
    <w:rsid w:val="00B65A1F"/>
    <w:rsid w:val="00B6631D"/>
    <w:rsid w:val="00B67E2B"/>
    <w:rsid w:val="00B70AB2"/>
    <w:rsid w:val="00B801FD"/>
    <w:rsid w:val="00B819CC"/>
    <w:rsid w:val="00B83961"/>
    <w:rsid w:val="00B84A93"/>
    <w:rsid w:val="00B87253"/>
    <w:rsid w:val="00B87DC4"/>
    <w:rsid w:val="00B92E61"/>
    <w:rsid w:val="00B9552F"/>
    <w:rsid w:val="00B958E7"/>
    <w:rsid w:val="00B958F5"/>
    <w:rsid w:val="00B974AB"/>
    <w:rsid w:val="00BA371E"/>
    <w:rsid w:val="00BB25B6"/>
    <w:rsid w:val="00BB2A07"/>
    <w:rsid w:val="00BB30F7"/>
    <w:rsid w:val="00BB608C"/>
    <w:rsid w:val="00BB7288"/>
    <w:rsid w:val="00BC0DB2"/>
    <w:rsid w:val="00BC4CD0"/>
    <w:rsid w:val="00BC68B4"/>
    <w:rsid w:val="00BC6C3A"/>
    <w:rsid w:val="00BD3E47"/>
    <w:rsid w:val="00BD425B"/>
    <w:rsid w:val="00BE28B1"/>
    <w:rsid w:val="00BE42F1"/>
    <w:rsid w:val="00BE4C12"/>
    <w:rsid w:val="00BE6AB1"/>
    <w:rsid w:val="00BE7F0E"/>
    <w:rsid w:val="00BF1BA3"/>
    <w:rsid w:val="00C027A0"/>
    <w:rsid w:val="00C03498"/>
    <w:rsid w:val="00C04245"/>
    <w:rsid w:val="00C047F1"/>
    <w:rsid w:val="00C10604"/>
    <w:rsid w:val="00C1165A"/>
    <w:rsid w:val="00C11C5C"/>
    <w:rsid w:val="00C17D9E"/>
    <w:rsid w:val="00C2516F"/>
    <w:rsid w:val="00C275C5"/>
    <w:rsid w:val="00C31671"/>
    <w:rsid w:val="00C335A2"/>
    <w:rsid w:val="00C345A3"/>
    <w:rsid w:val="00C35529"/>
    <w:rsid w:val="00C3630E"/>
    <w:rsid w:val="00C41B7F"/>
    <w:rsid w:val="00C41E6A"/>
    <w:rsid w:val="00C45E7D"/>
    <w:rsid w:val="00C46544"/>
    <w:rsid w:val="00C475A9"/>
    <w:rsid w:val="00C47F37"/>
    <w:rsid w:val="00C50A7B"/>
    <w:rsid w:val="00C52CD1"/>
    <w:rsid w:val="00C54223"/>
    <w:rsid w:val="00C54E6F"/>
    <w:rsid w:val="00C73B59"/>
    <w:rsid w:val="00C756D9"/>
    <w:rsid w:val="00C76AA9"/>
    <w:rsid w:val="00C80548"/>
    <w:rsid w:val="00C80F2B"/>
    <w:rsid w:val="00C82035"/>
    <w:rsid w:val="00C850EE"/>
    <w:rsid w:val="00C92696"/>
    <w:rsid w:val="00C93FBF"/>
    <w:rsid w:val="00C9777C"/>
    <w:rsid w:val="00CA49CB"/>
    <w:rsid w:val="00CB3640"/>
    <w:rsid w:val="00CC164E"/>
    <w:rsid w:val="00CC3384"/>
    <w:rsid w:val="00CC6AA9"/>
    <w:rsid w:val="00CD4231"/>
    <w:rsid w:val="00CD5881"/>
    <w:rsid w:val="00CE3A97"/>
    <w:rsid w:val="00CE3E55"/>
    <w:rsid w:val="00CE6A02"/>
    <w:rsid w:val="00CF23B9"/>
    <w:rsid w:val="00CF2D09"/>
    <w:rsid w:val="00CF47E8"/>
    <w:rsid w:val="00D020CF"/>
    <w:rsid w:val="00D0252B"/>
    <w:rsid w:val="00D046A3"/>
    <w:rsid w:val="00D04BE9"/>
    <w:rsid w:val="00D04F9A"/>
    <w:rsid w:val="00D05097"/>
    <w:rsid w:val="00D05207"/>
    <w:rsid w:val="00D07EC3"/>
    <w:rsid w:val="00D10343"/>
    <w:rsid w:val="00D11BE2"/>
    <w:rsid w:val="00D13274"/>
    <w:rsid w:val="00D16568"/>
    <w:rsid w:val="00D207A3"/>
    <w:rsid w:val="00D23CB3"/>
    <w:rsid w:val="00D254DC"/>
    <w:rsid w:val="00D30D12"/>
    <w:rsid w:val="00D3134D"/>
    <w:rsid w:val="00D3183E"/>
    <w:rsid w:val="00D33547"/>
    <w:rsid w:val="00D34C1F"/>
    <w:rsid w:val="00D37AB5"/>
    <w:rsid w:val="00D453EA"/>
    <w:rsid w:val="00D45617"/>
    <w:rsid w:val="00D46D53"/>
    <w:rsid w:val="00D46F88"/>
    <w:rsid w:val="00D52C02"/>
    <w:rsid w:val="00D55BA3"/>
    <w:rsid w:val="00D6081E"/>
    <w:rsid w:val="00D7133C"/>
    <w:rsid w:val="00D729AE"/>
    <w:rsid w:val="00D72A54"/>
    <w:rsid w:val="00D738CD"/>
    <w:rsid w:val="00D74AF3"/>
    <w:rsid w:val="00D752F7"/>
    <w:rsid w:val="00D80617"/>
    <w:rsid w:val="00D80932"/>
    <w:rsid w:val="00D82CF2"/>
    <w:rsid w:val="00D8304D"/>
    <w:rsid w:val="00D8484F"/>
    <w:rsid w:val="00D84FE9"/>
    <w:rsid w:val="00D95196"/>
    <w:rsid w:val="00DA1CC9"/>
    <w:rsid w:val="00DA2C67"/>
    <w:rsid w:val="00DA2D62"/>
    <w:rsid w:val="00DA373B"/>
    <w:rsid w:val="00DA3CAC"/>
    <w:rsid w:val="00DB0295"/>
    <w:rsid w:val="00DB076E"/>
    <w:rsid w:val="00DB084C"/>
    <w:rsid w:val="00DB14A2"/>
    <w:rsid w:val="00DB1E86"/>
    <w:rsid w:val="00DB21F7"/>
    <w:rsid w:val="00DB479A"/>
    <w:rsid w:val="00DB4A4A"/>
    <w:rsid w:val="00DB4D0B"/>
    <w:rsid w:val="00DB7FF5"/>
    <w:rsid w:val="00DC02B3"/>
    <w:rsid w:val="00DC10FA"/>
    <w:rsid w:val="00DC11C0"/>
    <w:rsid w:val="00DC1F6D"/>
    <w:rsid w:val="00DC33D9"/>
    <w:rsid w:val="00DC41DF"/>
    <w:rsid w:val="00DC6719"/>
    <w:rsid w:val="00DC79C1"/>
    <w:rsid w:val="00DD19C1"/>
    <w:rsid w:val="00DE24E5"/>
    <w:rsid w:val="00DE3038"/>
    <w:rsid w:val="00DE4F75"/>
    <w:rsid w:val="00DE5A6B"/>
    <w:rsid w:val="00DF1DE9"/>
    <w:rsid w:val="00DF30E6"/>
    <w:rsid w:val="00DF43EB"/>
    <w:rsid w:val="00DF45D2"/>
    <w:rsid w:val="00DF6468"/>
    <w:rsid w:val="00E028CC"/>
    <w:rsid w:val="00E0308A"/>
    <w:rsid w:val="00E11874"/>
    <w:rsid w:val="00E1540C"/>
    <w:rsid w:val="00E17573"/>
    <w:rsid w:val="00E228BC"/>
    <w:rsid w:val="00E23974"/>
    <w:rsid w:val="00E2487C"/>
    <w:rsid w:val="00E37BD7"/>
    <w:rsid w:val="00E414F4"/>
    <w:rsid w:val="00E41C1A"/>
    <w:rsid w:val="00E422E3"/>
    <w:rsid w:val="00E42D22"/>
    <w:rsid w:val="00E61E31"/>
    <w:rsid w:val="00E65826"/>
    <w:rsid w:val="00E71938"/>
    <w:rsid w:val="00E74053"/>
    <w:rsid w:val="00E867E3"/>
    <w:rsid w:val="00E93B22"/>
    <w:rsid w:val="00E94D82"/>
    <w:rsid w:val="00E952FD"/>
    <w:rsid w:val="00EA175E"/>
    <w:rsid w:val="00EA1C71"/>
    <w:rsid w:val="00EA267F"/>
    <w:rsid w:val="00EA5E00"/>
    <w:rsid w:val="00EA7BBB"/>
    <w:rsid w:val="00EB0BC5"/>
    <w:rsid w:val="00EB13AA"/>
    <w:rsid w:val="00EB1465"/>
    <w:rsid w:val="00EB48F0"/>
    <w:rsid w:val="00EB6D22"/>
    <w:rsid w:val="00EC0E50"/>
    <w:rsid w:val="00EC1EFE"/>
    <w:rsid w:val="00EC25E2"/>
    <w:rsid w:val="00EC421F"/>
    <w:rsid w:val="00EC5238"/>
    <w:rsid w:val="00ED07CA"/>
    <w:rsid w:val="00ED2062"/>
    <w:rsid w:val="00ED27AB"/>
    <w:rsid w:val="00ED3C3A"/>
    <w:rsid w:val="00ED5879"/>
    <w:rsid w:val="00ED5B43"/>
    <w:rsid w:val="00EE3144"/>
    <w:rsid w:val="00EE43D4"/>
    <w:rsid w:val="00EE6038"/>
    <w:rsid w:val="00EF2C40"/>
    <w:rsid w:val="00EF4ABD"/>
    <w:rsid w:val="00EF4FCC"/>
    <w:rsid w:val="00EF6001"/>
    <w:rsid w:val="00EF75B4"/>
    <w:rsid w:val="00F0195E"/>
    <w:rsid w:val="00F01E04"/>
    <w:rsid w:val="00F03D7C"/>
    <w:rsid w:val="00F071AD"/>
    <w:rsid w:val="00F076A3"/>
    <w:rsid w:val="00F10E46"/>
    <w:rsid w:val="00F11DC5"/>
    <w:rsid w:val="00F13B3B"/>
    <w:rsid w:val="00F14AEF"/>
    <w:rsid w:val="00F210AB"/>
    <w:rsid w:val="00F25FEC"/>
    <w:rsid w:val="00F33418"/>
    <w:rsid w:val="00F344DB"/>
    <w:rsid w:val="00F37ECC"/>
    <w:rsid w:val="00F4165F"/>
    <w:rsid w:val="00F42D06"/>
    <w:rsid w:val="00F43DE5"/>
    <w:rsid w:val="00F444AA"/>
    <w:rsid w:val="00F45032"/>
    <w:rsid w:val="00F52258"/>
    <w:rsid w:val="00F53F1F"/>
    <w:rsid w:val="00F56BA4"/>
    <w:rsid w:val="00F60165"/>
    <w:rsid w:val="00F63A61"/>
    <w:rsid w:val="00F64500"/>
    <w:rsid w:val="00F65ED9"/>
    <w:rsid w:val="00F677FA"/>
    <w:rsid w:val="00F67C1B"/>
    <w:rsid w:val="00F72854"/>
    <w:rsid w:val="00F73CAE"/>
    <w:rsid w:val="00F82488"/>
    <w:rsid w:val="00F8674E"/>
    <w:rsid w:val="00F87605"/>
    <w:rsid w:val="00F87D21"/>
    <w:rsid w:val="00F92A2D"/>
    <w:rsid w:val="00FA0E38"/>
    <w:rsid w:val="00FA1E20"/>
    <w:rsid w:val="00FA1ED8"/>
    <w:rsid w:val="00FA2DAC"/>
    <w:rsid w:val="00FA585B"/>
    <w:rsid w:val="00FB3E38"/>
    <w:rsid w:val="00FB4387"/>
    <w:rsid w:val="00FB5376"/>
    <w:rsid w:val="00FB543E"/>
    <w:rsid w:val="00FC0AF0"/>
    <w:rsid w:val="00FC0B34"/>
    <w:rsid w:val="00FC20FA"/>
    <w:rsid w:val="00FC3476"/>
    <w:rsid w:val="00FD11C4"/>
    <w:rsid w:val="00FD16A9"/>
    <w:rsid w:val="00FD3AFC"/>
    <w:rsid w:val="00FD4AC4"/>
    <w:rsid w:val="00FD7182"/>
    <w:rsid w:val="00FE1130"/>
    <w:rsid w:val="00FE13F8"/>
    <w:rsid w:val="00FF25AA"/>
    <w:rsid w:val="00FF7A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96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rPr>
  </w:style>
  <w:style w:type="paragraph" w:styleId="Heading1">
    <w:name w:val="heading 1"/>
    <w:basedOn w:val="Normal"/>
    <w:next w:val="Normal"/>
    <w:qFormat/>
    <w:pPr>
      <w:keepNext/>
      <w:numPr>
        <w:numId w:val="8"/>
      </w:numPr>
      <w:autoSpaceDE w:val="0"/>
      <w:autoSpaceDN w:val="0"/>
      <w:adjustRightInd w:val="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Footnote Text Char,Footnote Text Char Char Char1 Char Char,Footnote Text Char Char1 Char,Footnote Text Char1 Char,Footnote Text Char1 Char Char Char Char Char,Footnote Text Char2 Char1 Char Char,Footnote Text Char3 Char,f,fn,fn Char"/>
    <w:link w:val="FootnoteTextChar1"/>
    <w:pPr>
      <w:tabs>
        <w:tab w:val="left" w:pos="720"/>
        <w:tab w:val="left" w:pos="1440"/>
      </w:tabs>
      <w:spacing w:after="200"/>
      <w:ind w:right="144" w:firstLine="720"/>
    </w:pPr>
    <w:rPr>
      <w:sz w:val="24"/>
    </w:r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character" w:customStyle="1" w:styleId="FootnoteTextCharChar">
    <w:name w:val="Footnote Text Char Char"/>
    <w:aliases w:val="Footnote Text Char Char Char1 Char Char Char,Footnote Text Char Char1 Char Char,Footnote Text Char1 Char Char,Footnote Text Char1 Char Char Char Char Char Char,Footnote Text Char2 Char1 Char Char Char,fn Char Char"/>
    <w:uiPriority w:val="99"/>
    <w:rPr>
      <w:rFonts w:eastAsia="Batang"/>
      <w:sz w:val="24"/>
      <w:lang w:val="en-US" w:eastAsia="en-US" w:bidi="ar-SA"/>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ate">
    <w:name w:val="Date"/>
    <w:basedOn w:val="Normal"/>
    <w:next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D7133C"/>
  </w:style>
  <w:style w:type="paragraph" w:styleId="BalloonText">
    <w:name w:val="Balloon Text"/>
    <w:basedOn w:val="Normal"/>
    <w:semiHidden/>
    <w:rsid w:val="00812158"/>
    <w:rPr>
      <w:rFonts w:ascii="Tahoma" w:hAnsi="Tahoma" w:cs="Tahoma"/>
      <w:sz w:val="16"/>
      <w:szCs w:val="16"/>
    </w:rPr>
  </w:style>
  <w:style w:type="character" w:styleId="FollowedHyperlink">
    <w:name w:val="FollowedHyperlink"/>
    <w:rsid w:val="008461FE"/>
    <w:rPr>
      <w:color w:val="800080"/>
      <w:u w:val="single"/>
    </w:rPr>
  </w:style>
  <w:style w:type="character" w:customStyle="1" w:styleId="FootnoteTextChar1">
    <w:name w:val="Footnote Text Char1"/>
    <w:aliases w:val="Footnote Text Char Char Char1 Char Char Char1,Footnote Text Char Char1,Footnote Text Char Char1 Char Char1,Footnote Text Char1 Char Char Char Char Char Char1,Footnote Text Char1 Char Char1,Footnote Text Char2 Char1 Char Char Char1"/>
    <w:link w:val="FootnoteText"/>
    <w:semiHidden/>
    <w:locked/>
    <w:rsid w:val="00BD425B"/>
    <w:rPr>
      <w:rFonts w:eastAsia="Batang"/>
      <w:sz w:val="24"/>
      <w:lang w:val="en-US" w:eastAsia="en-US" w:bidi="ar-SA"/>
    </w:rPr>
  </w:style>
  <w:style w:type="paragraph" w:customStyle="1" w:styleId="ParaNum">
    <w:name w:val="ParaNum"/>
    <w:basedOn w:val="Normal"/>
    <w:link w:val="ParaNumChar"/>
    <w:rsid w:val="00CE3E55"/>
    <w:pPr>
      <w:widowControl w:val="0"/>
      <w:numPr>
        <w:numId w:val="21"/>
      </w:numPr>
      <w:spacing w:after="120"/>
    </w:pPr>
    <w:rPr>
      <w:snapToGrid w:val="0"/>
      <w:kern w:val="28"/>
      <w:sz w:val="22"/>
    </w:rPr>
  </w:style>
  <w:style w:type="character" w:customStyle="1" w:styleId="ParaNumChar">
    <w:name w:val="ParaNum Char"/>
    <w:link w:val="ParaNum"/>
    <w:locked/>
    <w:rsid w:val="00CE3E55"/>
    <w:rPr>
      <w:rFonts w:eastAsia="Times New Roman"/>
      <w:snapToGrid w:val="0"/>
      <w:kern w:val="28"/>
      <w:sz w:val="22"/>
    </w:rPr>
  </w:style>
  <w:style w:type="paragraph" w:customStyle="1" w:styleId="StyleParaNumLeft">
    <w:name w:val="Style ParaNum + Left"/>
    <w:basedOn w:val="ParaNum"/>
    <w:rsid w:val="008C6364"/>
    <w:pPr>
      <w:numPr>
        <w:numId w:val="23"/>
      </w:numPr>
      <w:tabs>
        <w:tab w:val="left" w:pos="1260"/>
        <w:tab w:val="left" w:pos="1656"/>
      </w:tabs>
      <w:spacing w:after="220"/>
    </w:pPr>
  </w:style>
  <w:style w:type="numbering" w:customStyle="1" w:styleId="LFO1">
    <w:name w:val="LFO1"/>
    <w:basedOn w:val="NoList"/>
    <w:rsid w:val="008C6364"/>
    <w:pPr>
      <w:numPr>
        <w:numId w:val="24"/>
      </w:numPr>
    </w:pPr>
  </w:style>
  <w:style w:type="character" w:customStyle="1" w:styleId="HeaderChar">
    <w:name w:val="Header Char"/>
    <w:link w:val="Header"/>
    <w:uiPriority w:val="99"/>
    <w:rsid w:val="000D013A"/>
    <w:rPr>
      <w:rFonts w:eastAsia="Times New Roman"/>
    </w:rPr>
  </w:style>
  <w:style w:type="character" w:styleId="CommentReference">
    <w:name w:val="annotation reference"/>
    <w:rsid w:val="00854A12"/>
    <w:rPr>
      <w:sz w:val="16"/>
      <w:szCs w:val="16"/>
    </w:rPr>
  </w:style>
  <w:style w:type="paragraph" w:styleId="CommentText">
    <w:name w:val="annotation text"/>
    <w:basedOn w:val="Normal"/>
    <w:link w:val="CommentTextChar"/>
    <w:rsid w:val="00854A12"/>
  </w:style>
  <w:style w:type="character" w:customStyle="1" w:styleId="CommentTextChar">
    <w:name w:val="Comment Text Char"/>
    <w:link w:val="CommentText"/>
    <w:rsid w:val="00854A12"/>
    <w:rPr>
      <w:rFonts w:eastAsia="Times New Roman"/>
    </w:rPr>
  </w:style>
  <w:style w:type="paragraph" w:styleId="CommentSubject">
    <w:name w:val="annotation subject"/>
    <w:basedOn w:val="CommentText"/>
    <w:next w:val="CommentText"/>
    <w:link w:val="CommentSubjectChar"/>
    <w:rsid w:val="00854A12"/>
    <w:rPr>
      <w:b/>
      <w:bCs/>
    </w:rPr>
  </w:style>
  <w:style w:type="character" w:customStyle="1" w:styleId="CommentSubjectChar">
    <w:name w:val="Comment Subject Char"/>
    <w:link w:val="CommentSubject"/>
    <w:rsid w:val="00854A12"/>
    <w:rPr>
      <w:rFonts w:eastAsia="Times New Roman"/>
      <w:b/>
      <w:bCs/>
    </w:rPr>
  </w:style>
  <w:style w:type="character" w:customStyle="1" w:styleId="apple-converted-space">
    <w:name w:val="apple-converted-space"/>
    <w:rsid w:val="004B38E9"/>
  </w:style>
  <w:style w:type="paragraph" w:styleId="ListParagraph">
    <w:name w:val="List Paragraph"/>
    <w:basedOn w:val="Normal"/>
    <w:uiPriority w:val="34"/>
    <w:qFormat/>
    <w:rsid w:val="00C275C5"/>
    <w:pPr>
      <w:ind w:left="720"/>
    </w:pPr>
  </w:style>
  <w:style w:type="paragraph" w:styleId="Revision">
    <w:name w:val="Revision"/>
    <w:hidden/>
    <w:uiPriority w:val="99"/>
    <w:semiHidden/>
    <w:rsid w:val="00994330"/>
    <w:rPr>
      <w:rFonts w:eastAsia="Times New Roman"/>
    </w:rPr>
  </w:style>
  <w:style w:type="character" w:customStyle="1" w:styleId="ALTSFOOTNOTEChar">
    <w:name w:val="ALTS FOOTNOTE Char"/>
    <w:aliases w:val="FOOTNOTE Char,Footnote Text Char Char Char,Footnote Text Char Char Char Char Char,Footnote Text Char1 Char Char Char,Footnote Text Char2 Char,Footnote text Char"/>
    <w:rsid w:val="0033436E"/>
  </w:style>
  <w:style w:type="paragraph" w:customStyle="1" w:styleId="ParaNumCharChar">
    <w:name w:val="ParaNum Char Char"/>
    <w:basedOn w:val="Normal"/>
    <w:link w:val="ParaNumCharCharChar1"/>
    <w:rsid w:val="00CB3640"/>
    <w:pPr>
      <w:widowControl w:val="0"/>
      <w:tabs>
        <w:tab w:val="num" w:pos="1080"/>
        <w:tab w:val="left" w:pos="1440"/>
      </w:tabs>
      <w:spacing w:after="220"/>
      <w:ind w:firstLine="720"/>
      <w:jc w:val="both"/>
    </w:pPr>
    <w:rPr>
      <w:snapToGrid w:val="0"/>
      <w:kern w:val="28"/>
      <w:sz w:val="22"/>
    </w:rPr>
  </w:style>
  <w:style w:type="character" w:customStyle="1" w:styleId="ParaNumCharCharChar1">
    <w:name w:val="ParaNum Char Char Char1"/>
    <w:basedOn w:val="DefaultParagraphFont"/>
    <w:link w:val="ParaNumCharChar"/>
    <w:rsid w:val="00CB3640"/>
    <w:rPr>
      <w:rFonts w:eastAsia="Times New Roman"/>
      <w:snapToGrid w:val="0"/>
      <w:kern w:val="28"/>
      <w:sz w:val="22"/>
    </w:rPr>
  </w:style>
  <w:style w:type="character" w:customStyle="1" w:styleId="FooterChar">
    <w:name w:val="Footer Char"/>
    <w:basedOn w:val="DefaultParagraphFont"/>
    <w:link w:val="Footer"/>
    <w:uiPriority w:val="99"/>
    <w:rsid w:val="001E7077"/>
    <w:rPr>
      <w:rFonts w:eastAsia="Times New Roman"/>
    </w:rPr>
  </w:style>
  <w:style w:type="character" w:customStyle="1" w:styleId="UnresolvedMention1">
    <w:name w:val="Unresolved Mention1"/>
    <w:basedOn w:val="DefaultParagraphFont"/>
    <w:uiPriority w:val="99"/>
    <w:semiHidden/>
    <w:unhideWhenUsed/>
    <w:rsid w:val="00A6420C"/>
    <w:rPr>
      <w:color w:val="605E5C"/>
      <w:shd w:val="clear" w:color="auto" w:fill="E1DFDD"/>
    </w:rPr>
  </w:style>
  <w:style w:type="character" w:styleId="UnresolvedMention">
    <w:name w:val="Unresolved Mention"/>
    <w:basedOn w:val="DefaultParagraphFont"/>
    <w:uiPriority w:val="99"/>
    <w:semiHidden/>
    <w:unhideWhenUsed/>
    <w:rsid w:val="00BD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document/fcc-improves-accessibility-and-clarity-emergency-alerts" TargetMode="External" /><Relationship Id="rId12" Type="http://schemas.openxmlformats.org/officeDocument/2006/relationships/hyperlink" Target="https://www.ecfr.gov/current/title-47/chapter-I/subchapter-A/part-11" TargetMode="Externa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improves-accessibility-and-clarity-emergency-alert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