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F1FD9" w:rsidP="007765FB" w14:paraId="0116FE42" w14:textId="12E84540">
      <w:pPr>
        <w:jc w:val="right"/>
        <w:rPr>
          <w:sz w:val="24"/>
          <w:szCs w:val="24"/>
        </w:rPr>
      </w:pPr>
      <w:r w:rsidRPr="041556DA">
        <w:rPr>
          <w:sz w:val="24"/>
          <w:szCs w:val="24"/>
        </w:rPr>
        <w:t xml:space="preserve">    </w:t>
      </w:r>
      <w:r w:rsidRPr="041556DA" w:rsidR="65F930FC">
        <w:rPr>
          <w:sz w:val="24"/>
          <w:szCs w:val="24"/>
        </w:rPr>
        <w:t xml:space="preserve">                      </w:t>
      </w:r>
      <w:r w:rsidRPr="041556DA" w:rsidR="284AF021">
        <w:rPr>
          <w:sz w:val="24"/>
          <w:szCs w:val="24"/>
        </w:rPr>
        <w:t xml:space="preserve">                                                                                                                                                                   </w:t>
      </w:r>
    </w:p>
    <w:p w:rsidR="007765FB" w:rsidRPr="00BC4229" w:rsidP="007765FB" w14:paraId="0F983FBA" w14:textId="0DC47DC3">
      <w:pPr>
        <w:jc w:val="right"/>
        <w:rPr>
          <w:b/>
          <w:bCs/>
          <w:sz w:val="24"/>
          <w:szCs w:val="24"/>
        </w:rPr>
      </w:pPr>
      <w:r>
        <w:rPr>
          <w:b/>
          <w:bCs/>
          <w:sz w:val="24"/>
          <w:szCs w:val="24"/>
        </w:rPr>
        <w:t>DA 22-</w:t>
      </w:r>
      <w:r w:rsidR="00A12368">
        <w:rPr>
          <w:b/>
          <w:bCs/>
          <w:sz w:val="24"/>
          <w:szCs w:val="24"/>
        </w:rPr>
        <w:t>1306</w:t>
      </w:r>
    </w:p>
    <w:p w:rsidR="002F1FD9" w14:paraId="6A24E89D" w14:textId="64DE5453">
      <w:pPr>
        <w:spacing w:before="60"/>
        <w:jc w:val="right"/>
        <w:rPr>
          <w:b/>
          <w:sz w:val="24"/>
        </w:rPr>
      </w:pPr>
      <w:r>
        <w:rPr>
          <w:b/>
          <w:sz w:val="24"/>
        </w:rPr>
        <w:t xml:space="preserve">Released: </w:t>
      </w:r>
      <w:r w:rsidR="00EB4005">
        <w:rPr>
          <w:b/>
          <w:sz w:val="24"/>
        </w:rPr>
        <w:t xml:space="preserve"> December 1</w:t>
      </w:r>
      <w:r w:rsidR="00A17EB1">
        <w:rPr>
          <w:b/>
          <w:sz w:val="24"/>
        </w:rPr>
        <w:t>5</w:t>
      </w:r>
      <w:r w:rsidR="00EB4005">
        <w:rPr>
          <w:b/>
          <w:sz w:val="24"/>
        </w:rPr>
        <w:t>, 2022</w:t>
      </w:r>
    </w:p>
    <w:p w:rsidR="002F1FD9" w14:paraId="24FCC98C" w14:textId="77777777">
      <w:pPr>
        <w:jc w:val="right"/>
        <w:rPr>
          <w:sz w:val="24"/>
        </w:rPr>
      </w:pPr>
    </w:p>
    <w:p w:rsidR="002F1FD9" w14:paraId="10CCBE21" w14:textId="36815919">
      <w:pPr>
        <w:spacing w:after="240"/>
        <w:jc w:val="center"/>
        <w:rPr>
          <w:rFonts w:ascii="Times New Roman Bold" w:hAnsi="Times New Roman Bold"/>
          <w:b/>
          <w:caps/>
          <w:sz w:val="24"/>
        </w:rPr>
      </w:pPr>
      <w:r>
        <w:rPr>
          <w:rFonts w:ascii="Times New Roman Bold" w:hAnsi="Times New Roman Bold"/>
          <w:b/>
          <w:caps/>
          <w:sz w:val="24"/>
        </w:rPr>
        <w:t>Broadband data task force announces</w:t>
      </w:r>
      <w:r w:rsidR="003E2EF3">
        <w:rPr>
          <w:rFonts w:ascii="Times New Roman Bold" w:hAnsi="Times New Roman Bold"/>
          <w:b/>
          <w:caps/>
          <w:sz w:val="24"/>
        </w:rPr>
        <w:t xml:space="preserve"> release of</w:t>
      </w:r>
      <w:r>
        <w:rPr>
          <w:rFonts w:ascii="Times New Roman Bold" w:hAnsi="Times New Roman Bold"/>
          <w:b/>
          <w:caps/>
          <w:sz w:val="24"/>
        </w:rPr>
        <w:t xml:space="preserve"> </w:t>
      </w:r>
      <w:r w:rsidR="003E2EF3">
        <w:rPr>
          <w:rFonts w:ascii="Times New Roman Bold" w:hAnsi="Times New Roman Bold"/>
          <w:b/>
          <w:caps/>
          <w:sz w:val="24"/>
        </w:rPr>
        <w:t>training video for fixed internet service providers responding to broadband data collection challenges</w:t>
      </w:r>
    </w:p>
    <w:p w:rsidR="002F1FD9" w:rsidP="6153BB28" w14:paraId="29B969A8" w14:textId="3CA0E890">
      <w:pPr>
        <w:jc w:val="center"/>
        <w:rPr>
          <w:b/>
          <w:bCs/>
          <w:sz w:val="24"/>
          <w:szCs w:val="24"/>
        </w:rPr>
      </w:pPr>
      <w:r w:rsidRPr="6153BB28">
        <w:rPr>
          <w:b/>
          <w:bCs/>
          <w:sz w:val="24"/>
          <w:szCs w:val="24"/>
        </w:rPr>
        <w:t>WC Docket Nos. 1</w:t>
      </w:r>
      <w:r w:rsidRPr="6153BB28" w:rsidR="0C2CF517">
        <w:rPr>
          <w:b/>
          <w:bCs/>
          <w:sz w:val="24"/>
          <w:szCs w:val="24"/>
        </w:rPr>
        <w:t>9-195</w:t>
      </w:r>
      <w:r w:rsidRPr="6153BB28">
        <w:rPr>
          <w:b/>
          <w:bCs/>
          <w:sz w:val="24"/>
          <w:szCs w:val="24"/>
        </w:rPr>
        <w:t>, 1</w:t>
      </w:r>
      <w:r w:rsidRPr="6153BB28" w:rsidR="53570250">
        <w:rPr>
          <w:b/>
          <w:bCs/>
          <w:sz w:val="24"/>
          <w:szCs w:val="24"/>
        </w:rPr>
        <w:t>1-10</w:t>
      </w:r>
    </w:p>
    <w:p w:rsidR="6153BB28" w:rsidP="6153BB28" w14:paraId="298F171E" w14:textId="5B69D8DE">
      <w:pPr>
        <w:jc w:val="center"/>
        <w:rPr>
          <w:b/>
          <w:bCs/>
          <w:szCs w:val="22"/>
        </w:rPr>
      </w:pPr>
    </w:p>
    <w:p w:rsidR="6153BB28" w:rsidP="00636438" w14:paraId="0BCEB900" w14:textId="34786D67">
      <w:pPr>
        <w:spacing w:after="120"/>
        <w:ind w:firstLine="720"/>
        <w:rPr>
          <w:rFonts w:ascii="TimesNewRomanPSMT" w:eastAsia="TimesNewRomanPSMT" w:hAnsi="TimesNewRomanPSMT" w:cs="TimesNewRomanPSMT"/>
          <w:color w:val="000000"/>
          <w:szCs w:val="22"/>
        </w:rPr>
      </w:pPr>
      <w:r>
        <w:rPr>
          <w:rFonts w:ascii="TimesNewRomanPSMT" w:eastAsia="TimesNewRomanPSMT" w:hAnsi="TimesNewRomanPSMT" w:cs="TimesNewRomanPSMT"/>
          <w:color w:val="000000"/>
          <w:szCs w:val="22"/>
        </w:rPr>
        <w:t xml:space="preserve">By this Public Notice, the Broadband Data Task Force (Task Force) announces the </w:t>
      </w:r>
      <w:r w:rsidR="188E7ABD">
        <w:rPr>
          <w:rFonts w:ascii="TimesNewRomanPSMT" w:eastAsia="TimesNewRomanPSMT" w:hAnsi="TimesNewRomanPSMT" w:cs="TimesNewRomanPSMT"/>
          <w:color w:val="000000"/>
          <w:szCs w:val="22"/>
        </w:rPr>
        <w:t xml:space="preserve">release of </w:t>
      </w:r>
      <w:r w:rsidR="00631024">
        <w:rPr>
          <w:rFonts w:ascii="TimesNewRomanPSMT" w:eastAsia="TimesNewRomanPSMT" w:hAnsi="TimesNewRomanPSMT" w:cs="TimesNewRomanPSMT"/>
          <w:color w:val="000000"/>
          <w:szCs w:val="22"/>
        </w:rPr>
        <w:t xml:space="preserve">two </w:t>
      </w:r>
      <w:r w:rsidR="188E7ABD">
        <w:rPr>
          <w:rFonts w:ascii="TimesNewRomanPSMT" w:eastAsia="TimesNewRomanPSMT" w:hAnsi="TimesNewRomanPSMT" w:cs="TimesNewRomanPSMT"/>
          <w:color w:val="000000"/>
          <w:szCs w:val="22"/>
        </w:rPr>
        <w:t>training video</w:t>
      </w:r>
      <w:r w:rsidR="00631024">
        <w:rPr>
          <w:rFonts w:ascii="TimesNewRomanPSMT" w:eastAsia="TimesNewRomanPSMT" w:hAnsi="TimesNewRomanPSMT" w:cs="TimesNewRomanPSMT"/>
          <w:color w:val="000000"/>
          <w:szCs w:val="22"/>
        </w:rPr>
        <w:t>s</w:t>
      </w:r>
      <w:r w:rsidR="188E7ABD">
        <w:rPr>
          <w:rFonts w:ascii="TimesNewRomanPSMT" w:eastAsia="TimesNewRomanPSMT" w:hAnsi="TimesNewRomanPSMT" w:cs="TimesNewRomanPSMT"/>
          <w:color w:val="000000"/>
          <w:szCs w:val="22"/>
        </w:rPr>
        <w:t xml:space="preserve"> to assist internet service providers in responding to </w:t>
      </w:r>
      <w:r w:rsidR="001040B1">
        <w:rPr>
          <w:rFonts w:ascii="TimesNewRomanPSMT" w:eastAsia="TimesNewRomanPSMT" w:hAnsi="TimesNewRomanPSMT" w:cs="TimesNewRomanPSMT"/>
          <w:color w:val="000000"/>
          <w:szCs w:val="22"/>
        </w:rPr>
        <w:t xml:space="preserve">individual and bulk </w:t>
      </w:r>
      <w:r w:rsidR="188E7ABD">
        <w:rPr>
          <w:rFonts w:ascii="TimesNewRomanPSMT" w:eastAsia="TimesNewRomanPSMT" w:hAnsi="TimesNewRomanPSMT" w:cs="TimesNewRomanPSMT"/>
          <w:color w:val="000000"/>
          <w:szCs w:val="22"/>
        </w:rPr>
        <w:t>fixed availability challenges as part of the Broadband Data Collection (BDC).</w:t>
      </w:r>
      <w:r w:rsidR="35117DC9">
        <w:rPr>
          <w:rFonts w:ascii="TimesNewRomanPSMT" w:eastAsia="TimesNewRomanPSMT" w:hAnsi="TimesNewRomanPSMT" w:cs="TimesNewRomanPSMT"/>
          <w:color w:val="000000"/>
          <w:szCs w:val="22"/>
        </w:rPr>
        <w:t xml:space="preserve">  </w:t>
      </w:r>
    </w:p>
    <w:p w:rsidR="00C01F82" w:rsidRPr="00C01F82" w:rsidP="00C01F82" w14:paraId="43996DB8" w14:textId="0F916ACF">
      <w:pPr>
        <w:spacing w:after="120"/>
        <w:ind w:firstLine="720"/>
        <w:rPr>
          <w:rFonts w:ascii="TimesNewRomanPSMT" w:eastAsia="TimesNewRomanPSMT" w:hAnsi="TimesNewRomanPSMT" w:cs="TimesNewRomanPSMT"/>
          <w:color w:val="000000"/>
        </w:rPr>
      </w:pPr>
      <w:r w:rsidRPr="00C01F82">
        <w:rPr>
          <w:rFonts w:ascii="TimesNewRomanPSMT" w:eastAsia="TimesNewRomanPSMT" w:hAnsi="TimesNewRomanPSMT" w:cs="TimesNewRomanPSMT"/>
          <w:color w:val="000000"/>
        </w:rPr>
        <w:t xml:space="preserve">The first video demonstrates how to access challenge data, concede a challenge, dispute a challenge, track the status of challenges, submit evidence, and report on the status of disputed challenges </w:t>
      </w:r>
      <w:r w:rsidRPr="008629E6">
        <w:rPr>
          <w:rFonts w:ascii="TimesNewRomanPSMT" w:eastAsia="TimesNewRomanPSMT" w:hAnsi="TimesNewRomanPSMT" w:cs="TimesNewRomanPSMT"/>
          <w:color w:val="000000"/>
          <w:szCs w:val="22"/>
        </w:rPr>
        <w:t>within the BDC system</w:t>
      </w:r>
      <w:r w:rsidRPr="00C01F82">
        <w:rPr>
          <w:rFonts w:ascii="TimesNewRomanPSMT" w:eastAsia="TimesNewRomanPSMT" w:hAnsi="TimesNewRomanPSMT" w:cs="TimesNewRomanPSMT"/>
          <w:color w:val="000000"/>
        </w:rPr>
        <w:t>.  It is available at:</w:t>
      </w:r>
      <w:r w:rsidR="006161C4">
        <w:rPr>
          <w:rFonts w:ascii="TimesNewRomanPSMT" w:eastAsia="TimesNewRomanPSMT" w:hAnsi="TimesNewRomanPSMT" w:cs="TimesNewRomanPSMT"/>
          <w:color w:val="000000"/>
        </w:rPr>
        <w:t xml:space="preserve"> </w:t>
      </w:r>
      <w:r w:rsidRPr="00C01F82">
        <w:rPr>
          <w:rFonts w:ascii="TimesNewRomanPSMT" w:eastAsia="TimesNewRomanPSMT" w:hAnsi="TimesNewRomanPSMT" w:cs="TimesNewRomanPSMT"/>
          <w:color w:val="000000"/>
        </w:rPr>
        <w:t xml:space="preserve"> </w:t>
      </w:r>
      <w:hyperlink r:id="rId5" w:history="1">
        <w:r w:rsidRPr="002660DC" w:rsidR="00256E7A">
          <w:rPr>
            <w:rStyle w:val="Hyperlink"/>
            <w:rFonts w:ascii="TimesNewRomanPSMT" w:eastAsia="TimesNewRomanPSMT" w:hAnsi="TimesNewRomanPSMT" w:cs="TimesNewRomanPSMT"/>
          </w:rPr>
          <w:t>https://www.youtube.com/watch?</w:t>
        </w:r>
        <w:r w:rsidRPr="002660DC" w:rsidR="00256E7A">
          <w:rPr>
            <w:rStyle w:val="Hyperlink"/>
            <w:rFonts w:ascii="TimesNewRomanPSMT" w:eastAsia="TimesNewRomanPSMT" w:hAnsi="TimesNewRomanPSMT" w:cs="TimesNewRomanPSMT"/>
          </w:rPr>
          <w:t>v=mMfm659Wclk</w:t>
        </w:r>
      </w:hyperlink>
      <w:r w:rsidR="00256E7A">
        <w:rPr>
          <w:rFonts w:ascii="TimesNewRomanPSMT" w:eastAsia="TimesNewRomanPSMT" w:hAnsi="TimesNewRomanPSMT" w:cs="TimesNewRomanPSMT"/>
          <w:color w:val="000000"/>
        </w:rPr>
        <w:t>.</w:t>
      </w:r>
      <w:r w:rsidRPr="00C01F82">
        <w:rPr>
          <w:rFonts w:ascii="TimesNewRomanPSMT" w:eastAsia="TimesNewRomanPSMT" w:hAnsi="TimesNewRomanPSMT" w:cs="TimesNewRomanPSMT"/>
          <w:color w:val="000000"/>
        </w:rPr>
        <w:t xml:space="preserve">  The second video provides an overview of each step in responding to a challenge and includes information on illustrative questions that may arise as they navigate the challenge process, including, for example, timelines for broadband service providers to respond to fixed challenges and types of evidence that may be used to rebut a challenge.</w:t>
      </w:r>
      <w:r w:rsidR="00E40F87">
        <w:rPr>
          <w:rFonts w:ascii="TimesNewRomanPSMT" w:eastAsia="TimesNewRomanPSMT" w:hAnsi="TimesNewRomanPSMT" w:cs="TimesNewRomanPSMT"/>
          <w:color w:val="000000"/>
        </w:rPr>
        <w:t xml:space="preserve">  </w:t>
      </w:r>
      <w:r w:rsidRPr="00C01F82">
        <w:rPr>
          <w:rFonts w:ascii="TimesNewRomanPSMT" w:eastAsia="TimesNewRomanPSMT" w:hAnsi="TimesNewRomanPSMT" w:cs="TimesNewRomanPSMT"/>
          <w:color w:val="000000"/>
        </w:rPr>
        <w:t>The second video is available at:</w:t>
      </w:r>
      <w:r w:rsidR="001256B5">
        <w:rPr>
          <w:rFonts w:ascii="TimesNewRomanPSMT" w:eastAsia="TimesNewRomanPSMT" w:hAnsi="TimesNewRomanPSMT" w:cs="TimesNewRomanPSMT"/>
          <w:color w:val="000000"/>
        </w:rPr>
        <w:t xml:space="preserve">  </w:t>
      </w:r>
      <w:hyperlink r:id="rId6" w:history="1">
        <w:r w:rsidRPr="00FE7870" w:rsidR="00A17EB1">
          <w:rPr>
            <w:rStyle w:val="Hyperlink"/>
          </w:rPr>
          <w:t>https://www.youtube.com/watch?v=QLZme97EHvU</w:t>
        </w:r>
      </w:hyperlink>
      <w:r w:rsidR="00A17EB1">
        <w:t xml:space="preserve">. </w:t>
      </w:r>
      <w:r w:rsidR="001256B5">
        <w:rPr>
          <w:rFonts w:ascii="TimesNewRomanPSMT" w:eastAsia="TimesNewRomanPSMT" w:hAnsi="TimesNewRomanPSMT" w:cs="TimesNewRomanPSMT"/>
          <w:color w:val="000000"/>
        </w:rPr>
        <w:t xml:space="preserve"> </w:t>
      </w:r>
    </w:p>
    <w:p w:rsidR="6153BB28" w:rsidRPr="00B057E3" w:rsidP="00404877" w14:paraId="3C000894" w14:textId="1845C5F8">
      <w:pPr>
        <w:spacing w:after="120"/>
        <w:ind w:firstLine="720"/>
        <w:rPr>
          <w:rFonts w:ascii="TimesNewRomanPSMT" w:eastAsia="TimesNewRomanPSMT" w:hAnsi="TimesNewRomanPSMT" w:cs="TimesNewRomanPSMT"/>
        </w:rPr>
      </w:pPr>
      <w:r w:rsidRPr="69D7D6AF">
        <w:rPr>
          <w:rFonts w:ascii="TimesNewRomanPSMT" w:eastAsia="TimesNewRomanPSMT" w:hAnsi="TimesNewRomanPSMT" w:cs="TimesNewRomanPSMT"/>
        </w:rPr>
        <w:t xml:space="preserve">Under </w:t>
      </w:r>
      <w:r w:rsidRPr="69D7D6AF" w:rsidR="7A5D77E2">
        <w:rPr>
          <w:rFonts w:ascii="TimesNewRomanPSMT" w:eastAsia="TimesNewRomanPSMT" w:hAnsi="TimesNewRomanPSMT" w:cs="TimesNewRomanPSMT"/>
        </w:rPr>
        <w:t xml:space="preserve">the Commission’s rules, a provider will be notified when a </w:t>
      </w:r>
      <w:r w:rsidRPr="69D7D6AF" w:rsidR="01DBCEB9">
        <w:rPr>
          <w:rFonts w:ascii="TimesNewRomanPSMT" w:eastAsia="TimesNewRomanPSMT" w:hAnsi="TimesNewRomanPSMT" w:cs="TimesNewRomanPSMT"/>
        </w:rPr>
        <w:t xml:space="preserve">fixed availability </w:t>
      </w:r>
      <w:r w:rsidRPr="69D7D6AF" w:rsidR="7A5D77E2">
        <w:rPr>
          <w:rFonts w:ascii="TimesNewRomanPSMT" w:eastAsia="TimesNewRomanPSMT" w:hAnsi="TimesNewRomanPSMT" w:cs="TimesNewRomanPSMT"/>
        </w:rPr>
        <w:t>challenge with all required elements is submitted against it</w:t>
      </w:r>
      <w:r>
        <w:rPr>
          <w:rStyle w:val="FootnoteReference"/>
          <w:rFonts w:ascii="TimesNewRomanPSMT" w:eastAsia="TimesNewRomanPSMT" w:hAnsi="TimesNewRomanPSMT" w:cs="TimesNewRomanPSMT"/>
        </w:rPr>
        <w:footnoteReference w:id="3"/>
      </w:r>
      <w:r w:rsidRPr="69D7D6AF" w:rsidR="2BA62821">
        <w:rPr>
          <w:rFonts w:ascii="TimesNewRomanPSMT" w:eastAsia="TimesNewRomanPSMT" w:hAnsi="TimesNewRomanPSMT" w:cs="TimesNewRomanPSMT"/>
        </w:rPr>
        <w:t xml:space="preserve"> and </w:t>
      </w:r>
      <w:r w:rsidRPr="69D7D6AF" w:rsidR="46C0E387">
        <w:rPr>
          <w:rFonts w:ascii="TimesNewRomanPSMT" w:eastAsia="TimesNewRomanPSMT" w:hAnsi="TimesNewRomanPSMT" w:cs="TimesNewRomanPSMT"/>
        </w:rPr>
        <w:t xml:space="preserve">must respond </w:t>
      </w:r>
      <w:r w:rsidRPr="69D7D6AF" w:rsidR="610FABC3">
        <w:rPr>
          <w:rFonts w:ascii="TimesNewRomanPSMT" w:eastAsia="TimesNewRomanPSMT" w:hAnsi="TimesNewRomanPSMT" w:cs="TimesNewRomanPSMT"/>
        </w:rPr>
        <w:t xml:space="preserve">to the challenge </w:t>
      </w:r>
      <w:r w:rsidRPr="69D7D6AF" w:rsidR="00374BC0">
        <w:rPr>
          <w:rFonts w:ascii="TimesNewRomanPSMT" w:eastAsia="TimesNewRomanPSMT" w:hAnsi="TimesNewRomanPSMT" w:cs="TimesNewRomanPSMT"/>
        </w:rPr>
        <w:t>in the BDC system</w:t>
      </w:r>
      <w:r w:rsidRPr="69D7D6AF" w:rsidR="610FABC3">
        <w:rPr>
          <w:rFonts w:ascii="TimesNewRomanPSMT" w:eastAsia="TimesNewRomanPSMT" w:hAnsi="TimesNewRomanPSMT" w:cs="TimesNewRomanPSMT"/>
        </w:rPr>
        <w:t xml:space="preserve"> </w:t>
      </w:r>
      <w:r w:rsidRPr="69D7D6AF" w:rsidR="46C0E387">
        <w:rPr>
          <w:rFonts w:ascii="TimesNewRomanPSMT" w:eastAsia="TimesNewRomanPSMT" w:hAnsi="TimesNewRomanPSMT" w:cs="TimesNewRomanPSMT"/>
        </w:rPr>
        <w:t>within 60 days of being notified by either</w:t>
      </w:r>
      <w:r w:rsidRPr="69D7D6AF" w:rsidR="5CDC1920">
        <w:rPr>
          <w:rFonts w:ascii="TimesNewRomanPSMT" w:eastAsia="TimesNewRomanPSMT" w:hAnsi="TimesNewRomanPSMT" w:cs="TimesNewRomanPSMT"/>
        </w:rPr>
        <w:t>:</w:t>
      </w:r>
      <w:r w:rsidRPr="69D7D6AF" w:rsidR="453D1EA0">
        <w:rPr>
          <w:rFonts w:ascii="TimesNewRomanPSMT" w:eastAsia="TimesNewRomanPSMT" w:hAnsi="TimesNewRomanPSMT" w:cs="TimesNewRomanPSMT"/>
        </w:rPr>
        <w:t xml:space="preserve"> (1) a</w:t>
      </w:r>
      <w:r w:rsidRPr="69D7D6AF" w:rsidR="5CDC1920">
        <w:rPr>
          <w:rFonts w:ascii="TimesNewRomanPSMT" w:eastAsia="TimesNewRomanPSMT" w:hAnsi="TimesNewRomanPSMT" w:cs="TimesNewRomanPSMT"/>
        </w:rPr>
        <w:t xml:space="preserve">ccepting the </w:t>
      </w:r>
      <w:r w:rsidRPr="100FA972" w:rsidR="7361C993">
        <w:rPr>
          <w:rFonts w:ascii="TimesNewRomanPSMT" w:eastAsia="TimesNewRomanPSMT" w:hAnsi="TimesNewRomanPSMT" w:cs="TimesNewRomanPSMT"/>
        </w:rPr>
        <w:t>assertion</w:t>
      </w:r>
      <w:r w:rsidRPr="100FA972" w:rsidR="50026A2C">
        <w:rPr>
          <w:rFonts w:ascii="TimesNewRomanPSMT" w:eastAsia="TimesNewRomanPSMT" w:hAnsi="TimesNewRomanPSMT" w:cs="TimesNewRomanPSMT"/>
        </w:rPr>
        <w:t>s</w:t>
      </w:r>
      <w:r w:rsidRPr="69D7D6AF" w:rsidR="5CDC1920">
        <w:rPr>
          <w:rFonts w:ascii="TimesNewRomanPSMT" w:eastAsia="TimesNewRomanPSMT" w:hAnsi="TimesNewRomanPSMT" w:cs="TimesNewRomanPSMT"/>
        </w:rPr>
        <w:t xml:space="preserve"> raised by the challenger</w:t>
      </w:r>
      <w:r w:rsidRPr="69D7D6AF" w:rsidR="00374BC0">
        <w:rPr>
          <w:rFonts w:ascii="TimesNewRomanPSMT" w:eastAsia="TimesNewRomanPSMT" w:hAnsi="TimesNewRomanPSMT" w:cs="TimesNewRomanPSMT"/>
        </w:rPr>
        <w:t>, thereby conceding the challenge</w:t>
      </w:r>
      <w:r w:rsidRPr="69D7D6AF" w:rsidR="02BDCC36">
        <w:rPr>
          <w:rFonts w:ascii="TimesNewRomanPSMT" w:eastAsia="TimesNewRomanPSMT" w:hAnsi="TimesNewRomanPSMT" w:cs="TimesNewRomanPSMT"/>
        </w:rPr>
        <w:t>;</w:t>
      </w:r>
      <w:r>
        <w:rPr>
          <w:rStyle w:val="FootnoteReference"/>
          <w:rFonts w:ascii="TimesNewRomanPSMT" w:eastAsia="TimesNewRomanPSMT" w:hAnsi="TimesNewRomanPSMT" w:cs="TimesNewRomanPSMT"/>
        </w:rPr>
        <w:footnoteReference w:id="4"/>
      </w:r>
      <w:r w:rsidRPr="69D7D6AF" w:rsidR="5CDC1920">
        <w:rPr>
          <w:rFonts w:ascii="TimesNewRomanPSMT" w:eastAsia="TimesNewRomanPSMT" w:hAnsi="TimesNewRomanPSMT" w:cs="TimesNewRomanPSMT"/>
        </w:rPr>
        <w:t xml:space="preserve"> or</w:t>
      </w:r>
      <w:r w:rsidRPr="69D7D6AF" w:rsidR="44BB2805">
        <w:rPr>
          <w:rFonts w:ascii="TimesNewRomanPSMT" w:eastAsia="TimesNewRomanPSMT" w:hAnsi="TimesNewRomanPSMT" w:cs="TimesNewRomanPSMT"/>
        </w:rPr>
        <w:t xml:space="preserve"> (2) </w:t>
      </w:r>
      <w:r w:rsidRPr="69D7D6AF" w:rsidR="0F3803AC">
        <w:rPr>
          <w:rFonts w:ascii="TimesNewRomanPSMT" w:eastAsia="TimesNewRomanPSMT" w:hAnsi="TimesNewRomanPSMT" w:cs="TimesNewRomanPSMT"/>
        </w:rPr>
        <w:t>d</w:t>
      </w:r>
      <w:r w:rsidRPr="69D7D6AF" w:rsidR="5CDC1920">
        <w:rPr>
          <w:rFonts w:ascii="TimesNewRomanPSMT" w:eastAsia="TimesNewRomanPSMT" w:hAnsi="TimesNewRomanPSMT" w:cs="TimesNewRomanPSMT"/>
        </w:rPr>
        <w:t xml:space="preserve">enying the </w:t>
      </w:r>
      <w:r w:rsidRPr="100FA972" w:rsidR="40C840BA">
        <w:rPr>
          <w:rFonts w:ascii="TimesNewRomanPSMT" w:eastAsia="TimesNewRomanPSMT" w:hAnsi="TimesNewRomanPSMT" w:cs="TimesNewRomanPSMT"/>
        </w:rPr>
        <w:t>assertions</w:t>
      </w:r>
      <w:r w:rsidRPr="69D7D6AF" w:rsidR="5CDC1920">
        <w:rPr>
          <w:rFonts w:ascii="TimesNewRomanPSMT" w:eastAsia="TimesNewRomanPSMT" w:hAnsi="TimesNewRomanPSMT" w:cs="TimesNewRomanPSMT"/>
        </w:rPr>
        <w:t xml:space="preserve"> raised by the challenger</w:t>
      </w:r>
      <w:r w:rsidRPr="100FA972" w:rsidR="01357241">
        <w:rPr>
          <w:rFonts w:ascii="TimesNewRomanPSMT" w:eastAsia="TimesNewRomanPSMT" w:hAnsi="TimesNewRomanPSMT" w:cs="TimesNewRomanPSMT"/>
        </w:rPr>
        <w:t xml:space="preserve"> and </w:t>
      </w:r>
      <w:r w:rsidRPr="69D7D6AF" w:rsidR="00374BC0">
        <w:rPr>
          <w:rFonts w:ascii="TimesNewRomanPSMT" w:eastAsia="TimesNewRomanPSMT" w:hAnsi="TimesNewRomanPSMT" w:cs="TimesNewRomanPSMT"/>
        </w:rPr>
        <w:t>thereby disputing the challenge</w:t>
      </w:r>
      <w:r w:rsidRPr="69D7D6AF" w:rsidR="7EAFA013">
        <w:rPr>
          <w:rFonts w:ascii="TimesNewRomanPSMT" w:eastAsia="TimesNewRomanPSMT" w:hAnsi="TimesNewRomanPSMT" w:cs="TimesNewRomanPSMT"/>
        </w:rPr>
        <w:t>.</w:t>
      </w:r>
      <w:r>
        <w:rPr>
          <w:rStyle w:val="FootnoteReference"/>
          <w:rFonts w:eastAsia="TimesNewRomanPSMT" w:cs="TimesNewRomanPSMT"/>
        </w:rPr>
        <w:footnoteReference w:id="5"/>
      </w:r>
      <w:r w:rsidRPr="69D7D6AF" w:rsidR="7EAFA013">
        <w:rPr>
          <w:rFonts w:ascii="TimesNewRomanPSMT" w:eastAsia="TimesNewRomanPSMT" w:hAnsi="TimesNewRomanPSMT" w:cs="TimesNewRomanPSMT"/>
        </w:rPr>
        <w:t xml:space="preserve">  </w:t>
      </w:r>
      <w:r w:rsidRPr="69D7D6AF" w:rsidR="00374BC0">
        <w:rPr>
          <w:rFonts w:ascii="TimesNewRomanPSMT" w:eastAsia="TimesNewRomanPSMT" w:hAnsi="TimesNewRomanPSMT" w:cs="TimesNewRomanPSMT"/>
        </w:rPr>
        <w:t>If a</w:t>
      </w:r>
      <w:r w:rsidRPr="69D7D6AF" w:rsidR="7EAFA013">
        <w:rPr>
          <w:rFonts w:ascii="TimesNewRomanPSMT" w:eastAsia="TimesNewRomanPSMT" w:hAnsi="TimesNewRomanPSMT" w:cs="TimesNewRomanPSMT"/>
        </w:rPr>
        <w:t xml:space="preserve"> provider </w:t>
      </w:r>
      <w:r w:rsidRPr="100FA972" w:rsidR="00A346DC">
        <w:rPr>
          <w:rFonts w:ascii="TimesNewRomanPSMT" w:eastAsia="TimesNewRomanPSMT" w:hAnsi="TimesNewRomanPSMT" w:cs="TimesNewRomanPSMT"/>
        </w:rPr>
        <w:t xml:space="preserve">denies the assertions in </w:t>
      </w:r>
      <w:r w:rsidRPr="69D7D6AF" w:rsidR="7EAFA013">
        <w:rPr>
          <w:rFonts w:ascii="TimesNewRomanPSMT" w:eastAsia="TimesNewRomanPSMT" w:hAnsi="TimesNewRomanPSMT" w:cs="TimesNewRomanPSMT"/>
        </w:rPr>
        <w:t>a challenge</w:t>
      </w:r>
      <w:r w:rsidRPr="100FA972" w:rsidR="007826C0">
        <w:rPr>
          <w:rFonts w:ascii="TimesNewRomanPSMT" w:eastAsia="TimesNewRomanPSMT" w:hAnsi="TimesNewRomanPSMT" w:cs="TimesNewRomanPSMT"/>
        </w:rPr>
        <w:t xml:space="preserve"> regarding </w:t>
      </w:r>
      <w:r w:rsidRPr="100FA972" w:rsidR="00DE663C">
        <w:rPr>
          <w:rFonts w:ascii="TimesNewRomanPSMT" w:eastAsia="TimesNewRomanPSMT" w:hAnsi="TimesNewRomanPSMT" w:cs="TimesNewRomanPSMT"/>
        </w:rPr>
        <w:t xml:space="preserve">its reported </w:t>
      </w:r>
      <w:r w:rsidRPr="100FA972" w:rsidR="007826C0">
        <w:rPr>
          <w:rFonts w:ascii="TimesNewRomanPSMT" w:eastAsia="TimesNewRomanPSMT" w:hAnsi="TimesNewRomanPSMT" w:cs="TimesNewRomanPSMT"/>
        </w:rPr>
        <w:t>availability</w:t>
      </w:r>
      <w:r w:rsidRPr="69D7D6AF" w:rsidR="00374BC0">
        <w:rPr>
          <w:rFonts w:ascii="TimesNewRomanPSMT" w:eastAsia="TimesNewRomanPSMT" w:hAnsi="TimesNewRomanPSMT" w:cs="TimesNewRomanPSMT"/>
        </w:rPr>
        <w:t>, it</w:t>
      </w:r>
      <w:r w:rsidRPr="69D7D6AF" w:rsidR="7EAFA013">
        <w:rPr>
          <w:rFonts w:ascii="TimesNewRomanPSMT" w:eastAsia="TimesNewRomanPSMT" w:hAnsi="TimesNewRomanPSMT" w:cs="TimesNewRomanPSMT"/>
        </w:rPr>
        <w:t xml:space="preserve"> must </w:t>
      </w:r>
      <w:r w:rsidRPr="69D7D6AF" w:rsidR="00374BC0">
        <w:rPr>
          <w:rFonts w:ascii="TimesNewRomanPSMT" w:eastAsia="TimesNewRomanPSMT" w:hAnsi="TimesNewRomanPSMT" w:cs="TimesNewRomanPSMT"/>
        </w:rPr>
        <w:t>submit</w:t>
      </w:r>
      <w:r w:rsidRPr="69D7D6AF" w:rsidR="2AA4F43B">
        <w:rPr>
          <w:rFonts w:ascii="TimesNewRomanPSMT" w:eastAsia="TimesNewRomanPSMT" w:hAnsi="TimesNewRomanPSMT" w:cs="TimesNewRomanPSMT"/>
        </w:rPr>
        <w:t xml:space="preserve"> evidence </w:t>
      </w:r>
      <w:r w:rsidRPr="69D7D6AF" w:rsidR="5CDC1920">
        <w:rPr>
          <w:rFonts w:ascii="TimesNewRomanPSMT" w:eastAsia="TimesNewRomanPSMT" w:hAnsi="TimesNewRomanPSMT" w:cs="TimesNewRomanPSMT"/>
        </w:rPr>
        <w:t xml:space="preserve">that </w:t>
      </w:r>
      <w:r w:rsidRPr="69D7D6AF" w:rsidR="00374BC0">
        <w:rPr>
          <w:rFonts w:ascii="TimesNewRomanPSMT" w:eastAsia="TimesNewRomanPSMT" w:hAnsi="TimesNewRomanPSMT" w:cs="TimesNewRomanPSMT"/>
        </w:rPr>
        <w:t>it</w:t>
      </w:r>
      <w:r w:rsidRPr="100FA972" w:rsidR="00963C14">
        <w:rPr>
          <w:rFonts w:ascii="TimesNewRomanPSMT" w:eastAsia="TimesNewRomanPSMT" w:hAnsi="TimesNewRomanPSMT" w:cs="TimesNewRomanPSMT"/>
        </w:rPr>
        <w:t>s</w:t>
      </w:r>
      <w:r w:rsidRPr="69D7D6AF" w:rsidR="5CDC1920">
        <w:rPr>
          <w:rFonts w:ascii="TimesNewRomanPSMT" w:eastAsia="TimesNewRomanPSMT" w:hAnsi="TimesNewRomanPSMT" w:cs="TimesNewRomanPSMT"/>
        </w:rPr>
        <w:t xml:space="preserve"> serv</w:t>
      </w:r>
      <w:r w:rsidRPr="69D7D6AF" w:rsidR="00374BC0">
        <w:rPr>
          <w:rFonts w:ascii="TimesNewRomanPSMT" w:eastAsia="TimesNewRomanPSMT" w:hAnsi="TimesNewRomanPSMT" w:cs="TimesNewRomanPSMT"/>
        </w:rPr>
        <w:t>ice</w:t>
      </w:r>
      <w:r w:rsidRPr="69D7D6AF" w:rsidR="5CDC1920">
        <w:rPr>
          <w:rFonts w:ascii="TimesNewRomanPSMT" w:eastAsia="TimesNewRomanPSMT" w:hAnsi="TimesNewRomanPSMT" w:cs="TimesNewRomanPSMT"/>
        </w:rPr>
        <w:t xml:space="preserve"> </w:t>
      </w:r>
      <w:r w:rsidRPr="100FA972" w:rsidR="00963C14">
        <w:rPr>
          <w:rFonts w:ascii="TimesNewRomanPSMT" w:eastAsia="TimesNewRomanPSMT" w:hAnsi="TimesNewRomanPSMT" w:cs="TimesNewRomanPSMT"/>
        </w:rPr>
        <w:t>at</w:t>
      </w:r>
      <w:r w:rsidRPr="69D7D6AF" w:rsidR="5CDC1920">
        <w:rPr>
          <w:rFonts w:ascii="TimesNewRomanPSMT" w:eastAsia="TimesNewRomanPSMT" w:hAnsi="TimesNewRomanPSMT" w:cs="TimesNewRomanPSMT"/>
        </w:rPr>
        <w:t xml:space="preserve"> the challenged location</w:t>
      </w:r>
      <w:r w:rsidRPr="100FA972" w:rsidR="00963C14">
        <w:rPr>
          <w:rFonts w:ascii="TimesNewRomanPSMT" w:eastAsia="TimesNewRomanPSMT" w:hAnsi="TimesNewRomanPSMT" w:cs="TimesNewRomanPSMT"/>
        </w:rPr>
        <w:t xml:space="preserve"> is consistent with its BDC data</w:t>
      </w:r>
      <w:r w:rsidRPr="69D7D6AF" w:rsidR="5CDC1920">
        <w:rPr>
          <w:rFonts w:ascii="TimesNewRomanPSMT" w:eastAsia="TimesNewRomanPSMT" w:hAnsi="TimesNewRomanPSMT" w:cs="TimesNewRomanPSMT"/>
        </w:rPr>
        <w:t>.</w:t>
      </w:r>
      <w:r>
        <w:rPr>
          <w:rStyle w:val="FootnoteReference"/>
          <w:rFonts w:ascii="TimesNewRomanPSMT" w:eastAsia="TimesNewRomanPSMT" w:hAnsi="TimesNewRomanPSMT" w:cs="TimesNewRomanPSMT"/>
        </w:rPr>
        <w:footnoteReference w:id="6"/>
      </w:r>
      <w:r w:rsidRPr="69D7D6AF" w:rsidR="253F91BD">
        <w:rPr>
          <w:rFonts w:ascii="TimesNewRomanPSMT" w:eastAsia="TimesNewRomanPSMT" w:hAnsi="TimesNewRomanPSMT" w:cs="TimesNewRomanPSMT"/>
        </w:rPr>
        <w:t xml:space="preserve"> </w:t>
      </w:r>
      <w:r w:rsidRPr="69D7D6AF" w:rsidR="5CDC1920">
        <w:rPr>
          <w:rFonts w:ascii="TimesNewRomanPSMT" w:eastAsia="TimesNewRomanPSMT" w:hAnsi="TimesNewRomanPSMT" w:cs="TimesNewRomanPSMT"/>
        </w:rPr>
        <w:t xml:space="preserve"> </w:t>
      </w:r>
      <w:r w:rsidRPr="100FA972" w:rsidR="46F391C0">
        <w:rPr>
          <w:rFonts w:ascii="TimesNewRomanPSMT" w:eastAsia="TimesNewRomanPSMT" w:hAnsi="TimesNewRomanPSMT" w:cs="TimesNewRomanPSMT"/>
        </w:rPr>
        <w:t>If the provider disputes the challenge</w:t>
      </w:r>
      <w:r w:rsidRPr="69D7D6AF" w:rsidR="5CDC1920">
        <w:rPr>
          <w:rFonts w:ascii="TimesNewRomanPSMT" w:eastAsia="TimesNewRomanPSMT" w:hAnsi="TimesNewRomanPSMT" w:cs="TimesNewRomanPSMT"/>
        </w:rPr>
        <w:t xml:space="preserve">, the provider and the challenger </w:t>
      </w:r>
      <w:r w:rsidRPr="69D7D6AF" w:rsidR="00374BC0">
        <w:rPr>
          <w:rFonts w:ascii="TimesNewRomanPSMT" w:eastAsia="TimesNewRomanPSMT" w:hAnsi="TimesNewRomanPSMT" w:cs="TimesNewRomanPSMT"/>
        </w:rPr>
        <w:t xml:space="preserve">then </w:t>
      </w:r>
      <w:r w:rsidRPr="69D7D6AF" w:rsidR="5CDC1920">
        <w:rPr>
          <w:rFonts w:ascii="TimesNewRomanPSMT" w:eastAsia="TimesNewRomanPSMT" w:hAnsi="TimesNewRomanPSMT" w:cs="TimesNewRomanPSMT"/>
        </w:rPr>
        <w:t xml:space="preserve">have </w:t>
      </w:r>
      <w:r w:rsidRPr="100FA972" w:rsidR="228879E5">
        <w:rPr>
          <w:rFonts w:ascii="TimesNewRomanPSMT" w:eastAsia="TimesNewRomanPSMT" w:hAnsi="TimesNewRomanPSMT" w:cs="TimesNewRomanPSMT"/>
        </w:rPr>
        <w:t xml:space="preserve">an additional </w:t>
      </w:r>
      <w:r w:rsidRPr="69D7D6AF" w:rsidR="5CDC1920">
        <w:rPr>
          <w:rFonts w:ascii="TimesNewRomanPSMT" w:eastAsia="TimesNewRomanPSMT" w:hAnsi="TimesNewRomanPSMT" w:cs="TimesNewRomanPSMT"/>
        </w:rPr>
        <w:t>60 days</w:t>
      </w:r>
      <w:r w:rsidRPr="69D7D6AF" w:rsidR="00374BC0">
        <w:rPr>
          <w:rFonts w:ascii="TimesNewRomanPSMT" w:eastAsia="TimesNewRomanPSMT" w:hAnsi="TimesNewRomanPSMT" w:cs="TimesNewRomanPSMT"/>
        </w:rPr>
        <w:t xml:space="preserve"> from the date</w:t>
      </w:r>
      <w:r w:rsidRPr="69D7D6AF" w:rsidR="5CDC1920">
        <w:rPr>
          <w:rFonts w:ascii="TimesNewRomanPSMT" w:eastAsia="TimesNewRomanPSMT" w:hAnsi="TimesNewRomanPSMT" w:cs="TimesNewRomanPSMT"/>
        </w:rPr>
        <w:t xml:space="preserve"> the provider submits its reply</w:t>
      </w:r>
      <w:r w:rsidRPr="69D7D6AF" w:rsidR="00374BC0">
        <w:rPr>
          <w:rFonts w:ascii="TimesNewRomanPSMT" w:eastAsia="TimesNewRomanPSMT" w:hAnsi="TimesNewRomanPSMT" w:cs="TimesNewRomanPSMT"/>
        </w:rPr>
        <w:t>,</w:t>
      </w:r>
      <w:r w:rsidRPr="69D7D6AF" w:rsidR="5CDC1920">
        <w:rPr>
          <w:rFonts w:ascii="TimesNewRomanPSMT" w:eastAsia="TimesNewRomanPSMT" w:hAnsi="TimesNewRomanPSMT" w:cs="TimesNewRomanPSMT"/>
        </w:rPr>
        <w:t xml:space="preserve"> to attempt to</w:t>
      </w:r>
      <w:r w:rsidRPr="69D7D6AF" w:rsidR="2C2BBB5A">
        <w:rPr>
          <w:rFonts w:ascii="TimesNewRomanPSMT" w:eastAsia="TimesNewRomanPSMT" w:hAnsi="TimesNewRomanPSMT" w:cs="TimesNewRomanPSMT"/>
        </w:rPr>
        <w:t xml:space="preserve"> </w:t>
      </w:r>
      <w:r w:rsidRPr="69D7D6AF" w:rsidR="5CDC1920">
        <w:rPr>
          <w:rFonts w:ascii="TimesNewRomanPSMT" w:eastAsia="TimesNewRomanPSMT" w:hAnsi="TimesNewRomanPSMT" w:cs="TimesNewRomanPSMT"/>
        </w:rPr>
        <w:t>resolve the challenge.</w:t>
      </w:r>
      <w:r>
        <w:rPr>
          <w:rStyle w:val="FootnoteReference"/>
          <w:rFonts w:ascii="TimesNewRomanPSMT" w:eastAsia="TimesNewRomanPSMT" w:hAnsi="TimesNewRomanPSMT" w:cs="TimesNewRomanPSMT"/>
        </w:rPr>
        <w:footnoteReference w:id="7"/>
      </w:r>
      <w:r w:rsidRPr="69D7D6AF" w:rsidR="02A233A3">
        <w:rPr>
          <w:rFonts w:ascii="TimesNewRomanPSMT" w:eastAsia="TimesNewRomanPSMT" w:hAnsi="TimesNewRomanPSMT" w:cs="TimesNewRomanPSMT"/>
        </w:rPr>
        <w:t xml:space="preserve">  </w:t>
      </w:r>
      <w:r w:rsidRPr="100FA972" w:rsidR="00404877">
        <w:rPr>
          <w:rFonts w:ascii="TimesNewRomanPSMT" w:eastAsia="TimesNewRomanPSMT" w:hAnsi="TimesNewRomanPSMT" w:cs="TimesNewRomanPSMT"/>
        </w:rPr>
        <w:t>T</w:t>
      </w:r>
      <w:r w:rsidRPr="69D7D6AF" w:rsidR="708B3CEF">
        <w:rPr>
          <w:rFonts w:ascii="TimesNewRomanPSMT" w:eastAsia="TimesNewRomanPSMT" w:hAnsi="TimesNewRomanPSMT" w:cs="TimesNewRomanPSMT"/>
        </w:rPr>
        <w:t xml:space="preserve">he provider </w:t>
      </w:r>
      <w:r w:rsidRPr="69D7D6AF" w:rsidR="00EC3431">
        <w:rPr>
          <w:rFonts w:ascii="TimesNewRomanPSMT" w:eastAsia="TimesNewRomanPSMT" w:hAnsi="TimesNewRomanPSMT" w:cs="TimesNewRomanPSMT"/>
        </w:rPr>
        <w:t>must</w:t>
      </w:r>
      <w:r w:rsidRPr="69D7D6AF" w:rsidR="007E1F8C">
        <w:rPr>
          <w:rFonts w:ascii="TimesNewRomanPSMT" w:eastAsia="TimesNewRomanPSMT" w:hAnsi="TimesNewRomanPSMT" w:cs="TimesNewRomanPSMT"/>
        </w:rPr>
        <w:t xml:space="preserve"> </w:t>
      </w:r>
      <w:r w:rsidRPr="69D7D6AF" w:rsidR="708B3CEF">
        <w:rPr>
          <w:rFonts w:ascii="TimesNewRomanPSMT" w:eastAsia="TimesNewRomanPSMT" w:hAnsi="TimesNewRomanPSMT" w:cs="TimesNewRomanPSMT"/>
        </w:rPr>
        <w:t xml:space="preserve">report the status of efforts to resolve the challenge in the </w:t>
      </w:r>
      <w:r w:rsidRPr="69D7D6AF" w:rsidR="00374BC0">
        <w:rPr>
          <w:rFonts w:ascii="TimesNewRomanPSMT" w:eastAsia="TimesNewRomanPSMT" w:hAnsi="TimesNewRomanPSMT" w:cs="TimesNewRomanPSMT"/>
        </w:rPr>
        <w:t>BDC system</w:t>
      </w:r>
      <w:r w:rsidRPr="100FA972" w:rsidR="00404877">
        <w:rPr>
          <w:rFonts w:ascii="TimesNewRomanPSMT" w:eastAsia="TimesNewRomanPSMT" w:hAnsi="TimesNewRomanPSMT" w:cs="TimesNewRomanPSMT"/>
        </w:rPr>
        <w:t xml:space="preserve"> not later than 60 days after the provider responds to the challenge</w:t>
      </w:r>
      <w:r w:rsidRPr="69D7D6AF" w:rsidR="00374BC0">
        <w:rPr>
          <w:rFonts w:ascii="TimesNewRomanPSMT" w:eastAsia="TimesNewRomanPSMT" w:hAnsi="TimesNewRomanPSMT" w:cs="TimesNewRomanPSMT"/>
        </w:rPr>
        <w:t xml:space="preserve">.  </w:t>
      </w:r>
      <w:r w:rsidRPr="100FA972" w:rsidR="222B9655">
        <w:rPr>
          <w:rFonts w:ascii="TimesNewRomanPSMT" w:eastAsia="TimesNewRomanPSMT" w:hAnsi="TimesNewRomanPSMT" w:cs="TimesNewRomanPSMT"/>
        </w:rPr>
        <w:t>Where a challenge remains disputed</w:t>
      </w:r>
      <w:r w:rsidRPr="100FA972" w:rsidR="00404877">
        <w:rPr>
          <w:rFonts w:ascii="TimesNewRomanPSMT" w:eastAsia="TimesNewRomanPSMT" w:hAnsi="TimesNewRomanPSMT" w:cs="TimesNewRomanPSMT"/>
        </w:rPr>
        <w:t xml:space="preserve"> at this stage</w:t>
      </w:r>
      <w:r w:rsidRPr="69D7D6AF" w:rsidR="00374BC0">
        <w:rPr>
          <w:rFonts w:ascii="TimesNewRomanPSMT" w:eastAsia="TimesNewRomanPSMT" w:hAnsi="TimesNewRomanPSMT" w:cs="TimesNewRomanPSMT"/>
        </w:rPr>
        <w:t>,</w:t>
      </w:r>
      <w:r w:rsidRPr="69D7D6AF" w:rsidR="708B3CEF">
        <w:rPr>
          <w:rFonts w:ascii="TimesNewRomanPSMT" w:eastAsia="TimesNewRomanPSMT" w:hAnsi="TimesNewRomanPSMT" w:cs="TimesNewRomanPSMT"/>
        </w:rPr>
        <w:t xml:space="preserve"> the Commi</w:t>
      </w:r>
      <w:r w:rsidRPr="69D7D6AF" w:rsidR="6D30EBC6">
        <w:rPr>
          <w:rFonts w:ascii="TimesNewRomanPSMT" w:eastAsia="TimesNewRomanPSMT" w:hAnsi="TimesNewRomanPSMT" w:cs="TimesNewRomanPSMT"/>
        </w:rPr>
        <w:t xml:space="preserve">ssion </w:t>
      </w:r>
      <w:r w:rsidRPr="69D7D6AF" w:rsidR="708B3CEF">
        <w:rPr>
          <w:rFonts w:ascii="TimesNewRomanPSMT" w:eastAsia="TimesNewRomanPSMT" w:hAnsi="TimesNewRomanPSMT" w:cs="TimesNewRomanPSMT"/>
        </w:rPr>
        <w:t>will review the evidence and make a determination</w:t>
      </w:r>
      <w:r w:rsidRPr="69D7D6AF" w:rsidR="791CCE12">
        <w:rPr>
          <w:rFonts w:ascii="TimesNewRomanPSMT" w:eastAsia="TimesNewRomanPSMT" w:hAnsi="TimesNewRomanPSMT" w:cs="TimesNewRomanPSMT"/>
        </w:rPr>
        <w:t xml:space="preserve"> </w:t>
      </w:r>
      <w:r w:rsidRPr="69D7D6AF" w:rsidR="708B3CEF">
        <w:rPr>
          <w:rFonts w:ascii="TimesNewRomanPSMT" w:eastAsia="TimesNewRomanPSMT" w:hAnsi="TimesNewRomanPSMT" w:cs="TimesNewRomanPSMT"/>
        </w:rPr>
        <w:t>either:</w:t>
      </w:r>
      <w:r w:rsidRPr="69D7D6AF" w:rsidR="7BD303AF">
        <w:rPr>
          <w:rFonts w:ascii="TimesNewRomanPSMT" w:eastAsia="TimesNewRomanPSMT" w:hAnsi="TimesNewRomanPSMT" w:cs="TimesNewRomanPSMT"/>
        </w:rPr>
        <w:t xml:space="preserve"> </w:t>
      </w:r>
      <w:r w:rsidRPr="69D7D6AF" w:rsidR="708B3CEF">
        <w:rPr>
          <w:rFonts w:ascii="TimesNewRomanPSMT" w:eastAsia="TimesNewRomanPSMT" w:hAnsi="TimesNewRomanPSMT" w:cs="TimesNewRomanPSMT"/>
        </w:rPr>
        <w:t>(</w:t>
      </w:r>
      <w:r w:rsidRPr="69D7D6AF" w:rsidR="708B3CEF">
        <w:rPr>
          <w:rFonts w:ascii="TimesNewRomanPSMT" w:eastAsia="TimesNewRomanPSMT" w:hAnsi="TimesNewRomanPSMT" w:cs="TimesNewRomanPSMT"/>
        </w:rPr>
        <w:t>i</w:t>
      </w:r>
      <w:r w:rsidRPr="69D7D6AF" w:rsidR="708B3CEF">
        <w:rPr>
          <w:rFonts w:ascii="TimesNewRomanPSMT" w:eastAsia="TimesNewRomanPSMT" w:hAnsi="TimesNewRomanPSMT" w:cs="TimesNewRomanPSMT"/>
        </w:rPr>
        <w:t>) in favor of the challenger</w:t>
      </w:r>
      <w:r w:rsidRPr="69D7D6AF" w:rsidR="7F836476">
        <w:rPr>
          <w:rFonts w:ascii="TimesNewRomanPSMT" w:eastAsia="TimesNewRomanPSMT" w:hAnsi="TimesNewRomanPSMT" w:cs="TimesNewRomanPSMT"/>
        </w:rPr>
        <w:t>;</w:t>
      </w:r>
      <w:r w:rsidRPr="69D7D6AF" w:rsidR="708B3CEF">
        <w:rPr>
          <w:rFonts w:ascii="TimesNewRomanPSMT" w:eastAsia="TimesNewRomanPSMT" w:hAnsi="TimesNewRomanPSMT" w:cs="TimesNewRomanPSMT"/>
        </w:rPr>
        <w:t xml:space="preserve"> or (ii) in favor of the provider.</w:t>
      </w:r>
      <w:r>
        <w:rPr>
          <w:rStyle w:val="FootnoteReference"/>
          <w:rFonts w:ascii="TimesNewRomanPSMT" w:eastAsia="TimesNewRomanPSMT" w:hAnsi="TimesNewRomanPSMT" w:cs="TimesNewRomanPSMT"/>
        </w:rPr>
        <w:footnoteReference w:id="8"/>
      </w:r>
      <w:r w:rsidRPr="69D7D6AF" w:rsidR="51DD201C">
        <w:rPr>
          <w:rFonts w:ascii="TimesNewRomanPSMT" w:eastAsia="TimesNewRomanPSMT" w:hAnsi="TimesNewRomanPSMT" w:cs="TimesNewRomanPSMT"/>
        </w:rPr>
        <w:t xml:space="preserve">  A provider that either concedes</w:t>
      </w:r>
      <w:r w:rsidRPr="69D7D6AF" w:rsidR="00374BC0">
        <w:rPr>
          <w:rFonts w:ascii="TimesNewRomanPSMT" w:eastAsia="TimesNewRomanPSMT" w:hAnsi="TimesNewRomanPSMT" w:cs="TimesNewRomanPSMT"/>
        </w:rPr>
        <w:t xml:space="preserve"> a challenge</w:t>
      </w:r>
      <w:r w:rsidRPr="69D7D6AF" w:rsidR="489C4C05">
        <w:rPr>
          <w:rFonts w:ascii="TimesNewRomanPSMT" w:eastAsia="TimesNewRomanPSMT" w:hAnsi="TimesNewRomanPSMT" w:cs="TimesNewRomanPSMT"/>
        </w:rPr>
        <w:t xml:space="preserve">, </w:t>
      </w:r>
      <w:r w:rsidRPr="69D7D6AF" w:rsidR="138A2BDD">
        <w:rPr>
          <w:rFonts w:ascii="TimesNewRomanPSMT" w:eastAsia="TimesNewRomanPSMT" w:hAnsi="TimesNewRomanPSMT" w:cs="TimesNewRomanPSMT"/>
        </w:rPr>
        <w:t xml:space="preserve">fails to respond to a challenge, or </w:t>
      </w:r>
      <w:r w:rsidRPr="69D7D6AF" w:rsidR="51DD201C">
        <w:rPr>
          <w:rFonts w:ascii="TimesNewRomanPSMT" w:eastAsia="TimesNewRomanPSMT" w:hAnsi="TimesNewRomanPSMT" w:cs="TimesNewRomanPSMT"/>
        </w:rPr>
        <w:t>loses a challenge</w:t>
      </w:r>
      <w:r w:rsidRPr="69D7D6AF" w:rsidR="19F9E52D">
        <w:rPr>
          <w:rFonts w:ascii="TimesNewRomanPSMT" w:eastAsia="TimesNewRomanPSMT" w:hAnsi="TimesNewRomanPSMT" w:cs="TimesNewRomanPSMT"/>
        </w:rPr>
        <w:t xml:space="preserve"> </w:t>
      </w:r>
      <w:r w:rsidRPr="69D7D6AF" w:rsidR="51DD201C">
        <w:rPr>
          <w:rFonts w:ascii="TimesNewRomanPSMT" w:eastAsia="TimesNewRomanPSMT" w:hAnsi="TimesNewRomanPSMT" w:cs="TimesNewRomanPSMT"/>
        </w:rPr>
        <w:t>must submit</w:t>
      </w:r>
      <w:r w:rsidRPr="69D7D6AF" w:rsidR="00374BC0">
        <w:rPr>
          <w:rFonts w:ascii="TimesNewRomanPSMT" w:eastAsia="TimesNewRomanPSMT" w:hAnsi="TimesNewRomanPSMT" w:cs="TimesNewRomanPSMT"/>
        </w:rPr>
        <w:t>, within 30 days,</w:t>
      </w:r>
      <w:r w:rsidRPr="69D7D6AF" w:rsidR="51DD201C">
        <w:rPr>
          <w:rFonts w:ascii="TimesNewRomanPSMT" w:eastAsia="TimesNewRomanPSMT" w:hAnsi="TimesNewRomanPSMT" w:cs="TimesNewRomanPSMT"/>
        </w:rPr>
        <w:t xml:space="preserve"> corrected </w:t>
      </w:r>
      <w:r w:rsidRPr="69D7D6AF" w:rsidR="00374BC0">
        <w:rPr>
          <w:rFonts w:ascii="TimesNewRomanPSMT" w:eastAsia="TimesNewRomanPSMT" w:hAnsi="TimesNewRomanPSMT" w:cs="TimesNewRomanPSMT"/>
        </w:rPr>
        <w:t xml:space="preserve">availability </w:t>
      </w:r>
      <w:r w:rsidRPr="69D7D6AF" w:rsidR="51DD201C">
        <w:rPr>
          <w:rFonts w:ascii="TimesNewRomanPSMT" w:eastAsia="TimesNewRomanPSMT" w:hAnsi="TimesNewRomanPSMT" w:cs="TimesNewRomanPSMT"/>
        </w:rPr>
        <w:t xml:space="preserve">data for the </w:t>
      </w:r>
      <w:r w:rsidRPr="69D7D6AF" w:rsidR="00374BC0">
        <w:rPr>
          <w:rFonts w:ascii="TimesNewRomanPSMT" w:eastAsia="TimesNewRomanPSMT" w:hAnsi="TimesNewRomanPSMT" w:cs="TimesNewRomanPSMT"/>
        </w:rPr>
        <w:t>relevant as-</w:t>
      </w:r>
      <w:r w:rsidRPr="69D7D6AF" w:rsidR="51DD201C">
        <w:rPr>
          <w:rFonts w:ascii="TimesNewRomanPSMT" w:eastAsia="TimesNewRomanPSMT" w:hAnsi="TimesNewRomanPSMT" w:cs="TimesNewRomanPSMT"/>
        </w:rPr>
        <w:t xml:space="preserve">of </w:t>
      </w:r>
      <w:r w:rsidRPr="69D7D6AF" w:rsidR="00374BC0">
        <w:rPr>
          <w:rFonts w:ascii="TimesNewRomanPSMT" w:eastAsia="TimesNewRomanPSMT" w:hAnsi="TimesNewRomanPSMT" w:cs="TimesNewRomanPSMT"/>
        </w:rPr>
        <w:t xml:space="preserve">date that accounts for </w:t>
      </w:r>
      <w:r w:rsidRPr="69D7D6AF" w:rsidR="3E2849A8">
        <w:rPr>
          <w:rFonts w:ascii="TimesNewRomanPSMT" w:eastAsia="TimesNewRomanPSMT" w:hAnsi="TimesNewRomanPSMT" w:cs="TimesNewRomanPSMT"/>
        </w:rPr>
        <w:t xml:space="preserve">the </w:t>
      </w:r>
      <w:r w:rsidRPr="69D7D6AF" w:rsidR="00374BC0">
        <w:rPr>
          <w:rFonts w:ascii="TimesNewRomanPSMT" w:eastAsia="TimesNewRomanPSMT" w:hAnsi="TimesNewRomanPSMT" w:cs="TimesNewRomanPSMT"/>
        </w:rPr>
        <w:t xml:space="preserve">issue </w:t>
      </w:r>
      <w:r w:rsidRPr="69D7D6AF" w:rsidR="00374BC0">
        <w:rPr>
          <w:rFonts w:ascii="TimesNewRomanPSMT" w:eastAsia="TimesNewRomanPSMT" w:hAnsi="TimesNewRomanPSMT" w:cs="TimesNewRomanPSMT"/>
        </w:rPr>
        <w:t>raised in the challenge</w:t>
      </w:r>
      <w:r w:rsidRPr="69D7D6AF" w:rsidR="3E2849A8">
        <w:rPr>
          <w:rFonts w:ascii="TimesNewRomanPSMT" w:eastAsia="TimesNewRomanPSMT" w:hAnsi="TimesNewRomanPSMT" w:cs="TimesNewRomanPSMT"/>
        </w:rPr>
        <w:t>.</w:t>
      </w:r>
      <w:r>
        <w:rPr>
          <w:rStyle w:val="FootnoteReference"/>
          <w:rFonts w:ascii="TimesNewRomanPSMT" w:eastAsia="TimesNewRomanPSMT" w:hAnsi="TimesNewRomanPSMT" w:cs="TimesNewRomanPSMT"/>
        </w:rPr>
        <w:footnoteReference w:id="9"/>
      </w:r>
    </w:p>
    <w:p w:rsidR="6153BB28" w:rsidRPr="00636438" w:rsidP="00636438" w14:paraId="1BFD61D9" w14:textId="47CBFE60">
      <w:pPr>
        <w:spacing w:after="120"/>
        <w:ind w:firstLine="720"/>
      </w:pPr>
      <w:r>
        <w:rPr>
          <w:rFonts w:ascii="TimesNewRomanPSMT" w:eastAsia="TimesNewRomanPSMT" w:hAnsi="TimesNewRomanPSMT" w:cs="TimesNewRomanPSMT"/>
          <w:color w:val="000000"/>
          <w:szCs w:val="22"/>
        </w:rPr>
        <w:t xml:space="preserve">Additional technical assistance resources related to the availability challenge process, including links to a comprehensive webinar, video tutorials, help articles, data specifications, and a BDC system user guide are also available at </w:t>
      </w:r>
      <w:hyperlink r:id="rId7" w:history="1">
        <w:r w:rsidRPr="0066538C" w:rsidR="0066538C">
          <w:rPr>
            <w:rStyle w:val="Hyperlink"/>
            <w:rFonts w:ascii="TimesNewRomanPSMT" w:eastAsia="TimesNewRomanPSMT" w:hAnsi="TimesNewRomanPSMT" w:cs="TimesNewRomanPSMT"/>
            <w:szCs w:val="22"/>
          </w:rPr>
          <w:t>www.fcc.gov/BroadbandData/Help</w:t>
        </w:r>
      </w:hyperlink>
      <w:r>
        <w:rPr>
          <w:rFonts w:ascii="TimesNewRomanPSMT" w:eastAsia="TimesNewRomanPSMT" w:hAnsi="TimesNewRomanPSMT" w:cs="TimesNewRomanPSMT"/>
          <w:color w:val="000000"/>
          <w:szCs w:val="22"/>
        </w:rPr>
        <w:t xml:space="preserve">. </w:t>
      </w:r>
      <w:r w:rsidR="0066538C">
        <w:rPr>
          <w:rFonts w:ascii="TimesNewRomanPSMT" w:eastAsia="TimesNewRomanPSMT" w:hAnsi="TimesNewRomanPSMT" w:cs="TimesNewRomanPSMT"/>
          <w:color w:val="000000"/>
          <w:szCs w:val="22"/>
        </w:rPr>
        <w:t xml:space="preserve"> </w:t>
      </w:r>
      <w:r>
        <w:rPr>
          <w:rFonts w:ascii="TimesNewRomanPSMT" w:eastAsia="TimesNewRomanPSMT" w:hAnsi="TimesNewRomanPSMT" w:cs="TimesNewRomanPSMT"/>
          <w:color w:val="000000"/>
          <w:szCs w:val="22"/>
        </w:rPr>
        <w:t>Requests for technical support may also be submitted using the “Get Help” link available on that page.</w:t>
      </w:r>
    </w:p>
    <w:p w:rsidR="3A0DE277" w:rsidP="00422128" w14:paraId="53B5ED16" w14:textId="71F8D5B3">
      <w:pPr>
        <w:spacing w:after="120"/>
        <w:ind w:firstLine="720"/>
        <w:rPr>
          <w:rFonts w:ascii="TimesNewRomanPSMT" w:eastAsia="TimesNewRomanPSMT" w:hAnsi="TimesNewRomanPSMT" w:cs="TimesNewRomanPSMT"/>
          <w:color w:val="000000"/>
          <w:szCs w:val="22"/>
        </w:rPr>
      </w:pPr>
      <w:r>
        <w:rPr>
          <w:rFonts w:ascii="TimesNewRomanPSMT" w:eastAsia="TimesNewRomanPSMT" w:hAnsi="TimesNewRomanPSMT" w:cs="TimesNewRomanPSMT"/>
          <w:color w:val="000000"/>
          <w:szCs w:val="22"/>
        </w:rPr>
        <w:t xml:space="preserve">For further information regarding this Public Notice, please contact Will Holloway, </w:t>
      </w:r>
      <w:hyperlink r:id="rId8">
        <w:r w:rsidRPr="6153BB28">
          <w:rPr>
            <w:rStyle w:val="Hyperlink"/>
            <w:rFonts w:ascii="TimesNewRomanPSMT" w:eastAsia="TimesNewRomanPSMT" w:hAnsi="TimesNewRomanPSMT" w:cs="TimesNewRomanPSMT"/>
            <w:szCs w:val="22"/>
          </w:rPr>
          <w:t>William.Holloway@fcc.gov</w:t>
        </w:r>
      </w:hyperlink>
      <w:r w:rsidRPr="6153BB28">
        <w:rPr>
          <w:rFonts w:ascii="TimesNewRomanPSMT" w:eastAsia="TimesNewRomanPSMT" w:hAnsi="TimesNewRomanPSMT" w:cs="TimesNewRomanPSMT"/>
          <w:szCs w:val="22"/>
        </w:rPr>
        <w:t xml:space="preserve">, or Kimia Nikseresht, </w:t>
      </w:r>
      <w:hyperlink r:id="rId9" w:history="1">
        <w:r w:rsidRPr="00FE7870" w:rsidR="00A17EB1">
          <w:rPr>
            <w:rStyle w:val="Hyperlink"/>
            <w:rFonts w:ascii="TimesNewRomanPSMT" w:eastAsia="TimesNewRomanPSMT" w:hAnsi="TimesNewRomanPSMT" w:cs="TimesNewRomanPSMT"/>
            <w:szCs w:val="22"/>
          </w:rPr>
          <w:t>Kimia.Nikseresht@fcc.gov</w:t>
        </w:r>
      </w:hyperlink>
      <w:r w:rsidR="00A17EB1">
        <w:rPr>
          <w:rFonts w:ascii="TimesNewRomanPSMT" w:eastAsia="TimesNewRomanPSMT" w:hAnsi="TimesNewRomanPSMT" w:cs="TimesNewRomanPSMT"/>
          <w:szCs w:val="22"/>
        </w:rPr>
        <w:t xml:space="preserve">.  </w:t>
      </w:r>
      <w:r>
        <w:rPr>
          <w:rFonts w:ascii="TimesNewRomanPSMT" w:eastAsia="TimesNewRomanPSMT" w:hAnsi="TimesNewRomanPSMT" w:cs="TimesNewRomanPSMT"/>
          <w:color w:val="000000"/>
          <w:szCs w:val="22"/>
        </w:rPr>
        <w:t xml:space="preserve">For media </w:t>
      </w:r>
      <w:r w:rsidR="7E952BEA">
        <w:rPr>
          <w:rFonts w:ascii="TimesNewRomanPSMT" w:eastAsia="TimesNewRomanPSMT" w:hAnsi="TimesNewRomanPSMT" w:cs="TimesNewRomanPSMT"/>
          <w:color w:val="000000"/>
          <w:szCs w:val="22"/>
        </w:rPr>
        <w:t xml:space="preserve">inquiries please contact </w:t>
      </w:r>
      <w:r w:rsidR="534223B9">
        <w:rPr>
          <w:rFonts w:ascii="TimesNewRomanPSMT" w:eastAsia="TimesNewRomanPSMT" w:hAnsi="TimesNewRomanPSMT" w:cs="TimesNewRomanPSMT"/>
          <w:color w:val="000000"/>
          <w:szCs w:val="22"/>
        </w:rPr>
        <w:t xml:space="preserve">Anne Veigle, </w:t>
      </w:r>
      <w:hyperlink r:id="rId10">
        <w:r w:rsidRPr="6153BB28" w:rsidR="534223B9">
          <w:rPr>
            <w:rStyle w:val="Hyperlink"/>
            <w:rFonts w:ascii="TimesNewRomanPSMT" w:eastAsia="TimesNewRomanPSMT" w:hAnsi="TimesNewRomanPSMT" w:cs="TimesNewRomanPSMT"/>
            <w:szCs w:val="22"/>
          </w:rPr>
          <w:t>Anne.Veigle@fcc.gov</w:t>
        </w:r>
      </w:hyperlink>
      <w:r w:rsidR="534223B9">
        <w:rPr>
          <w:rFonts w:ascii="TimesNewRomanPSMT" w:eastAsia="TimesNewRomanPSMT" w:hAnsi="TimesNewRomanPSMT" w:cs="TimesNewRomanPSMT"/>
          <w:color w:val="000000"/>
          <w:szCs w:val="22"/>
        </w:rPr>
        <w:t xml:space="preserve">. </w:t>
      </w:r>
    </w:p>
    <w:p w:rsidR="6153BB28" w:rsidP="00422128" w14:paraId="62E6CECA" w14:textId="3895921F">
      <w:pPr>
        <w:spacing w:after="120"/>
        <w:ind w:firstLine="720"/>
        <w:rPr>
          <w:rFonts w:ascii="TimesNewRomanPSMT" w:eastAsia="TimesNewRomanPSMT" w:hAnsi="TimesNewRomanPSMT" w:cs="TimesNewRomanPSMT"/>
          <w:color w:val="000000"/>
          <w:szCs w:val="22"/>
        </w:rPr>
      </w:pPr>
    </w:p>
    <w:p w:rsidR="0AE577BE" w:rsidRPr="00422128" w:rsidP="00422128" w14:paraId="54AA1DFF" w14:textId="3975A087">
      <w:pPr>
        <w:spacing w:after="120"/>
        <w:ind w:firstLine="720"/>
        <w:jc w:val="center"/>
        <w:rPr>
          <w:rFonts w:ascii="TimesNewRomanPSMT" w:eastAsia="TimesNewRomanPSMT" w:hAnsi="TimesNewRomanPSMT" w:cs="TimesNewRomanPSMT"/>
          <w:b/>
          <w:bCs/>
          <w:color w:val="000000"/>
          <w:szCs w:val="22"/>
        </w:rPr>
      </w:pPr>
      <w:r w:rsidRPr="00422128">
        <w:rPr>
          <w:rFonts w:ascii="TimesNewRomanPSMT" w:eastAsia="TimesNewRomanPSMT" w:hAnsi="TimesNewRomanPSMT" w:cs="TimesNewRomanPSMT"/>
          <w:b/>
          <w:bCs/>
          <w:color w:val="000000"/>
          <w:szCs w:val="22"/>
        </w:rPr>
        <w:t>-FCC-</w:t>
      </w:r>
    </w:p>
    <w:p w:rsidR="00220D18" w14:paraId="10E081E4" w14:textId="77777777"/>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FD9" w14:paraId="4379B5E9"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2F1FD9" w14:paraId="2F4493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FD9" w:rsidP="0063701A" w14:paraId="0867AAAE" w14:textId="62FD278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FD9" w14:paraId="05EE3E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4924" w14:paraId="79506EF7" w14:textId="77777777">
      <w:r>
        <w:separator/>
      </w:r>
    </w:p>
  </w:footnote>
  <w:footnote w:type="continuationSeparator" w:id="1">
    <w:p w:rsidR="00E34924" w14:paraId="1C4C9606" w14:textId="77777777">
      <w:pPr>
        <w:rPr>
          <w:sz w:val="20"/>
        </w:rPr>
      </w:pPr>
      <w:r>
        <w:rPr>
          <w:sz w:val="20"/>
        </w:rPr>
        <w:t xml:space="preserve">(Continued from previous page)  </w:t>
      </w:r>
      <w:r>
        <w:rPr>
          <w:sz w:val="20"/>
        </w:rPr>
        <w:separator/>
      </w:r>
    </w:p>
  </w:footnote>
  <w:footnote w:type="continuationNotice" w:id="2">
    <w:p w:rsidR="00E34924" w14:paraId="1FFD0198" w14:textId="77777777">
      <w:pPr>
        <w:jc w:val="right"/>
        <w:rPr>
          <w:sz w:val="20"/>
        </w:rPr>
      </w:pPr>
      <w:r>
        <w:rPr>
          <w:sz w:val="20"/>
        </w:rPr>
        <w:t>(continued….)</w:t>
      </w:r>
    </w:p>
  </w:footnote>
  <w:footnote w:id="3">
    <w:p w:rsidR="6153BB28" w:rsidRPr="007264FE" w:rsidP="6153BB28" w14:paraId="3503BD55" w14:textId="3C8FA500">
      <w:pPr>
        <w:pStyle w:val="FootnoteText"/>
      </w:pPr>
      <w:r w:rsidRPr="00307024">
        <w:rPr>
          <w:rStyle w:val="FootnoteReference"/>
          <w:sz w:val="20"/>
        </w:rPr>
        <w:footnoteRef/>
      </w:r>
      <w:r w:rsidRPr="007264FE">
        <w:t xml:space="preserve"> 47 CFR </w:t>
      </w:r>
      <w:r w:rsidRPr="007264FE" w:rsidR="000E2E9B">
        <w:t xml:space="preserve">§ </w:t>
      </w:r>
      <w:r w:rsidRPr="007264FE">
        <w:t xml:space="preserve">1.7006(d)(2). </w:t>
      </w:r>
    </w:p>
  </w:footnote>
  <w:footnote w:id="4">
    <w:p w:rsidR="6153BB28" w:rsidRPr="007264FE" w:rsidP="6153BB28" w14:paraId="2A1C2CBE" w14:textId="07FE55F1">
      <w:pPr>
        <w:pStyle w:val="FootnoteText"/>
      </w:pPr>
      <w:r w:rsidRPr="00307024">
        <w:rPr>
          <w:rStyle w:val="FootnoteReference"/>
          <w:sz w:val="20"/>
        </w:rPr>
        <w:footnoteRef/>
      </w:r>
      <w:r w:rsidRPr="007264FE">
        <w:t xml:space="preserve"> 47 CFR </w:t>
      </w:r>
      <w:r w:rsidRPr="007264FE" w:rsidR="000E2E9B">
        <w:t xml:space="preserve">§ </w:t>
      </w:r>
      <w:r w:rsidRPr="007264FE">
        <w:t>1.7006(d)(3)(</w:t>
      </w:r>
      <w:r w:rsidRPr="007264FE">
        <w:t>i</w:t>
      </w:r>
      <w:r w:rsidRPr="007264FE">
        <w:t xml:space="preserve">). </w:t>
      </w:r>
    </w:p>
  </w:footnote>
  <w:footnote w:id="5">
    <w:p w:rsidR="00E7211B" w:rsidRPr="007264FE" w14:paraId="4664E744" w14:textId="19A0EBC2">
      <w:pPr>
        <w:pStyle w:val="FootnoteText"/>
      </w:pPr>
      <w:r w:rsidRPr="00307024">
        <w:rPr>
          <w:rStyle w:val="FootnoteReference"/>
          <w:sz w:val="20"/>
        </w:rPr>
        <w:footnoteRef/>
      </w:r>
      <w:r w:rsidRPr="007264FE">
        <w:t xml:space="preserve"> </w:t>
      </w:r>
      <w:r w:rsidRPr="007264FE" w:rsidR="009A6AE8">
        <w:t xml:space="preserve">47 CFR § 1.7006(d)(3)(ii). </w:t>
      </w:r>
    </w:p>
  </w:footnote>
  <w:footnote w:id="6">
    <w:p w:rsidR="6153BB28" w:rsidRPr="007264FE" w:rsidP="6153BB28" w14:paraId="0987B1F1" w14:textId="4D8124F4">
      <w:pPr>
        <w:pStyle w:val="FootnoteText"/>
      </w:pPr>
      <w:r w:rsidRPr="00307024">
        <w:rPr>
          <w:rStyle w:val="FootnoteReference"/>
          <w:sz w:val="20"/>
        </w:rPr>
        <w:footnoteRef/>
      </w:r>
      <w:r w:rsidRPr="007264FE">
        <w:t xml:space="preserve"> </w:t>
      </w:r>
      <w:r w:rsidRPr="007264FE" w:rsidR="00CB0928">
        <w:t>47 CFR § 1.7006(d)(3)(i</w:t>
      </w:r>
      <w:r w:rsidRPr="007264FE" w:rsidR="009A6AE8">
        <w:t>i</w:t>
      </w:r>
      <w:r w:rsidRPr="007264FE" w:rsidR="00CB0928">
        <w:t xml:space="preserve">). </w:t>
      </w:r>
      <w:r w:rsidRPr="007264FE">
        <w:t xml:space="preserve"> </w:t>
      </w:r>
    </w:p>
  </w:footnote>
  <w:footnote w:id="7">
    <w:p w:rsidR="6153BB28" w:rsidRPr="007264FE" w:rsidP="670A9A1B" w14:paraId="3AC045CC" w14:textId="3BBC31C7">
      <w:pPr>
        <w:pStyle w:val="FootnoteText"/>
        <w:rPr>
          <w:color w:val="0078D4"/>
          <w:sz w:val="24"/>
          <w:szCs w:val="24"/>
        </w:rPr>
      </w:pPr>
      <w:r w:rsidRPr="670A9A1B">
        <w:rPr>
          <w:rStyle w:val="FootnoteReference"/>
          <w:sz w:val="20"/>
        </w:rPr>
        <w:footnoteRef/>
      </w:r>
      <w:r w:rsidRPr="007264FE" w:rsidR="670A9A1B">
        <w:t xml:space="preserve"> 47 CFR § 1.7006(d)(3)(ii).  </w:t>
      </w:r>
      <w:r w:rsidRPr="0072479D" w:rsidR="670A9A1B">
        <w:t>We note that such</w:t>
      </w:r>
      <w:r w:rsidR="0072479D">
        <w:t xml:space="preserve"> engagement can begin at any time after you receive the challenge and need not wait until after the provider submits its responses. </w:t>
      </w:r>
      <w:r w:rsidRPr="0072479D" w:rsidR="670A9A1B">
        <w:t xml:space="preserve"> </w:t>
      </w:r>
    </w:p>
  </w:footnote>
  <w:footnote w:id="8">
    <w:p w:rsidR="6153BB28" w:rsidRPr="007264FE" w:rsidP="6153BB28" w14:paraId="323331B4" w14:textId="263B6E8D">
      <w:pPr>
        <w:pStyle w:val="FootnoteText"/>
      </w:pPr>
      <w:r w:rsidRPr="00307024">
        <w:rPr>
          <w:rStyle w:val="FootnoteReference"/>
          <w:sz w:val="20"/>
        </w:rPr>
        <w:footnoteRef/>
      </w:r>
      <w:r w:rsidRPr="007264FE">
        <w:t xml:space="preserve"> 47 CFR </w:t>
      </w:r>
      <w:r w:rsidRPr="007264FE" w:rsidR="000E2E9B">
        <w:t xml:space="preserve">§ </w:t>
      </w:r>
      <w:r w:rsidRPr="007264FE">
        <w:t>1.7006(6)(</w:t>
      </w:r>
      <w:r w:rsidRPr="007264FE">
        <w:t>i</w:t>
      </w:r>
      <w:r w:rsidRPr="007264FE">
        <w:t xml:space="preserve">)-(ii). </w:t>
      </w:r>
    </w:p>
  </w:footnote>
  <w:footnote w:id="9">
    <w:p w:rsidR="6153BB28" w:rsidP="6153BB28" w14:paraId="1C50ABEB" w14:textId="531EE4A2">
      <w:pPr>
        <w:pStyle w:val="FootnoteText"/>
      </w:pPr>
      <w:r w:rsidRPr="00307024">
        <w:rPr>
          <w:rStyle w:val="FootnoteReference"/>
          <w:sz w:val="20"/>
        </w:rPr>
        <w:footnoteRef/>
      </w:r>
      <w:r w:rsidRPr="007264FE">
        <w:t xml:space="preserve"> 47 CFR </w:t>
      </w:r>
      <w:r w:rsidRPr="007264FE" w:rsidR="00CB60AF">
        <w:t xml:space="preserve">§ </w:t>
      </w:r>
      <w:r w:rsidRPr="007264FE">
        <w:t>1.7006(d)(3)(</w:t>
      </w:r>
      <w:r w:rsidRPr="007264FE">
        <w:t>i</w:t>
      </w:r>
      <w:r w:rsidRPr="007264FE">
        <w:t>), (d)(4), (d)(6)(</w:t>
      </w:r>
      <w:r w:rsidRPr="007264FE">
        <w:t>i</w:t>
      </w:r>
      <w:r w:rsidRPr="007264F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FD9" w:rsidP="00A12368" w14:paraId="39AEBEAB" w14:textId="63F2A1F6">
    <w:pPr>
      <w:tabs>
        <w:tab w:val="center" w:pos="4680"/>
        <w:tab w:val="right" w:pos="9360"/>
      </w:tabs>
    </w:pPr>
    <w:r>
      <w:rPr>
        <w:b/>
      </w:rPr>
      <w:tab/>
    </w:r>
    <w:r w:rsidR="00B222AB">
      <w:rPr>
        <w:b/>
      </w:rPr>
      <w:t>Federal Communications Commissio</w:t>
    </w:r>
    <w:r>
      <w:rPr>
        <w:b/>
      </w:rPr>
      <w:t>n</w:t>
    </w:r>
    <w:r>
      <w:rPr>
        <w:b/>
      </w:rPr>
      <w:tab/>
      <w:t>DA 22-1306</w:t>
    </w:r>
  </w:p>
  <w:p w:rsidR="002F1FD9" w14:paraId="7FD57804" w14:textId="77777777">
    <w:pPr>
      <w:tabs>
        <w:tab w:val="left" w:pos="-720"/>
      </w:tabs>
      <w:suppressAutoHyphens/>
      <w:spacing w:line="19" w:lineRule="exact"/>
      <w:rPr>
        <w:spacing w:val="-2"/>
      </w:rPr>
    </w:pPr>
    <w:r>
      <w:rPr>
        <w:noProof/>
        <w:color w:val="2B579A"/>
        <w:shd w:val="clear" w:color="auto" w:fill="E6E6E6"/>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2F1FD9" w14:paraId="3B6A1FC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1FD9" w14:paraId="349B362D" w14:textId="77777777">
    <w:pPr>
      <w:pStyle w:val="Header"/>
    </w:pPr>
    <w:r>
      <w:rPr>
        <w:noProof/>
        <w:snapToGrid/>
        <w:color w:val="2B579A"/>
        <w:shd w:val="clear" w:color="auto" w:fill="E6E6E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18"/>
    <w:rsid w:val="0001441E"/>
    <w:rsid w:val="000B3259"/>
    <w:rsid w:val="000E2E9B"/>
    <w:rsid w:val="001040B1"/>
    <w:rsid w:val="001256B5"/>
    <w:rsid w:val="00167B3F"/>
    <w:rsid w:val="001B23AE"/>
    <w:rsid w:val="001D30D5"/>
    <w:rsid w:val="001D4C70"/>
    <w:rsid w:val="001F7C9C"/>
    <w:rsid w:val="00220D18"/>
    <w:rsid w:val="00256E7A"/>
    <w:rsid w:val="002660DC"/>
    <w:rsid w:val="002879B4"/>
    <w:rsid w:val="002E7DF5"/>
    <w:rsid w:val="002F1FD9"/>
    <w:rsid w:val="00307024"/>
    <w:rsid w:val="00346189"/>
    <w:rsid w:val="00374BC0"/>
    <w:rsid w:val="003841DE"/>
    <w:rsid w:val="003B0689"/>
    <w:rsid w:val="003B27D3"/>
    <w:rsid w:val="003C63D7"/>
    <w:rsid w:val="003D31D5"/>
    <w:rsid w:val="003E2EF3"/>
    <w:rsid w:val="00404877"/>
    <w:rsid w:val="00422128"/>
    <w:rsid w:val="00482E6A"/>
    <w:rsid w:val="00531C05"/>
    <w:rsid w:val="00574379"/>
    <w:rsid w:val="00584A4E"/>
    <w:rsid w:val="005C1D24"/>
    <w:rsid w:val="006161C4"/>
    <w:rsid w:val="00631024"/>
    <w:rsid w:val="00636438"/>
    <w:rsid w:val="0063701A"/>
    <w:rsid w:val="00645DEB"/>
    <w:rsid w:val="0066538C"/>
    <w:rsid w:val="00680E91"/>
    <w:rsid w:val="006A1F5C"/>
    <w:rsid w:val="006C701F"/>
    <w:rsid w:val="006E2197"/>
    <w:rsid w:val="006E4D71"/>
    <w:rsid w:val="006F1954"/>
    <w:rsid w:val="0072479D"/>
    <w:rsid w:val="00724AF3"/>
    <w:rsid w:val="00725C11"/>
    <w:rsid w:val="007264FE"/>
    <w:rsid w:val="00727027"/>
    <w:rsid w:val="0073105E"/>
    <w:rsid w:val="007628A8"/>
    <w:rsid w:val="007765FB"/>
    <w:rsid w:val="007826C0"/>
    <w:rsid w:val="007B3ACC"/>
    <w:rsid w:val="007D5E4B"/>
    <w:rsid w:val="007E104C"/>
    <w:rsid w:val="007E1F8C"/>
    <w:rsid w:val="00803C0F"/>
    <w:rsid w:val="00822665"/>
    <w:rsid w:val="00832F21"/>
    <w:rsid w:val="00853BDD"/>
    <w:rsid w:val="00856530"/>
    <w:rsid w:val="008629E6"/>
    <w:rsid w:val="00895D9E"/>
    <w:rsid w:val="0089771D"/>
    <w:rsid w:val="0092723E"/>
    <w:rsid w:val="0093675D"/>
    <w:rsid w:val="00944D45"/>
    <w:rsid w:val="0094EACB"/>
    <w:rsid w:val="00963C14"/>
    <w:rsid w:val="0097286E"/>
    <w:rsid w:val="00985691"/>
    <w:rsid w:val="0099039D"/>
    <w:rsid w:val="009A10EE"/>
    <w:rsid w:val="009A3CED"/>
    <w:rsid w:val="009A5D81"/>
    <w:rsid w:val="009A6AE8"/>
    <w:rsid w:val="009B15B8"/>
    <w:rsid w:val="009C5535"/>
    <w:rsid w:val="009F567D"/>
    <w:rsid w:val="00A12368"/>
    <w:rsid w:val="00A17EB1"/>
    <w:rsid w:val="00A32D6C"/>
    <w:rsid w:val="00A3415B"/>
    <w:rsid w:val="00A346DC"/>
    <w:rsid w:val="00A43AA0"/>
    <w:rsid w:val="00A5237E"/>
    <w:rsid w:val="00A93DD4"/>
    <w:rsid w:val="00AE4A4B"/>
    <w:rsid w:val="00B057E3"/>
    <w:rsid w:val="00B222AB"/>
    <w:rsid w:val="00B35F84"/>
    <w:rsid w:val="00B57497"/>
    <w:rsid w:val="00B801EA"/>
    <w:rsid w:val="00B975D8"/>
    <w:rsid w:val="00B97F55"/>
    <w:rsid w:val="00BC03C9"/>
    <w:rsid w:val="00BC2994"/>
    <w:rsid w:val="00BC4229"/>
    <w:rsid w:val="00BE10CA"/>
    <w:rsid w:val="00BE5C11"/>
    <w:rsid w:val="00C01F82"/>
    <w:rsid w:val="00C07B35"/>
    <w:rsid w:val="00CB0928"/>
    <w:rsid w:val="00CB60AF"/>
    <w:rsid w:val="00D530A0"/>
    <w:rsid w:val="00D65A57"/>
    <w:rsid w:val="00DA1EB9"/>
    <w:rsid w:val="00DE663C"/>
    <w:rsid w:val="00DF7BDC"/>
    <w:rsid w:val="00E31434"/>
    <w:rsid w:val="00E34924"/>
    <w:rsid w:val="00E40F87"/>
    <w:rsid w:val="00E7211B"/>
    <w:rsid w:val="00E902F2"/>
    <w:rsid w:val="00E9264D"/>
    <w:rsid w:val="00EB4005"/>
    <w:rsid w:val="00EC3431"/>
    <w:rsid w:val="00EE18F4"/>
    <w:rsid w:val="00EE4569"/>
    <w:rsid w:val="00F35A07"/>
    <w:rsid w:val="00F53D48"/>
    <w:rsid w:val="00F57159"/>
    <w:rsid w:val="00F94637"/>
    <w:rsid w:val="00FD58DD"/>
    <w:rsid w:val="00FE7870"/>
    <w:rsid w:val="01357241"/>
    <w:rsid w:val="01DBCEB9"/>
    <w:rsid w:val="020AFB3D"/>
    <w:rsid w:val="025E82F7"/>
    <w:rsid w:val="02A233A3"/>
    <w:rsid w:val="02BDCC36"/>
    <w:rsid w:val="039EF693"/>
    <w:rsid w:val="041556DA"/>
    <w:rsid w:val="04BF1F90"/>
    <w:rsid w:val="05BDF737"/>
    <w:rsid w:val="05E459CE"/>
    <w:rsid w:val="061F474E"/>
    <w:rsid w:val="063740BB"/>
    <w:rsid w:val="0AE577BE"/>
    <w:rsid w:val="0B1B2367"/>
    <w:rsid w:val="0B8E2099"/>
    <w:rsid w:val="0B91DD35"/>
    <w:rsid w:val="0BD6A153"/>
    <w:rsid w:val="0C2CF517"/>
    <w:rsid w:val="0D075457"/>
    <w:rsid w:val="0DD116AA"/>
    <w:rsid w:val="0F3803AC"/>
    <w:rsid w:val="100542A1"/>
    <w:rsid w:val="100FA972"/>
    <w:rsid w:val="107570AA"/>
    <w:rsid w:val="110AD505"/>
    <w:rsid w:val="1160FDD6"/>
    <w:rsid w:val="1190F0B0"/>
    <w:rsid w:val="11D5E79F"/>
    <w:rsid w:val="1202B250"/>
    <w:rsid w:val="130AE1E0"/>
    <w:rsid w:val="138A2BDD"/>
    <w:rsid w:val="13B402D3"/>
    <w:rsid w:val="1483030B"/>
    <w:rsid w:val="14ECFE40"/>
    <w:rsid w:val="1548E1CD"/>
    <w:rsid w:val="154FD334"/>
    <w:rsid w:val="15B4EA62"/>
    <w:rsid w:val="16BE8FA8"/>
    <w:rsid w:val="188E7ABD"/>
    <w:rsid w:val="18BD7688"/>
    <w:rsid w:val="19F9E52D"/>
    <w:rsid w:val="1A234457"/>
    <w:rsid w:val="1A4217C5"/>
    <w:rsid w:val="1B259B05"/>
    <w:rsid w:val="1B5A580D"/>
    <w:rsid w:val="1B6A91F4"/>
    <w:rsid w:val="1DB064DD"/>
    <w:rsid w:val="1E3733EF"/>
    <w:rsid w:val="1E9CE0E8"/>
    <w:rsid w:val="1EDAFD67"/>
    <w:rsid w:val="1EEAFE03"/>
    <w:rsid w:val="1F364C5D"/>
    <w:rsid w:val="1F99D552"/>
    <w:rsid w:val="207F4CAF"/>
    <w:rsid w:val="20ACEB08"/>
    <w:rsid w:val="20B9C285"/>
    <w:rsid w:val="20D9CD1A"/>
    <w:rsid w:val="214ECE10"/>
    <w:rsid w:val="222B9655"/>
    <w:rsid w:val="228879E5"/>
    <w:rsid w:val="22E6BEC8"/>
    <w:rsid w:val="22EA9E71"/>
    <w:rsid w:val="238D389F"/>
    <w:rsid w:val="23B6B1FB"/>
    <w:rsid w:val="249DCA53"/>
    <w:rsid w:val="253F91BD"/>
    <w:rsid w:val="259DD4B5"/>
    <w:rsid w:val="25B098FE"/>
    <w:rsid w:val="25F0CA90"/>
    <w:rsid w:val="26E9685F"/>
    <w:rsid w:val="28113597"/>
    <w:rsid w:val="284AF021"/>
    <w:rsid w:val="2AA4F43B"/>
    <w:rsid w:val="2BA62821"/>
    <w:rsid w:val="2C2BBB5A"/>
    <w:rsid w:val="2D58DCA5"/>
    <w:rsid w:val="2DE37E61"/>
    <w:rsid w:val="2DEA8FD0"/>
    <w:rsid w:val="2E3D4694"/>
    <w:rsid w:val="2ED256C6"/>
    <w:rsid w:val="2F6C85B5"/>
    <w:rsid w:val="2FE773DA"/>
    <w:rsid w:val="30391166"/>
    <w:rsid w:val="31223092"/>
    <w:rsid w:val="3147525C"/>
    <w:rsid w:val="31977F02"/>
    <w:rsid w:val="32BE00F3"/>
    <w:rsid w:val="33305D6D"/>
    <w:rsid w:val="33AC4161"/>
    <w:rsid w:val="3459D154"/>
    <w:rsid w:val="35117DC9"/>
    <w:rsid w:val="357F922F"/>
    <w:rsid w:val="3613CECD"/>
    <w:rsid w:val="36702BF7"/>
    <w:rsid w:val="36B24238"/>
    <w:rsid w:val="389B8F4C"/>
    <w:rsid w:val="38F07CB2"/>
    <w:rsid w:val="391D7A34"/>
    <w:rsid w:val="3A08B829"/>
    <w:rsid w:val="3A0DE277"/>
    <w:rsid w:val="3B6A4677"/>
    <w:rsid w:val="3CA10251"/>
    <w:rsid w:val="3CAF6D75"/>
    <w:rsid w:val="3D6916BA"/>
    <w:rsid w:val="3D823F17"/>
    <w:rsid w:val="3E2849A8"/>
    <w:rsid w:val="3E4AE65B"/>
    <w:rsid w:val="3EB73708"/>
    <w:rsid w:val="3EE4C156"/>
    <w:rsid w:val="3F0B9213"/>
    <w:rsid w:val="40C840BA"/>
    <w:rsid w:val="41803FA8"/>
    <w:rsid w:val="418C380A"/>
    <w:rsid w:val="421928F3"/>
    <w:rsid w:val="42852707"/>
    <w:rsid w:val="42D20B7C"/>
    <w:rsid w:val="43439A4B"/>
    <w:rsid w:val="43E62F79"/>
    <w:rsid w:val="44B8DC89"/>
    <w:rsid w:val="44BB2805"/>
    <w:rsid w:val="45327544"/>
    <w:rsid w:val="453D1EA0"/>
    <w:rsid w:val="46C0E387"/>
    <w:rsid w:val="46C21967"/>
    <w:rsid w:val="46F391C0"/>
    <w:rsid w:val="48823076"/>
    <w:rsid w:val="489C4C05"/>
    <w:rsid w:val="48B9A09C"/>
    <w:rsid w:val="48EFEABC"/>
    <w:rsid w:val="4902AF05"/>
    <w:rsid w:val="4B2F0F74"/>
    <w:rsid w:val="4B937149"/>
    <w:rsid w:val="4C66B5D1"/>
    <w:rsid w:val="4C991D6E"/>
    <w:rsid w:val="50026A2C"/>
    <w:rsid w:val="51DD201C"/>
    <w:rsid w:val="52714246"/>
    <w:rsid w:val="52749570"/>
    <w:rsid w:val="527ACD61"/>
    <w:rsid w:val="534223B9"/>
    <w:rsid w:val="53570250"/>
    <w:rsid w:val="53AE2A6E"/>
    <w:rsid w:val="542F36AD"/>
    <w:rsid w:val="54ED183A"/>
    <w:rsid w:val="550B993C"/>
    <w:rsid w:val="559239EF"/>
    <w:rsid w:val="55E1C985"/>
    <w:rsid w:val="56560A08"/>
    <w:rsid w:val="572E0A50"/>
    <w:rsid w:val="5782E00A"/>
    <w:rsid w:val="5934D7D9"/>
    <w:rsid w:val="594D5835"/>
    <w:rsid w:val="596BF987"/>
    <w:rsid w:val="59A962DD"/>
    <w:rsid w:val="59CC3C7F"/>
    <w:rsid w:val="5B018A47"/>
    <w:rsid w:val="5B272F19"/>
    <w:rsid w:val="5B45333E"/>
    <w:rsid w:val="5B87CD58"/>
    <w:rsid w:val="5BDDE3C9"/>
    <w:rsid w:val="5C4292B9"/>
    <w:rsid w:val="5C83479E"/>
    <w:rsid w:val="5CDC1920"/>
    <w:rsid w:val="60E643D3"/>
    <w:rsid w:val="610FABC3"/>
    <w:rsid w:val="6153BB28"/>
    <w:rsid w:val="61F47383"/>
    <w:rsid w:val="6220B634"/>
    <w:rsid w:val="62A2037B"/>
    <w:rsid w:val="62CD3146"/>
    <w:rsid w:val="62F44D9E"/>
    <w:rsid w:val="6356EC53"/>
    <w:rsid w:val="644A4A9F"/>
    <w:rsid w:val="64B7E3F7"/>
    <w:rsid w:val="64ED11A3"/>
    <w:rsid w:val="65A13974"/>
    <w:rsid w:val="65C26BCA"/>
    <w:rsid w:val="65CA4782"/>
    <w:rsid w:val="65F04905"/>
    <w:rsid w:val="65F930FC"/>
    <w:rsid w:val="66B7A440"/>
    <w:rsid w:val="66D6443E"/>
    <w:rsid w:val="670A9A1B"/>
    <w:rsid w:val="67DE1174"/>
    <w:rsid w:val="681EC8B0"/>
    <w:rsid w:val="69BA9911"/>
    <w:rsid w:val="69D7D6AF"/>
    <w:rsid w:val="6CF239D3"/>
    <w:rsid w:val="6D0B7D9B"/>
    <w:rsid w:val="6D30EBC6"/>
    <w:rsid w:val="6D73554C"/>
    <w:rsid w:val="6DD1C1FF"/>
    <w:rsid w:val="6F8BCE56"/>
    <w:rsid w:val="708B3CEF"/>
    <w:rsid w:val="710962C1"/>
    <w:rsid w:val="710A5EE0"/>
    <w:rsid w:val="72794E25"/>
    <w:rsid w:val="7361C993"/>
    <w:rsid w:val="736C79A0"/>
    <w:rsid w:val="7450E1FF"/>
    <w:rsid w:val="75C3AB87"/>
    <w:rsid w:val="76E2919F"/>
    <w:rsid w:val="7779BCCA"/>
    <w:rsid w:val="791570C5"/>
    <w:rsid w:val="791CCE12"/>
    <w:rsid w:val="7990CFE8"/>
    <w:rsid w:val="7A14ABED"/>
    <w:rsid w:val="7A5D77E2"/>
    <w:rsid w:val="7ACAFF4D"/>
    <w:rsid w:val="7B7C9ED8"/>
    <w:rsid w:val="7B8ADF9D"/>
    <w:rsid w:val="7BB456E4"/>
    <w:rsid w:val="7BD303AF"/>
    <w:rsid w:val="7CDEC4B2"/>
    <w:rsid w:val="7D1A0F1A"/>
    <w:rsid w:val="7D3116CF"/>
    <w:rsid w:val="7DBAD1DC"/>
    <w:rsid w:val="7E1C54C4"/>
    <w:rsid w:val="7E4BBF56"/>
    <w:rsid w:val="7E952BEA"/>
    <w:rsid w:val="7EAFA013"/>
    <w:rsid w:val="7F19AC0D"/>
    <w:rsid w:val="7F7CAF53"/>
    <w:rsid w:val="7F836476"/>
    <w:rsid w:val="7F97F0F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DB96CE0"/>
  <w15:chartTrackingRefBased/>
  <w15:docId w15:val="{5BDCEEA4-885E-43E3-82D9-65412407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unhideWhenUsed/>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snapToGrid w:val="0"/>
      <w:kern w:val="28"/>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645DEB"/>
    <w:rPr>
      <w:snapToGrid w:val="0"/>
      <w:kern w:val="28"/>
      <w:sz w:val="22"/>
    </w:rPr>
  </w:style>
  <w:style w:type="paragraph" w:styleId="CommentSubject">
    <w:name w:val="annotation subject"/>
    <w:basedOn w:val="CommentText"/>
    <w:next w:val="CommentText"/>
    <w:link w:val="CommentSubjectChar"/>
    <w:uiPriority w:val="99"/>
    <w:semiHidden/>
    <w:unhideWhenUsed/>
    <w:rsid w:val="007E1F8C"/>
    <w:rPr>
      <w:b/>
      <w:bCs/>
    </w:rPr>
  </w:style>
  <w:style w:type="character" w:customStyle="1" w:styleId="CommentSubjectChar">
    <w:name w:val="Comment Subject Char"/>
    <w:link w:val="CommentSubject"/>
    <w:uiPriority w:val="99"/>
    <w:semiHidden/>
    <w:rsid w:val="007E1F8C"/>
    <w:rPr>
      <w:b/>
      <w:bCs/>
      <w:snapToGrid w:val="0"/>
      <w:kern w:val="28"/>
    </w:rPr>
  </w:style>
  <w:style w:type="character" w:styleId="Mention">
    <w:name w:val="Mention"/>
    <w:uiPriority w:val="99"/>
    <w:unhideWhenUsed/>
    <w:rPr>
      <w:color w:val="2B579A"/>
      <w:shd w:val="clear" w:color="auto" w:fill="E6E6E6"/>
    </w:rPr>
  </w:style>
  <w:style w:type="character" w:styleId="FollowedHyperlink">
    <w:name w:val="FollowedHyperlink"/>
    <w:basedOn w:val="DefaultParagraphFont"/>
    <w:uiPriority w:val="99"/>
    <w:semiHidden/>
    <w:unhideWhenUsed/>
    <w:rsid w:val="002E7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nne.Veigl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youtube.com/watch?v=mMfm659Wclk" TargetMode="External" /><Relationship Id="rId6" Type="http://schemas.openxmlformats.org/officeDocument/2006/relationships/hyperlink" Target="https://www.youtube.com/watch?v=QLZme97EHvU" TargetMode="External" /><Relationship Id="rId7" Type="http://schemas.openxmlformats.org/officeDocument/2006/relationships/hyperlink" Target="http://www.fcc.gov/BroadbandData/Help" TargetMode="External" /><Relationship Id="rId8" Type="http://schemas.openxmlformats.org/officeDocument/2006/relationships/hyperlink" Target="mailto:William.Holloway@fcc.gov" TargetMode="External" /><Relationship Id="rId9" Type="http://schemas.openxmlformats.org/officeDocument/2006/relationships/hyperlink" Target="mailto:Kimia.Nikseresht@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