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A4092" w:rsidRPr="00E146CF" w:rsidP="00AA4092" w14:paraId="5BCB4231" w14:textId="36FB0FEE">
      <w:pPr>
        <w:ind w:left="5760" w:firstLine="720"/>
        <w:rPr>
          <w:szCs w:val="22"/>
        </w:rPr>
      </w:pPr>
      <w:r w:rsidRPr="00E146CF">
        <w:rPr>
          <w:szCs w:val="22"/>
        </w:rPr>
        <w:t xml:space="preserve">DA </w:t>
      </w:r>
      <w:r w:rsidR="00970C96">
        <w:rPr>
          <w:szCs w:val="22"/>
        </w:rPr>
        <w:t>22-1314</w:t>
      </w:r>
    </w:p>
    <w:p w:rsidR="00AA4092" w:rsidRPr="00E146CF" w:rsidP="00AA4092" w14:paraId="1FB74B56" w14:textId="77777777">
      <w:pPr>
        <w:rPr>
          <w:i/>
          <w:szCs w:val="22"/>
        </w:rPr>
      </w:pPr>
      <w:r w:rsidRPr="00E146CF">
        <w:rPr>
          <w:i/>
          <w:szCs w:val="22"/>
        </w:rPr>
        <w:tab/>
      </w:r>
      <w:r w:rsidRPr="00E146CF">
        <w:rPr>
          <w:i/>
          <w:szCs w:val="22"/>
        </w:rPr>
        <w:tab/>
      </w:r>
      <w:r w:rsidRPr="00E146CF">
        <w:rPr>
          <w:i/>
          <w:szCs w:val="22"/>
        </w:rPr>
        <w:tab/>
      </w:r>
      <w:r w:rsidRPr="00E146CF">
        <w:rPr>
          <w:i/>
          <w:szCs w:val="22"/>
        </w:rPr>
        <w:tab/>
      </w:r>
      <w:r w:rsidRPr="00E146CF">
        <w:rPr>
          <w:i/>
          <w:szCs w:val="22"/>
        </w:rPr>
        <w:tab/>
      </w:r>
      <w:r w:rsidRPr="00E146CF">
        <w:rPr>
          <w:i/>
          <w:szCs w:val="22"/>
        </w:rPr>
        <w:tab/>
      </w:r>
      <w:r w:rsidRPr="00E146CF">
        <w:rPr>
          <w:i/>
          <w:szCs w:val="22"/>
        </w:rPr>
        <w:tab/>
      </w:r>
      <w:r w:rsidRPr="00E146CF">
        <w:rPr>
          <w:i/>
          <w:szCs w:val="22"/>
        </w:rPr>
        <w:tab/>
      </w:r>
      <w:r w:rsidRPr="00E146CF">
        <w:rPr>
          <w:i/>
          <w:szCs w:val="22"/>
        </w:rPr>
        <w:tab/>
        <w:t>In Reply Refer to:</w:t>
      </w:r>
    </w:p>
    <w:p w:rsidR="00AA4092" w:rsidRPr="00E146CF" w:rsidP="00AA4092" w14:paraId="55D1ED8B" w14:textId="2AAA47E8">
      <w:pPr>
        <w:rPr>
          <w:szCs w:val="22"/>
        </w:rPr>
      </w:pP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t>1800B3-A</w:t>
      </w:r>
      <w:r>
        <w:rPr>
          <w:szCs w:val="22"/>
        </w:rPr>
        <w:t>TS</w:t>
      </w:r>
    </w:p>
    <w:p w:rsidR="00AA4092" w:rsidRPr="00E146CF" w:rsidP="00AA4092" w14:paraId="7192DC63" w14:textId="54FB0392">
      <w:pPr>
        <w:rPr>
          <w:szCs w:val="22"/>
        </w:rPr>
      </w:pP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r>
      <w:r w:rsidRPr="00E146CF">
        <w:rPr>
          <w:szCs w:val="22"/>
        </w:rPr>
        <w:tab/>
        <w:t xml:space="preserve">Released </w:t>
      </w:r>
      <w:r w:rsidR="00970C96">
        <w:rPr>
          <w:szCs w:val="22"/>
        </w:rPr>
        <w:t>December 14, 2022</w:t>
      </w:r>
    </w:p>
    <w:p w:rsidR="0060397A" w:rsidP="00AA4092" w14:paraId="15B032BD" w14:textId="2A1DBB93">
      <w:pPr>
        <w:rPr>
          <w:szCs w:val="22"/>
        </w:rPr>
      </w:pPr>
      <w:r>
        <w:rPr>
          <w:szCs w:val="22"/>
        </w:rPr>
        <w:t xml:space="preserve">MyBridge, DBA as </w:t>
      </w:r>
      <w:r>
        <w:rPr>
          <w:szCs w:val="22"/>
        </w:rPr>
        <w:t>MyBridge</w:t>
      </w:r>
      <w:r>
        <w:rPr>
          <w:szCs w:val="22"/>
        </w:rPr>
        <w:t xml:space="preserve"> Radio</w:t>
      </w:r>
    </w:p>
    <w:p w:rsidR="0060397A" w:rsidP="0060397A" w14:paraId="79BFA4A7" w14:textId="1FDD8E1F">
      <w:pPr>
        <w:rPr>
          <w:szCs w:val="22"/>
        </w:rPr>
      </w:pPr>
      <w:r>
        <w:rPr>
          <w:szCs w:val="22"/>
        </w:rPr>
        <w:t>PO Box 30345</w:t>
      </w:r>
    </w:p>
    <w:p w:rsidR="006C6C0D" w:rsidP="0060397A" w14:paraId="11A20585" w14:textId="40598D57">
      <w:pPr>
        <w:rPr>
          <w:szCs w:val="22"/>
        </w:rPr>
      </w:pPr>
      <w:r>
        <w:rPr>
          <w:szCs w:val="22"/>
        </w:rPr>
        <w:t>Lincoln, NE 68503</w:t>
      </w:r>
    </w:p>
    <w:p w:rsidR="00A62ED5" w:rsidP="00340FD6" w14:paraId="35A151D0" w14:textId="791B48B7">
      <w:pPr>
        <w:rPr>
          <w:szCs w:val="22"/>
        </w:rPr>
      </w:pPr>
      <w:r>
        <w:rPr>
          <w:szCs w:val="22"/>
        </w:rPr>
        <w:t xml:space="preserve">(sent by electronic mail to: </w:t>
      </w:r>
      <w:r w:rsidR="006C6C0D">
        <w:rPr>
          <w:szCs w:val="22"/>
        </w:rPr>
        <w:t>carolyn@mybridgeradio.net</w:t>
      </w:r>
      <w:r>
        <w:rPr>
          <w:szCs w:val="22"/>
        </w:rPr>
        <w:t>)</w:t>
      </w:r>
    </w:p>
    <w:p w:rsidR="00340FD6" w:rsidP="00340FD6" w14:paraId="71CB99EF" w14:textId="7E492A62">
      <w:pPr>
        <w:rPr>
          <w:szCs w:val="22"/>
        </w:rPr>
      </w:pPr>
    </w:p>
    <w:p w:rsidR="006C6C0D" w:rsidP="006C6C0D" w14:paraId="20D74B3E" w14:textId="77777777">
      <w:pPr>
        <w:rPr>
          <w:szCs w:val="22"/>
        </w:rPr>
      </w:pPr>
      <w:r>
        <w:rPr>
          <w:szCs w:val="22"/>
        </w:rPr>
        <w:t>Mr. Steven L. White</w:t>
      </w:r>
    </w:p>
    <w:p w:rsidR="006C6C0D" w:rsidP="006C6C0D" w14:paraId="7E6E5C3E" w14:textId="77777777">
      <w:pPr>
        <w:rPr>
          <w:szCs w:val="22"/>
        </w:rPr>
      </w:pPr>
      <w:r>
        <w:rPr>
          <w:szCs w:val="22"/>
        </w:rPr>
        <w:t>Triangle Access Broadcasting, Inc.</w:t>
      </w:r>
    </w:p>
    <w:p w:rsidR="006C6C0D" w:rsidP="006C6C0D" w14:paraId="6AD5A4BE" w14:textId="77777777">
      <w:pPr>
        <w:rPr>
          <w:szCs w:val="22"/>
        </w:rPr>
      </w:pPr>
      <w:r>
        <w:rPr>
          <w:szCs w:val="22"/>
        </w:rPr>
        <w:t xml:space="preserve">7813 </w:t>
      </w:r>
      <w:r>
        <w:rPr>
          <w:szCs w:val="22"/>
        </w:rPr>
        <w:t>Highlandview</w:t>
      </w:r>
      <w:r>
        <w:rPr>
          <w:szCs w:val="22"/>
        </w:rPr>
        <w:t xml:space="preserve"> Circle</w:t>
      </w:r>
    </w:p>
    <w:p w:rsidR="006C6C0D" w:rsidP="006C6C0D" w14:paraId="211DEE5C" w14:textId="77777777">
      <w:pPr>
        <w:rPr>
          <w:szCs w:val="22"/>
        </w:rPr>
      </w:pPr>
      <w:r>
        <w:rPr>
          <w:szCs w:val="22"/>
        </w:rPr>
        <w:t>Raleigh, NC 27613-4109</w:t>
      </w:r>
    </w:p>
    <w:p w:rsidR="006C6C0D" w:rsidP="006C6C0D" w14:paraId="144DF11A" w14:textId="2759FAF6">
      <w:pPr>
        <w:rPr>
          <w:szCs w:val="22"/>
        </w:rPr>
      </w:pPr>
      <w:r>
        <w:rPr>
          <w:szCs w:val="22"/>
        </w:rPr>
        <w:t>(sent by electronic mail to: steven@triaccess.org)</w:t>
      </w:r>
    </w:p>
    <w:p w:rsidR="00366214" w:rsidP="00340FD6" w14:paraId="5212067C" w14:textId="77777777">
      <w:pPr>
        <w:rPr>
          <w:szCs w:val="22"/>
        </w:rPr>
      </w:pPr>
    </w:p>
    <w:p w:rsidR="00340FD6" w:rsidRPr="000A4B36" w:rsidP="00340FD6" w14:paraId="6A93253C" w14:textId="68B4D66C">
      <w:pPr>
        <w:ind w:left="5760" w:hanging="720"/>
        <w:rPr>
          <w:szCs w:val="22"/>
        </w:rPr>
      </w:pPr>
      <w:bookmarkStart w:id="0" w:name="_Hlk11270368"/>
      <w:r w:rsidRPr="000A4B36">
        <w:rPr>
          <w:szCs w:val="22"/>
        </w:rPr>
        <w:t>In re:</w:t>
      </w:r>
      <w:r w:rsidRPr="000A4B36">
        <w:rPr>
          <w:szCs w:val="22"/>
        </w:rPr>
        <w:tab/>
      </w:r>
      <w:r w:rsidR="00A962F0">
        <w:rPr>
          <w:b/>
          <w:bCs/>
          <w:szCs w:val="22"/>
        </w:rPr>
        <w:t>MyBridge, DBA as MyBridge Radio</w:t>
      </w:r>
    </w:p>
    <w:p w:rsidR="00340FD6" w:rsidRPr="000A4B36" w:rsidP="00340FD6" w14:paraId="1B97FE39" w14:textId="7473A7CA">
      <w:pPr>
        <w:ind w:left="5040" w:firstLine="720"/>
        <w:rPr>
          <w:szCs w:val="22"/>
        </w:rPr>
      </w:pPr>
      <w:r>
        <w:rPr>
          <w:szCs w:val="22"/>
        </w:rPr>
        <w:t>New NCE</w:t>
      </w:r>
      <w:r w:rsidR="00996A1A">
        <w:rPr>
          <w:szCs w:val="22"/>
        </w:rPr>
        <w:t xml:space="preserve"> FM</w:t>
      </w:r>
      <w:r>
        <w:rPr>
          <w:szCs w:val="22"/>
        </w:rPr>
        <w:t xml:space="preserve">, </w:t>
      </w:r>
      <w:r w:rsidR="00401FB6">
        <w:rPr>
          <w:szCs w:val="22"/>
        </w:rPr>
        <w:t>Norfolk, NE</w:t>
      </w:r>
    </w:p>
    <w:p w:rsidR="00340FD6" w:rsidRPr="000A4B36" w:rsidP="00340FD6" w14:paraId="3100A288" w14:textId="2BAA117C">
      <w:pPr>
        <w:rPr>
          <w:szCs w:val="22"/>
        </w:rPr>
      </w:pP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t xml:space="preserve">Facility ID No. </w:t>
      </w:r>
      <w:r w:rsidR="00401FB6">
        <w:rPr>
          <w:szCs w:val="22"/>
        </w:rPr>
        <w:t>763074</w:t>
      </w:r>
    </w:p>
    <w:p w:rsidR="00340FD6" w:rsidP="00340FD6" w14:paraId="0067FC60" w14:textId="356E73BB">
      <w:pPr>
        <w:rPr>
          <w:szCs w:val="22"/>
        </w:rPr>
      </w:pP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00306104">
        <w:rPr>
          <w:szCs w:val="22"/>
        </w:rPr>
        <w:t xml:space="preserve">Application </w:t>
      </w:r>
      <w:r w:rsidRPr="000A4B36">
        <w:rPr>
          <w:szCs w:val="22"/>
        </w:rPr>
        <w:t xml:space="preserve">File No. </w:t>
      </w:r>
      <w:r w:rsidR="00F80195">
        <w:rPr>
          <w:szCs w:val="22"/>
        </w:rPr>
        <w:t>0000</w:t>
      </w:r>
      <w:r>
        <w:rPr>
          <w:szCs w:val="22"/>
        </w:rPr>
        <w:t>1</w:t>
      </w:r>
      <w:r w:rsidR="003056C6">
        <w:rPr>
          <w:szCs w:val="22"/>
        </w:rPr>
        <w:t>6</w:t>
      </w:r>
      <w:r w:rsidR="0037503D">
        <w:rPr>
          <w:szCs w:val="22"/>
        </w:rPr>
        <w:t>6</w:t>
      </w:r>
      <w:r w:rsidR="00AB5C13">
        <w:rPr>
          <w:szCs w:val="22"/>
        </w:rPr>
        <w:t>0</w:t>
      </w:r>
      <w:r w:rsidR="00401FB6">
        <w:rPr>
          <w:szCs w:val="22"/>
        </w:rPr>
        <w:t>21</w:t>
      </w:r>
    </w:p>
    <w:p w:rsidR="00340FD6" w:rsidP="00340FD6" w14:paraId="35F0C528" w14:textId="70C86459">
      <w:pPr>
        <w:rPr>
          <w:szCs w:val="22"/>
        </w:rPr>
      </w:pPr>
    </w:p>
    <w:p w:rsidR="0037503D" w:rsidRPr="000A4B36" w:rsidP="0037503D" w14:paraId="62B1C678" w14:textId="7A687141">
      <w:pPr>
        <w:ind w:left="5040" w:firstLine="720"/>
        <w:rPr>
          <w:szCs w:val="22"/>
        </w:rPr>
      </w:pPr>
      <w:r>
        <w:rPr>
          <w:szCs w:val="22"/>
        </w:rPr>
        <w:t>New NCE</w:t>
      </w:r>
      <w:r w:rsidR="00996A1A">
        <w:rPr>
          <w:szCs w:val="22"/>
        </w:rPr>
        <w:t xml:space="preserve"> FM</w:t>
      </w:r>
      <w:r>
        <w:rPr>
          <w:szCs w:val="22"/>
        </w:rPr>
        <w:t xml:space="preserve">, </w:t>
      </w:r>
      <w:r w:rsidR="004E2126">
        <w:rPr>
          <w:szCs w:val="22"/>
        </w:rPr>
        <w:t>Schuyler</w:t>
      </w:r>
      <w:r w:rsidR="00401FB6">
        <w:rPr>
          <w:szCs w:val="22"/>
        </w:rPr>
        <w:t>, NE</w:t>
      </w:r>
    </w:p>
    <w:p w:rsidR="0037503D" w:rsidRPr="000A4B36" w:rsidP="0037503D" w14:paraId="5917CC0C" w14:textId="570BFDD3">
      <w:pPr>
        <w:rPr>
          <w:szCs w:val="22"/>
        </w:rPr>
      </w:pP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t xml:space="preserve">Facility ID No. </w:t>
      </w:r>
      <w:r w:rsidR="00401FB6">
        <w:rPr>
          <w:szCs w:val="22"/>
        </w:rPr>
        <w:t>763352</w:t>
      </w:r>
    </w:p>
    <w:p w:rsidR="0037503D" w:rsidP="0037503D" w14:paraId="00FBDC21" w14:textId="6A328B22">
      <w:pPr>
        <w:rPr>
          <w:szCs w:val="22"/>
        </w:rPr>
      </w:pP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Pr="000A4B36">
        <w:rPr>
          <w:szCs w:val="22"/>
        </w:rPr>
        <w:tab/>
      </w:r>
      <w:r w:rsidR="00306104">
        <w:rPr>
          <w:szCs w:val="22"/>
        </w:rPr>
        <w:t xml:space="preserve">Application </w:t>
      </w:r>
      <w:r w:rsidRPr="000A4B36">
        <w:rPr>
          <w:szCs w:val="22"/>
        </w:rPr>
        <w:t xml:space="preserve">File No. </w:t>
      </w:r>
      <w:r>
        <w:rPr>
          <w:szCs w:val="22"/>
        </w:rPr>
        <w:t>00001666</w:t>
      </w:r>
      <w:r w:rsidR="00AB5C13">
        <w:rPr>
          <w:szCs w:val="22"/>
        </w:rPr>
        <w:t>0</w:t>
      </w:r>
      <w:r w:rsidR="00401FB6">
        <w:rPr>
          <w:szCs w:val="22"/>
        </w:rPr>
        <w:t>29</w:t>
      </w:r>
    </w:p>
    <w:p w:rsidR="0037503D" w:rsidP="0037503D" w14:paraId="6817CC16" w14:textId="79BFBCDF">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BC4BA8" w:rsidP="00340FD6" w14:paraId="7D42DE15" w14:textId="7C92E989">
      <w:pPr>
        <w:rPr>
          <w:b/>
          <w:szCs w:val="22"/>
        </w:rPr>
      </w:pPr>
      <w:r w:rsidRPr="00957183">
        <w:rPr>
          <w:szCs w:val="22"/>
        </w:rPr>
        <w:tab/>
      </w:r>
      <w:r w:rsidRPr="00957183">
        <w:rPr>
          <w:szCs w:val="22"/>
        </w:rPr>
        <w:tab/>
      </w:r>
      <w:r w:rsidRPr="00957183">
        <w:rPr>
          <w:szCs w:val="22"/>
        </w:rPr>
        <w:tab/>
      </w:r>
      <w:r w:rsidRPr="00957183">
        <w:rPr>
          <w:szCs w:val="22"/>
        </w:rPr>
        <w:tab/>
      </w:r>
      <w:r w:rsidRPr="00957183">
        <w:rPr>
          <w:szCs w:val="22"/>
        </w:rPr>
        <w:tab/>
      </w:r>
      <w:r w:rsidRPr="00957183">
        <w:rPr>
          <w:szCs w:val="22"/>
        </w:rPr>
        <w:tab/>
      </w:r>
      <w:r w:rsidRPr="00957183">
        <w:rPr>
          <w:szCs w:val="22"/>
        </w:rPr>
        <w:tab/>
      </w:r>
      <w:r w:rsidRPr="00957183">
        <w:rPr>
          <w:szCs w:val="22"/>
        </w:rPr>
        <w:tab/>
      </w:r>
      <w:r w:rsidR="00103C3E">
        <w:rPr>
          <w:b/>
          <w:szCs w:val="22"/>
        </w:rPr>
        <w:t>Informal Objection</w:t>
      </w:r>
      <w:r w:rsidR="00366214">
        <w:rPr>
          <w:b/>
          <w:szCs w:val="22"/>
        </w:rPr>
        <w:t xml:space="preserve"> </w:t>
      </w:r>
      <w:bookmarkEnd w:id="0"/>
    </w:p>
    <w:p w:rsidR="00BC4BA8" w:rsidP="00340FD6" w14:paraId="2DAC8A9D" w14:textId="77777777">
      <w:pPr>
        <w:rPr>
          <w:b/>
          <w:szCs w:val="22"/>
        </w:rPr>
      </w:pPr>
    </w:p>
    <w:p w:rsidR="00340FD6" w:rsidRPr="00A62ED5" w:rsidP="00340FD6" w14:paraId="6ECA98CB" w14:textId="24D848FA">
      <w:pPr>
        <w:rPr>
          <w:szCs w:val="22"/>
        </w:rPr>
      </w:pPr>
      <w:r w:rsidRPr="00A62ED5">
        <w:rPr>
          <w:szCs w:val="22"/>
        </w:rPr>
        <w:t xml:space="preserve">Dear </w:t>
      </w:r>
      <w:r w:rsidR="00A150E8">
        <w:rPr>
          <w:szCs w:val="22"/>
        </w:rPr>
        <w:t>Applicant</w:t>
      </w:r>
      <w:r w:rsidR="00BF7E86">
        <w:rPr>
          <w:szCs w:val="22"/>
        </w:rPr>
        <w:t xml:space="preserve"> and</w:t>
      </w:r>
      <w:r w:rsidR="0066543D">
        <w:rPr>
          <w:szCs w:val="22"/>
        </w:rPr>
        <w:t xml:space="preserve"> </w:t>
      </w:r>
      <w:r w:rsidR="00A150E8">
        <w:rPr>
          <w:szCs w:val="22"/>
        </w:rPr>
        <w:t>Objector</w:t>
      </w:r>
      <w:r w:rsidRPr="00A62ED5">
        <w:rPr>
          <w:szCs w:val="22"/>
        </w:rPr>
        <w:t>:</w:t>
      </w:r>
    </w:p>
    <w:p w:rsidR="00340FD6" w:rsidRPr="00A62ED5" w14:paraId="2ACE0749" w14:textId="636B4629">
      <w:pPr>
        <w:rPr>
          <w:szCs w:val="22"/>
        </w:rPr>
      </w:pPr>
    </w:p>
    <w:p w:rsidR="00EE5015" w:rsidP="00EE5015" w14:paraId="28F26358" w14:textId="391CEB7C">
      <w:pPr>
        <w:pStyle w:val="ParaNum"/>
        <w:numPr>
          <w:ilvl w:val="0"/>
          <w:numId w:val="0"/>
        </w:numPr>
        <w:ind w:firstLine="720"/>
      </w:pPr>
      <w:r w:rsidRPr="00A62ED5">
        <w:t>We have before us</w:t>
      </w:r>
      <w:r w:rsidR="00A962F0">
        <w:t xml:space="preserve"> two applications filed by MyBridge, DBA as MyBridge Radio (MyBridge) </w:t>
      </w:r>
      <w:r w:rsidRPr="00A62ED5" w:rsidR="00C90A83">
        <w:t>for construction permits for</w:t>
      </w:r>
      <w:r w:rsidRPr="00A62ED5" w:rsidR="004A6189">
        <w:t xml:space="preserve"> new </w:t>
      </w:r>
      <w:r w:rsidRPr="00A62ED5" w:rsidR="00C90A83">
        <w:t>noncommercial education</w:t>
      </w:r>
      <w:r w:rsidR="006063F9">
        <w:t>al</w:t>
      </w:r>
      <w:r w:rsidRPr="00A62ED5" w:rsidR="00C90A83">
        <w:t xml:space="preserve"> (NCE) FM</w:t>
      </w:r>
      <w:r w:rsidRPr="00A62ED5" w:rsidR="004A6189">
        <w:t xml:space="preserve"> stations </w:t>
      </w:r>
      <w:r w:rsidR="002349F2">
        <w:t>at</w:t>
      </w:r>
      <w:r w:rsidRPr="00A62ED5" w:rsidR="004A6189">
        <w:t xml:space="preserve"> </w:t>
      </w:r>
      <w:r w:rsidR="00A962F0">
        <w:t>Norfolk, Nebraska</w:t>
      </w:r>
      <w:r>
        <w:rPr>
          <w:rStyle w:val="FootnoteReference"/>
        </w:rPr>
        <w:footnoteReference w:id="2"/>
      </w:r>
      <w:r w:rsidR="00A962F0">
        <w:t xml:space="preserve"> and Schuyler, Nebraska</w:t>
      </w:r>
      <w:r>
        <w:rPr>
          <w:rStyle w:val="FootnoteReference"/>
        </w:rPr>
        <w:footnoteReference w:id="3"/>
      </w:r>
      <w:r>
        <w:t xml:space="preserve"> (collectively, Applications)</w:t>
      </w:r>
      <w:r w:rsidR="0094714E">
        <w:t>.</w:t>
      </w:r>
      <w:r w:rsidR="00A962F0">
        <w:t xml:space="preserve">  We also have before us the Informal Objection </w:t>
      </w:r>
      <w:r w:rsidR="0005541D">
        <w:t xml:space="preserve">(Objection) </w:t>
      </w:r>
      <w:r w:rsidR="00A962F0">
        <w:t>filed by Triangle Access Broadcasting, Inc. (Triangle)</w:t>
      </w:r>
      <w:r w:rsidR="002E5FC1">
        <w:t>,</w:t>
      </w:r>
      <w:r w:rsidR="00E210BA">
        <w:t xml:space="preserve"> seeking dismissal of the Schuyler Application</w:t>
      </w:r>
      <w:r w:rsidR="00A962F0">
        <w:t>.</w:t>
      </w:r>
      <w:r>
        <w:rPr>
          <w:rStyle w:val="FootnoteReference"/>
        </w:rPr>
        <w:footnoteReference w:id="4"/>
      </w:r>
      <w:r w:rsidR="00A962F0">
        <w:t xml:space="preserve"> </w:t>
      </w:r>
      <w:r w:rsidR="0094714E">
        <w:t xml:space="preserve"> </w:t>
      </w:r>
      <w:r w:rsidR="00A962F0">
        <w:t xml:space="preserve">For the reasons set forth below, </w:t>
      </w:r>
      <w:r>
        <w:t>we deny the Objection and grant</w:t>
      </w:r>
      <w:r w:rsidR="00996A1A">
        <w:t xml:space="preserve"> the Applications.</w:t>
      </w:r>
    </w:p>
    <w:p w:rsidR="004345CC" w:rsidP="00D42138" w14:paraId="47F73174" w14:textId="0307905A">
      <w:pPr>
        <w:pStyle w:val="ParaNum"/>
        <w:widowControl/>
        <w:numPr>
          <w:ilvl w:val="0"/>
          <w:numId w:val="0"/>
        </w:numPr>
        <w:ind w:firstLine="720"/>
      </w:pPr>
      <w:r w:rsidRPr="00A62ED5">
        <w:rPr>
          <w:i/>
          <w:iCs/>
        </w:rPr>
        <w:t>Background</w:t>
      </w:r>
      <w:r w:rsidRPr="00A62ED5">
        <w:t>.</w:t>
      </w:r>
      <w:r w:rsidRPr="00A62ED5" w:rsidR="00340FD6">
        <w:t xml:space="preserve">  </w:t>
      </w:r>
      <w:r w:rsidR="006C6C0D">
        <w:t>MyBridge</w:t>
      </w:r>
      <w:r w:rsidRPr="00A62ED5" w:rsidR="004A6189">
        <w:t xml:space="preserve"> filed </w:t>
      </w:r>
      <w:r w:rsidRPr="00A62ED5" w:rsidR="006528D9">
        <w:t xml:space="preserve">the Applications during the </w:t>
      </w:r>
      <w:r w:rsidRPr="00A62ED5" w:rsidR="00926BF3">
        <w:t xml:space="preserve">2021 NCE </w:t>
      </w:r>
      <w:r w:rsidR="00BE6A58">
        <w:t xml:space="preserve">FM </w:t>
      </w:r>
      <w:r w:rsidRPr="00A62ED5" w:rsidR="00926BF3">
        <w:t>Filing Window</w:t>
      </w:r>
      <w:r w:rsidR="00926BF3">
        <w:t>.</w:t>
      </w:r>
      <w:r>
        <w:rPr>
          <w:rStyle w:val="FootnoteReference"/>
        </w:rPr>
        <w:footnoteReference w:id="5"/>
      </w:r>
      <w:r w:rsidRPr="00A62ED5" w:rsidR="00926BF3">
        <w:t xml:space="preserve"> </w:t>
      </w:r>
      <w:r w:rsidR="00020D07">
        <w:t xml:space="preserve"> </w:t>
      </w:r>
      <w:r w:rsidR="00FA6F51">
        <w:t>The</w:t>
      </w:r>
      <w:r w:rsidR="00BC64A4">
        <w:t xml:space="preserve"> Media</w:t>
      </w:r>
      <w:r w:rsidR="00FA6F51">
        <w:t xml:space="preserve"> Bureau</w:t>
      </w:r>
      <w:r w:rsidR="00BC64A4">
        <w:t xml:space="preserve"> (Bureau)</w:t>
      </w:r>
      <w:r w:rsidR="00FA6F51">
        <w:t xml:space="preserve"> </w:t>
      </w:r>
      <w:r w:rsidR="00BB1952">
        <w:t>determined that</w:t>
      </w:r>
      <w:r w:rsidR="00FA6F51">
        <w:t xml:space="preserve"> the</w:t>
      </w:r>
      <w:r w:rsidR="00BB1952">
        <w:t xml:space="preserve"> </w:t>
      </w:r>
      <w:r w:rsidR="00BF7E86">
        <w:t xml:space="preserve">Applications were mutually exclusive and identified them as </w:t>
      </w:r>
      <w:r w:rsidR="00695382">
        <w:t xml:space="preserve"> </w:t>
      </w:r>
      <w:r w:rsidR="00695382">
        <w:t>part of MX Group 1</w:t>
      </w:r>
      <w:r w:rsidR="00401FB6">
        <w:t>39</w:t>
      </w:r>
      <w:r w:rsidR="00FA6F51">
        <w:t>.</w:t>
      </w:r>
      <w:r>
        <w:rPr>
          <w:rStyle w:val="FootnoteReference"/>
        </w:rPr>
        <w:footnoteReference w:id="6"/>
      </w:r>
      <w:r w:rsidR="00FA6F51">
        <w:t xml:space="preserve">  </w:t>
      </w:r>
      <w:r w:rsidR="00401FB6">
        <w:t>On December 14,</w:t>
      </w:r>
      <w:r w:rsidR="00BE6A58">
        <w:t xml:space="preserve"> 2021,</w:t>
      </w:r>
      <w:r w:rsidR="00401FB6">
        <w:t xml:space="preserve"> MyBridge</w:t>
      </w:r>
      <w:r w:rsidR="009B78DA">
        <w:t xml:space="preserve"> </w:t>
      </w:r>
      <w:r w:rsidR="00B43E3A">
        <w:t>filed a minor technical amendment to the</w:t>
      </w:r>
      <w:r w:rsidR="00401FB6">
        <w:t xml:space="preserve"> Norfolk Application to remove it from MX Group 139.</w:t>
      </w:r>
      <w:r>
        <w:rPr>
          <w:rStyle w:val="FootnoteReference"/>
        </w:rPr>
        <w:footnoteReference w:id="7"/>
      </w:r>
      <w:r w:rsidR="00E157A4">
        <w:t xml:space="preserve">  </w:t>
      </w:r>
    </w:p>
    <w:p w:rsidR="00401FB6" w:rsidRPr="00197155" w:rsidP="00020D07" w14:paraId="1AA55240" w14:textId="73548F3B">
      <w:pPr>
        <w:pStyle w:val="ParaNum"/>
        <w:numPr>
          <w:ilvl w:val="0"/>
          <w:numId w:val="0"/>
        </w:numPr>
        <w:ind w:firstLine="720"/>
        <w:rPr>
          <w:szCs w:val="22"/>
        </w:rPr>
      </w:pPr>
      <w:r>
        <w:t xml:space="preserve">On January 12, 2022, Triangle filed its </w:t>
      </w:r>
      <w:r w:rsidR="00195D55">
        <w:t>Objection</w:t>
      </w:r>
      <w:r>
        <w:t>,</w:t>
      </w:r>
      <w:r w:rsidR="00195D55">
        <w:t xml:space="preserve"> </w:t>
      </w:r>
      <w:r>
        <w:t>claiming</w:t>
      </w:r>
      <w:r>
        <w:t xml:space="preserve"> that the Applications are inconsistent applications because both cannot be granted under section 73.509 of the Commission rules (Rules).</w:t>
      </w:r>
      <w:r>
        <w:rPr>
          <w:rStyle w:val="FootnoteReference"/>
        </w:rPr>
        <w:footnoteReference w:id="8"/>
      </w:r>
      <w:r>
        <w:t xml:space="preserve"> </w:t>
      </w:r>
      <w:r w:rsidR="00E157A4">
        <w:t xml:space="preserve"> Accordingly, Triangle argues that the Bureau should </w:t>
      </w:r>
      <w:r w:rsidR="005D2462">
        <w:t xml:space="preserve">have </w:t>
      </w:r>
      <w:r w:rsidR="00E157A4">
        <w:t xml:space="preserve">dismissed the latter-filed </w:t>
      </w:r>
      <w:r w:rsidR="004E2126">
        <w:t>Schuyler A</w:t>
      </w:r>
      <w:r w:rsidR="00E157A4">
        <w:t>pplication</w:t>
      </w:r>
      <w:bookmarkStart w:id="1" w:name="_Hlk121309187"/>
      <w:r w:rsidR="009F7929">
        <w:t>, “</w:t>
      </w:r>
      <w:r w:rsidRPr="004345CC" w:rsidR="009F7929">
        <w:rPr>
          <w:snapToGrid/>
          <w:color w:val="000000"/>
          <w:kern w:val="0"/>
          <w:szCs w:val="22"/>
        </w:rPr>
        <w:t>thus eliminating the burden of processing an inconsistent application and creating delays in the processing of other valid applications</w:t>
      </w:r>
      <w:r w:rsidRPr="00197155" w:rsidR="005D2462">
        <w:rPr>
          <w:szCs w:val="22"/>
        </w:rPr>
        <w:t>.</w:t>
      </w:r>
      <w:r w:rsidRPr="00197155" w:rsidR="009F7929">
        <w:rPr>
          <w:szCs w:val="22"/>
        </w:rPr>
        <w:t>”</w:t>
      </w:r>
      <w:r>
        <w:rPr>
          <w:rStyle w:val="FootnoteReference"/>
          <w:sz w:val="22"/>
          <w:szCs w:val="22"/>
        </w:rPr>
        <w:footnoteReference w:id="9"/>
      </w:r>
      <w:bookmarkEnd w:id="1"/>
    </w:p>
    <w:p w:rsidR="003C7866" w:rsidP="00A62ED5" w14:paraId="57049F4B" w14:textId="6E35C98C">
      <w:pPr>
        <w:pStyle w:val="ParaNum"/>
        <w:numPr>
          <w:ilvl w:val="0"/>
          <w:numId w:val="0"/>
        </w:numPr>
        <w:ind w:firstLine="720"/>
      </w:pPr>
      <w:r w:rsidRPr="00A62ED5">
        <w:rPr>
          <w:i/>
          <w:iCs/>
        </w:rPr>
        <w:t>Discussion</w:t>
      </w:r>
      <w:r w:rsidRPr="00A62ED5">
        <w:t>.</w:t>
      </w:r>
      <w:r w:rsidRPr="00A62ED5">
        <w:rPr>
          <w:i/>
          <w:iCs/>
        </w:rPr>
        <w:t xml:space="preserve">  </w:t>
      </w:r>
      <w:r w:rsidRPr="00A62ED5">
        <w:t xml:space="preserve">Pursuant to </w:t>
      </w:r>
      <w:r w:rsidRPr="00A62ED5" w:rsidR="00C31230">
        <w:t>s</w:t>
      </w:r>
      <w:r w:rsidRPr="00A62ED5">
        <w:t>ection 309(d) of the Communications Act of 1934, as amended (Act),</w:t>
      </w:r>
      <w:r>
        <w:rPr>
          <w:rStyle w:val="FootnoteReference"/>
          <w:sz w:val="22"/>
          <w:szCs w:val="22"/>
        </w:rPr>
        <w:footnoteReference w:id="10"/>
      </w:r>
      <w:r w:rsidRPr="00A62ED5">
        <w:t xml:space="preserve"> </w:t>
      </w:r>
      <w:bookmarkStart w:id="2" w:name="SR;619"/>
      <w:bookmarkEnd w:id="2"/>
      <w:r w:rsidRPr="00A62ED5">
        <w:rPr>
          <w:rStyle w:val="searchterm"/>
          <w:szCs w:val="22"/>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3" w:name="SR;651"/>
      <w:bookmarkEnd w:id="3"/>
      <w:r w:rsidRPr="005B2B55">
        <w:rPr>
          <w:rStyle w:val="searchterm"/>
          <w:i/>
          <w:szCs w:val="22"/>
        </w:rPr>
        <w:t>prima</w:t>
      </w:r>
      <w:r w:rsidRPr="005B2B55">
        <w:rPr>
          <w:i/>
        </w:rPr>
        <w:t xml:space="preserve"> </w:t>
      </w:r>
      <w:bookmarkStart w:id="4" w:name="SR;652"/>
      <w:bookmarkEnd w:id="4"/>
      <w:r w:rsidRPr="005B2B55">
        <w:rPr>
          <w:rStyle w:val="searchterm"/>
          <w:i/>
          <w:szCs w:val="22"/>
        </w:rPr>
        <w:t>facie</w:t>
      </w:r>
      <w:r w:rsidRPr="005B2B55">
        <w:t xml:space="preserve"> inconsistent with the public interest.</w:t>
      </w:r>
      <w:r>
        <w:rPr>
          <w:rStyle w:val="FootnoteReference"/>
          <w:szCs w:val="22"/>
        </w:rPr>
        <w:footnoteReference w:id="11"/>
      </w:r>
      <w:r w:rsidRPr="005B2B55">
        <w:t xml:space="preserve">  </w:t>
      </w:r>
    </w:p>
    <w:p w:rsidR="00F85027" w:rsidP="00D42138" w14:paraId="47D3F5A6" w14:textId="6E251FF4">
      <w:pPr>
        <w:pStyle w:val="ParaNum"/>
        <w:numPr>
          <w:ilvl w:val="0"/>
          <w:numId w:val="0"/>
        </w:numPr>
        <w:ind w:firstLine="720"/>
      </w:pPr>
      <w:r>
        <w:t xml:space="preserve">The </w:t>
      </w:r>
      <w:r w:rsidR="008A7C70">
        <w:t xml:space="preserve">Commission adopted the </w:t>
      </w:r>
      <w:r>
        <w:t>Inconsistent Application</w:t>
      </w:r>
      <w:r w:rsidR="00675108">
        <w:t>s</w:t>
      </w:r>
      <w:r>
        <w:t xml:space="preserve"> Rule </w:t>
      </w:r>
      <w:r w:rsidR="008A7C70">
        <w:t>during an era when all mutually exclusi</w:t>
      </w:r>
      <w:r w:rsidR="00F90856">
        <w:t>ve broadcast applications we</w:t>
      </w:r>
      <w:r w:rsidR="00B74CCB">
        <w:t>re</w:t>
      </w:r>
      <w:r w:rsidR="00F90856">
        <w:t xml:space="preserve"> resolved in comparative hearings.  </w:t>
      </w:r>
      <w:r w:rsidR="00B74CCB">
        <w:t>The rule</w:t>
      </w:r>
      <w:r w:rsidR="00F90856">
        <w:t xml:space="preserve"> </w:t>
      </w:r>
      <w:r>
        <w:t>prohibits the filing of inconsistent or conflicting applications by, on behalf of, or for the benefit of, the same applicant.  The rule was promulgated in the comparative hearing context because of “concern that processing and hearing applications which cannot all be granted because of the limits of the multiple ownership rules may waste the Commission’s resources, unfairly prejudice other applicants, and delay service to the public.”</w:t>
      </w:r>
      <w:r>
        <w:rPr>
          <w:rStyle w:val="FootnoteReference"/>
        </w:rPr>
        <w:footnoteReference w:id="12"/>
      </w:r>
      <w:r>
        <w:t xml:space="preserve">  The primary purpose of the Inconsistent Applications Rule </w:t>
      </w:r>
      <w:r w:rsidR="007E5D42">
        <w:t xml:space="preserve">was </w:t>
      </w:r>
      <w:r>
        <w:t>to expedite application processing procedures by avoiding “the disruption of having two inconsistent applications contemporaneously being studied by the staff.”</w:t>
      </w:r>
      <w:r>
        <w:rPr>
          <w:rStyle w:val="FootnoteReference"/>
        </w:rPr>
        <w:footnoteReference w:id="13"/>
      </w:r>
      <w:r>
        <w:t xml:space="preserve">  </w:t>
      </w:r>
    </w:p>
    <w:p w:rsidR="000A6C24" w:rsidP="00DE79D6" w14:paraId="18877DA3" w14:textId="547855C9">
      <w:pPr>
        <w:pStyle w:val="ParaNum"/>
        <w:numPr>
          <w:ilvl w:val="0"/>
          <w:numId w:val="0"/>
        </w:numPr>
        <w:ind w:firstLine="720"/>
      </w:pPr>
      <w:r>
        <w:t xml:space="preserve">In </w:t>
      </w:r>
      <w:r w:rsidRPr="00B74CCB">
        <w:rPr>
          <w:i/>
          <w:iCs/>
        </w:rPr>
        <w:t>R</w:t>
      </w:r>
      <w:r w:rsidRPr="00425E24">
        <w:rPr>
          <w:i/>
          <w:iCs/>
        </w:rPr>
        <w:t>o</w:t>
      </w:r>
      <w:r w:rsidRPr="00B74CCB">
        <w:rPr>
          <w:i/>
          <w:iCs/>
        </w:rPr>
        <w:t>yce</w:t>
      </w:r>
      <w:r>
        <w:t xml:space="preserve">, the Commission held that the Inconsistent Applications Rule was not applicable in the competitive bidding context because the procedures adopted for processing mutually exclusive auction </w:t>
      </w:r>
      <w:r>
        <w:t>applications rendered the rule irrelevant.</w:t>
      </w:r>
      <w:r>
        <w:rPr>
          <w:rStyle w:val="FootnoteReference"/>
        </w:rPr>
        <w:footnoteReference w:id="14"/>
      </w:r>
      <w:r>
        <w:t xml:space="preserve">  </w:t>
      </w:r>
      <w:r w:rsidR="00003DF2">
        <w:t>We find that the same rational</w:t>
      </w:r>
      <w:r w:rsidR="00E44C04">
        <w:t>e</w:t>
      </w:r>
      <w:r w:rsidR="00003DF2">
        <w:t xml:space="preserve"> that the Commission </w:t>
      </w:r>
      <w:r>
        <w:t xml:space="preserve">applied </w:t>
      </w:r>
      <w:r w:rsidR="00003DF2">
        <w:t xml:space="preserve">in </w:t>
      </w:r>
      <w:r w:rsidR="00003DF2">
        <w:rPr>
          <w:i/>
          <w:iCs/>
        </w:rPr>
        <w:t xml:space="preserve">Royce </w:t>
      </w:r>
      <w:r w:rsidR="00003DF2">
        <w:t xml:space="preserve">renders the Inconsistent Applications Rule </w:t>
      </w:r>
      <w:r w:rsidR="00403E84">
        <w:t>unnecessary under our current procedures for processing mutually exclusive new NCE FM applications.</w:t>
      </w:r>
      <w:r w:rsidR="00F85027">
        <w:t xml:space="preserve"> </w:t>
      </w:r>
      <w:r w:rsidR="00C115F3">
        <w:t xml:space="preserve"> </w:t>
      </w:r>
      <w:r w:rsidR="009D4DDF">
        <w:t>Specifically, a</w:t>
      </w:r>
      <w:r w:rsidR="00443C87">
        <w:t>s an alternative to the Inconsistent Applications Rule, t</w:t>
      </w:r>
      <w:r w:rsidR="00F85027">
        <w:t xml:space="preserve">he current </w:t>
      </w:r>
      <w:r w:rsidR="00403E84">
        <w:t xml:space="preserve">NCE FM </w:t>
      </w:r>
      <w:r>
        <w:t xml:space="preserve">comparative </w:t>
      </w:r>
      <w:r w:rsidR="00403E84">
        <w:t>process</w:t>
      </w:r>
      <w:r w:rsidR="00DE79D6">
        <w:t xml:space="preserve"> </w:t>
      </w:r>
      <w:r w:rsidR="006C2AC4">
        <w:t>includes</w:t>
      </w:r>
      <w:r w:rsidR="00977230">
        <w:t xml:space="preserve"> </w:t>
      </w:r>
      <w:r w:rsidR="00762442">
        <w:t xml:space="preserve">multiple safeguards </w:t>
      </w:r>
      <w:r w:rsidR="009D4DDF">
        <w:t>to</w:t>
      </w:r>
      <w:r w:rsidR="00977230">
        <w:t xml:space="preserve"> </w:t>
      </w:r>
      <w:r w:rsidR="006C2AC4">
        <w:t xml:space="preserve">protect </w:t>
      </w:r>
      <w:r w:rsidR="00443C87">
        <w:t xml:space="preserve">Commission </w:t>
      </w:r>
      <w:r w:rsidR="006615F8">
        <w:t xml:space="preserve">time and </w:t>
      </w:r>
      <w:r w:rsidR="00443C87">
        <w:t>resources</w:t>
      </w:r>
      <w:r w:rsidR="006615F8">
        <w:t xml:space="preserve"> and enable efficient application processing</w:t>
      </w:r>
      <w:r w:rsidR="00443C87">
        <w:t>.</w:t>
      </w:r>
      <w:r>
        <w:rPr>
          <w:rStyle w:val="FootnoteReference"/>
        </w:rPr>
        <w:footnoteReference w:id="15"/>
      </w:r>
      <w:r w:rsidR="006C2AC4">
        <w:t xml:space="preserve"> </w:t>
      </w:r>
      <w:r w:rsidR="00C115F3">
        <w:t xml:space="preserve"> </w:t>
      </w:r>
      <w:r w:rsidR="00443C87">
        <w:t>These include a discre</w:t>
      </w:r>
      <w:r w:rsidR="002732E1">
        <w:t>te</w:t>
      </w:r>
      <w:r w:rsidR="00443C87">
        <w:t xml:space="preserve"> filing window, </w:t>
      </w:r>
      <w:r w:rsidR="002F0307">
        <w:t>limit</w:t>
      </w:r>
      <w:r w:rsidR="006C2AC4">
        <w:t>s</w:t>
      </w:r>
      <w:r w:rsidR="002F0307">
        <w:t xml:space="preserve"> </w:t>
      </w:r>
      <w:r w:rsidR="00443C87">
        <w:t xml:space="preserve">on </w:t>
      </w:r>
      <w:r w:rsidR="002F0307">
        <w:t>the number of applications any applicant can file</w:t>
      </w:r>
      <w:r w:rsidR="006C2AC4">
        <w:t>,</w:t>
      </w:r>
      <w:r>
        <w:rPr>
          <w:rStyle w:val="FootnoteReference"/>
        </w:rPr>
        <w:footnoteReference w:id="16"/>
      </w:r>
      <w:r w:rsidR="00F85027">
        <w:t xml:space="preserve"> </w:t>
      </w:r>
      <w:r w:rsidR="002732E1">
        <w:t xml:space="preserve">procedures for the </w:t>
      </w:r>
      <w:r w:rsidR="00F85027">
        <w:t>efficient resolution of mutually exclusivity through settlements and technical amendments</w:t>
      </w:r>
      <w:r w:rsidR="004E513F">
        <w:t>,</w:t>
      </w:r>
      <w:r>
        <w:rPr>
          <w:rStyle w:val="FootnoteReference"/>
        </w:rPr>
        <w:footnoteReference w:id="17"/>
      </w:r>
      <w:r w:rsidR="00F85027">
        <w:t xml:space="preserve"> and </w:t>
      </w:r>
      <w:r w:rsidR="006C2AC4">
        <w:t xml:space="preserve">a </w:t>
      </w:r>
      <w:r w:rsidR="00F85027">
        <w:t xml:space="preserve">detailed </w:t>
      </w:r>
      <w:r w:rsidR="002732E1">
        <w:t>system</w:t>
      </w:r>
      <w:r w:rsidR="00F85027">
        <w:t xml:space="preserve"> for</w:t>
      </w:r>
      <w:r w:rsidRPr="00F85027" w:rsidR="00F85027">
        <w:t xml:space="preserve"> </w:t>
      </w:r>
      <w:r w:rsidR="00F85027">
        <w:t xml:space="preserve">selecting a tentative selectee when </w:t>
      </w:r>
      <w:r w:rsidR="00443C87">
        <w:t xml:space="preserve">conflict </w:t>
      </w:r>
      <w:r w:rsidR="00F85027">
        <w:t xml:space="preserve">resolution is not </w:t>
      </w:r>
      <w:r w:rsidR="00443C87">
        <w:t>achieved through settlement</w:t>
      </w:r>
      <w:r>
        <w:t>.</w:t>
      </w:r>
      <w:r>
        <w:rPr>
          <w:rStyle w:val="FootnoteReference"/>
        </w:rPr>
        <w:footnoteReference w:id="18"/>
      </w:r>
      <w:r w:rsidR="000D62C2">
        <w:t xml:space="preserve"> </w:t>
      </w:r>
    </w:p>
    <w:p w:rsidR="00FF0A2F" w:rsidP="00DE79D6" w14:paraId="0FE6A24B" w14:textId="0B0471DF">
      <w:pPr>
        <w:pStyle w:val="ParaNum"/>
        <w:numPr>
          <w:ilvl w:val="0"/>
          <w:numId w:val="0"/>
        </w:numPr>
        <w:ind w:firstLine="720"/>
      </w:pPr>
      <w:bookmarkStart w:id="5" w:name="_Hlk121309765"/>
      <w:r>
        <w:t>Moreover</w:t>
      </w:r>
      <w:r w:rsidR="00E93568">
        <w:t>, w</w:t>
      </w:r>
      <w:r w:rsidR="0066138E">
        <w:t xml:space="preserve">hen </w:t>
      </w:r>
      <w:r w:rsidR="009259FE">
        <w:t xml:space="preserve">NCE FM </w:t>
      </w:r>
      <w:r w:rsidR="0066138E">
        <w:t xml:space="preserve">applications are </w:t>
      </w:r>
      <w:r>
        <w:t xml:space="preserve">classified as </w:t>
      </w:r>
      <w:r w:rsidR="00EA18F4">
        <w:t>mutually exclusive</w:t>
      </w:r>
      <w:r w:rsidR="0066138E">
        <w:t xml:space="preserve">, the Bureau does not </w:t>
      </w:r>
      <w:r w:rsidR="009259FE">
        <w:t xml:space="preserve">process and </w:t>
      </w:r>
      <w:r w:rsidR="0066138E">
        <w:t xml:space="preserve">review </w:t>
      </w:r>
      <w:r w:rsidR="009259FE">
        <w:t xml:space="preserve">each </w:t>
      </w:r>
      <w:r w:rsidR="0066138E">
        <w:t>application for acceptability</w:t>
      </w:r>
      <w:r w:rsidR="00476ABD">
        <w:t xml:space="preserve"> and grantability</w:t>
      </w:r>
      <w:r w:rsidR="009259FE">
        <w:t xml:space="preserve">.  Rather, </w:t>
      </w:r>
      <w:r w:rsidR="00476ABD">
        <w:t>the Bureau only reviews, accepts for filing, and processes</w:t>
      </w:r>
      <w:r w:rsidR="0066138E">
        <w:t xml:space="preserve"> </w:t>
      </w:r>
      <w:r w:rsidR="00476ABD">
        <w:t xml:space="preserve">the </w:t>
      </w:r>
      <w:r w:rsidR="00BE26F2">
        <w:t xml:space="preserve">one </w:t>
      </w:r>
      <w:r w:rsidR="00476ABD">
        <w:t>application identified</w:t>
      </w:r>
      <w:r w:rsidR="00C43367">
        <w:t>,</w:t>
      </w:r>
      <w:r>
        <w:rPr>
          <w:rStyle w:val="FootnoteReference"/>
        </w:rPr>
        <w:footnoteReference w:id="19"/>
      </w:r>
      <w:r w:rsidR="00476ABD">
        <w:t xml:space="preserve"> after the comparative analysis, as the tentative selectee of the MX group</w:t>
      </w:r>
      <w:r w:rsidR="0066138E">
        <w:t>.</w:t>
      </w:r>
      <w:r>
        <w:rPr>
          <w:rStyle w:val="FootnoteReference"/>
        </w:rPr>
        <w:footnoteReference w:id="20"/>
      </w:r>
      <w:r w:rsidR="00DF79F7">
        <w:t xml:space="preserve">  </w:t>
      </w:r>
      <w:r>
        <w:t>Furthermore</w:t>
      </w:r>
      <w:r w:rsidR="008765B0">
        <w:t xml:space="preserve">, we note that, before the comparative review process, we encourage </w:t>
      </w:r>
      <w:r w:rsidR="00525D97">
        <w:t>mutually exclusive</w:t>
      </w:r>
      <w:r w:rsidR="008765B0">
        <w:t xml:space="preserve"> applicants to </w:t>
      </w:r>
      <w:r w:rsidR="00525D97">
        <w:t>enter into settlements or file technical amendments to resolve conflicts and expedite the grant of applications filed in the window.</w:t>
      </w:r>
      <w:r>
        <w:rPr>
          <w:rStyle w:val="FootnoteReference"/>
        </w:rPr>
        <w:footnoteReference w:id="21"/>
      </w:r>
      <w:r w:rsidR="008765B0">
        <w:t xml:space="preserve"> </w:t>
      </w:r>
      <w:r w:rsidR="00525D97">
        <w:t xml:space="preserve"> </w:t>
      </w:r>
      <w:r w:rsidR="00EA18F4">
        <w:t xml:space="preserve">If an applicant amends a mutually exclusive application to become a singleton, </w:t>
      </w:r>
      <w:r w:rsidR="00670AD4">
        <w:t>t</w:t>
      </w:r>
      <w:r w:rsidR="00EA18F4">
        <w:t>he Bureau will</w:t>
      </w:r>
      <w:r w:rsidR="009F0DB9">
        <w:t>,</w:t>
      </w:r>
      <w:r w:rsidR="00EA18F4">
        <w:t xml:space="preserve"> at that point </w:t>
      </w:r>
      <w:r w:rsidR="009F0DB9">
        <w:t xml:space="preserve">only, </w:t>
      </w:r>
      <w:r w:rsidR="00EA18F4">
        <w:t xml:space="preserve">study </w:t>
      </w:r>
      <w:r w:rsidR="009F0DB9">
        <w:t xml:space="preserve">and process </w:t>
      </w:r>
      <w:r w:rsidR="00EA18F4">
        <w:t>the application.</w:t>
      </w:r>
      <w:r w:rsidR="00762442">
        <w:t xml:space="preserve"> </w:t>
      </w:r>
      <w:r w:rsidR="00884A1E">
        <w:t xml:space="preserve"> </w:t>
      </w:r>
      <w:r w:rsidR="006C2AC4">
        <w:t>The Inconsistent Application</w:t>
      </w:r>
      <w:r w:rsidR="00F50B86">
        <w:t>s</w:t>
      </w:r>
      <w:r w:rsidR="006C2AC4">
        <w:t xml:space="preserve"> Rule conflict</w:t>
      </w:r>
      <w:r w:rsidR="006C6331">
        <w:t>s</w:t>
      </w:r>
      <w:r w:rsidR="006C2AC4">
        <w:t xml:space="preserve"> with the</w:t>
      </w:r>
      <w:r w:rsidR="000A6C24">
        <w:t>se</w:t>
      </w:r>
      <w:r w:rsidR="006C2AC4">
        <w:t xml:space="preserve"> </w:t>
      </w:r>
      <w:r w:rsidR="00F50B86">
        <w:t xml:space="preserve">unique </w:t>
      </w:r>
      <w:r w:rsidR="006C2AC4">
        <w:t>elements of the</w:t>
      </w:r>
      <w:r w:rsidR="00F50B86">
        <w:t xml:space="preserve"> NCE FM </w:t>
      </w:r>
      <w:r w:rsidR="006C2AC4">
        <w:t xml:space="preserve"> </w:t>
      </w:r>
      <w:r w:rsidR="00F50B86">
        <w:t>comparative review process</w:t>
      </w:r>
      <w:r w:rsidR="006C2AC4">
        <w:t xml:space="preserve"> and</w:t>
      </w:r>
      <w:r w:rsidR="00884A1E">
        <w:t>, therefore,</w:t>
      </w:r>
      <w:r w:rsidR="006C2AC4">
        <w:t xml:space="preserve"> </w:t>
      </w:r>
      <w:r w:rsidR="00F50B86">
        <w:t>should not</w:t>
      </w:r>
      <w:r w:rsidR="006C2AC4">
        <w:t xml:space="preserve"> be applied to applications in this context.  </w:t>
      </w:r>
    </w:p>
    <w:p w:rsidR="0066138E" w:rsidP="00DE79D6" w14:paraId="3793D608" w14:textId="5BD35F1C">
      <w:pPr>
        <w:pStyle w:val="ParaNum"/>
        <w:numPr>
          <w:ilvl w:val="0"/>
          <w:numId w:val="0"/>
        </w:numPr>
        <w:ind w:firstLine="720"/>
      </w:pPr>
      <w:r>
        <w:t>The Commission has held that other rules</w:t>
      </w:r>
      <w:r w:rsidR="00F50B86">
        <w:t>, such as section 73.3520,</w:t>
      </w:r>
      <w:r>
        <w:rPr>
          <w:rStyle w:val="FootnoteReference"/>
        </w:rPr>
        <w:footnoteReference w:id="22"/>
      </w:r>
      <w:r w:rsidR="00403E84">
        <w:t xml:space="preserve"> are </w:t>
      </w:r>
      <w:r w:rsidR="00F50B86">
        <w:t>ir</w:t>
      </w:r>
      <w:r w:rsidR="00403E84">
        <w:t>relevant in the NCE FM context.</w:t>
      </w:r>
      <w:r>
        <w:t xml:space="preserve"> </w:t>
      </w:r>
      <w:r w:rsidR="002732E1">
        <w:t xml:space="preserve"> </w:t>
      </w:r>
      <w:r>
        <w:t>Additionally,</w:t>
      </w:r>
      <w:r w:rsidR="00762442">
        <w:t xml:space="preserve"> </w:t>
      </w:r>
      <w:r w:rsidR="000A6C24">
        <w:t>w</w:t>
      </w:r>
      <w:r w:rsidR="00762442">
        <w:t>e note the staff is unaware of any instance where we have applied the Inconsistent Applications Rule to the processing of mutually exclusive NCE FM applications under the current comparative system, and Triangle cites to no instance of an NCE FM application dismissed under this rule.</w:t>
      </w:r>
      <w:r>
        <w:rPr>
          <w:rStyle w:val="FootnoteReference"/>
        </w:rPr>
        <w:footnoteReference w:id="23"/>
      </w:r>
      <w:r w:rsidR="00762442">
        <w:t xml:space="preserve">  </w:t>
      </w:r>
      <w:r w:rsidR="00EA18F4">
        <w:t xml:space="preserve"> </w:t>
      </w:r>
    </w:p>
    <w:p w:rsidR="00003DF2" w:rsidP="006F42B8" w14:paraId="5B0FE9E1" w14:textId="556F3258">
      <w:pPr>
        <w:pStyle w:val="ParaNum"/>
        <w:numPr>
          <w:ilvl w:val="0"/>
          <w:numId w:val="0"/>
        </w:numPr>
        <w:ind w:firstLine="720"/>
      </w:pPr>
      <w:r>
        <w:t>In the alternative, if the Inconsistent Application</w:t>
      </w:r>
      <w:r w:rsidR="005E0EF9">
        <w:t>s</w:t>
      </w:r>
      <w:r>
        <w:t xml:space="preserve"> Rule is applicable to</w:t>
      </w:r>
      <w:r w:rsidR="006F42B8">
        <w:t xml:space="preserve"> mutually exclusive</w:t>
      </w:r>
      <w:r>
        <w:t xml:space="preserve"> applications for new NCE </w:t>
      </w:r>
      <w:r w:rsidR="006F42B8">
        <w:t>FM stations</w:t>
      </w:r>
      <w:r>
        <w:t xml:space="preserve">, we </w:t>
      </w:r>
      <w:r w:rsidR="000A6C24">
        <w:t xml:space="preserve">find good cause to grant a </w:t>
      </w:r>
      <w:r w:rsidR="00762442">
        <w:rPr>
          <w:i/>
          <w:iCs/>
        </w:rPr>
        <w:t>sua</w:t>
      </w:r>
      <w:r w:rsidR="00762442">
        <w:rPr>
          <w:i/>
          <w:iCs/>
        </w:rPr>
        <w:t xml:space="preserve"> sponte </w:t>
      </w:r>
      <w:r>
        <w:t>waive</w:t>
      </w:r>
      <w:r w:rsidR="000A6C24">
        <w:t>r of</w:t>
      </w:r>
      <w:r>
        <w:t xml:space="preserve"> the rule to promote a </w:t>
      </w:r>
      <w:r w:rsidR="00CB6F4A">
        <w:t xml:space="preserve">more </w:t>
      </w:r>
      <w:r>
        <w:t>functional</w:t>
      </w:r>
      <w:r w:rsidR="006F42B8">
        <w:t xml:space="preserve"> comparative</w:t>
      </w:r>
      <w:r>
        <w:t xml:space="preserve"> system</w:t>
      </w:r>
      <w:r w:rsidR="006D5DEF">
        <w:t xml:space="preserve"> for </w:t>
      </w:r>
      <w:r w:rsidR="006E1804">
        <w:t xml:space="preserve">new </w:t>
      </w:r>
      <w:r w:rsidR="006D5DEF">
        <w:t xml:space="preserve">NCE FM </w:t>
      </w:r>
      <w:r w:rsidR="006E1804">
        <w:t>applications</w:t>
      </w:r>
      <w:r w:rsidR="00762442">
        <w:t>.</w:t>
      </w:r>
      <w:r w:rsidR="006F42B8">
        <w:t xml:space="preserve">  </w:t>
      </w:r>
      <w:r w:rsidRPr="006F42B8" w:rsidR="006F42B8">
        <w:t>The Commission</w:t>
      </w:r>
      <w:r w:rsidR="002732E1">
        <w:t>’</w:t>
      </w:r>
      <w:r w:rsidRPr="006F42B8" w:rsidR="006F42B8">
        <w:t>s rules may be waived for good cause shown.</w:t>
      </w:r>
      <w:r>
        <w:rPr>
          <w:rStyle w:val="FootnoteReference"/>
        </w:rPr>
        <w:footnoteReference w:id="24"/>
      </w:r>
      <w:r w:rsidR="006F42B8">
        <w:t xml:space="preserve">  </w:t>
      </w:r>
      <w:r w:rsidR="006F42B8">
        <w:rPr>
          <w:szCs w:val="22"/>
        </w:rPr>
        <w:t>Waiver is appropriate only if both (1</w:t>
      </w:r>
      <w:r w:rsidRPr="00F81B8C" w:rsidR="006F42B8">
        <w:rPr>
          <w:szCs w:val="22"/>
        </w:rPr>
        <w:t>) special circumstances warrant a deviatio</w:t>
      </w:r>
      <w:r w:rsidR="006F42B8">
        <w:rPr>
          <w:szCs w:val="22"/>
        </w:rPr>
        <w:t>n from the general rule, and (2</w:t>
      </w:r>
      <w:r w:rsidRPr="00F81B8C" w:rsidR="006F42B8">
        <w:rPr>
          <w:szCs w:val="22"/>
        </w:rPr>
        <w:t>) such deviation better serves the public interest.</w:t>
      </w:r>
      <w:r>
        <w:rPr>
          <w:rStyle w:val="FootnoteReference"/>
          <w:szCs w:val="22"/>
        </w:rPr>
        <w:footnoteReference w:id="25"/>
      </w:r>
      <w:r w:rsidR="006F42B8">
        <w:t xml:space="preserve">  We find such circumstances are present here. </w:t>
      </w:r>
      <w:r w:rsidR="00F50B86">
        <w:t xml:space="preserve"> </w:t>
      </w:r>
      <w:r w:rsidR="00C51CD6">
        <w:t xml:space="preserve">Applicants were </w:t>
      </w:r>
      <w:r w:rsidR="00A409AA">
        <w:t>never</w:t>
      </w:r>
      <w:r w:rsidR="00C51CD6">
        <w:t xml:space="preserve"> advised in either</w:t>
      </w:r>
      <w:r w:rsidR="006F42B8">
        <w:t xml:space="preserve"> the </w:t>
      </w:r>
      <w:r w:rsidRPr="006F42B8" w:rsidR="006F42B8">
        <w:rPr>
          <w:i/>
          <w:iCs/>
        </w:rPr>
        <w:t>Procedures Public Notice</w:t>
      </w:r>
      <w:r w:rsidR="006F42B8">
        <w:t xml:space="preserve"> </w:t>
      </w:r>
      <w:r w:rsidR="00C51CD6">
        <w:t>or</w:t>
      </w:r>
      <w:r w:rsidR="006F42B8">
        <w:t xml:space="preserve"> the Instructions to Schedule 2100, FCC Form 340  that the </w:t>
      </w:r>
      <w:r w:rsidR="00C51CD6">
        <w:t>Inconsistent Applications Rule</w:t>
      </w:r>
      <w:r w:rsidR="006F42B8">
        <w:t xml:space="preserve"> would be </w:t>
      </w:r>
      <w:r w:rsidR="00C51CD6">
        <w:t>enforced</w:t>
      </w:r>
      <w:r w:rsidR="006F42B8">
        <w:t>.</w:t>
      </w:r>
      <w:r>
        <w:rPr>
          <w:rStyle w:val="FootnoteReference"/>
        </w:rPr>
        <w:footnoteReference w:id="26"/>
      </w:r>
      <w:r w:rsidR="006F42B8">
        <w:t xml:space="preserve">  </w:t>
      </w:r>
      <w:r w:rsidR="00762442">
        <w:t>MyBridge’s</w:t>
      </w:r>
      <w:r w:rsidR="00762442">
        <w:t xml:space="preserve"> filing of its Norfolk Application and Schuyler Application does not frustrate the policy of administrative effectiveness, promulgated by section 73.3518.  Here, the Bureau staff did not review the Applications for technical and legal acceptability until each became a singleton as a result of the December 14, 2021, amendment. </w:t>
      </w:r>
      <w:r w:rsidR="00CB6F4A">
        <w:t xml:space="preserve"> </w:t>
      </w:r>
      <w:r w:rsidR="00762442">
        <w:t>The Bureau, therefore, never expended time or resources reviewing an application that was not grantable.</w:t>
      </w:r>
      <w:r w:rsidR="000A6C24">
        <w:t xml:space="preserve">  </w:t>
      </w:r>
      <w:r w:rsidRPr="00E44C04" w:rsidR="00E44C04">
        <w:t>Additionally, the public interest would be frustrated by dismissing applications</w:t>
      </w:r>
      <w:r w:rsidR="006C6331">
        <w:t>,</w:t>
      </w:r>
      <w:r w:rsidRPr="00E44C04" w:rsidR="00E44C04">
        <w:t xml:space="preserve"> </w:t>
      </w:r>
      <w:r w:rsidR="00787B0D">
        <w:t>that</w:t>
      </w:r>
      <w:r w:rsidRPr="00E44C04" w:rsidR="00E44C04">
        <w:t xml:space="preserve"> the Bureau never warned were subject to dismissal</w:t>
      </w:r>
      <w:r w:rsidR="00C51CD6">
        <w:t>,</w:t>
      </w:r>
      <w:r w:rsidR="006C6331">
        <w:t xml:space="preserve"> and</w:t>
      </w:r>
      <w:r w:rsidR="00C51CD6">
        <w:t xml:space="preserve"> which the Bureau staff can </w:t>
      </w:r>
      <w:r w:rsidR="00A409AA">
        <w:t xml:space="preserve">ultimately </w:t>
      </w:r>
      <w:r w:rsidR="00C51CD6">
        <w:t>grant</w:t>
      </w:r>
      <w:r w:rsidRPr="00E44C04" w:rsidR="00E44C04">
        <w:t xml:space="preserve">.  </w:t>
      </w:r>
      <w:r w:rsidR="00762442">
        <w:t xml:space="preserve">Accordingly, for these reasons, </w:t>
      </w:r>
      <w:r w:rsidR="000A6C24">
        <w:t xml:space="preserve">we waive the Inconsistent Applications Rule to the extent necessary, </w:t>
      </w:r>
      <w:r w:rsidR="00762442">
        <w:t>deny the Objection</w:t>
      </w:r>
      <w:r w:rsidR="002732E1">
        <w:t>,</w:t>
      </w:r>
      <w:r w:rsidR="00762442">
        <w:t xml:space="preserve"> and grant the Norfolk Application and the Schuyler Application.</w:t>
      </w:r>
    </w:p>
    <w:bookmarkEnd w:id="5"/>
    <w:p w:rsidR="002923C6" w:rsidP="002923C6" w14:paraId="274A279D" w14:textId="1B384590">
      <w:pPr>
        <w:pStyle w:val="ParaNum"/>
        <w:numPr>
          <w:ilvl w:val="0"/>
          <w:numId w:val="0"/>
        </w:numPr>
        <w:ind w:firstLine="720"/>
        <w:rPr>
          <w:szCs w:val="22"/>
        </w:rPr>
      </w:pPr>
      <w:r w:rsidRPr="00AD116B">
        <w:rPr>
          <w:bCs/>
          <w:i/>
          <w:iCs/>
          <w:szCs w:val="22"/>
        </w:rPr>
        <w:t>Conclusion/Action.</w:t>
      </w:r>
      <w:r w:rsidRPr="00732A29">
        <w:rPr>
          <w:b/>
          <w:szCs w:val="22"/>
        </w:rPr>
        <w:t xml:space="preserve">  </w:t>
      </w:r>
      <w:r w:rsidRPr="00732A29">
        <w:rPr>
          <w:szCs w:val="22"/>
        </w:rPr>
        <w:t>Accordingly</w:t>
      </w:r>
      <w:r>
        <w:rPr>
          <w:szCs w:val="22"/>
        </w:rPr>
        <w:t xml:space="preserve">, </w:t>
      </w:r>
      <w:r w:rsidRPr="00542231">
        <w:rPr>
          <w:b/>
          <w:bCs/>
          <w:szCs w:val="22"/>
        </w:rPr>
        <w:t>IT IS ORDERED</w:t>
      </w:r>
      <w:r>
        <w:rPr>
          <w:szCs w:val="22"/>
        </w:rPr>
        <w:t xml:space="preserve"> that</w:t>
      </w:r>
      <w:r w:rsidRPr="00732A29">
        <w:rPr>
          <w:szCs w:val="22"/>
        </w:rPr>
        <w:t xml:space="preserve"> the</w:t>
      </w:r>
      <w:r w:rsidR="00B51A46">
        <w:rPr>
          <w:szCs w:val="22"/>
        </w:rPr>
        <w:t xml:space="preserve"> </w:t>
      </w:r>
      <w:r w:rsidR="00B51A46">
        <w:t xml:space="preserve">Informal Objection filed on </w:t>
      </w:r>
      <w:r w:rsidR="006C6C0D">
        <w:t>January 12</w:t>
      </w:r>
      <w:r w:rsidR="00B51A46">
        <w:t xml:space="preserve">, 2022 (Pleading Nos. </w:t>
      </w:r>
      <w:r w:rsidRPr="00F270B5" w:rsidR="006C6C0D">
        <w:t>0000</w:t>
      </w:r>
      <w:r w:rsidR="006C6C0D">
        <w:t xml:space="preserve">179723 </w:t>
      </w:r>
      <w:r w:rsidRPr="00F270B5" w:rsidR="006C6C0D">
        <w:t>and 0000</w:t>
      </w:r>
      <w:r w:rsidR="006C6C0D">
        <w:t>179724</w:t>
      </w:r>
      <w:r w:rsidR="00B51A46">
        <w:t xml:space="preserve">) </w:t>
      </w:r>
      <w:r w:rsidR="00D66C47">
        <w:rPr>
          <w:szCs w:val="22"/>
        </w:rPr>
        <w:t>b</w:t>
      </w:r>
      <w:r w:rsidRPr="00732A29" w:rsidR="00D66C47">
        <w:rPr>
          <w:szCs w:val="22"/>
        </w:rPr>
        <w:t xml:space="preserve">y </w:t>
      </w:r>
      <w:r w:rsidR="00D66C47">
        <w:rPr>
          <w:szCs w:val="22"/>
        </w:rPr>
        <w:t xml:space="preserve">Triangle Access Broadcasting, Inc. </w:t>
      </w:r>
      <w:r w:rsidR="00EE5015">
        <w:rPr>
          <w:b/>
          <w:bCs/>
          <w:szCs w:val="22"/>
        </w:rPr>
        <w:t>IS DENIED</w:t>
      </w:r>
      <w:r>
        <w:rPr>
          <w:szCs w:val="22"/>
        </w:rPr>
        <w:t>.</w:t>
      </w:r>
      <w:r>
        <w:rPr>
          <w:szCs w:val="22"/>
        </w:rPr>
        <w:t xml:space="preserve">  </w:t>
      </w:r>
    </w:p>
    <w:p w:rsidR="00813890" w:rsidRPr="00813890" w:rsidP="00AA4092" w14:paraId="7D2315C9" w14:textId="1AC45B9A">
      <w:pPr>
        <w:pStyle w:val="ParaNum"/>
        <w:keepNext/>
        <w:keepLines/>
        <w:numPr>
          <w:ilvl w:val="0"/>
          <w:numId w:val="0"/>
        </w:numPr>
        <w:ind w:firstLine="720"/>
        <w:rPr>
          <w:szCs w:val="22"/>
        </w:rPr>
      </w:pPr>
      <w:r w:rsidRPr="00813890">
        <w:rPr>
          <w:b/>
          <w:bCs/>
          <w:szCs w:val="22"/>
        </w:rPr>
        <w:t>IT IS FURTHER ORDERED</w:t>
      </w:r>
      <w:r w:rsidRPr="00813890">
        <w:rPr>
          <w:szCs w:val="22"/>
        </w:rPr>
        <w:t xml:space="preserve"> that the applications of</w:t>
      </w:r>
      <w:r w:rsidRPr="00813890">
        <w:rPr>
          <w:szCs w:val="22"/>
        </w:rPr>
        <w:t xml:space="preserve"> </w:t>
      </w:r>
      <w:r>
        <w:rPr>
          <w:szCs w:val="22"/>
        </w:rPr>
        <w:t>MyBr</w:t>
      </w:r>
      <w:r w:rsidR="002E5FC1">
        <w:rPr>
          <w:szCs w:val="22"/>
        </w:rPr>
        <w:t>i</w:t>
      </w:r>
      <w:r>
        <w:rPr>
          <w:szCs w:val="22"/>
        </w:rPr>
        <w:t>dge</w:t>
      </w:r>
      <w:r w:rsidR="00197155">
        <w:rPr>
          <w:szCs w:val="22"/>
        </w:rPr>
        <w:t>,</w:t>
      </w:r>
      <w:r>
        <w:rPr>
          <w:szCs w:val="22"/>
        </w:rPr>
        <w:t xml:space="preserve"> </w:t>
      </w:r>
      <w:r w:rsidR="00197155">
        <w:rPr>
          <w:szCs w:val="22"/>
        </w:rPr>
        <w:t>DBA as</w:t>
      </w:r>
      <w:r>
        <w:rPr>
          <w:szCs w:val="22"/>
        </w:rPr>
        <w:t xml:space="preserve"> </w:t>
      </w:r>
      <w:r w:rsidRPr="00813890">
        <w:rPr>
          <w:szCs w:val="22"/>
        </w:rPr>
        <w:t xml:space="preserve">MyBridge Radio for construction permits for new noncommercial educational FM stations at Norfolk, Nebraska (Application File No. 0000166021) and Schuyler, Nebraska </w:t>
      </w:r>
      <w:r w:rsidR="008C436E">
        <w:rPr>
          <w:szCs w:val="22"/>
        </w:rPr>
        <w:t>(</w:t>
      </w:r>
      <w:r w:rsidRPr="00813890">
        <w:rPr>
          <w:szCs w:val="22"/>
        </w:rPr>
        <w:t>Application File No. 0000166029</w:t>
      </w:r>
      <w:r w:rsidR="008C436E">
        <w:rPr>
          <w:szCs w:val="22"/>
        </w:rPr>
        <w:t>)</w:t>
      </w:r>
      <w:r w:rsidRPr="00F270B5">
        <w:t xml:space="preserve"> </w:t>
      </w:r>
      <w:r>
        <w:rPr>
          <w:b/>
          <w:bCs/>
        </w:rPr>
        <w:t>ARE GRANTED</w:t>
      </w:r>
      <w:r>
        <w:t>.</w:t>
      </w:r>
    </w:p>
    <w:p w:rsidR="00825180" w:rsidRPr="006248EE" w:rsidP="00AA4092" w14:paraId="1A5C01A1" w14:textId="796D36F9">
      <w:pPr>
        <w:keepNext/>
        <w:keepLines/>
        <w:tabs>
          <w:tab w:val="left" w:pos="-1440"/>
          <w:tab w:val="left" w:pos="-720"/>
          <w:tab w:val="left" w:pos="5040"/>
          <w:tab w:val="left" w:pos="5760"/>
          <w:tab w:val="right" w:pos="9360"/>
        </w:tabs>
        <w:suppressAutoHyphens/>
        <w:rPr>
          <w:szCs w:val="22"/>
        </w:rPr>
      </w:pPr>
      <w:bookmarkStart w:id="6" w:name="_Hlk77597583"/>
      <w:r>
        <w:rPr>
          <w:szCs w:val="22"/>
        </w:rPr>
        <w:tab/>
      </w:r>
      <w:r w:rsidRPr="006248EE">
        <w:rPr>
          <w:szCs w:val="22"/>
        </w:rPr>
        <w:t>Sincerely,</w:t>
      </w:r>
    </w:p>
    <w:p w:rsidR="00825180" w:rsidRPr="006248EE" w:rsidP="00AA4092" w14:paraId="56B72B1E" w14:textId="77777777">
      <w:pPr>
        <w:keepNext/>
        <w:keepLines/>
        <w:tabs>
          <w:tab w:val="left" w:pos="-1440"/>
          <w:tab w:val="left" w:pos="-720"/>
          <w:tab w:val="left" w:pos="5040"/>
          <w:tab w:val="left" w:pos="5760"/>
          <w:tab w:val="right" w:pos="9360"/>
        </w:tabs>
        <w:suppressAutoHyphens/>
        <w:rPr>
          <w:szCs w:val="22"/>
        </w:rPr>
      </w:pPr>
    </w:p>
    <w:p w:rsidR="00825180" w:rsidP="00AA4092" w14:paraId="4BFE0F7D" w14:textId="77777777">
      <w:pPr>
        <w:keepNext/>
        <w:keepLines/>
        <w:tabs>
          <w:tab w:val="left" w:pos="-1440"/>
          <w:tab w:val="left" w:pos="-720"/>
          <w:tab w:val="left" w:pos="5040"/>
          <w:tab w:val="left" w:pos="5760"/>
          <w:tab w:val="right" w:pos="9360"/>
        </w:tabs>
        <w:suppressAutoHyphens/>
        <w:rPr>
          <w:szCs w:val="22"/>
        </w:rPr>
      </w:pPr>
    </w:p>
    <w:p w:rsidR="00825180" w:rsidRPr="006248EE" w:rsidP="00AA4092" w14:paraId="6CA51655" w14:textId="77777777">
      <w:pPr>
        <w:keepNext/>
        <w:keepLines/>
        <w:tabs>
          <w:tab w:val="left" w:pos="-1440"/>
          <w:tab w:val="left" w:pos="-720"/>
          <w:tab w:val="left" w:pos="5040"/>
          <w:tab w:val="left" w:pos="5760"/>
          <w:tab w:val="right" w:pos="9360"/>
        </w:tabs>
        <w:suppressAutoHyphens/>
        <w:rPr>
          <w:szCs w:val="22"/>
        </w:rPr>
      </w:pPr>
    </w:p>
    <w:p w:rsidR="00825180" w:rsidRPr="006248EE" w:rsidP="00AA4092" w14:paraId="1456B89D" w14:textId="77777777">
      <w:pPr>
        <w:keepNext/>
        <w:keepLines/>
        <w:tabs>
          <w:tab w:val="left" w:pos="-1440"/>
          <w:tab w:val="left" w:pos="-720"/>
          <w:tab w:val="left" w:pos="5040"/>
          <w:tab w:val="left" w:pos="5760"/>
          <w:tab w:val="right" w:pos="9360"/>
        </w:tabs>
        <w:suppressAutoHyphens/>
        <w:rPr>
          <w:szCs w:val="22"/>
        </w:rPr>
      </w:pPr>
      <w:r w:rsidRPr="006248EE">
        <w:rPr>
          <w:szCs w:val="22"/>
        </w:rPr>
        <w:tab/>
        <w:t xml:space="preserve">Albert Shuldiner  </w:t>
      </w:r>
    </w:p>
    <w:p w:rsidR="00825180" w:rsidRPr="006248EE" w:rsidP="00AA4092" w14:paraId="5DF50AB8" w14:textId="77777777">
      <w:pPr>
        <w:keepNext/>
        <w:keepLines/>
        <w:tabs>
          <w:tab w:val="left" w:pos="-1440"/>
          <w:tab w:val="left" w:pos="-720"/>
          <w:tab w:val="left" w:pos="5040"/>
          <w:tab w:val="left" w:pos="5760"/>
          <w:tab w:val="right" w:pos="9360"/>
        </w:tabs>
        <w:suppressAutoHyphens/>
        <w:rPr>
          <w:szCs w:val="22"/>
        </w:rPr>
      </w:pPr>
      <w:r w:rsidRPr="006248EE">
        <w:rPr>
          <w:szCs w:val="22"/>
        </w:rPr>
        <w:tab/>
        <w:t>Chief, Audio Division</w:t>
      </w:r>
    </w:p>
    <w:p w:rsidR="00ED4C0E" w:rsidP="00AA4092" w14:paraId="0291EF67" w14:textId="1B71F9C4">
      <w:pPr>
        <w:keepNext/>
        <w:keepLines/>
        <w:tabs>
          <w:tab w:val="left" w:pos="-1440"/>
          <w:tab w:val="left" w:pos="-720"/>
          <w:tab w:val="left" w:pos="5040"/>
          <w:tab w:val="left" w:pos="5760"/>
          <w:tab w:val="right" w:pos="9360"/>
        </w:tabs>
        <w:suppressAutoHyphens/>
        <w:spacing w:after="240"/>
        <w:rPr>
          <w:szCs w:val="22"/>
        </w:rPr>
      </w:pPr>
      <w:r w:rsidRPr="006248EE">
        <w:rPr>
          <w:szCs w:val="22"/>
        </w:rPr>
        <w:tab/>
        <w:t>Media Bureau</w:t>
      </w:r>
      <w:bookmarkEnd w:id="6"/>
    </w:p>
    <w:p w:rsidR="00D26DE5" w:rsidRPr="00204CE3" w:rsidP="00B3269F" w14:paraId="660410B2" w14:textId="77777777">
      <w:pPr>
        <w:keepNext/>
        <w:keepLines/>
        <w:tabs>
          <w:tab w:val="left" w:pos="-1440"/>
          <w:tab w:val="left" w:pos="-720"/>
          <w:tab w:val="left" w:pos="5040"/>
          <w:tab w:val="left" w:pos="5760"/>
          <w:tab w:val="right" w:pos="9360"/>
        </w:tabs>
        <w:suppressAutoHyphens/>
        <w:spacing w:after="240"/>
        <w:rPr>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8ABAB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6ACF2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7722E1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60C8" w14:paraId="227DE342" w14:textId="77777777">
      <w:r>
        <w:separator/>
      </w:r>
    </w:p>
  </w:footnote>
  <w:footnote w:type="continuationSeparator" w:id="1">
    <w:p w:rsidR="004C60C8" w14:paraId="2F5667E0" w14:textId="77777777">
      <w:r>
        <w:continuationSeparator/>
      </w:r>
    </w:p>
  </w:footnote>
  <w:footnote w:id="2">
    <w:p w:rsidR="00EE5015" w14:paraId="1E2E3D45" w14:textId="4E371DB6">
      <w:pPr>
        <w:pStyle w:val="FootnoteText"/>
      </w:pPr>
      <w:r>
        <w:rPr>
          <w:rStyle w:val="FootnoteReference"/>
        </w:rPr>
        <w:footnoteRef/>
      </w:r>
      <w:r>
        <w:t xml:space="preserve"> </w:t>
      </w:r>
      <w:r w:rsidRPr="00F270B5">
        <w:t>Application File No. 00001660</w:t>
      </w:r>
      <w:r w:rsidR="006C6C0D">
        <w:t>21</w:t>
      </w:r>
      <w:r w:rsidRPr="00F270B5">
        <w:t xml:space="preserve"> (</w:t>
      </w:r>
      <w:r w:rsidR="00401FB6">
        <w:t>Norfolk</w:t>
      </w:r>
      <w:r w:rsidRPr="00F270B5">
        <w:t xml:space="preserve"> Application).</w:t>
      </w:r>
    </w:p>
  </w:footnote>
  <w:footnote w:id="3">
    <w:p w:rsidR="00EE5015" w14:paraId="12FA26E7" w14:textId="7AB50CC0">
      <w:pPr>
        <w:pStyle w:val="FootnoteText"/>
      </w:pPr>
      <w:r>
        <w:rPr>
          <w:rStyle w:val="FootnoteReference"/>
        </w:rPr>
        <w:footnoteRef/>
      </w:r>
      <w:r>
        <w:t xml:space="preserve"> </w:t>
      </w:r>
      <w:r w:rsidRPr="00F270B5">
        <w:t>Application File No. 00001660</w:t>
      </w:r>
      <w:r w:rsidR="006C6C0D">
        <w:t>29</w:t>
      </w:r>
      <w:r w:rsidRPr="00F270B5">
        <w:t xml:space="preserve"> (</w:t>
      </w:r>
      <w:r w:rsidR="00401FB6">
        <w:t>Schuyler</w:t>
      </w:r>
      <w:r w:rsidRPr="00F270B5">
        <w:t xml:space="preserve"> Application).</w:t>
      </w:r>
      <w:r>
        <w:t xml:space="preserve">  </w:t>
      </w:r>
    </w:p>
  </w:footnote>
  <w:footnote w:id="4">
    <w:p w:rsidR="00EE5015" w:rsidRPr="00F270B5" w:rsidP="00EE5015" w14:paraId="797F6634" w14:textId="32E9C3E0">
      <w:pPr>
        <w:pStyle w:val="FootnoteText"/>
      </w:pPr>
      <w:r w:rsidRPr="00F270B5">
        <w:rPr>
          <w:rStyle w:val="FootnoteReference"/>
        </w:rPr>
        <w:footnoteRef/>
      </w:r>
      <w:r w:rsidRPr="00F270B5">
        <w:t xml:space="preserve"> Pleading File Nos. 0000</w:t>
      </w:r>
      <w:r w:rsidR="00401FB6">
        <w:t xml:space="preserve">179723 </w:t>
      </w:r>
      <w:r w:rsidRPr="00F270B5">
        <w:t>and 0000</w:t>
      </w:r>
      <w:r w:rsidR="00401FB6">
        <w:t>179724</w:t>
      </w:r>
      <w:r w:rsidRPr="00F270B5">
        <w:t xml:space="preserve"> (filed </w:t>
      </w:r>
      <w:r w:rsidR="00401FB6">
        <w:t>Jan. 12</w:t>
      </w:r>
      <w:r w:rsidRPr="00F270B5">
        <w:t>, 2022) (Objection).</w:t>
      </w:r>
      <w:r w:rsidR="00401FB6">
        <w:t xml:space="preserve"> </w:t>
      </w:r>
      <w:r w:rsidR="00996A1A">
        <w:t xml:space="preserve"> </w:t>
      </w:r>
      <w:r w:rsidR="00401FB6">
        <w:t>MyBridge did not file an opposition to the Objection.</w:t>
      </w:r>
    </w:p>
  </w:footnote>
  <w:footnote w:id="5">
    <w:p w:rsidR="00926BF3" w:rsidRPr="00AD116B" w:rsidP="009727D9" w14:paraId="103B37F5" w14:textId="4F7FA6F8">
      <w:pPr>
        <w:pStyle w:val="FootnoteText"/>
        <w:rPr>
          <w:shd w:val="clear" w:color="auto" w:fill="FFFFFF"/>
        </w:rPr>
      </w:pPr>
      <w:r w:rsidRPr="00F270B5">
        <w:rPr>
          <w:rStyle w:val="FootnoteReference"/>
        </w:rPr>
        <w:footnoteRef/>
      </w:r>
      <w:r w:rsidRPr="00F270B5">
        <w:t xml:space="preserve"> </w:t>
      </w:r>
      <w:r w:rsidRPr="00F270B5" w:rsidR="00542231">
        <w:rPr>
          <w:i/>
          <w:iCs/>
        </w:rPr>
        <w:t>Media Bureau Announces NCE FM New Station Application Filing Window; Window Open from November 2, 2021, to November 9, 2021</w:t>
      </w:r>
      <w:r w:rsidRPr="00F270B5" w:rsidR="00542231">
        <w:t xml:space="preserve">, MB Docket No. 20-343, Public Notice, </w:t>
      </w:r>
      <w:r w:rsidRPr="00406F49" w:rsidR="003E7AE6">
        <w:rPr>
          <w:shd w:val="clear" w:color="auto" w:fill="FFFFFF"/>
        </w:rPr>
        <w:t xml:space="preserve">36 FCC </w:t>
      </w:r>
      <w:r w:rsidRPr="00406F49" w:rsidR="003E7AE6">
        <w:rPr>
          <w:shd w:val="clear" w:color="auto" w:fill="FFFFFF"/>
        </w:rPr>
        <w:t>Rcd</w:t>
      </w:r>
      <w:r w:rsidRPr="00406F49" w:rsidR="003E7AE6">
        <w:rPr>
          <w:shd w:val="clear" w:color="auto" w:fill="FFFFFF"/>
        </w:rPr>
        <w:t xml:space="preserve"> 7449 (MB 202</w:t>
      </w:r>
      <w:r w:rsidR="003E7AE6">
        <w:rPr>
          <w:shd w:val="clear" w:color="auto" w:fill="FFFFFF"/>
        </w:rPr>
        <w:t>1).</w:t>
      </w:r>
    </w:p>
  </w:footnote>
  <w:footnote w:id="6">
    <w:p w:rsidR="00FA6F51" w14:paraId="3DB6481D" w14:textId="43704208">
      <w:pPr>
        <w:pStyle w:val="FootnoteText"/>
      </w:pPr>
      <w:r>
        <w:rPr>
          <w:rStyle w:val="FootnoteReference"/>
        </w:rPr>
        <w:footnoteRef/>
      </w:r>
      <w:r>
        <w:t xml:space="preserve"> </w:t>
      </w:r>
      <w:r w:rsidRPr="00F270B5">
        <w:rPr>
          <w:i/>
          <w:iCs/>
        </w:rPr>
        <w:t>Media Bureau Identifies Groups of Mutually Exclusive Applications Submitted in the November 2021, Filing Window for New Noncommercial Education Stations; Opens Window to Accept Settlements and Technical Amendments</w:t>
      </w:r>
      <w:r w:rsidRPr="00F270B5">
        <w:t xml:space="preserve">, Public Notice, </w:t>
      </w:r>
      <w:r w:rsidR="0094714E">
        <w:t xml:space="preserve">36 FCC </w:t>
      </w:r>
      <w:r w:rsidR="0094714E">
        <w:t>Rcd</w:t>
      </w:r>
      <w:r w:rsidR="0094714E">
        <w:t xml:space="preserve"> 16542</w:t>
      </w:r>
      <w:r w:rsidRPr="00F270B5">
        <w:t xml:space="preserve"> (MB 2021)</w:t>
      </w:r>
      <w:r w:rsidR="0094714E">
        <w:t xml:space="preserve"> (</w:t>
      </w:r>
      <w:r w:rsidR="0094714E">
        <w:rPr>
          <w:i/>
          <w:iCs/>
        </w:rPr>
        <w:t>M</w:t>
      </w:r>
      <w:r w:rsidR="00BE6A58">
        <w:rPr>
          <w:i/>
          <w:iCs/>
        </w:rPr>
        <w:t>X</w:t>
      </w:r>
      <w:r w:rsidR="0094714E">
        <w:rPr>
          <w:i/>
          <w:iCs/>
        </w:rPr>
        <w:t xml:space="preserve"> Groups Public Notice</w:t>
      </w:r>
      <w:r w:rsidR="0094714E">
        <w:t>)</w:t>
      </w:r>
      <w:r w:rsidRPr="00F270B5">
        <w:t>.</w:t>
      </w:r>
      <w:r>
        <w:t xml:space="preserve">  </w:t>
      </w:r>
    </w:p>
  </w:footnote>
  <w:footnote w:id="7">
    <w:p w:rsidR="00401FB6" w14:paraId="6B138D30" w14:textId="29E58B43">
      <w:pPr>
        <w:pStyle w:val="FootnoteText"/>
      </w:pPr>
      <w:r>
        <w:rPr>
          <w:rStyle w:val="FootnoteReference"/>
        </w:rPr>
        <w:footnoteRef/>
      </w:r>
      <w:r>
        <w:t xml:space="preserve"> Norfolk Application, Amendment at Attach. Reasons for Amendment</w:t>
      </w:r>
      <w:r w:rsidR="00E157A4">
        <w:t xml:space="preserve"> (filed Dec. 14, 2021).</w:t>
      </w:r>
    </w:p>
  </w:footnote>
  <w:footnote w:id="8">
    <w:p w:rsidR="00401FB6" w14:paraId="57663933" w14:textId="19E2C0A0">
      <w:pPr>
        <w:pStyle w:val="FootnoteText"/>
      </w:pPr>
      <w:r>
        <w:rPr>
          <w:rStyle w:val="FootnoteReference"/>
        </w:rPr>
        <w:footnoteRef/>
      </w:r>
      <w:r>
        <w:t xml:space="preserve"> Objection at 1-2 (citing 47 CFR </w:t>
      </w:r>
      <w:r w:rsidRPr="00F270B5" w:rsidR="00682884">
        <w:t>§</w:t>
      </w:r>
      <w:r w:rsidR="00682884">
        <w:t xml:space="preserve"> </w:t>
      </w:r>
      <w:r>
        <w:t>73.3518 (Incons</w:t>
      </w:r>
      <w:r w:rsidR="00E157A4">
        <w:t>is</w:t>
      </w:r>
      <w:r>
        <w:t>t</w:t>
      </w:r>
      <w:r w:rsidR="00E157A4">
        <w:t>ent</w:t>
      </w:r>
      <w:r>
        <w:t xml:space="preserve"> Application</w:t>
      </w:r>
      <w:r w:rsidR="00675108">
        <w:t>s</w:t>
      </w:r>
      <w:r>
        <w:t xml:space="preserve"> Rule); 47 CFR</w:t>
      </w:r>
      <w:r w:rsidR="00682884">
        <w:t xml:space="preserve"> </w:t>
      </w:r>
      <w:r w:rsidRPr="00F270B5" w:rsidR="00682884">
        <w:t>§</w:t>
      </w:r>
      <w:r>
        <w:t xml:space="preserve"> 73.509 (</w:t>
      </w:r>
      <w:r w:rsidR="00E157A4">
        <w:t>prohibited overlap for applications for new NCE</w:t>
      </w:r>
      <w:r w:rsidR="008C436E">
        <w:t xml:space="preserve"> </w:t>
      </w:r>
      <w:r w:rsidR="00E157A4">
        <w:t>FM stations).  Triangle notes that the Application</w:t>
      </w:r>
      <w:r w:rsidR="00F11FEE">
        <w:t>s</w:t>
      </w:r>
      <w:r w:rsidR="00E157A4">
        <w:t xml:space="preserve"> are mutually exclusive because they have overlapping contours.</w:t>
      </w:r>
      <w:r w:rsidR="008C436E">
        <w:t xml:space="preserve">  </w:t>
      </w:r>
      <w:r w:rsidR="00B43E3A">
        <w:rPr>
          <w:i/>
          <w:iCs/>
        </w:rPr>
        <w:t xml:space="preserve">See </w:t>
      </w:r>
      <w:r w:rsidR="008C436E">
        <w:t>Objection at 2.</w:t>
      </w:r>
    </w:p>
  </w:footnote>
  <w:footnote w:id="9">
    <w:p w:rsidR="009F7929" w14:paraId="4A02931A" w14:textId="4A12689F">
      <w:pPr>
        <w:pStyle w:val="FootnoteText"/>
      </w:pPr>
      <w:r>
        <w:rPr>
          <w:rStyle w:val="FootnoteReference"/>
        </w:rPr>
        <w:footnoteRef/>
      </w:r>
      <w:r>
        <w:t xml:space="preserve"> Objection at 2.</w:t>
      </w:r>
    </w:p>
  </w:footnote>
  <w:footnote w:id="10">
    <w:p w:rsidR="003C7866" w:rsidRPr="00F270B5" w:rsidP="009727D9" w14:paraId="69AC4A2C" w14:textId="77777777">
      <w:pPr>
        <w:pStyle w:val="FootnoteText"/>
      </w:pPr>
      <w:r w:rsidRPr="00F270B5">
        <w:rPr>
          <w:rStyle w:val="FootnoteReference"/>
        </w:rPr>
        <w:footnoteRef/>
      </w:r>
      <w:r w:rsidRPr="00F270B5">
        <w:t xml:space="preserve"> 47 U.S.C. § 309(d).</w:t>
      </w:r>
    </w:p>
  </w:footnote>
  <w:footnote w:id="11">
    <w:p w:rsidR="003C7866" w:rsidRPr="00F270B5" w:rsidP="009727D9" w14:paraId="11A66D3A" w14:textId="77777777">
      <w:pPr>
        <w:pStyle w:val="FootnoteText"/>
      </w:pPr>
      <w:r w:rsidRPr="00F270B5">
        <w:rPr>
          <w:rStyle w:val="FootnoteReference"/>
        </w:rPr>
        <w:footnoteRef/>
      </w:r>
      <w:r w:rsidRPr="00F270B5">
        <w:t xml:space="preserve"> </w:t>
      </w:r>
      <w:r w:rsidRPr="00F270B5">
        <w:rPr>
          <w:i/>
        </w:rPr>
        <w:t>See, e.g</w:t>
      </w:r>
      <w:r w:rsidRPr="00F270B5">
        <w:t xml:space="preserve">., </w:t>
      </w:r>
      <w:r w:rsidRPr="00F270B5">
        <w:rPr>
          <w:i/>
        </w:rPr>
        <w:t>WWOR-TV, Inc</w:t>
      </w:r>
      <w:r w:rsidRPr="00F270B5">
        <w:t xml:space="preserve">., Memorandum Opinion and Order, 6 FCC </w:t>
      </w:r>
      <w:r w:rsidRPr="00F270B5">
        <w:t>Rcd</w:t>
      </w:r>
      <w:r w:rsidRPr="00F270B5">
        <w:t xml:space="preserve"> 193, 197 n.10 (1990), </w:t>
      </w:r>
      <w:r w:rsidRPr="00F270B5">
        <w:rPr>
          <w:i/>
        </w:rPr>
        <w:t>aff'd sub nom. Garden State Broad. L.P. v. FCC</w:t>
      </w:r>
      <w:r w:rsidRPr="00F270B5">
        <w:t xml:space="preserve">, 996 F. 2d 386 (D.C. Cir. 1993), </w:t>
      </w:r>
      <w:r w:rsidRPr="00F270B5">
        <w:rPr>
          <w:i/>
        </w:rPr>
        <w:t>rehearing denied</w:t>
      </w:r>
      <w:r w:rsidRPr="00F270B5">
        <w:t xml:space="preserve"> (Sep. 10, 1993); </w:t>
      </w:r>
      <w:r w:rsidRPr="00F270B5">
        <w:rPr>
          <w:i/>
          <w:iCs/>
        </w:rPr>
        <w:t>Gencom</w:t>
      </w:r>
      <w:r w:rsidRPr="00F270B5">
        <w:rPr>
          <w:i/>
          <w:iCs/>
        </w:rPr>
        <w:t>, Inc. v. FCC</w:t>
      </w:r>
      <w:r w:rsidRPr="00F270B5">
        <w:t xml:space="preserve">, 832 F.2d 171, 181 (D.C. Cir. 1987); </w:t>
      </w:r>
      <w:r w:rsidRPr="00F270B5">
        <w:rPr>
          <w:i/>
        </w:rPr>
        <w:t>Area Christian Television, Inc</w:t>
      </w:r>
      <w:r w:rsidRPr="00F270B5">
        <w:t xml:space="preserve">., Memorandum Opinion and Order, 60 RR 2d 862, 864, para. 6 (1986) (petitions to deny and informal objections must contain adequate and specific factual allegations sufficient to warrant the relief requested). </w:t>
      </w:r>
    </w:p>
  </w:footnote>
  <w:footnote w:id="12">
    <w:p w:rsidR="00975D22" w:rsidP="00975D22" w14:paraId="61CD1FEE" w14:textId="77B9855E">
      <w:pPr>
        <w:pStyle w:val="FootnoteText"/>
      </w:pPr>
      <w:r>
        <w:rPr>
          <w:rStyle w:val="FootnoteReference"/>
        </w:rPr>
        <w:footnoteRef/>
      </w:r>
      <w:r>
        <w:t xml:space="preserve"> </w:t>
      </w:r>
      <w:r>
        <w:rPr>
          <w:i/>
          <w:iCs/>
        </w:rPr>
        <w:t xml:space="preserve">See Royce International </w:t>
      </w:r>
      <w:r w:rsidR="00015D34">
        <w:rPr>
          <w:i/>
          <w:iCs/>
        </w:rPr>
        <w:t>Broadcasting</w:t>
      </w:r>
      <w:r>
        <w:rPr>
          <w:i/>
          <w:iCs/>
        </w:rPr>
        <w:t xml:space="preserve">, Co., et. al., </w:t>
      </w:r>
      <w:r w:rsidR="00015D34">
        <w:t>Memorandum</w:t>
      </w:r>
      <w:r>
        <w:t xml:space="preserve"> Opinion and Order, 24 FCC </w:t>
      </w:r>
      <w:r>
        <w:t>Rcd</w:t>
      </w:r>
      <w:r>
        <w:t xml:space="preserve"> 5880, 5891-92, para. 24 (2009) (</w:t>
      </w:r>
      <w:r>
        <w:rPr>
          <w:i/>
          <w:iCs/>
        </w:rPr>
        <w:t xml:space="preserve">Royce) </w:t>
      </w:r>
      <w:r>
        <w:t>(citing</w:t>
      </w:r>
      <w:r>
        <w:rPr>
          <w:i/>
          <w:iCs/>
        </w:rPr>
        <w:t xml:space="preserve"> </w:t>
      </w:r>
      <w:r>
        <w:rPr>
          <w:i/>
        </w:rPr>
        <w:t xml:space="preserve">William H. </w:t>
      </w:r>
      <w:r>
        <w:rPr>
          <w:i/>
        </w:rPr>
        <w:t>Hernstadt</w:t>
      </w:r>
      <w:r>
        <w:t xml:space="preserve">, Memorandum Opinion and Order, 56 RR 2d 948, 949 (1984); </w:t>
      </w:r>
      <w:r>
        <w:rPr>
          <w:i/>
        </w:rPr>
        <w:t>Valley Broadcasting Co.</w:t>
      </w:r>
      <w:r>
        <w:t>, Memorandum Opinion and Order, 58 RR 2d 945 (1985</w:t>
      </w:r>
      <w:r w:rsidR="00EA18F4">
        <w:t>)</w:t>
      </w:r>
      <w:r>
        <w:t xml:space="preserve">). </w:t>
      </w:r>
    </w:p>
  </w:footnote>
  <w:footnote w:id="13">
    <w:p w:rsidR="00975D22" w:rsidP="00975D22" w14:paraId="09F5EA03" w14:textId="1FA0EE44">
      <w:pPr>
        <w:pStyle w:val="FootnoteText"/>
        <w:rPr>
          <w:i/>
        </w:rPr>
      </w:pPr>
      <w:r>
        <w:rPr>
          <w:rStyle w:val="FootnoteReference"/>
        </w:rPr>
        <w:footnoteRef/>
      </w:r>
      <w:r>
        <w:t xml:space="preserve"> </w:t>
      </w:r>
      <w:r w:rsidRPr="00015D34">
        <w:rPr>
          <w:i/>
          <w:iCs/>
        </w:rPr>
        <w:t>Royce,</w:t>
      </w:r>
      <w:r>
        <w:t xml:space="preserve"> 24 FCC </w:t>
      </w:r>
      <w:r>
        <w:t>Rcd</w:t>
      </w:r>
      <w:r>
        <w:t xml:space="preserve"> at 5892, para 24 (citing </w:t>
      </w:r>
      <w:r w:rsidRPr="00EA18F4">
        <w:rPr>
          <w:i/>
          <w:iCs/>
        </w:rPr>
        <w:t>KKAP</w:t>
      </w:r>
      <w:r>
        <w:rPr>
          <w:i/>
        </w:rPr>
        <w:t xml:space="preserve"> Broadcasting Company</w:t>
      </w:r>
      <w:r>
        <w:t xml:space="preserve">, Decision, 38 RR 2d 752, 753 (1976); </w:t>
      </w:r>
      <w:r>
        <w:rPr>
          <w:i/>
        </w:rPr>
        <w:t>Big Wyoming Broadcasting Corp.</w:t>
      </w:r>
      <w:r>
        <w:t xml:space="preserve">, Memorandum Opinion and Order, 63 RR 2d 981 (1987); </w:t>
      </w:r>
      <w:r>
        <w:rPr>
          <w:i/>
        </w:rPr>
        <w:t>Atlantic Radio Communications, Inc.</w:t>
      </w:r>
      <w:r>
        <w:t xml:space="preserve">, Hearing Designation Order, 6 FCC </w:t>
      </w:r>
      <w:r>
        <w:t>Rcd</w:t>
      </w:r>
      <w:r>
        <w:t xml:space="preserve"> 4716 (1991); </w:t>
      </w:r>
      <w:r>
        <w:rPr>
          <w:i/>
        </w:rPr>
        <w:t>Jersey Shore Broadcasting Corp. v. FCC</w:t>
      </w:r>
      <w:r>
        <w:t>, 37 F.3d 1531, 1537 (D.C. Cir. 1994) (“[t]he inconsistent application rule exists primarily to protect Commission resources and processes.”)</w:t>
      </w:r>
      <w:r w:rsidR="00015D34">
        <w:t>)</w:t>
      </w:r>
      <w:r>
        <w:t>.</w:t>
      </w:r>
      <w:r>
        <w:rPr>
          <w:i/>
        </w:rPr>
        <w:t xml:space="preserve"> </w:t>
      </w:r>
    </w:p>
  </w:footnote>
  <w:footnote w:id="14">
    <w:p w:rsidR="0084528B" w:rsidRPr="00B74CCB" w:rsidP="0084528B" w14:paraId="7F93482E" w14:textId="77777777">
      <w:pPr>
        <w:pStyle w:val="FootnoteText"/>
      </w:pPr>
      <w:r>
        <w:rPr>
          <w:rStyle w:val="FootnoteReference"/>
        </w:rPr>
        <w:footnoteRef/>
      </w:r>
      <w:r>
        <w:t xml:space="preserve"> </w:t>
      </w:r>
      <w:r>
        <w:rPr>
          <w:i/>
          <w:iCs/>
        </w:rPr>
        <w:t>Royce</w:t>
      </w:r>
      <w:r>
        <w:t xml:space="preserve">, 24 FCC </w:t>
      </w:r>
      <w:r>
        <w:t>Rcd</w:t>
      </w:r>
      <w:r>
        <w:t xml:space="preserve"> at 5892, para. 26.</w:t>
      </w:r>
    </w:p>
  </w:footnote>
  <w:footnote w:id="15">
    <w:p w:rsidR="006C2AC4" w14:paraId="7D333EA3" w14:textId="142D9214">
      <w:pPr>
        <w:pStyle w:val="FootnoteText"/>
      </w:pPr>
      <w:r>
        <w:rPr>
          <w:rStyle w:val="FootnoteReference"/>
        </w:rPr>
        <w:footnoteRef/>
      </w:r>
      <w:r>
        <w:t xml:space="preserve"> </w:t>
      </w:r>
      <w:r>
        <w:rPr>
          <w:i/>
          <w:iCs/>
        </w:rPr>
        <w:t xml:space="preserve">See, e.g., </w:t>
      </w:r>
      <w:r w:rsidRPr="00FF2202">
        <w:rPr>
          <w:i/>
          <w:iCs/>
        </w:rPr>
        <w:t>Media Bureau Announces NCE FM New Station Filing Procedures and Requirements for November 2-9, 2021, Window</w:t>
      </w:r>
      <w:r w:rsidR="009D4DDF">
        <w:rPr>
          <w:i/>
          <w:iCs/>
        </w:rPr>
        <w:t>;</w:t>
      </w:r>
      <w:r w:rsidRPr="00FF2202">
        <w:rPr>
          <w:i/>
          <w:iCs/>
        </w:rPr>
        <w:t xml:space="preserve"> Limited Application Filing Freeze to Commence on October 5, 2021</w:t>
      </w:r>
      <w:r w:rsidRPr="00FF2202">
        <w:t xml:space="preserve">, Public Notice, </w:t>
      </w:r>
      <w:r>
        <w:rPr>
          <w:shd w:val="clear" w:color="auto" w:fill="FFFFFF"/>
        </w:rPr>
        <w:t xml:space="preserve">36 FCC </w:t>
      </w:r>
      <w:r>
        <w:rPr>
          <w:shd w:val="clear" w:color="auto" w:fill="FFFFFF"/>
        </w:rPr>
        <w:t>Rcd</w:t>
      </w:r>
      <w:r>
        <w:rPr>
          <w:shd w:val="clear" w:color="auto" w:fill="FFFFFF"/>
        </w:rPr>
        <w:t xml:space="preserve"> 11458</w:t>
      </w:r>
      <w:r w:rsidRPr="00FF2202">
        <w:rPr>
          <w:shd w:val="clear" w:color="auto" w:fill="FFFFFF"/>
        </w:rPr>
        <w:t xml:space="preserve"> (MB 2021)</w:t>
      </w:r>
      <w:r w:rsidR="006F42B8">
        <w:rPr>
          <w:shd w:val="clear" w:color="auto" w:fill="FFFFFF"/>
        </w:rPr>
        <w:t xml:space="preserve"> (</w:t>
      </w:r>
      <w:r w:rsidR="006F42B8">
        <w:rPr>
          <w:i/>
          <w:iCs/>
          <w:shd w:val="clear" w:color="auto" w:fill="FFFFFF"/>
        </w:rPr>
        <w:t>Procedures Public Notice</w:t>
      </w:r>
      <w:r w:rsidR="006F42B8">
        <w:rPr>
          <w:shd w:val="clear" w:color="auto" w:fill="FFFFFF"/>
        </w:rPr>
        <w:t>)</w:t>
      </w:r>
      <w:r>
        <w:rPr>
          <w:shd w:val="clear" w:color="auto" w:fill="FFFFFF"/>
        </w:rPr>
        <w:t>.</w:t>
      </w:r>
    </w:p>
  </w:footnote>
  <w:footnote w:id="16">
    <w:p w:rsidR="00F85027" w:rsidRPr="00AA4092" w:rsidP="00AA4092" w14:paraId="5DBDA655" w14:textId="11F40E09">
      <w:pPr>
        <w:pStyle w:val="FootnoteText"/>
        <w:keepNext/>
        <w:keepLines/>
        <w:widowControl w:val="0"/>
      </w:pPr>
      <w:r>
        <w:rPr>
          <w:rStyle w:val="FootnoteReference"/>
        </w:rPr>
        <w:footnoteRef/>
      </w:r>
      <w:r>
        <w:t xml:space="preserve"> </w:t>
      </w:r>
      <w:r w:rsidRPr="000A6C24" w:rsidR="000A6C24">
        <w:rPr>
          <w:i/>
          <w:iCs/>
        </w:rPr>
        <w:t>FCC Adopts Limit for NCE FM New Application in October 12-October 19, 2007 Window</w:t>
      </w:r>
      <w:r w:rsidRPr="000A6C24" w:rsidR="000A6C24">
        <w:t xml:space="preserve">, Public Notice, 22 FCC </w:t>
      </w:r>
      <w:r w:rsidRPr="000A6C24" w:rsidR="000A6C24">
        <w:t>Rcd</w:t>
      </w:r>
      <w:r w:rsidRPr="000A6C24" w:rsidR="000A6C24">
        <w:t xml:space="preserve"> 18699 (2007); </w:t>
      </w:r>
      <w:r w:rsidRPr="000A6C24" w:rsidR="000A6C24">
        <w:rPr>
          <w:i/>
          <w:iCs/>
        </w:rPr>
        <w:t>FCC Adopts 10-Application Limit for NCE FM New Stations in Upcoming 2021 Filing Window</w:t>
      </w:r>
      <w:r w:rsidRPr="000A6C24" w:rsidR="000A6C24">
        <w:t>, MB Docket No. 21-343, Public Notice,</w:t>
      </w:r>
      <w:r w:rsidRPr="000A6C24" w:rsidR="000A6C24">
        <w:rPr>
          <w:i/>
          <w:iCs/>
        </w:rPr>
        <w:t xml:space="preserve"> </w:t>
      </w:r>
      <w:r w:rsidRPr="000A6C24" w:rsidR="000A6C24">
        <w:t xml:space="preserve">36 FCC </w:t>
      </w:r>
      <w:r w:rsidRPr="00AA4092" w:rsidR="000A6C24">
        <w:t>Rcd</w:t>
      </w:r>
      <w:r w:rsidRPr="00AA4092" w:rsidR="000A6C24">
        <w:t xml:space="preserve"> 7754 (2021).</w:t>
      </w:r>
    </w:p>
  </w:footnote>
  <w:footnote w:id="17">
    <w:p w:rsidR="004E513F" w:rsidRPr="00AA4092" w:rsidP="00AA4092" w14:paraId="05267169" w14:textId="79AD9D67">
      <w:pPr>
        <w:pStyle w:val="FootnoteText"/>
        <w:keepNext/>
        <w:keepLines/>
        <w:widowControl w:val="0"/>
      </w:pPr>
      <w:r w:rsidRPr="00AA4092">
        <w:rPr>
          <w:rStyle w:val="FootnoteReference"/>
        </w:rPr>
        <w:footnoteRef/>
      </w:r>
      <w:r w:rsidRPr="00AA4092">
        <w:t xml:space="preserve"> </w:t>
      </w:r>
      <w:r w:rsidRPr="00AA4092">
        <w:rPr>
          <w:i/>
          <w:iCs/>
        </w:rPr>
        <w:t xml:space="preserve">See, e.g., MX Groups Public Notice, supra </w:t>
      </w:r>
      <w:r w:rsidRPr="00AA4092">
        <w:t>note 5.</w:t>
      </w:r>
    </w:p>
  </w:footnote>
  <w:footnote w:id="18">
    <w:p w:rsidR="00403E84" w:rsidRPr="00AA4092" w:rsidP="00AA4092" w14:paraId="23601546" w14:textId="3C16C1FF">
      <w:pPr>
        <w:pStyle w:val="FootnoteText"/>
        <w:keepNext/>
        <w:keepLines/>
        <w:widowControl w:val="0"/>
      </w:pPr>
      <w:r w:rsidRPr="00AA4092">
        <w:rPr>
          <w:rStyle w:val="FootnoteReference"/>
        </w:rPr>
        <w:footnoteRef/>
      </w:r>
      <w:r w:rsidRPr="00AA4092">
        <w:t xml:space="preserve"> </w:t>
      </w:r>
      <w:r w:rsidRPr="00AA4092" w:rsidR="000A6C24">
        <w:rPr>
          <w:i/>
          <w:iCs/>
        </w:rPr>
        <w:t xml:space="preserve">See </w:t>
      </w:r>
      <w:r w:rsidRPr="00AA4092" w:rsidR="000A6C24">
        <w:rPr>
          <w:i/>
        </w:rPr>
        <w:t xml:space="preserve">Reexamination of the Comparative Standards for Noncommercial Educational Applicants, </w:t>
      </w:r>
      <w:r w:rsidRPr="00AA4092" w:rsidR="000A6C24">
        <w:t xml:space="preserve">Notice of Proposed Rulemaking, 10 FCC </w:t>
      </w:r>
      <w:r w:rsidRPr="00AA4092" w:rsidR="000A6C24">
        <w:t>Rcd</w:t>
      </w:r>
      <w:r w:rsidRPr="00AA4092" w:rsidR="000A6C24">
        <w:t xml:space="preserve"> 2877 (1995), Further Notice of Proposed Rulemaking, 13 FCC </w:t>
      </w:r>
      <w:r w:rsidRPr="00AA4092" w:rsidR="000A6C24">
        <w:t>Rcd</w:t>
      </w:r>
      <w:r w:rsidRPr="00AA4092" w:rsidR="000A6C24">
        <w:t xml:space="preserve"> 21167 (1998),</w:t>
      </w:r>
      <w:r w:rsidRPr="00AA4092" w:rsidR="000A6C24">
        <w:rPr>
          <w:i/>
        </w:rPr>
        <w:t xml:space="preserve"> </w:t>
      </w:r>
      <w:r w:rsidRPr="00AA4092" w:rsidR="000A6C24">
        <w:t xml:space="preserve">Report and Order, 15 FCC </w:t>
      </w:r>
      <w:r w:rsidRPr="00AA4092" w:rsidR="000A6C24">
        <w:t>Rcd</w:t>
      </w:r>
      <w:r w:rsidRPr="00AA4092" w:rsidR="000A6C24">
        <w:t xml:space="preserve"> 7386 (2000), </w:t>
      </w:r>
      <w:r w:rsidRPr="00AA4092" w:rsidR="000A6C24">
        <w:rPr>
          <w:i/>
        </w:rPr>
        <w:t>vacated in part on other grounds sub nom.</w:t>
      </w:r>
      <w:r w:rsidRPr="00AA4092" w:rsidR="000A6C24">
        <w:t>,</w:t>
      </w:r>
      <w:r w:rsidRPr="00AA4092" w:rsidR="000A6C24">
        <w:rPr>
          <w:i/>
        </w:rPr>
        <w:t xml:space="preserve"> National Public Radio v. FCC, </w:t>
      </w:r>
      <w:r w:rsidRPr="00AA4092" w:rsidR="000A6C24">
        <w:t xml:space="preserve">254 F.3d 226 (D.C. Cir. 2001), </w:t>
      </w:r>
      <w:r w:rsidRPr="00AA4092" w:rsidR="000A6C24">
        <w:rPr>
          <w:i/>
        </w:rPr>
        <w:t xml:space="preserve">clarified, </w:t>
      </w:r>
      <w:r w:rsidRPr="00AA4092" w:rsidR="000A6C24">
        <w:t xml:space="preserve">Memorandum Opinion and Order, 16 FCC </w:t>
      </w:r>
      <w:r w:rsidRPr="00AA4092" w:rsidR="000A6C24">
        <w:t>Rcd</w:t>
      </w:r>
      <w:r w:rsidRPr="00AA4092" w:rsidR="000A6C24">
        <w:t xml:space="preserve"> 5074 (2001) , </w:t>
      </w:r>
      <w:r w:rsidRPr="00AA4092" w:rsidR="000A6C24">
        <w:rPr>
          <w:iCs/>
        </w:rPr>
        <w:t>Erratum</w:t>
      </w:r>
      <w:r w:rsidRPr="00AA4092" w:rsidR="000A6C24">
        <w:rPr>
          <w:i/>
        </w:rPr>
        <w:t xml:space="preserve">, </w:t>
      </w:r>
      <w:r w:rsidRPr="00AA4092" w:rsidR="000A6C24">
        <w:t xml:space="preserve">16 FCC </w:t>
      </w:r>
      <w:r w:rsidRPr="00AA4092" w:rsidR="000A6C24">
        <w:t>Rcd</w:t>
      </w:r>
      <w:r w:rsidRPr="00AA4092" w:rsidR="000A6C24">
        <w:t xml:space="preserve"> 10549, </w:t>
      </w:r>
      <w:r w:rsidRPr="00AA4092" w:rsidR="000A6C24">
        <w:rPr>
          <w:i/>
        </w:rPr>
        <w:t xml:space="preserve">recon. denied, </w:t>
      </w:r>
      <w:r w:rsidRPr="00AA4092" w:rsidR="000A6C24">
        <w:t xml:space="preserve">Memorandum Opinion and </w:t>
      </w:r>
      <w:r w:rsidRPr="00AA4092" w:rsidR="004E513F">
        <w:t>Second</w:t>
      </w:r>
      <w:r w:rsidRPr="00AA4092" w:rsidR="000A6C24">
        <w:t xml:space="preserve"> Order on Reconsideration, 17 FCC </w:t>
      </w:r>
      <w:r w:rsidRPr="00AA4092" w:rsidR="000A6C24">
        <w:t>Rcd</w:t>
      </w:r>
      <w:r w:rsidRPr="00AA4092" w:rsidR="000A6C24">
        <w:t xml:space="preserve"> 13132 (2002), </w:t>
      </w:r>
      <w:r w:rsidRPr="00AA4092" w:rsidR="000A6C24">
        <w:rPr>
          <w:i/>
        </w:rPr>
        <w:t xml:space="preserve">aff’d sub nom., American Family </w:t>
      </w:r>
      <w:r w:rsidRPr="00AA4092" w:rsidR="000A6C24">
        <w:rPr>
          <w:i/>
        </w:rPr>
        <w:t>Ass’n</w:t>
      </w:r>
      <w:r w:rsidRPr="00AA4092" w:rsidR="000A6C24">
        <w:rPr>
          <w:i/>
        </w:rPr>
        <w:t xml:space="preserve"> v. FCC, </w:t>
      </w:r>
      <w:r w:rsidRPr="00AA4092" w:rsidR="000A6C24">
        <w:t xml:space="preserve">365 F.3d 1156 (D.C. Cir. 2004), </w:t>
      </w:r>
      <w:r w:rsidRPr="00AA4092" w:rsidR="000A6C24">
        <w:rPr>
          <w:i/>
        </w:rPr>
        <w:t>cert. denied,</w:t>
      </w:r>
      <w:r w:rsidRPr="00AA4092" w:rsidR="000A6C24">
        <w:t xml:space="preserve"> 543 U.S. 1000 (2004); </w:t>
      </w:r>
      <w:r w:rsidRPr="00AA4092" w:rsidR="000A6C24">
        <w:rPr>
          <w:i/>
        </w:rPr>
        <w:t>Reexamination of the Comparative Standards and Procedures for Licensing Noncommercial Educational Broadcast Stations and Low Power FM Stations</w:t>
      </w:r>
      <w:r w:rsidRPr="00AA4092" w:rsidR="000A6C24">
        <w:t xml:space="preserve">, Notice of Proposed Rulemaking, 34 FCC </w:t>
      </w:r>
      <w:r w:rsidRPr="00AA4092" w:rsidR="000A6C24">
        <w:t>Rcd</w:t>
      </w:r>
      <w:r w:rsidRPr="00AA4092" w:rsidR="000A6C24">
        <w:t xml:space="preserve"> 851 (2019), Report and Order, 34 FCC </w:t>
      </w:r>
      <w:r w:rsidRPr="00AA4092" w:rsidR="000A6C24">
        <w:t>Rcd</w:t>
      </w:r>
      <w:r w:rsidRPr="00AA4092" w:rsidR="000A6C24">
        <w:t xml:space="preserve"> 12519 (2019).</w:t>
      </w:r>
    </w:p>
  </w:footnote>
  <w:footnote w:id="19">
    <w:p w:rsidR="00C43367" w:rsidRPr="00AA4092" w:rsidP="00AA4092" w14:paraId="66E0163A" w14:textId="75ACDFB2">
      <w:pPr>
        <w:pStyle w:val="FootnoteText"/>
        <w:keepNext/>
        <w:keepLines/>
        <w:widowControl w:val="0"/>
      </w:pPr>
      <w:r w:rsidRPr="00AA4092">
        <w:rPr>
          <w:rStyle w:val="FootnoteReference"/>
        </w:rPr>
        <w:footnoteRef/>
      </w:r>
      <w:r w:rsidRPr="00AA4092">
        <w:t xml:space="preserve"> </w:t>
      </w:r>
      <w:r w:rsidRPr="00AA4092">
        <w:rPr>
          <w:i/>
          <w:iCs/>
        </w:rPr>
        <w:t xml:space="preserve">See </w:t>
      </w:r>
      <w:r w:rsidRPr="00AA4092">
        <w:rPr>
          <w:i/>
          <w:iCs/>
          <w:color w:val="2E2E2E"/>
        </w:rPr>
        <w:t>Reexamination of the Comparative Standards and Procedures for Licensing Noncommercial Educational Broadcast Stations and Low Power FM Stations</w:t>
      </w:r>
      <w:r w:rsidRPr="00AA4092">
        <w:rPr>
          <w:color w:val="2E2E2E"/>
        </w:rPr>
        <w:t>, Order on Reconsideration, 35 FCC</w:t>
      </w:r>
      <w:r w:rsidRPr="00AA4092" w:rsidR="008765B0">
        <w:rPr>
          <w:color w:val="2E2E2E"/>
        </w:rPr>
        <w:t xml:space="preserve"> </w:t>
      </w:r>
      <w:r w:rsidRPr="00AA4092" w:rsidR="008765B0">
        <w:rPr>
          <w:color w:val="2E2E2E"/>
        </w:rPr>
        <w:t>Rcd</w:t>
      </w:r>
      <w:r w:rsidRPr="00AA4092">
        <w:rPr>
          <w:color w:val="2E2E2E"/>
        </w:rPr>
        <w:t xml:space="preserve"> 10180 (2020) (reaffirming the Commission’s long standing one</w:t>
      </w:r>
      <w:r w:rsidRPr="00AA4092" w:rsidR="008765B0">
        <w:rPr>
          <w:color w:val="2E2E2E"/>
        </w:rPr>
        <w:t>-</w:t>
      </w:r>
      <w:r w:rsidRPr="00AA4092">
        <w:rPr>
          <w:color w:val="2E2E2E"/>
        </w:rPr>
        <w:t>grant policy).</w:t>
      </w:r>
      <w:r w:rsidRPr="00AA4092" w:rsidR="008765B0">
        <w:rPr>
          <w:color w:val="2E2E2E"/>
        </w:rPr>
        <w:t xml:space="preserve">  The one-grant policy provides that only one application should be granted out of each mutually exclusive group, while providing the remaining competing applicants the opportunity to file again in the next filing window.</w:t>
      </w:r>
      <w:r w:rsidRPr="00AA4092">
        <w:rPr>
          <w:color w:val="2E2E2E"/>
        </w:rPr>
        <w:t xml:space="preserve">  </w:t>
      </w:r>
    </w:p>
  </w:footnote>
  <w:footnote w:id="20">
    <w:p w:rsidR="0066138E" w:rsidRPr="00AA4092" w:rsidP="00AA4092" w14:paraId="08DA6F1A" w14:textId="0A92CDD5">
      <w:pPr>
        <w:pStyle w:val="FootnoteText"/>
        <w:keepNext/>
        <w:keepLines/>
        <w:widowControl w:val="0"/>
      </w:pPr>
      <w:r w:rsidRPr="00AA4092">
        <w:rPr>
          <w:rStyle w:val="FootnoteReference"/>
        </w:rPr>
        <w:footnoteRef/>
      </w:r>
      <w:r w:rsidRPr="00AA4092">
        <w:t xml:space="preserve"> </w:t>
      </w:r>
      <w:r w:rsidRPr="00AA4092">
        <w:rPr>
          <w:i/>
          <w:iCs/>
        </w:rPr>
        <w:t xml:space="preserve">See </w:t>
      </w:r>
      <w:r w:rsidRPr="00AA4092" w:rsidR="0094714E">
        <w:rPr>
          <w:i/>
          <w:iCs/>
        </w:rPr>
        <w:t>MX Groups Public Notice</w:t>
      </w:r>
      <w:r w:rsidRPr="00AA4092" w:rsidR="0094714E">
        <w:t xml:space="preserve">, 36 FCC </w:t>
      </w:r>
      <w:r w:rsidRPr="00AA4092" w:rsidR="0094714E">
        <w:t>Rcd</w:t>
      </w:r>
      <w:r w:rsidRPr="00AA4092" w:rsidR="0094714E">
        <w:t xml:space="preserve"> at 16543.  </w:t>
      </w:r>
      <w:r w:rsidRPr="00AA4092">
        <w:t xml:space="preserve">In contrast, the Bureau staff will review each singleton application for technical </w:t>
      </w:r>
      <w:r w:rsidRPr="00AA4092" w:rsidR="00BE26F2">
        <w:t xml:space="preserve">and legal </w:t>
      </w:r>
      <w:r w:rsidRPr="00AA4092">
        <w:t xml:space="preserve">acceptability.  </w:t>
      </w:r>
      <w:r w:rsidRPr="00AA4092">
        <w:rPr>
          <w:i/>
          <w:iCs/>
        </w:rPr>
        <w:t>See</w:t>
      </w:r>
      <w:r w:rsidRPr="00AA4092">
        <w:t xml:space="preserve"> </w:t>
      </w:r>
      <w:r w:rsidRPr="00AA4092">
        <w:rPr>
          <w:i/>
          <w:iCs/>
        </w:rPr>
        <w:t xml:space="preserve">Media Bureau Dismisses Defective Singleton </w:t>
      </w:r>
      <w:r w:rsidRPr="00AA4092" w:rsidR="00E509EC">
        <w:rPr>
          <w:i/>
          <w:iCs/>
        </w:rPr>
        <w:t>A</w:t>
      </w:r>
      <w:r w:rsidRPr="00AA4092">
        <w:rPr>
          <w:i/>
          <w:iCs/>
        </w:rPr>
        <w:t>pplications Submitted in the November 2021, Filing Window for New Noncommercial Educational FM Stations</w:t>
      </w:r>
      <w:r w:rsidRPr="00AA4092">
        <w:t xml:space="preserve">, Public Notice, 36 FCC </w:t>
      </w:r>
      <w:r w:rsidRPr="00AA4092">
        <w:t>Rcd</w:t>
      </w:r>
      <w:r w:rsidRPr="00AA4092">
        <w:t xml:space="preserve"> 16718 (MB 2021).</w:t>
      </w:r>
    </w:p>
  </w:footnote>
  <w:footnote w:id="21">
    <w:p w:rsidR="00525D97" w:rsidRPr="00525D97" w:rsidP="00AA4092" w14:paraId="23F6B6A1" w14:textId="70856FD5">
      <w:pPr>
        <w:pStyle w:val="FootnoteText"/>
        <w:keepNext/>
        <w:keepLines/>
        <w:widowControl w:val="0"/>
      </w:pPr>
      <w:r w:rsidRPr="00AA4092">
        <w:rPr>
          <w:rStyle w:val="FootnoteReference"/>
        </w:rPr>
        <w:footnoteRef/>
      </w:r>
      <w:r w:rsidRPr="00AA4092">
        <w:t xml:space="preserve"> </w:t>
      </w:r>
      <w:r w:rsidRPr="00AA4092">
        <w:rPr>
          <w:i/>
          <w:iCs/>
        </w:rPr>
        <w:t xml:space="preserve">See MX Groups Public Notice, supra </w:t>
      </w:r>
      <w:r w:rsidRPr="00AA4092">
        <w:t>note 5.</w:t>
      </w:r>
    </w:p>
  </w:footnote>
  <w:footnote w:id="22">
    <w:p w:rsidR="00F50B86" w:rsidP="00F50B86" w14:paraId="150DA4D1" w14:textId="501D3904">
      <w:pPr>
        <w:pStyle w:val="FootnoteText"/>
      </w:pPr>
      <w:r>
        <w:rPr>
          <w:rStyle w:val="FootnoteReference"/>
        </w:rPr>
        <w:footnoteRef/>
      </w:r>
      <w:r>
        <w:t xml:space="preserve"> </w:t>
      </w:r>
      <w:r>
        <w:rPr>
          <w:i/>
          <w:iCs/>
        </w:rPr>
        <w:t>See Open Media Corporation</w:t>
      </w:r>
      <w:r>
        <w:t xml:space="preserve">, Memorandum Opinion and Order, 8 FCC </w:t>
      </w:r>
      <w:r>
        <w:t>Rcd</w:t>
      </w:r>
      <w:r>
        <w:t xml:space="preserve"> 4070, 4073, para. 16 (1993) (holding that section 73.3520 of the </w:t>
      </w:r>
      <w:r w:rsidR="006D5DEF">
        <w:t>r</w:t>
      </w:r>
      <w:r>
        <w:t xml:space="preserve">ules does not apply to NCE stations because the rule is a multiple ownership rule and therefore inapplicable in the NCE context).  </w:t>
      </w:r>
    </w:p>
  </w:footnote>
  <w:footnote w:id="23">
    <w:p w:rsidR="00F85027" w:rsidRPr="00AA4092" w14:paraId="3C4140B0" w14:textId="0C211F14">
      <w:pPr>
        <w:pStyle w:val="FootnoteText"/>
      </w:pPr>
      <w:r>
        <w:rPr>
          <w:rStyle w:val="FootnoteReference"/>
        </w:rPr>
        <w:footnoteRef/>
      </w:r>
      <w:r>
        <w:t xml:space="preserve"> Conversely, we note that the Inconsistent Applications Rule is applicable in the LPFM context, where applicants are subject to stringent ownership limits and generally only permitted to file one application</w:t>
      </w:r>
      <w:r w:rsidR="006D5DEF">
        <w:t xml:space="preserve"> in a window</w:t>
      </w:r>
      <w:r>
        <w:t xml:space="preserve">.  </w:t>
      </w:r>
      <w:r>
        <w:rPr>
          <w:i/>
          <w:iCs/>
        </w:rPr>
        <w:t xml:space="preserve">See </w:t>
      </w:r>
      <w:r>
        <w:t xml:space="preserve">47 CFR § 73.860.  During previous LPFM filing windows, we have explicitly warned applicants that the Inconsistent Applications Rule would be enforced.  </w:t>
      </w:r>
      <w:r>
        <w:rPr>
          <w:i/>
          <w:iCs/>
        </w:rPr>
        <w:t xml:space="preserve">See, </w:t>
      </w:r>
      <w:r>
        <w:rPr>
          <w:i/>
          <w:iCs/>
        </w:rPr>
        <w:t>e,g</w:t>
      </w:r>
      <w:r>
        <w:rPr>
          <w:i/>
          <w:iCs/>
        </w:rPr>
        <w:t>., Media Bureau Announces Availability of the Revised FCC Form 318 and the Filing Procedures for October 15 – October 29, 2013 Low Power FM Filing Window</w:t>
      </w:r>
      <w:r>
        <w:t xml:space="preserve">, Public Notice, 28 FCC </w:t>
      </w:r>
      <w:r>
        <w:t>Rcd</w:t>
      </w:r>
      <w:r>
        <w:t xml:space="preserve"> 8854, 8857 (MB 2013) (warning that applicants that file a second application will face dismissal under section 73.3518); </w:t>
      </w:r>
      <w:r>
        <w:rPr>
          <w:i/>
          <w:iCs/>
        </w:rPr>
        <w:t xml:space="preserve">see also </w:t>
      </w:r>
      <w:r>
        <w:t xml:space="preserve">47 CFR </w:t>
      </w:r>
      <w:r w:rsidRPr="00F270B5">
        <w:t>§</w:t>
      </w:r>
      <w:r>
        <w:t xml:space="preserve"> 73.801 (applying the Inconsistent Applications Rule to LPFM stations).</w:t>
      </w:r>
      <w:r w:rsidR="006C2AC4">
        <w:t xml:space="preserve">  In contrast, as noted above, during the 2021 NCE FM filing window, applicants could file up to ten applications, and the Bureau notified applicants that it would only dismiss any latter-filed applications which exceeded this limit.  </w:t>
      </w:r>
      <w:r w:rsidR="006C2AC4">
        <w:rPr>
          <w:i/>
          <w:iCs/>
        </w:rPr>
        <w:t xml:space="preserve">Supra </w:t>
      </w:r>
      <w:r w:rsidRPr="00AA4092" w:rsidR="006C2AC4">
        <w:t xml:space="preserve">note </w:t>
      </w:r>
      <w:r w:rsidRPr="00AA4092" w:rsidR="006F42B8">
        <w:t>15</w:t>
      </w:r>
      <w:r w:rsidRPr="00AA4092" w:rsidR="006C2AC4">
        <w:t>.</w:t>
      </w:r>
    </w:p>
  </w:footnote>
  <w:footnote w:id="24">
    <w:p w:rsidR="00DE79D6" w:rsidRPr="00AA4092" w14:paraId="4FD8D216" w14:textId="13C9D7C3">
      <w:pPr>
        <w:pStyle w:val="FootnoteText"/>
      </w:pPr>
      <w:r w:rsidRPr="00AA4092">
        <w:rPr>
          <w:rStyle w:val="FootnoteReference"/>
        </w:rPr>
        <w:footnoteRef/>
      </w:r>
      <w:r w:rsidRPr="00AA4092">
        <w:t xml:space="preserve"> </w:t>
      </w:r>
      <w:r w:rsidRPr="00AA4092" w:rsidR="006F42B8">
        <w:t>47 CFR § 1.3.</w:t>
      </w:r>
    </w:p>
  </w:footnote>
  <w:footnote w:id="25">
    <w:p w:rsidR="006F42B8" w:rsidRPr="00AA4092" w:rsidP="006F42B8" w14:paraId="274570B8" w14:textId="77777777">
      <w:pPr>
        <w:pStyle w:val="FootnoteText"/>
      </w:pPr>
      <w:r w:rsidRPr="00AA4092">
        <w:rPr>
          <w:rStyle w:val="FootnoteReference"/>
        </w:rPr>
        <w:footnoteRef/>
      </w:r>
      <w:r w:rsidRPr="00AA4092">
        <w:t xml:space="preserve"> </w:t>
      </w:r>
      <w:r w:rsidRPr="00AA4092">
        <w:rPr>
          <w:i/>
        </w:rPr>
        <w:t>NetworkIP</w:t>
      </w:r>
      <w:r w:rsidRPr="00AA4092">
        <w:rPr>
          <w:i/>
        </w:rPr>
        <w:t>, LLC v. FCC</w:t>
      </w:r>
      <w:r w:rsidRPr="00AA4092">
        <w:t xml:space="preserve">, 548 F.3d 116, 125-128 (D.C. Cir. 2008) (citing </w:t>
      </w:r>
      <w:r w:rsidRPr="00AA4092">
        <w:rPr>
          <w:i/>
        </w:rPr>
        <w:t>Northeast Cellular Telephone Co.</w:t>
      </w:r>
      <w:r w:rsidRPr="00AA4092">
        <w:t>, 897 F.2d 1164, 1166 (1990)).</w:t>
      </w:r>
    </w:p>
  </w:footnote>
  <w:footnote w:id="26">
    <w:p w:rsidR="006F42B8" w:rsidRPr="006F42B8" w14:paraId="3A044869" w14:textId="61BCAE35">
      <w:pPr>
        <w:pStyle w:val="FootnoteText"/>
      </w:pPr>
      <w:r w:rsidRPr="00AA4092">
        <w:rPr>
          <w:rStyle w:val="FootnoteReference"/>
        </w:rPr>
        <w:footnoteRef/>
      </w:r>
      <w:r w:rsidRPr="00AA4092">
        <w:t xml:space="preserve"> </w:t>
      </w:r>
      <w:r w:rsidRPr="00AA4092">
        <w:rPr>
          <w:i/>
          <w:iCs/>
        </w:rPr>
        <w:t>Compare</w:t>
      </w:r>
      <w:r w:rsidRPr="00AA4092">
        <w:t xml:space="preserve"> </w:t>
      </w:r>
      <w:r w:rsidRPr="00AA4092">
        <w:rPr>
          <w:i/>
          <w:iCs/>
        </w:rPr>
        <w:t xml:space="preserve">supra </w:t>
      </w:r>
      <w:r w:rsidRPr="00AA4092">
        <w:t>note 2</w:t>
      </w:r>
      <w:r w:rsidRPr="00AA4092" w:rsidR="00D42138">
        <w:t>2</w:t>
      </w:r>
      <w:r w:rsidRPr="00AA40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6C35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F383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77777777">
    <w:pPr>
      <w:pStyle w:val="Header"/>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jc w:val="center"/>
    </w:pPr>
  </w:p>
  <w:p w:rsidR="002B54DB" w14:paraId="5CFCF028" w14:textId="77777777">
    <w:pPr>
      <w:pStyle w:val="Header"/>
      <w:jc w:val="center"/>
    </w:pPr>
  </w:p>
  <w:p w:rsidR="002B54DB" w14:paraId="6E96285D" w14:textId="0E89656D">
    <w:pPr>
      <w:pStyle w:val="Header"/>
      <w:jc w:val="center"/>
      <w:rPr>
        <w:sz w:val="24"/>
      </w:rPr>
    </w:pPr>
    <w:r>
      <w:rPr>
        <w:sz w:val="24"/>
      </w:rPr>
      <w:fldChar w:fldCharType="begin"/>
    </w:r>
    <w:r>
      <w:rPr>
        <w:sz w:val="24"/>
      </w:rPr>
      <w:instrText xml:space="preserve"> TIME \@ "MMMM d, yyyy" </w:instrText>
    </w:r>
    <w:r>
      <w:rPr>
        <w:sz w:val="24"/>
      </w:rPr>
      <w:fldChar w:fldCharType="separate"/>
    </w:r>
    <w:r w:rsidR="00970C96">
      <w:rPr>
        <w:noProof/>
        <w:sz w:val="24"/>
      </w:rPr>
      <w:t>December 14,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E3"/>
    <w:rsid w:val="00003DF2"/>
    <w:rsid w:val="000120CF"/>
    <w:rsid w:val="00013713"/>
    <w:rsid w:val="00015D34"/>
    <w:rsid w:val="00017778"/>
    <w:rsid w:val="00020D07"/>
    <w:rsid w:val="00035EA3"/>
    <w:rsid w:val="0005541D"/>
    <w:rsid w:val="000554D7"/>
    <w:rsid w:val="00060035"/>
    <w:rsid w:val="00067995"/>
    <w:rsid w:val="000700A8"/>
    <w:rsid w:val="00086852"/>
    <w:rsid w:val="000A3290"/>
    <w:rsid w:val="000A381D"/>
    <w:rsid w:val="000A4B36"/>
    <w:rsid w:val="000A68E7"/>
    <w:rsid w:val="000A6C24"/>
    <w:rsid w:val="000B405E"/>
    <w:rsid w:val="000B4F6D"/>
    <w:rsid w:val="000C2309"/>
    <w:rsid w:val="000D62C2"/>
    <w:rsid w:val="000E600C"/>
    <w:rsid w:val="00103C3E"/>
    <w:rsid w:val="00132CB7"/>
    <w:rsid w:val="001333F1"/>
    <w:rsid w:val="00136AE6"/>
    <w:rsid w:val="0014569F"/>
    <w:rsid w:val="00146E1A"/>
    <w:rsid w:val="001766C1"/>
    <w:rsid w:val="001778C0"/>
    <w:rsid w:val="00195D55"/>
    <w:rsid w:val="00197155"/>
    <w:rsid w:val="001A7B08"/>
    <w:rsid w:val="001D1F68"/>
    <w:rsid w:val="001D69DC"/>
    <w:rsid w:val="00204CE3"/>
    <w:rsid w:val="00224447"/>
    <w:rsid w:val="0022656F"/>
    <w:rsid w:val="002349F2"/>
    <w:rsid w:val="002470A5"/>
    <w:rsid w:val="00263721"/>
    <w:rsid w:val="002732E1"/>
    <w:rsid w:val="0028206F"/>
    <w:rsid w:val="00284616"/>
    <w:rsid w:val="00284807"/>
    <w:rsid w:val="002865B0"/>
    <w:rsid w:val="002923C6"/>
    <w:rsid w:val="002B54DB"/>
    <w:rsid w:val="002E5FC1"/>
    <w:rsid w:val="002F0307"/>
    <w:rsid w:val="003056C6"/>
    <w:rsid w:val="00306104"/>
    <w:rsid w:val="0031095E"/>
    <w:rsid w:val="00311196"/>
    <w:rsid w:val="00337C5D"/>
    <w:rsid w:val="00340FD6"/>
    <w:rsid w:val="00366214"/>
    <w:rsid w:val="0037503D"/>
    <w:rsid w:val="00391061"/>
    <w:rsid w:val="003930CF"/>
    <w:rsid w:val="003B2CAA"/>
    <w:rsid w:val="003C7866"/>
    <w:rsid w:val="003E2F45"/>
    <w:rsid w:val="003E7AE6"/>
    <w:rsid w:val="00401FB6"/>
    <w:rsid w:val="00403E84"/>
    <w:rsid w:val="00406C17"/>
    <w:rsid w:val="00406F49"/>
    <w:rsid w:val="0041182F"/>
    <w:rsid w:val="00414EBF"/>
    <w:rsid w:val="00420838"/>
    <w:rsid w:val="00425E24"/>
    <w:rsid w:val="004345CC"/>
    <w:rsid w:val="00443C87"/>
    <w:rsid w:val="00446675"/>
    <w:rsid w:val="00452113"/>
    <w:rsid w:val="00467541"/>
    <w:rsid w:val="0047472D"/>
    <w:rsid w:val="00476ABD"/>
    <w:rsid w:val="00496C5B"/>
    <w:rsid w:val="004A1F5F"/>
    <w:rsid w:val="004A6189"/>
    <w:rsid w:val="004C344B"/>
    <w:rsid w:val="004C60C8"/>
    <w:rsid w:val="004D3B53"/>
    <w:rsid w:val="004E2126"/>
    <w:rsid w:val="004E513F"/>
    <w:rsid w:val="005160B7"/>
    <w:rsid w:val="00525D97"/>
    <w:rsid w:val="00531D8A"/>
    <w:rsid w:val="00542231"/>
    <w:rsid w:val="005435E6"/>
    <w:rsid w:val="00575468"/>
    <w:rsid w:val="005770DF"/>
    <w:rsid w:val="005777B2"/>
    <w:rsid w:val="005A22F3"/>
    <w:rsid w:val="005B2B55"/>
    <w:rsid w:val="005B41FE"/>
    <w:rsid w:val="005C1914"/>
    <w:rsid w:val="005C780E"/>
    <w:rsid w:val="005D2462"/>
    <w:rsid w:val="005E0EF9"/>
    <w:rsid w:val="006001A1"/>
    <w:rsid w:val="0060397A"/>
    <w:rsid w:val="006063F9"/>
    <w:rsid w:val="006248EE"/>
    <w:rsid w:val="00641547"/>
    <w:rsid w:val="00645E40"/>
    <w:rsid w:val="006528D9"/>
    <w:rsid w:val="0066138E"/>
    <w:rsid w:val="006615F8"/>
    <w:rsid w:val="0066543D"/>
    <w:rsid w:val="00670AD4"/>
    <w:rsid w:val="00675108"/>
    <w:rsid w:val="00682884"/>
    <w:rsid w:val="006870DA"/>
    <w:rsid w:val="00695382"/>
    <w:rsid w:val="006C2AC4"/>
    <w:rsid w:val="006C6331"/>
    <w:rsid w:val="006C6C0D"/>
    <w:rsid w:val="006D037D"/>
    <w:rsid w:val="006D2F1E"/>
    <w:rsid w:val="006D5DEF"/>
    <w:rsid w:val="006E1804"/>
    <w:rsid w:val="006F42B8"/>
    <w:rsid w:val="006F4679"/>
    <w:rsid w:val="00701B6F"/>
    <w:rsid w:val="00726264"/>
    <w:rsid w:val="00732A29"/>
    <w:rsid w:val="00737229"/>
    <w:rsid w:val="00762442"/>
    <w:rsid w:val="00765AA2"/>
    <w:rsid w:val="00777C73"/>
    <w:rsid w:val="00783BF5"/>
    <w:rsid w:val="00787B0D"/>
    <w:rsid w:val="007B294A"/>
    <w:rsid w:val="007D17C9"/>
    <w:rsid w:val="007D2BC8"/>
    <w:rsid w:val="007E5D42"/>
    <w:rsid w:val="00810907"/>
    <w:rsid w:val="00813890"/>
    <w:rsid w:val="00825180"/>
    <w:rsid w:val="00836A03"/>
    <w:rsid w:val="0084528B"/>
    <w:rsid w:val="008765B0"/>
    <w:rsid w:val="00884A1E"/>
    <w:rsid w:val="008A5F79"/>
    <w:rsid w:val="008A7C70"/>
    <w:rsid w:val="008B1045"/>
    <w:rsid w:val="008C04E7"/>
    <w:rsid w:val="008C436E"/>
    <w:rsid w:val="008D05C9"/>
    <w:rsid w:val="008D4429"/>
    <w:rsid w:val="008E6A00"/>
    <w:rsid w:val="00925149"/>
    <w:rsid w:val="009259FE"/>
    <w:rsid w:val="00926BF3"/>
    <w:rsid w:val="00934230"/>
    <w:rsid w:val="00943764"/>
    <w:rsid w:val="0094714E"/>
    <w:rsid w:val="00957183"/>
    <w:rsid w:val="00970C96"/>
    <w:rsid w:val="00971EED"/>
    <w:rsid w:val="009727D9"/>
    <w:rsid w:val="00975D22"/>
    <w:rsid w:val="00977230"/>
    <w:rsid w:val="00990652"/>
    <w:rsid w:val="00991F3B"/>
    <w:rsid w:val="00996A1A"/>
    <w:rsid w:val="00997E1A"/>
    <w:rsid w:val="009A4BA7"/>
    <w:rsid w:val="009A64AE"/>
    <w:rsid w:val="009B78DA"/>
    <w:rsid w:val="009D4DDF"/>
    <w:rsid w:val="009D5802"/>
    <w:rsid w:val="009E74DA"/>
    <w:rsid w:val="009F0DB9"/>
    <w:rsid w:val="009F2694"/>
    <w:rsid w:val="009F7929"/>
    <w:rsid w:val="00A06111"/>
    <w:rsid w:val="00A147CF"/>
    <w:rsid w:val="00A150E8"/>
    <w:rsid w:val="00A17129"/>
    <w:rsid w:val="00A353D2"/>
    <w:rsid w:val="00A3552C"/>
    <w:rsid w:val="00A36EC3"/>
    <w:rsid w:val="00A409AA"/>
    <w:rsid w:val="00A603C1"/>
    <w:rsid w:val="00A62ED5"/>
    <w:rsid w:val="00A70442"/>
    <w:rsid w:val="00A76E6A"/>
    <w:rsid w:val="00A920C9"/>
    <w:rsid w:val="00A962F0"/>
    <w:rsid w:val="00A969A4"/>
    <w:rsid w:val="00AA4092"/>
    <w:rsid w:val="00AB5C13"/>
    <w:rsid w:val="00AB6327"/>
    <w:rsid w:val="00AC5C9D"/>
    <w:rsid w:val="00AD116B"/>
    <w:rsid w:val="00AE0121"/>
    <w:rsid w:val="00AE18E4"/>
    <w:rsid w:val="00AF4866"/>
    <w:rsid w:val="00B21E1F"/>
    <w:rsid w:val="00B3269F"/>
    <w:rsid w:val="00B43E3A"/>
    <w:rsid w:val="00B45B96"/>
    <w:rsid w:val="00B50814"/>
    <w:rsid w:val="00B51A46"/>
    <w:rsid w:val="00B6338D"/>
    <w:rsid w:val="00B70406"/>
    <w:rsid w:val="00B74CCB"/>
    <w:rsid w:val="00B80D06"/>
    <w:rsid w:val="00BB1952"/>
    <w:rsid w:val="00BC4BA8"/>
    <w:rsid w:val="00BC58C7"/>
    <w:rsid w:val="00BC64A4"/>
    <w:rsid w:val="00BC6CE2"/>
    <w:rsid w:val="00BE26F2"/>
    <w:rsid w:val="00BE6A58"/>
    <w:rsid w:val="00BF7E86"/>
    <w:rsid w:val="00C03E58"/>
    <w:rsid w:val="00C115F3"/>
    <w:rsid w:val="00C25879"/>
    <w:rsid w:val="00C31230"/>
    <w:rsid w:val="00C31624"/>
    <w:rsid w:val="00C42433"/>
    <w:rsid w:val="00C43367"/>
    <w:rsid w:val="00C51CD6"/>
    <w:rsid w:val="00C70F01"/>
    <w:rsid w:val="00C7249E"/>
    <w:rsid w:val="00C80682"/>
    <w:rsid w:val="00C82F02"/>
    <w:rsid w:val="00C90A83"/>
    <w:rsid w:val="00CB6F4A"/>
    <w:rsid w:val="00CC75EA"/>
    <w:rsid w:val="00CE1C96"/>
    <w:rsid w:val="00CF1D84"/>
    <w:rsid w:val="00D107DE"/>
    <w:rsid w:val="00D13EF4"/>
    <w:rsid w:val="00D20B0A"/>
    <w:rsid w:val="00D26DE5"/>
    <w:rsid w:val="00D3661D"/>
    <w:rsid w:val="00D42138"/>
    <w:rsid w:val="00D52E96"/>
    <w:rsid w:val="00D53B4E"/>
    <w:rsid w:val="00D61267"/>
    <w:rsid w:val="00D62D8C"/>
    <w:rsid w:val="00D66C47"/>
    <w:rsid w:val="00D81906"/>
    <w:rsid w:val="00D82800"/>
    <w:rsid w:val="00D86A83"/>
    <w:rsid w:val="00DA52B6"/>
    <w:rsid w:val="00DE79D6"/>
    <w:rsid w:val="00DF03D9"/>
    <w:rsid w:val="00DF407C"/>
    <w:rsid w:val="00DF79F7"/>
    <w:rsid w:val="00E146CF"/>
    <w:rsid w:val="00E157A4"/>
    <w:rsid w:val="00E210BA"/>
    <w:rsid w:val="00E21464"/>
    <w:rsid w:val="00E31DCC"/>
    <w:rsid w:val="00E35531"/>
    <w:rsid w:val="00E40460"/>
    <w:rsid w:val="00E44C04"/>
    <w:rsid w:val="00E509EC"/>
    <w:rsid w:val="00E51A4F"/>
    <w:rsid w:val="00E81398"/>
    <w:rsid w:val="00E93568"/>
    <w:rsid w:val="00E93732"/>
    <w:rsid w:val="00EA18F4"/>
    <w:rsid w:val="00EB1EA0"/>
    <w:rsid w:val="00EB67DB"/>
    <w:rsid w:val="00EC1E8D"/>
    <w:rsid w:val="00ED4C0E"/>
    <w:rsid w:val="00EE5015"/>
    <w:rsid w:val="00F11FEE"/>
    <w:rsid w:val="00F2396A"/>
    <w:rsid w:val="00F270B5"/>
    <w:rsid w:val="00F36CEE"/>
    <w:rsid w:val="00F375E2"/>
    <w:rsid w:val="00F47080"/>
    <w:rsid w:val="00F50B86"/>
    <w:rsid w:val="00F7142F"/>
    <w:rsid w:val="00F736EA"/>
    <w:rsid w:val="00F74396"/>
    <w:rsid w:val="00F80195"/>
    <w:rsid w:val="00F81B8C"/>
    <w:rsid w:val="00F85027"/>
    <w:rsid w:val="00F90856"/>
    <w:rsid w:val="00FA6F51"/>
    <w:rsid w:val="00FC7539"/>
    <w:rsid w:val="00FE4097"/>
    <w:rsid w:val="00FF0A2F"/>
    <w:rsid w:val="00FF2202"/>
    <w:rsid w:val="00FF4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C96"/>
    <w:pPr>
      <w:widowControl w:val="0"/>
    </w:pPr>
    <w:rPr>
      <w:snapToGrid w:val="0"/>
      <w:kern w:val="28"/>
      <w:sz w:val="22"/>
    </w:rPr>
  </w:style>
  <w:style w:type="paragraph" w:styleId="Heading1">
    <w:name w:val="heading 1"/>
    <w:basedOn w:val="Normal"/>
    <w:next w:val="ParaNum"/>
    <w:link w:val="Heading1Char"/>
    <w:qFormat/>
    <w:rsid w:val="00970C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70C96"/>
    <w:pPr>
      <w:keepNext/>
      <w:numPr>
        <w:ilvl w:val="1"/>
        <w:numId w:val="3"/>
      </w:numPr>
      <w:spacing w:after="120"/>
      <w:outlineLvl w:val="1"/>
    </w:pPr>
    <w:rPr>
      <w:b/>
    </w:rPr>
  </w:style>
  <w:style w:type="paragraph" w:styleId="Heading3">
    <w:name w:val="heading 3"/>
    <w:basedOn w:val="Normal"/>
    <w:next w:val="ParaNum"/>
    <w:link w:val="Heading3Char"/>
    <w:qFormat/>
    <w:rsid w:val="00970C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70C9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70C9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70C9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70C9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70C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70C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0C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0C96"/>
  </w:style>
  <w:style w:type="paragraph" w:styleId="Header">
    <w:name w:val="header"/>
    <w:basedOn w:val="Normal"/>
    <w:autoRedefine/>
    <w:rsid w:val="00970C96"/>
    <w:pPr>
      <w:tabs>
        <w:tab w:val="center" w:pos="4680"/>
        <w:tab w:val="right" w:pos="9360"/>
      </w:tabs>
    </w:pPr>
    <w:rPr>
      <w:b/>
    </w:rPr>
  </w:style>
  <w:style w:type="paragraph" w:styleId="Footer">
    <w:name w:val="footer"/>
    <w:basedOn w:val="Normal"/>
    <w:link w:val="FooterChar"/>
    <w:uiPriority w:val="99"/>
    <w:rsid w:val="00970C96"/>
    <w:pPr>
      <w:tabs>
        <w:tab w:val="center" w:pos="4320"/>
        <w:tab w:val="right" w:pos="8640"/>
      </w:tabs>
    </w:pPr>
  </w:style>
  <w:style w:type="paragraph" w:customStyle="1" w:styleId="ParaNum">
    <w:name w:val="ParaNum"/>
    <w:basedOn w:val="Normal"/>
    <w:rsid w:val="00970C96"/>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970C9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rsid w:val="00340FD6"/>
  </w:style>
  <w:style w:type="character" w:styleId="FootnoteReference">
    <w:name w:val="footnote reference"/>
    <w:aliases w:val="(NECG) Footnote Reference,Appel note de bas de p,FR,Footnote Reference/,Style 12,Style 124,Style 13,Style 17,Style 3,Style 4,Style 6,fr,o"/>
    <w:rsid w:val="00970C9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970C96"/>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970C96"/>
    <w:rPr>
      <w:vertAlign w:val="superscript"/>
    </w:rPr>
  </w:style>
  <w:style w:type="paragraph" w:styleId="TOC1">
    <w:name w:val="toc 1"/>
    <w:basedOn w:val="Normal"/>
    <w:next w:val="Normal"/>
    <w:semiHidden/>
    <w:rsid w:val="00970C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0C96"/>
    <w:pPr>
      <w:tabs>
        <w:tab w:val="left" w:pos="720"/>
        <w:tab w:val="right" w:leader="dot" w:pos="9360"/>
      </w:tabs>
      <w:suppressAutoHyphens/>
      <w:ind w:left="720" w:right="720" w:hanging="360"/>
    </w:pPr>
    <w:rPr>
      <w:noProof/>
    </w:rPr>
  </w:style>
  <w:style w:type="paragraph" w:styleId="TOC3">
    <w:name w:val="toc 3"/>
    <w:basedOn w:val="Normal"/>
    <w:next w:val="Normal"/>
    <w:semiHidden/>
    <w:rsid w:val="00970C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0C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0C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0C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0C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0C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0C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0C96"/>
    <w:pPr>
      <w:tabs>
        <w:tab w:val="right" w:pos="9360"/>
      </w:tabs>
      <w:suppressAutoHyphens/>
    </w:pPr>
  </w:style>
  <w:style w:type="character" w:customStyle="1" w:styleId="EquationCaption">
    <w:name w:val="_Equation Caption"/>
    <w:rsid w:val="00970C96"/>
  </w:style>
  <w:style w:type="character" w:styleId="PageNumber">
    <w:name w:val="page number"/>
    <w:basedOn w:val="DefaultParagraphFont"/>
    <w:rsid w:val="00970C96"/>
  </w:style>
  <w:style w:type="paragraph" w:styleId="BlockText">
    <w:name w:val="Block Text"/>
    <w:basedOn w:val="Normal"/>
    <w:rsid w:val="00970C96"/>
    <w:pPr>
      <w:spacing w:after="240"/>
      <w:ind w:left="1440" w:right="1440"/>
    </w:pPr>
  </w:style>
  <w:style w:type="paragraph" w:customStyle="1" w:styleId="Paratitle">
    <w:name w:val="Para title"/>
    <w:basedOn w:val="Normal"/>
    <w:rsid w:val="00970C96"/>
    <w:pPr>
      <w:tabs>
        <w:tab w:val="center" w:pos="9270"/>
      </w:tabs>
      <w:spacing w:after="240"/>
    </w:pPr>
    <w:rPr>
      <w:spacing w:val="-2"/>
    </w:rPr>
  </w:style>
  <w:style w:type="paragraph" w:customStyle="1" w:styleId="Bullet">
    <w:name w:val="Bullet"/>
    <w:basedOn w:val="Normal"/>
    <w:rsid w:val="00970C96"/>
    <w:pPr>
      <w:tabs>
        <w:tab w:val="left" w:pos="2160"/>
      </w:tabs>
      <w:spacing w:after="220"/>
      <w:ind w:left="2160" w:hanging="720"/>
    </w:pPr>
  </w:style>
  <w:style w:type="paragraph" w:customStyle="1" w:styleId="TableFormat">
    <w:name w:val="TableFormat"/>
    <w:basedOn w:val="Bullet"/>
    <w:rsid w:val="00970C96"/>
    <w:pPr>
      <w:tabs>
        <w:tab w:val="clear" w:pos="2160"/>
        <w:tab w:val="left" w:pos="5040"/>
      </w:tabs>
      <w:ind w:left="5040" w:hanging="3600"/>
    </w:pPr>
  </w:style>
  <w:style w:type="paragraph" w:customStyle="1" w:styleId="TOCTitle">
    <w:name w:val="TOC Title"/>
    <w:basedOn w:val="Normal"/>
    <w:rsid w:val="00970C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0C96"/>
    <w:pPr>
      <w:jc w:val="center"/>
    </w:pPr>
    <w:rPr>
      <w:rFonts w:ascii="Times New Roman Bold" w:hAnsi="Times New Roman Bold"/>
      <w:b/>
      <w:bCs/>
      <w:caps/>
      <w:szCs w:val="22"/>
    </w:rPr>
  </w:style>
  <w:style w:type="character" w:styleId="Hyperlink">
    <w:name w:val="Hyperlink"/>
    <w:rsid w:val="00970C96"/>
    <w:rPr>
      <w:color w:val="0000FF"/>
      <w:u w:val="single"/>
    </w:rPr>
  </w:style>
  <w:style w:type="character" w:customStyle="1" w:styleId="FooterChar">
    <w:name w:val="Footer Char"/>
    <w:link w:val="Footer"/>
    <w:uiPriority w:val="99"/>
    <w:rsid w:val="00970C96"/>
    <w:rPr>
      <w:snapToGrid w:val="0"/>
      <w:kern w:val="28"/>
      <w:sz w:val="22"/>
    </w:rPr>
  </w:style>
  <w:style w:type="paragraph" w:styleId="Revision">
    <w:name w:val="Revision"/>
    <w:hidden/>
    <w:uiPriority w:val="99"/>
    <w:semiHidden/>
    <w:rsid w:val="00996A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