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82657" w:rsidP="00182657" w14:paraId="7C5704BF" w14:textId="174A10EB">
      <w:pPr>
        <w:pStyle w:val="Header"/>
        <w:tabs>
          <w:tab w:val="clear" w:pos="4320"/>
        </w:tabs>
        <w:jc w:val="center"/>
        <w:rPr>
          <w:sz w:val="24"/>
        </w:rPr>
      </w:pPr>
      <w:r w:rsidRPr="00182657">
        <w:rPr>
          <w:sz w:val="24"/>
        </w:rPr>
        <w:t xml:space="preserve">December </w:t>
      </w:r>
      <w:r>
        <w:rPr>
          <w:sz w:val="24"/>
        </w:rPr>
        <w:t>1</w:t>
      </w:r>
      <w:r w:rsidR="00611EBC">
        <w:rPr>
          <w:sz w:val="24"/>
        </w:rPr>
        <w:t>6</w:t>
      </w:r>
      <w:r w:rsidRPr="00182657">
        <w:rPr>
          <w:sz w:val="24"/>
        </w:rPr>
        <w:t>, 2022</w:t>
      </w:r>
    </w:p>
    <w:p w:rsidR="00182657" w:rsidP="00182657" w14:paraId="02B8A09E" w14:textId="77777777">
      <w:pPr>
        <w:jc w:val="right"/>
        <w:rPr>
          <w:b/>
          <w:bCs/>
          <w:sz w:val="22"/>
          <w:szCs w:val="22"/>
        </w:rPr>
      </w:pPr>
    </w:p>
    <w:p w:rsidR="00182657" w:rsidP="00182657" w14:paraId="31334699" w14:textId="77777777">
      <w:pPr>
        <w:jc w:val="right"/>
        <w:rPr>
          <w:b/>
          <w:bCs/>
          <w:sz w:val="22"/>
          <w:szCs w:val="22"/>
        </w:rPr>
      </w:pPr>
    </w:p>
    <w:p w:rsidR="00182657" w:rsidP="00182657" w14:paraId="3CDA45E0" w14:textId="560EE258">
      <w:pPr>
        <w:jc w:val="right"/>
        <w:rPr>
          <w:b/>
          <w:bCs/>
          <w:sz w:val="22"/>
          <w:szCs w:val="22"/>
        </w:rPr>
      </w:pPr>
      <w:r>
        <w:rPr>
          <w:b/>
          <w:bCs/>
          <w:sz w:val="22"/>
          <w:szCs w:val="22"/>
        </w:rPr>
        <w:t>DA 22-</w:t>
      </w:r>
      <w:r w:rsidR="00462331">
        <w:rPr>
          <w:b/>
          <w:bCs/>
          <w:sz w:val="22"/>
          <w:szCs w:val="22"/>
        </w:rPr>
        <w:t>1323</w:t>
      </w:r>
    </w:p>
    <w:p w:rsidR="00182657" w:rsidP="00182657" w14:paraId="1CB77E3D" w14:textId="77777777">
      <w:pPr>
        <w:jc w:val="right"/>
        <w:rPr>
          <w:b/>
          <w:bCs/>
          <w:sz w:val="22"/>
          <w:szCs w:val="22"/>
        </w:rPr>
      </w:pPr>
    </w:p>
    <w:p w:rsidR="00182657" w:rsidP="00182657" w14:paraId="4672B829" w14:textId="77777777">
      <w:pPr>
        <w:rPr>
          <w:rFonts w:ascii="Times New Roman Bold" w:hAnsi="Times New Roman Bold"/>
          <w:sz w:val="22"/>
          <w:u w:val="single"/>
        </w:rPr>
      </w:pPr>
      <w:r>
        <w:rPr>
          <w:rFonts w:ascii="Times New Roman Bold" w:hAnsi="Times New Roman Bold"/>
          <w:sz w:val="22"/>
          <w:u w:val="single"/>
        </w:rPr>
        <w:t>Via Email and Certifi</w:t>
      </w:r>
      <w:bookmarkStart w:id="0" w:name="bookmark"/>
      <w:bookmarkEnd w:id="0"/>
      <w:r>
        <w:rPr>
          <w:rFonts w:ascii="Times New Roman Bold" w:hAnsi="Times New Roman Bold"/>
          <w:sz w:val="22"/>
          <w:u w:val="single"/>
        </w:rPr>
        <w:t>ed Mail, Return Receipt Requested</w:t>
      </w:r>
    </w:p>
    <w:p w:rsidR="00182657" w:rsidP="00182657" w14:paraId="3A0FDA1B" w14:textId="77777777">
      <w:pPr>
        <w:rPr>
          <w:rFonts w:ascii="Times New Roman Bold" w:hAnsi="Times New Roman Bold"/>
          <w:sz w:val="22"/>
          <w:u w:val="single"/>
        </w:rPr>
      </w:pPr>
    </w:p>
    <w:p w:rsidR="00182657" w:rsidRPr="009D4033" w:rsidP="00182657" w14:paraId="0D2F1627" w14:textId="77777777">
      <w:pPr>
        <w:rPr>
          <w:sz w:val="22"/>
          <w:szCs w:val="22"/>
        </w:rPr>
      </w:pPr>
      <w:r w:rsidRPr="009D4033">
        <w:rPr>
          <w:sz w:val="22"/>
          <w:szCs w:val="22"/>
        </w:rPr>
        <w:t>Ace Radio Corporation</w:t>
      </w:r>
    </w:p>
    <w:p w:rsidR="00182657" w:rsidRPr="009D4033" w:rsidP="00182657" w14:paraId="62718F90" w14:textId="77777777">
      <w:pPr>
        <w:rPr>
          <w:sz w:val="22"/>
          <w:szCs w:val="22"/>
        </w:rPr>
      </w:pPr>
      <w:r w:rsidRPr="009D4033">
        <w:rPr>
          <w:sz w:val="22"/>
          <w:szCs w:val="22"/>
        </w:rPr>
        <w:t>c/o Stephen M. Hackerman</w:t>
      </w:r>
    </w:p>
    <w:p w:rsidR="00182657" w:rsidRPr="009D4033" w:rsidP="00182657" w14:paraId="399D6666" w14:textId="77777777">
      <w:pPr>
        <w:rPr>
          <w:sz w:val="22"/>
          <w:szCs w:val="22"/>
        </w:rPr>
      </w:pPr>
      <w:r w:rsidRPr="009D4033">
        <w:rPr>
          <w:sz w:val="22"/>
          <w:szCs w:val="22"/>
        </w:rPr>
        <w:t>4203 Montrose Blvd.</w:t>
      </w:r>
    </w:p>
    <w:p w:rsidR="00182657" w:rsidRPr="009D4033" w:rsidP="00182657" w14:paraId="666E1DC9" w14:textId="77777777">
      <w:pPr>
        <w:rPr>
          <w:sz w:val="22"/>
          <w:szCs w:val="22"/>
        </w:rPr>
      </w:pPr>
      <w:r w:rsidRPr="009D4033">
        <w:rPr>
          <w:sz w:val="22"/>
          <w:szCs w:val="22"/>
        </w:rPr>
        <w:t>Suite 603</w:t>
      </w:r>
    </w:p>
    <w:p w:rsidR="00182657" w:rsidRPr="00D65FE5" w:rsidP="00182657" w14:paraId="297993D8" w14:textId="77777777">
      <w:pPr>
        <w:rPr>
          <w:sz w:val="22"/>
          <w:szCs w:val="22"/>
        </w:rPr>
      </w:pPr>
      <w:r w:rsidRPr="009D4033">
        <w:rPr>
          <w:sz w:val="22"/>
          <w:szCs w:val="22"/>
        </w:rPr>
        <w:t>Houston, TX 77006-5471</w:t>
      </w:r>
      <w:r>
        <w:rPr>
          <w:sz w:val="22"/>
          <w:szCs w:val="22"/>
        </w:rPr>
        <w:br/>
      </w:r>
    </w:p>
    <w:p w:rsidR="00182657" w:rsidP="00182657" w14:paraId="3829878E" w14:textId="77777777">
      <w:pPr>
        <w:widowControl w:val="0"/>
        <w:ind w:left="1440" w:hanging="720"/>
        <w:rPr>
          <w:b/>
          <w:sz w:val="22"/>
        </w:rPr>
      </w:pPr>
      <w:r>
        <w:rPr>
          <w:b/>
          <w:sz w:val="22"/>
        </w:rPr>
        <w:t xml:space="preserve">Re:  </w:t>
      </w:r>
      <w:r>
        <w:rPr>
          <w:b/>
          <w:sz w:val="22"/>
        </w:rPr>
        <w:tab/>
      </w:r>
      <w:r w:rsidRPr="009D4033">
        <w:rPr>
          <w:b/>
          <w:sz w:val="22"/>
          <w:szCs w:val="22"/>
        </w:rPr>
        <w:t>Final Default Payment for Auction 62 Construction Permit FM 459-A (Mertzon, Texas)</w:t>
      </w:r>
      <w:r>
        <w:rPr>
          <w:b/>
          <w:sz w:val="22"/>
          <w:szCs w:val="22"/>
        </w:rPr>
        <w:t xml:space="preserve"> </w:t>
      </w:r>
      <w:r>
        <w:rPr>
          <w:b/>
          <w:sz w:val="22"/>
        </w:rPr>
        <w:t xml:space="preserve"> </w:t>
      </w:r>
    </w:p>
    <w:p w:rsidR="00182657" w:rsidP="00182657" w14:paraId="2C42345E" w14:textId="77777777">
      <w:pPr>
        <w:widowControl w:val="0"/>
        <w:rPr>
          <w:sz w:val="22"/>
        </w:rPr>
      </w:pPr>
    </w:p>
    <w:p w:rsidR="00182657" w:rsidRPr="008A7DFD" w:rsidP="00182657" w14:paraId="02DFD591" w14:textId="77777777">
      <w:pPr>
        <w:widowControl w:val="0"/>
        <w:jc w:val="center"/>
        <w:rPr>
          <w:b/>
          <w:sz w:val="22"/>
          <w:szCs w:val="22"/>
          <w:u w:val="single"/>
        </w:rPr>
      </w:pPr>
      <w:r w:rsidRPr="008A7DFD">
        <w:rPr>
          <w:b/>
          <w:sz w:val="22"/>
          <w:szCs w:val="22"/>
          <w:u w:val="single"/>
        </w:rPr>
        <w:t>DO NOT DISCARD THIS IMPORTANT NOTICE</w:t>
      </w:r>
    </w:p>
    <w:p w:rsidR="00182657" w:rsidRPr="008A7DFD" w:rsidP="00182657" w14:paraId="6010BFDD" w14:textId="77777777">
      <w:pPr>
        <w:widowControl w:val="0"/>
        <w:jc w:val="center"/>
        <w:rPr>
          <w:b/>
          <w:sz w:val="22"/>
          <w:szCs w:val="22"/>
          <w:u w:val="single"/>
        </w:rPr>
      </w:pPr>
      <w:r w:rsidRPr="008A7DFD">
        <w:rPr>
          <w:b/>
          <w:sz w:val="22"/>
          <w:szCs w:val="22"/>
          <w:u w:val="single"/>
        </w:rPr>
        <w:t>OF A DEMAND FOR PAYMENT</w:t>
      </w:r>
    </w:p>
    <w:p w:rsidR="00182657" w:rsidRPr="008A7DFD" w:rsidP="00182657" w14:paraId="7D9D7739" w14:textId="77777777">
      <w:pPr>
        <w:widowControl w:val="0"/>
        <w:jc w:val="center"/>
        <w:rPr>
          <w:b/>
          <w:sz w:val="22"/>
          <w:szCs w:val="22"/>
          <w:u w:val="single"/>
        </w:rPr>
      </w:pPr>
      <w:r w:rsidRPr="008A7DFD">
        <w:rPr>
          <w:b/>
          <w:sz w:val="22"/>
          <w:szCs w:val="22"/>
          <w:u w:val="single"/>
        </w:rPr>
        <w:t>OF A DEBT OWED THE UNITED STATES AND ORDER OF PAYMENT</w:t>
      </w:r>
    </w:p>
    <w:p w:rsidR="00182657" w:rsidP="00182657" w14:paraId="1CF3B2CE" w14:textId="77777777">
      <w:pPr>
        <w:rPr>
          <w:sz w:val="22"/>
          <w:szCs w:val="22"/>
        </w:rPr>
      </w:pPr>
    </w:p>
    <w:p w:rsidR="00182657" w:rsidP="00182657" w14:paraId="4C1F4E4B" w14:textId="77777777">
      <w:pPr>
        <w:spacing w:after="120"/>
        <w:rPr>
          <w:sz w:val="22"/>
          <w:szCs w:val="22"/>
        </w:rPr>
      </w:pPr>
      <w:r>
        <w:rPr>
          <w:sz w:val="22"/>
          <w:szCs w:val="22"/>
        </w:rPr>
        <w:t>Dear Mr. Hackerman:</w:t>
      </w:r>
    </w:p>
    <w:p w:rsidR="00182657" w:rsidRPr="009D4033" w:rsidP="00182657" w14:paraId="680B7BB2" w14:textId="77777777">
      <w:pPr>
        <w:pStyle w:val="Header"/>
        <w:tabs>
          <w:tab w:val="clear" w:pos="4320"/>
          <w:tab w:val="clear" w:pos="8640"/>
        </w:tabs>
        <w:ind w:firstLine="720"/>
        <w:rPr>
          <w:sz w:val="22"/>
          <w:szCs w:val="22"/>
        </w:rPr>
      </w:pPr>
      <w:r w:rsidRPr="009D4033">
        <w:rPr>
          <w:sz w:val="22"/>
          <w:szCs w:val="22"/>
        </w:rPr>
        <w:t>This Order provides notice and demands payment of a debt owed to the United States based on the default of Ace Radio Corporation (A</w:t>
      </w:r>
      <w:r>
        <w:rPr>
          <w:sz w:val="22"/>
          <w:szCs w:val="22"/>
        </w:rPr>
        <w:t>ce</w:t>
      </w:r>
      <w:r w:rsidRPr="009D4033">
        <w:rPr>
          <w:sz w:val="22"/>
          <w:szCs w:val="22"/>
        </w:rPr>
        <w:t>) on its final payment for a construction permit it won in Auction 62.  A</w:t>
      </w:r>
      <w:r>
        <w:rPr>
          <w:sz w:val="22"/>
          <w:szCs w:val="22"/>
        </w:rPr>
        <w:t>ce</w:t>
      </w:r>
      <w:r w:rsidRPr="009D4033">
        <w:rPr>
          <w:sz w:val="22"/>
          <w:szCs w:val="22"/>
        </w:rPr>
        <w:t xml:space="preserve"> was the winning bidder for FM broadcast construction permit FM 459-A (Mertzon, Texas).  After the close of Auction 62, A</w:t>
      </w:r>
      <w:r>
        <w:rPr>
          <w:sz w:val="22"/>
          <w:szCs w:val="22"/>
        </w:rPr>
        <w:t>ce</w:t>
      </w:r>
      <w:r w:rsidRPr="009D4033">
        <w:rPr>
          <w:sz w:val="22"/>
          <w:szCs w:val="22"/>
        </w:rPr>
        <w:t xml:space="preserve"> defaulted on its final payment obligation for the </w:t>
      </w:r>
      <w:r>
        <w:rPr>
          <w:sz w:val="22"/>
          <w:szCs w:val="22"/>
        </w:rPr>
        <w:t>p</w:t>
      </w:r>
      <w:r w:rsidRPr="009D4033">
        <w:rPr>
          <w:sz w:val="22"/>
          <w:szCs w:val="22"/>
        </w:rPr>
        <w:t>ermit.  Thus, pursuant to the Commission’s rules,</w:t>
      </w:r>
      <w:r>
        <w:rPr>
          <w:rStyle w:val="FootnoteReference"/>
          <w:rFonts w:eastAsia="ヒラギノ角ゴ Pro W3"/>
          <w:sz w:val="22"/>
          <w:szCs w:val="22"/>
        </w:rPr>
        <w:footnoteReference w:id="2"/>
      </w:r>
      <w:r w:rsidRPr="009D4033">
        <w:rPr>
          <w:sz w:val="22"/>
          <w:szCs w:val="22"/>
        </w:rPr>
        <w:t xml:space="preserve"> A</w:t>
      </w:r>
      <w:r>
        <w:rPr>
          <w:sz w:val="22"/>
          <w:szCs w:val="22"/>
        </w:rPr>
        <w:t>ce</w:t>
      </w:r>
      <w:r w:rsidRPr="009D4033">
        <w:rPr>
          <w:sz w:val="22"/>
          <w:szCs w:val="22"/>
        </w:rPr>
        <w:t xml:space="preserve"> owes a default payment, which is a debt owed to the United States.</w:t>
      </w:r>
      <w:r>
        <w:rPr>
          <w:rStyle w:val="FootnoteReference"/>
          <w:rFonts w:eastAsia="ヒラギノ角ゴ Pro W3"/>
          <w:sz w:val="22"/>
          <w:szCs w:val="22"/>
        </w:rPr>
        <w:footnoteReference w:id="3"/>
      </w:r>
      <w:r w:rsidRPr="009D4033">
        <w:rPr>
          <w:sz w:val="22"/>
          <w:szCs w:val="22"/>
        </w:rPr>
        <w:t xml:space="preserve">  </w:t>
      </w:r>
    </w:p>
    <w:p w:rsidR="00182657" w:rsidRPr="009D4033" w:rsidP="00182657" w14:paraId="1B953D73" w14:textId="77777777">
      <w:pPr>
        <w:pStyle w:val="Header"/>
        <w:tabs>
          <w:tab w:val="clear" w:pos="4320"/>
          <w:tab w:val="clear" w:pos="8640"/>
        </w:tabs>
        <w:ind w:firstLine="720"/>
        <w:rPr>
          <w:sz w:val="22"/>
          <w:szCs w:val="22"/>
        </w:rPr>
      </w:pPr>
    </w:p>
    <w:p w:rsidR="00182657" w:rsidRPr="009D4033" w:rsidP="00182657" w14:paraId="476319D4" w14:textId="77777777">
      <w:pPr>
        <w:pStyle w:val="Header"/>
        <w:tabs>
          <w:tab w:val="clear" w:pos="4320"/>
          <w:tab w:val="clear" w:pos="8640"/>
        </w:tabs>
        <w:ind w:firstLine="720"/>
        <w:rPr>
          <w:sz w:val="22"/>
          <w:szCs w:val="22"/>
        </w:rPr>
      </w:pPr>
      <w:r w:rsidRPr="009D4033">
        <w:rPr>
          <w:sz w:val="22"/>
          <w:szCs w:val="22"/>
        </w:rPr>
        <w:t>In 2015, the Commission assessed an interim default payment of $9,282.00 from the monies A</w:t>
      </w:r>
      <w:r>
        <w:rPr>
          <w:sz w:val="22"/>
          <w:szCs w:val="22"/>
        </w:rPr>
        <w:t>ce</w:t>
      </w:r>
      <w:r w:rsidRPr="009D4033">
        <w:rPr>
          <w:sz w:val="22"/>
          <w:szCs w:val="22"/>
        </w:rPr>
        <w:t xml:space="preserve"> had on deposit</w:t>
      </w:r>
      <w:r>
        <w:rPr>
          <w:sz w:val="22"/>
          <w:szCs w:val="22"/>
        </w:rPr>
        <w:t>,</w:t>
      </w:r>
      <w:r w:rsidRPr="009D4033">
        <w:rPr>
          <w:sz w:val="22"/>
          <w:szCs w:val="22"/>
        </w:rPr>
        <w:t xml:space="preserve"> </w:t>
      </w:r>
      <w:r>
        <w:rPr>
          <w:sz w:val="22"/>
          <w:szCs w:val="22"/>
        </w:rPr>
        <w:t xml:space="preserve">and </w:t>
      </w:r>
      <w:r w:rsidRPr="009D4033">
        <w:rPr>
          <w:sz w:val="22"/>
          <w:szCs w:val="22"/>
        </w:rPr>
        <w:t>explained</w:t>
      </w:r>
      <w:r>
        <w:rPr>
          <w:sz w:val="22"/>
          <w:szCs w:val="22"/>
        </w:rPr>
        <w:t xml:space="preserve"> that</w:t>
      </w:r>
      <w:r w:rsidRPr="009D4033">
        <w:rPr>
          <w:sz w:val="22"/>
          <w:szCs w:val="22"/>
        </w:rPr>
        <w:t xml:space="preserve"> </w:t>
      </w:r>
      <w:r>
        <w:rPr>
          <w:sz w:val="22"/>
          <w:szCs w:val="22"/>
        </w:rPr>
        <w:t xml:space="preserve">it could not determine </w:t>
      </w:r>
      <w:r w:rsidRPr="009D4033">
        <w:rPr>
          <w:sz w:val="22"/>
          <w:szCs w:val="22"/>
        </w:rPr>
        <w:t xml:space="preserve">the full amount of </w:t>
      </w:r>
      <w:r>
        <w:rPr>
          <w:sz w:val="22"/>
          <w:szCs w:val="22"/>
        </w:rPr>
        <w:t>Ace’s</w:t>
      </w:r>
      <w:r w:rsidRPr="009D4033">
        <w:rPr>
          <w:sz w:val="22"/>
          <w:szCs w:val="22"/>
        </w:rPr>
        <w:t xml:space="preserve"> default payment until a new construction permit for the relevant allotment is won in a subsequent auction.</w:t>
      </w:r>
      <w:r>
        <w:rPr>
          <w:rStyle w:val="FootnoteReference"/>
          <w:rFonts w:eastAsia="ヒラギノ角ゴ Pro W3"/>
          <w:sz w:val="22"/>
          <w:szCs w:val="22"/>
        </w:rPr>
        <w:footnoteReference w:id="4"/>
      </w:r>
      <w:r w:rsidRPr="009D4033">
        <w:rPr>
          <w:sz w:val="22"/>
          <w:szCs w:val="22"/>
        </w:rPr>
        <w:t xml:space="preserve">  A new construction permit for the underlying allotment was offered in Auction 98, and because it received a winning bid,</w:t>
      </w:r>
      <w:r>
        <w:rPr>
          <w:rStyle w:val="FootnoteReference"/>
          <w:rFonts w:eastAsia="ヒラギノ角ゴ Pro W3"/>
          <w:sz w:val="22"/>
          <w:szCs w:val="22"/>
        </w:rPr>
        <w:footnoteReference w:id="5"/>
      </w:r>
      <w:r w:rsidRPr="009D4033">
        <w:rPr>
          <w:sz w:val="22"/>
          <w:szCs w:val="22"/>
        </w:rPr>
        <w:t xml:space="preserve"> the Commission is able to calculate </w:t>
      </w:r>
      <w:r>
        <w:rPr>
          <w:sz w:val="22"/>
          <w:szCs w:val="22"/>
        </w:rPr>
        <w:t>Ace</w:t>
      </w:r>
      <w:r w:rsidRPr="009D4033">
        <w:rPr>
          <w:sz w:val="22"/>
          <w:szCs w:val="22"/>
        </w:rPr>
        <w:t xml:space="preserve">’s final default payment obligation with respect to the </w:t>
      </w:r>
      <w:r>
        <w:rPr>
          <w:sz w:val="22"/>
          <w:szCs w:val="22"/>
        </w:rPr>
        <w:t>p</w:t>
      </w:r>
      <w:r w:rsidRPr="009D4033">
        <w:rPr>
          <w:sz w:val="22"/>
          <w:szCs w:val="22"/>
        </w:rPr>
        <w:t>ermit.</w:t>
      </w:r>
      <w:r>
        <w:rPr>
          <w:rStyle w:val="FootnoteReference"/>
          <w:rFonts w:eastAsia="ヒラギノ角ゴ Pro W3"/>
          <w:sz w:val="22"/>
          <w:szCs w:val="22"/>
        </w:rPr>
        <w:footnoteReference w:id="6"/>
      </w:r>
      <w:r w:rsidRPr="009D4033">
        <w:rPr>
          <w:sz w:val="22"/>
          <w:szCs w:val="22"/>
        </w:rPr>
        <w:t xml:space="preserve">   </w:t>
      </w:r>
    </w:p>
    <w:p w:rsidR="00182657" w:rsidRPr="009D4033" w:rsidP="00182657" w14:paraId="3FE2A492" w14:textId="77777777">
      <w:pPr>
        <w:pStyle w:val="Header"/>
        <w:tabs>
          <w:tab w:val="clear" w:pos="4320"/>
          <w:tab w:val="clear" w:pos="8640"/>
        </w:tabs>
        <w:ind w:firstLine="720"/>
        <w:rPr>
          <w:sz w:val="22"/>
          <w:szCs w:val="22"/>
        </w:rPr>
      </w:pPr>
    </w:p>
    <w:p w:rsidR="00182657" w:rsidRPr="009D4033" w:rsidP="00182657" w14:paraId="74D0449C" w14:textId="77777777">
      <w:pPr>
        <w:pStyle w:val="BodyText2"/>
        <w:ind w:firstLine="720"/>
        <w:jc w:val="left"/>
        <w:rPr>
          <w:rStyle w:val="FootnoteReference1"/>
          <w:sz w:val="22"/>
          <w:szCs w:val="22"/>
        </w:rPr>
      </w:pPr>
      <w:r w:rsidRPr="009D4033">
        <w:rPr>
          <w:sz w:val="22"/>
          <w:szCs w:val="22"/>
        </w:rPr>
        <w:t>Under the Commission’s rules, at the close of the auction, a winning bidder assumes a binding obligation to pay the full amount of its accepted winning bid.</w:t>
      </w:r>
      <w:r>
        <w:rPr>
          <w:rStyle w:val="FootnoteReference"/>
          <w:rFonts w:eastAsia="ヒラギノ角ゴ Pro W3"/>
          <w:sz w:val="22"/>
          <w:szCs w:val="22"/>
        </w:rPr>
        <w:footnoteReference w:id="7"/>
      </w:r>
      <w:r w:rsidRPr="009D4033">
        <w:rPr>
          <w:sz w:val="22"/>
          <w:szCs w:val="22"/>
        </w:rPr>
        <w:t xml:space="preserve">  A bidder who defaults on that obligation or is disqualified is considered to be a defaulting bidder under the Commission’s rules and is subject to a default payment.</w:t>
      </w:r>
      <w:r>
        <w:rPr>
          <w:rStyle w:val="FootnoteReference1"/>
          <w:sz w:val="22"/>
          <w:szCs w:val="22"/>
        </w:rPr>
        <w:footnoteReference w:id="8"/>
      </w:r>
      <w:r w:rsidRPr="009D4033">
        <w:rPr>
          <w:sz w:val="22"/>
          <w:szCs w:val="22"/>
        </w:rPr>
        <w:t xml:space="preserve">  The default payment has two components:  a deficiency payment and an additional payment amount.</w:t>
      </w:r>
      <w:r>
        <w:rPr>
          <w:rStyle w:val="FootnoteReference"/>
          <w:rFonts w:eastAsia="ヒラギノ角ゴ Pro W3"/>
          <w:sz w:val="22"/>
          <w:szCs w:val="22"/>
        </w:rPr>
        <w:footnoteReference w:id="9"/>
      </w:r>
      <w:r w:rsidRPr="009D4033">
        <w:rPr>
          <w:sz w:val="22"/>
          <w:szCs w:val="22"/>
        </w:rPr>
        <w:t xml:space="preserve">  The deficiency payment component applies only in the event that the subsequent winning bid the next time a construction permit for the allotment is won is less than the defaulted bid.</w:t>
      </w:r>
      <w:r>
        <w:rPr>
          <w:rStyle w:val="FootnoteReference1"/>
          <w:sz w:val="22"/>
          <w:szCs w:val="22"/>
        </w:rPr>
        <w:footnoteReference w:id="10"/>
      </w:r>
      <w:r w:rsidRPr="009D4033">
        <w:rPr>
          <w:sz w:val="22"/>
          <w:szCs w:val="22"/>
        </w:rPr>
        <w:t xml:space="preserve">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szCs w:val="22"/>
        </w:rPr>
        <w:footnoteReference w:id="11"/>
      </w:r>
      <w:r w:rsidRPr="009D4033">
        <w:rPr>
          <w:sz w:val="22"/>
          <w:szCs w:val="22"/>
        </w:rPr>
        <w:t xml:space="preserve">  The additional payment amount is owed by each defaulting bidder.</w:t>
      </w:r>
      <w:r>
        <w:rPr>
          <w:rStyle w:val="FootnoteReference"/>
          <w:rFonts w:eastAsia="ヒラギノ角ゴ Pro W3"/>
          <w:sz w:val="22"/>
          <w:szCs w:val="22"/>
        </w:rPr>
        <w:footnoteReference w:id="12"/>
      </w:r>
      <w:r w:rsidRPr="009D4033">
        <w:rPr>
          <w:sz w:val="22"/>
          <w:szCs w:val="22"/>
        </w:rPr>
        <w:t xml:space="preserve">  Pursuant to the rule in effect </w:t>
      </w:r>
      <w:r>
        <w:rPr>
          <w:sz w:val="22"/>
          <w:szCs w:val="22"/>
        </w:rPr>
        <w:t>for</w:t>
      </w:r>
      <w:r w:rsidRPr="009D4033">
        <w:rPr>
          <w:sz w:val="22"/>
          <w:szCs w:val="22"/>
        </w:rPr>
        <w:t xml:space="preserve"> Auction 62, the additional payment amount is equal to three percent (3%) of the defaulter’s bid, or the subsequent winning bid, whichever is less.</w:t>
      </w:r>
      <w:r>
        <w:rPr>
          <w:rStyle w:val="FootnoteReference1"/>
          <w:sz w:val="22"/>
          <w:szCs w:val="22"/>
        </w:rPr>
        <w:footnoteReference w:id="13"/>
      </w:r>
      <w:r w:rsidRPr="009D4033">
        <w:rPr>
          <w:rStyle w:val="FootnoteReference1"/>
          <w:sz w:val="22"/>
          <w:szCs w:val="22"/>
        </w:rPr>
        <w:t xml:space="preserve"> </w:t>
      </w:r>
    </w:p>
    <w:p w:rsidR="00182657" w:rsidRPr="009D4033" w:rsidP="00182657" w14:paraId="74E51120" w14:textId="77777777">
      <w:pPr>
        <w:pStyle w:val="BodyText2"/>
        <w:jc w:val="left"/>
        <w:rPr>
          <w:sz w:val="22"/>
          <w:szCs w:val="22"/>
        </w:rPr>
      </w:pPr>
      <w:r w:rsidRPr="009D4033">
        <w:rPr>
          <w:sz w:val="22"/>
          <w:szCs w:val="22"/>
        </w:rPr>
        <w:t xml:space="preserve"> </w:t>
      </w:r>
    </w:p>
    <w:p w:rsidR="00182657" w:rsidRPr="009D4033" w:rsidP="00182657" w14:paraId="12CEED97" w14:textId="77777777">
      <w:pPr>
        <w:pStyle w:val="BodyTextIndent"/>
        <w:rPr>
          <w:sz w:val="22"/>
          <w:szCs w:val="22"/>
        </w:rPr>
      </w:pPr>
      <w:r w:rsidRPr="009D4033">
        <w:rPr>
          <w:sz w:val="22"/>
          <w:szCs w:val="22"/>
        </w:rPr>
        <w:t>As shown in Attachment A, and in accordance with section 1.2104(g)(2) of the Commission’s rules, we have completed the final default payment calculation and, after applying the monies A</w:t>
      </w:r>
      <w:r>
        <w:rPr>
          <w:sz w:val="22"/>
          <w:szCs w:val="22"/>
        </w:rPr>
        <w:t>ce</w:t>
      </w:r>
      <w:r w:rsidRPr="009D4033">
        <w:rPr>
          <w:sz w:val="22"/>
          <w:szCs w:val="22"/>
        </w:rPr>
        <w:t xml:space="preserve"> has on deposit,</w:t>
      </w:r>
      <w:r>
        <w:rPr>
          <w:rStyle w:val="FootnoteReference"/>
          <w:rFonts w:eastAsia="ヒラギノ角ゴ Pro W3"/>
          <w:sz w:val="22"/>
          <w:szCs w:val="22"/>
        </w:rPr>
        <w:footnoteReference w:id="14"/>
      </w:r>
      <w:r w:rsidRPr="009D4033">
        <w:rPr>
          <w:sz w:val="22"/>
          <w:szCs w:val="22"/>
        </w:rPr>
        <w:t xml:space="preserve"> A</w:t>
      </w:r>
      <w:r>
        <w:rPr>
          <w:sz w:val="22"/>
          <w:szCs w:val="22"/>
        </w:rPr>
        <w:t>ce</w:t>
      </w:r>
      <w:r w:rsidRPr="009D4033">
        <w:rPr>
          <w:sz w:val="22"/>
          <w:szCs w:val="22"/>
        </w:rPr>
        <w:t xml:space="preserve"> owes an outstanding balance of $159,250.00.  This debt to the United States is payable in full and without further demand within 30 days of the date of this Order in accordance with the Important Notice Information provided below and Payment Instructions in Attachment B.</w:t>
      </w:r>
    </w:p>
    <w:p w:rsidR="00182657" w:rsidRPr="009D4033" w:rsidP="00182657" w14:paraId="277D822A" w14:textId="77777777">
      <w:pPr>
        <w:pStyle w:val="BodyTextIndent"/>
        <w:rPr>
          <w:sz w:val="22"/>
          <w:szCs w:val="22"/>
        </w:rPr>
      </w:pPr>
    </w:p>
    <w:p w:rsidR="00182657" w:rsidRPr="009D4033" w:rsidP="00182657" w14:paraId="14F7439A" w14:textId="77777777">
      <w:pPr>
        <w:pStyle w:val="BodyTextIndent"/>
        <w:ind w:firstLine="0"/>
        <w:jc w:val="center"/>
        <w:rPr>
          <w:b/>
          <w:sz w:val="22"/>
          <w:szCs w:val="22"/>
          <w:u w:val="single"/>
        </w:rPr>
      </w:pPr>
      <w:r w:rsidRPr="009D4033">
        <w:rPr>
          <w:b/>
          <w:sz w:val="22"/>
          <w:szCs w:val="22"/>
          <w:u w:val="single"/>
        </w:rPr>
        <w:t>Important Notice Information</w:t>
      </w:r>
    </w:p>
    <w:p w:rsidR="00182657" w:rsidRPr="009D4033" w:rsidP="00182657" w14:paraId="6CE92337" w14:textId="77777777">
      <w:pPr>
        <w:pStyle w:val="BodyTextIndent"/>
        <w:ind w:firstLine="0"/>
        <w:jc w:val="center"/>
        <w:rPr>
          <w:b/>
          <w:sz w:val="22"/>
          <w:szCs w:val="22"/>
          <w:u w:val="single"/>
        </w:rPr>
      </w:pPr>
    </w:p>
    <w:p w:rsidR="00182657" w:rsidRPr="009D4033" w:rsidP="00182657" w14:paraId="46F8DEA1" w14:textId="77777777">
      <w:pPr>
        <w:pStyle w:val="BodyTextIndent"/>
        <w:rPr>
          <w:sz w:val="22"/>
          <w:szCs w:val="22"/>
        </w:rPr>
      </w:pPr>
      <w:r w:rsidRPr="009D4033">
        <w:rPr>
          <w:sz w:val="22"/>
          <w:szCs w:val="22"/>
        </w:rPr>
        <w:t>The following provides notification of procedures and information required by the Debt Collection Improvement Act of 1996 (DCIA).</w:t>
      </w:r>
      <w:r>
        <w:rPr>
          <w:rStyle w:val="FootnoteReference"/>
          <w:rFonts w:eastAsia="ヒラギノ角ゴ Pro W3"/>
          <w:sz w:val="22"/>
          <w:szCs w:val="22"/>
        </w:rPr>
        <w:footnoteReference w:id="15"/>
      </w:r>
      <w:r w:rsidRPr="009D4033">
        <w:rPr>
          <w:sz w:val="22"/>
          <w:szCs w:val="22"/>
        </w:rPr>
        <w:t xml:space="preserve">  The outstanding balance shown in Attachment A is a debt A</w:t>
      </w:r>
      <w:r>
        <w:rPr>
          <w:sz w:val="22"/>
          <w:szCs w:val="22"/>
        </w:rPr>
        <w:t>ce</w:t>
      </w:r>
      <w:r w:rsidRPr="009D4033">
        <w:rPr>
          <w:sz w:val="22"/>
          <w:szCs w:val="22"/>
        </w:rPr>
        <w:t xml:space="preserve"> owes to the United States.  It is payable in full and without further demand, and payment must be received no later than the payment due date, which is 30 days from the date of this Order (Due Date).</w:t>
      </w:r>
      <w:r>
        <w:rPr>
          <w:rStyle w:val="FootnoteReference"/>
          <w:rFonts w:eastAsia="ヒラギノ角ゴ Pro W3"/>
          <w:sz w:val="22"/>
          <w:szCs w:val="22"/>
        </w:rPr>
        <w:footnoteReference w:id="16"/>
      </w:r>
      <w:r w:rsidRPr="009D4033">
        <w:rPr>
          <w:sz w:val="22"/>
          <w:szCs w:val="22"/>
        </w:rPr>
        <w:t xml:space="preserve">  Any portion of the debt unpaid at the end of the Due Date will be considered delinquent and administrative charges (incurred for processing and handling delinquent debts),</w:t>
      </w:r>
      <w:r>
        <w:rPr>
          <w:rStyle w:val="FootnoteReference"/>
          <w:rFonts w:eastAsia="ヒラギノ角ゴ Pro W3"/>
          <w:sz w:val="22"/>
          <w:szCs w:val="22"/>
        </w:rPr>
        <w:footnoteReference w:id="17"/>
      </w:r>
      <w:r w:rsidRPr="009D4033">
        <w:rPr>
          <w:sz w:val="22"/>
          <w:szCs w:val="22"/>
        </w:rPr>
        <w:t xml:space="preserve"> interest,</w:t>
      </w:r>
      <w:r>
        <w:rPr>
          <w:rStyle w:val="FootnoteReference"/>
          <w:rFonts w:eastAsia="ヒラギノ角ゴ Pro W3"/>
          <w:sz w:val="22"/>
          <w:szCs w:val="22"/>
        </w:rPr>
        <w:footnoteReference w:id="18"/>
      </w:r>
      <w:r w:rsidRPr="009D4033">
        <w:rPr>
          <w:sz w:val="22"/>
          <w:szCs w:val="22"/>
        </w:rPr>
        <w:t xml:space="preserve"> and </w:t>
      </w:r>
      <w:r w:rsidRPr="009D4033">
        <w:rPr>
          <w:sz w:val="22"/>
          <w:szCs w:val="22"/>
        </w:rPr>
        <w:t>penalties</w:t>
      </w:r>
      <w:r>
        <w:rPr>
          <w:rStyle w:val="FootnoteReference"/>
          <w:rFonts w:eastAsia="ヒラギノ角ゴ Pro W3"/>
          <w:sz w:val="22"/>
          <w:szCs w:val="22"/>
        </w:rPr>
        <w:footnoteReference w:id="19"/>
      </w:r>
      <w:r w:rsidRPr="009D4033">
        <w:rPr>
          <w:sz w:val="22"/>
          <w:szCs w:val="22"/>
        </w:rPr>
        <w:t xml:space="preserve"> will accrue beginning from that date.  Interest accrues at a minimum annual rate established annually by the United States Treasury in accordance with 31 </w:t>
      </w:r>
      <w:r>
        <w:rPr>
          <w:sz w:val="22"/>
          <w:szCs w:val="22"/>
        </w:rPr>
        <w:t>U.S.C.</w:t>
      </w:r>
      <w:r w:rsidRPr="009D4033">
        <w:rPr>
          <w:sz w:val="22"/>
          <w:szCs w:val="22"/>
        </w:rPr>
        <w:t xml:space="preserve"> § 3717.</w:t>
      </w:r>
      <w:r>
        <w:rPr>
          <w:rStyle w:val="FootnoteReference"/>
          <w:rFonts w:eastAsia="ヒラギノ角ゴ Pro W3"/>
          <w:sz w:val="22"/>
          <w:szCs w:val="22"/>
        </w:rPr>
        <w:footnoteReference w:id="20"/>
      </w:r>
      <w:r w:rsidRPr="009D4033">
        <w:rPr>
          <w:sz w:val="22"/>
          <w:szCs w:val="22"/>
        </w:rPr>
        <w:t xml:space="preserve">  However, the Commission will waive payment of the accrued interest, if the full amount of the debt is paid within 30 days of the Due Date.</w:t>
      </w:r>
      <w:r>
        <w:rPr>
          <w:rStyle w:val="FootnoteReference"/>
          <w:rFonts w:eastAsia="ヒラギノ角ゴ Pro W3"/>
          <w:sz w:val="22"/>
          <w:szCs w:val="22"/>
        </w:rPr>
        <w:footnoteReference w:id="21"/>
      </w:r>
      <w:r w:rsidRPr="009D4033">
        <w:rPr>
          <w:sz w:val="22"/>
          <w:szCs w:val="22"/>
        </w:rPr>
        <w:t xml:space="preserve">  A penalty of </w:t>
      </w:r>
      <w:r>
        <w:rPr>
          <w:sz w:val="22"/>
          <w:szCs w:val="22"/>
        </w:rPr>
        <w:t xml:space="preserve">up to </w:t>
      </w:r>
      <w:r w:rsidRPr="009D4033">
        <w:rPr>
          <w:sz w:val="22"/>
          <w:szCs w:val="22"/>
        </w:rPr>
        <w:t>six percent (6%) accrues on any portion of the debt that remains unpaid for more than 90 days from the Due Date.</w:t>
      </w:r>
      <w:r>
        <w:rPr>
          <w:rStyle w:val="FootnoteReference"/>
          <w:rFonts w:eastAsia="ヒラギノ角ゴ Pro W3"/>
          <w:sz w:val="22"/>
          <w:szCs w:val="22"/>
        </w:rPr>
        <w:footnoteReference w:id="22"/>
      </w:r>
      <w:r w:rsidRPr="009D4033">
        <w:rPr>
          <w:sz w:val="22"/>
          <w:szCs w:val="22"/>
        </w:rPr>
        <w:t xml:space="preserve">  In addition to these charges, the Commission may initiate administrative offset,</w:t>
      </w:r>
      <w:r>
        <w:rPr>
          <w:rStyle w:val="FootnoteReference"/>
          <w:rFonts w:eastAsia="ヒラギノ角ゴ Pro W3"/>
          <w:sz w:val="22"/>
          <w:szCs w:val="22"/>
        </w:rPr>
        <w:footnoteReference w:id="23"/>
      </w:r>
      <w:r w:rsidRPr="009D4033">
        <w:rPr>
          <w:sz w:val="22"/>
          <w:szCs w:val="22"/>
        </w:rPr>
        <w:t xml:space="preserve"> and it may refer the delinquent debt to the United States Treasury or the Department of Justice (DOJ) for further collection action.</w:t>
      </w:r>
      <w:r>
        <w:rPr>
          <w:rStyle w:val="FootnoteReference"/>
          <w:rFonts w:eastAsia="ヒラギノ角ゴ Pro W3"/>
          <w:sz w:val="22"/>
          <w:szCs w:val="22"/>
        </w:rPr>
        <w:footnoteReference w:id="24"/>
      </w:r>
      <w:r w:rsidRPr="009D4033">
        <w:rPr>
          <w:sz w:val="22"/>
          <w:szCs w:val="22"/>
        </w:rPr>
        <w:t xml:space="preserve">  The United States Treasury will impose an additional administrative collection charge,</w:t>
      </w:r>
      <w:r>
        <w:rPr>
          <w:rStyle w:val="FootnoteReference"/>
          <w:rFonts w:eastAsia="ヒラギノ角ゴ Pro W3"/>
          <w:sz w:val="22"/>
          <w:szCs w:val="22"/>
        </w:rPr>
        <w:footnoteReference w:id="25"/>
      </w:r>
      <w:r w:rsidRPr="009D4033">
        <w:rPr>
          <w:sz w:val="22"/>
          <w:szCs w:val="22"/>
        </w:rPr>
        <w:t xml:space="preserve"> and it may also commence administrative offset.</w:t>
      </w:r>
      <w:r>
        <w:rPr>
          <w:rStyle w:val="FootnoteReference"/>
          <w:rFonts w:eastAsia="ヒラギノ角ゴ Pro W3"/>
          <w:sz w:val="22"/>
          <w:szCs w:val="22"/>
        </w:rPr>
        <w:footnoteReference w:id="26"/>
      </w:r>
      <w:r w:rsidRPr="009D4033">
        <w:rPr>
          <w:sz w:val="22"/>
          <w:szCs w:val="22"/>
        </w:rPr>
        <w:t xml:space="preserve">  An additional surcharge may be imposed if the DOJ initiates judicial action to recover judgment.</w:t>
      </w:r>
      <w:r>
        <w:rPr>
          <w:rStyle w:val="FootnoteReference"/>
          <w:rFonts w:eastAsia="ヒラギノ角ゴ Pro W3"/>
          <w:sz w:val="22"/>
          <w:szCs w:val="22"/>
        </w:rPr>
        <w:footnoteReference w:id="27"/>
      </w:r>
      <w:r w:rsidRPr="009D4033">
        <w:rPr>
          <w:sz w:val="22"/>
          <w:szCs w:val="22"/>
        </w:rPr>
        <w:t xml:space="preserve">  Furthermore, any portion of the debt that is unpaid after the Due Date specified in this Order is a delinquent debt, which will trigger application of the Commission’s red light procedures at 47 CFR § 1.1910. </w:t>
      </w:r>
    </w:p>
    <w:p w:rsidR="00182657" w:rsidRPr="009D4033" w:rsidP="00182657" w14:paraId="5481A4D2" w14:textId="77777777">
      <w:pPr>
        <w:pStyle w:val="BodyTextIndent"/>
        <w:rPr>
          <w:sz w:val="22"/>
          <w:szCs w:val="22"/>
        </w:rPr>
      </w:pPr>
      <w:r w:rsidRPr="009D4033">
        <w:rPr>
          <w:sz w:val="22"/>
          <w:szCs w:val="22"/>
        </w:rPr>
        <w:t xml:space="preserve">  </w:t>
      </w:r>
    </w:p>
    <w:p w:rsidR="00182657" w:rsidRPr="009D4033" w:rsidP="00182657" w14:paraId="0C9D006E" w14:textId="77777777">
      <w:pPr>
        <w:jc w:val="center"/>
        <w:rPr>
          <w:b/>
          <w:spacing w:val="-2"/>
          <w:sz w:val="22"/>
          <w:szCs w:val="22"/>
          <w:u w:val="single"/>
        </w:rPr>
      </w:pPr>
      <w:r w:rsidRPr="009D4033">
        <w:rPr>
          <w:b/>
          <w:spacing w:val="-2"/>
          <w:sz w:val="22"/>
          <w:szCs w:val="22"/>
          <w:u w:val="single"/>
        </w:rPr>
        <w:t>Ordering Clauses</w:t>
      </w:r>
    </w:p>
    <w:p w:rsidR="00182657" w:rsidRPr="009D4033" w:rsidP="00182657" w14:paraId="7E264443" w14:textId="77777777">
      <w:pPr>
        <w:pStyle w:val="ParaNum"/>
        <w:spacing w:after="0"/>
        <w:ind w:firstLine="720"/>
        <w:jc w:val="left"/>
        <w:rPr>
          <w:spacing w:val="-2"/>
          <w:szCs w:val="22"/>
        </w:rPr>
      </w:pPr>
    </w:p>
    <w:p w:rsidR="00182657" w:rsidRPr="009D4033" w:rsidP="00182657" w14:paraId="1D15C969" w14:textId="77777777">
      <w:pPr>
        <w:ind w:firstLine="720"/>
        <w:rPr>
          <w:sz w:val="22"/>
          <w:szCs w:val="22"/>
        </w:rPr>
      </w:pPr>
      <w:r w:rsidRPr="009D4033">
        <w:rPr>
          <w:spacing w:val="-2"/>
          <w:sz w:val="22"/>
          <w:szCs w:val="22"/>
        </w:rPr>
        <w:t>Accordingly, IT IS ORDERED that, pursuant to sections 4(i) and 309 of the Communications Act of 1934</w:t>
      </w:r>
      <w:r>
        <w:rPr>
          <w:spacing w:val="-2"/>
          <w:sz w:val="22"/>
          <w:szCs w:val="22"/>
        </w:rPr>
        <w:t>,</w:t>
      </w:r>
      <w:r w:rsidRPr="009D4033">
        <w:rPr>
          <w:spacing w:val="-2"/>
          <w:sz w:val="22"/>
          <w:szCs w:val="22"/>
        </w:rPr>
        <w:t xml:space="preserve"> as amended, 47 </w:t>
      </w:r>
      <w:r>
        <w:rPr>
          <w:spacing w:val="-2"/>
          <w:sz w:val="22"/>
          <w:szCs w:val="22"/>
        </w:rPr>
        <w:t>U.S.C.</w:t>
      </w:r>
      <w:r w:rsidRPr="009D4033">
        <w:rPr>
          <w:spacing w:val="-2"/>
          <w:sz w:val="22"/>
          <w:szCs w:val="22"/>
        </w:rPr>
        <w:t xml:space="preserve"> </w:t>
      </w:r>
      <w:r w:rsidRPr="009D4033">
        <w:rPr>
          <w:sz w:val="22"/>
          <w:szCs w:val="22"/>
        </w:rPr>
        <w:t>§§</w:t>
      </w:r>
      <w:r w:rsidRPr="009D4033">
        <w:rPr>
          <w:spacing w:val="-2"/>
          <w:sz w:val="22"/>
          <w:szCs w:val="22"/>
        </w:rPr>
        <w:t xml:space="preserve"> 154(i), 309, and section 1.2104(g)(2) of the Commission’s rules, 47 CFR </w:t>
      </w:r>
      <w:r w:rsidRPr="009D4033">
        <w:rPr>
          <w:sz w:val="22"/>
          <w:szCs w:val="22"/>
        </w:rPr>
        <w:t>§</w:t>
      </w:r>
      <w:r w:rsidRPr="009D4033">
        <w:rPr>
          <w:spacing w:val="-2"/>
          <w:sz w:val="22"/>
          <w:szCs w:val="22"/>
        </w:rPr>
        <w:t xml:space="preserve"> 1.2104(g)(2), </w:t>
      </w:r>
      <w:r w:rsidRPr="009D4033">
        <w:rPr>
          <w:sz w:val="22"/>
          <w:szCs w:val="22"/>
        </w:rPr>
        <w:t>Ace Radio Corporation</w:t>
      </w:r>
      <w:r w:rsidRPr="009D4033">
        <w:rPr>
          <w:spacing w:val="-2"/>
          <w:sz w:val="22"/>
          <w:szCs w:val="22"/>
        </w:rPr>
        <w:t xml:space="preserve"> is ASSESSED a </w:t>
      </w:r>
      <w:r w:rsidRPr="009D4033">
        <w:rPr>
          <w:sz w:val="22"/>
          <w:szCs w:val="22"/>
        </w:rPr>
        <w:t>final default payment obligation as computed in Attachment A.</w:t>
      </w:r>
    </w:p>
    <w:p w:rsidR="00182657" w:rsidRPr="009D4033" w:rsidP="00182657" w14:paraId="67DC796A" w14:textId="77777777">
      <w:pPr>
        <w:ind w:firstLine="720"/>
        <w:rPr>
          <w:sz w:val="22"/>
          <w:szCs w:val="22"/>
        </w:rPr>
      </w:pPr>
      <w:r w:rsidRPr="009D4033">
        <w:rPr>
          <w:sz w:val="22"/>
          <w:szCs w:val="22"/>
        </w:rPr>
        <w:t xml:space="preserve"> </w:t>
      </w:r>
    </w:p>
    <w:p w:rsidR="00182657" w:rsidRPr="009D4033" w:rsidP="00182657" w14:paraId="102AC129" w14:textId="77777777">
      <w:pPr>
        <w:ind w:firstLine="720"/>
        <w:rPr>
          <w:spacing w:val="-2"/>
          <w:sz w:val="22"/>
          <w:szCs w:val="22"/>
        </w:rPr>
      </w:pPr>
      <w:r w:rsidRPr="009D4033">
        <w:rPr>
          <w:spacing w:val="-2"/>
          <w:sz w:val="22"/>
          <w:szCs w:val="22"/>
        </w:rPr>
        <w:t xml:space="preserve">IT IS FURTHER ORDERED that, pursuant to sections 1.2104 and 1.2106 of the Commission’s rules, 47 CFR §§ 1.2104 and 1.2106, </w:t>
      </w:r>
      <w:r w:rsidRPr="009D4033">
        <w:rPr>
          <w:sz w:val="22"/>
          <w:szCs w:val="22"/>
        </w:rPr>
        <w:t>Ace Radio Corporation</w:t>
      </w:r>
      <w:r w:rsidRPr="009D4033">
        <w:rPr>
          <w:spacing w:val="-2"/>
          <w:sz w:val="22"/>
          <w:szCs w:val="22"/>
        </w:rPr>
        <w:t xml:space="preserve">’s interim payment or funds on deposit will be applied towards the final default payment. </w:t>
      </w:r>
    </w:p>
    <w:p w:rsidR="00182657" w:rsidRPr="009D4033" w:rsidP="00182657" w14:paraId="5340F9B7" w14:textId="77777777">
      <w:pPr>
        <w:ind w:firstLine="720"/>
        <w:rPr>
          <w:sz w:val="22"/>
          <w:szCs w:val="22"/>
        </w:rPr>
      </w:pPr>
    </w:p>
    <w:p w:rsidR="00182657" w:rsidRPr="009D4033" w:rsidP="00182657" w14:paraId="7EB8C7AE" w14:textId="77777777">
      <w:pPr>
        <w:pStyle w:val="ParaNum"/>
        <w:ind w:firstLine="720"/>
        <w:jc w:val="left"/>
        <w:rPr>
          <w:kern w:val="0"/>
          <w:szCs w:val="22"/>
        </w:rPr>
      </w:pPr>
      <w:r w:rsidRPr="009D4033">
        <w:rPr>
          <w:szCs w:val="22"/>
        </w:rPr>
        <w:t xml:space="preserve">IT IS FURTHER ORDERED that Ace Radio Corporation’s debt of $159,250.00 is payable in full, immediately, and without further demand, and it must be paid within 30 days of the date of this Order (the Due Date), </w:t>
      </w:r>
      <w:r w:rsidRPr="009D4033">
        <w:rPr>
          <w:spacing w:val="-2"/>
          <w:szCs w:val="22"/>
        </w:rPr>
        <w:t xml:space="preserve">in accordance with the payment instructions in Attachment B, and any portion of the debt unpaid after the Due Date is delinquent, and under </w:t>
      </w:r>
      <w:r w:rsidRPr="009D4033">
        <w:rPr>
          <w:szCs w:val="22"/>
        </w:rPr>
        <w:t xml:space="preserve">31 </w:t>
      </w:r>
      <w:r>
        <w:rPr>
          <w:szCs w:val="22"/>
        </w:rPr>
        <w:t>U.S.C.</w:t>
      </w:r>
      <w:r w:rsidRPr="009D4033">
        <w:rPr>
          <w:szCs w:val="22"/>
        </w:rPr>
        <w:t xml:space="preserve"> § 3717, administrative charges, interest, and penalties will accrue.  </w:t>
      </w:r>
    </w:p>
    <w:p w:rsidR="00182657" w:rsidRPr="009D4033" w:rsidP="00182657" w14:paraId="11D15520" w14:textId="77777777">
      <w:pPr>
        <w:keepNext/>
        <w:ind w:firstLine="720"/>
        <w:rPr>
          <w:sz w:val="22"/>
          <w:szCs w:val="22"/>
        </w:rPr>
      </w:pPr>
      <w:r w:rsidRPr="009D4033">
        <w:rPr>
          <w:sz w:val="22"/>
          <w:szCs w:val="22"/>
        </w:rPr>
        <w:t>IT IS FURTHER ORDERED that this Order shall be sent to Ace Radio Corporation and its representatives by certified mail, return receipt requested.  This action is taken pursuant to authority delegated by section</w:t>
      </w:r>
      <w:r>
        <w:rPr>
          <w:sz w:val="22"/>
          <w:szCs w:val="22"/>
        </w:rPr>
        <w:t>s</w:t>
      </w:r>
      <w:r w:rsidRPr="009D4033">
        <w:rPr>
          <w:sz w:val="22"/>
          <w:szCs w:val="22"/>
        </w:rPr>
        <w:t xml:space="preserve"> 0.</w:t>
      </w:r>
      <w:r>
        <w:rPr>
          <w:sz w:val="22"/>
          <w:szCs w:val="22"/>
        </w:rPr>
        <w:t>21(m)</w:t>
      </w:r>
      <w:r w:rsidRPr="009D4033">
        <w:rPr>
          <w:sz w:val="22"/>
          <w:szCs w:val="22"/>
        </w:rPr>
        <w:t xml:space="preserve"> </w:t>
      </w:r>
      <w:r>
        <w:rPr>
          <w:sz w:val="22"/>
          <w:szCs w:val="22"/>
        </w:rPr>
        <w:t xml:space="preserve">and 0.271 </w:t>
      </w:r>
      <w:r w:rsidRPr="009D4033">
        <w:rPr>
          <w:sz w:val="22"/>
          <w:szCs w:val="22"/>
        </w:rPr>
        <w:t>of the Commission’s rules, 47 CFR §§ 0.</w:t>
      </w:r>
      <w:r>
        <w:rPr>
          <w:sz w:val="22"/>
          <w:szCs w:val="22"/>
        </w:rPr>
        <w:t>21(m), 0.271</w:t>
      </w:r>
      <w:r w:rsidRPr="009D4033">
        <w:rPr>
          <w:sz w:val="22"/>
          <w:szCs w:val="22"/>
        </w:rPr>
        <w:t>.</w:t>
      </w:r>
    </w:p>
    <w:p w:rsidR="00182657" w:rsidRPr="009D4033" w:rsidP="00182657" w14:paraId="26BB6A4B" w14:textId="77777777">
      <w:pPr>
        <w:keepNext/>
        <w:widowControl w:val="0"/>
        <w:rPr>
          <w:sz w:val="22"/>
          <w:szCs w:val="22"/>
        </w:rPr>
      </w:pPr>
    </w:p>
    <w:p w:rsidR="00182657" w:rsidRPr="000405E7" w:rsidP="00182657" w14:paraId="7EE98586" w14:textId="77777777">
      <w:pPr>
        <w:keepNext/>
        <w:widowControl w:val="0"/>
        <w:rPr>
          <w:sz w:val="22"/>
          <w:szCs w:val="22"/>
        </w:rPr>
      </w:pPr>
      <w:r w:rsidRPr="009D4033">
        <w:rPr>
          <w:sz w:val="22"/>
          <w:szCs w:val="22"/>
        </w:rPr>
        <w:tab/>
      </w:r>
      <w:r w:rsidRPr="009D4033">
        <w:rPr>
          <w:sz w:val="22"/>
          <w:szCs w:val="22"/>
        </w:rPr>
        <w:tab/>
      </w:r>
      <w:r w:rsidRPr="009D4033">
        <w:rPr>
          <w:sz w:val="22"/>
          <w:szCs w:val="22"/>
        </w:rPr>
        <w:tab/>
      </w:r>
      <w:r w:rsidRPr="009D4033">
        <w:rPr>
          <w:sz w:val="22"/>
          <w:szCs w:val="22"/>
        </w:rPr>
        <w:tab/>
      </w:r>
      <w:r w:rsidRPr="009D4033">
        <w:rPr>
          <w:sz w:val="22"/>
          <w:szCs w:val="22"/>
        </w:rPr>
        <w:tab/>
      </w:r>
      <w:r w:rsidRPr="009D4033">
        <w:rPr>
          <w:sz w:val="22"/>
          <w:szCs w:val="22"/>
        </w:rPr>
        <w:tab/>
        <w:t>Sincerely,</w:t>
      </w:r>
      <w:r>
        <w:rPr>
          <w:sz w:val="22"/>
          <w:szCs w:val="22"/>
        </w:rPr>
        <w:t xml:space="preserve">  </w:t>
      </w:r>
    </w:p>
    <w:p w:rsidR="00182657" w:rsidP="00182657" w14:paraId="5FB4746B" w14:textId="77777777">
      <w:pPr>
        <w:widowControl w:val="0"/>
        <w:rPr>
          <w:sz w:val="22"/>
        </w:rPr>
      </w:pPr>
    </w:p>
    <w:p w:rsidR="00182657" w:rsidP="00182657" w14:paraId="28E307C3" w14:textId="77777777">
      <w:pPr>
        <w:widowControl w:val="0"/>
        <w:rPr>
          <w:sz w:val="22"/>
        </w:rPr>
      </w:pPr>
    </w:p>
    <w:p w:rsidR="00182657" w:rsidP="00182657" w14:paraId="28AD83FB" w14:textId="77777777">
      <w:pPr>
        <w:widowControl w:val="0"/>
        <w:rPr>
          <w:sz w:val="22"/>
        </w:rPr>
      </w:pPr>
    </w:p>
    <w:p w:rsidR="00182657" w:rsidP="00182657" w14:paraId="23ACFA3E" w14:textId="77777777">
      <w:pPr>
        <w:widowControl w:val="0"/>
        <w:rPr>
          <w:sz w:val="22"/>
        </w:rPr>
      </w:pPr>
    </w:p>
    <w:p w:rsidR="00182657" w:rsidP="00182657" w14:paraId="3E08EFFE" w14:textId="77777777">
      <w:pPr>
        <w:widowControl w:val="0"/>
        <w:rPr>
          <w:sz w:val="22"/>
        </w:rPr>
      </w:pPr>
      <w:bookmarkStart w:id="1" w:name="OLE_LINK13"/>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182657" w:rsidP="00182657" w14:paraId="77EBCA72" w14:textId="77777777">
      <w:pPr>
        <w:widowControl w:val="0"/>
        <w:ind w:left="3600" w:firstLine="720"/>
        <w:rPr>
          <w:sz w:val="22"/>
        </w:rPr>
      </w:pPr>
      <w:r>
        <w:rPr>
          <w:sz w:val="22"/>
        </w:rPr>
        <w:t>Deputy Chief, Auctions Division</w:t>
      </w:r>
    </w:p>
    <w:p w:rsidR="00182657" w:rsidP="00182657" w14:paraId="2BC27C30" w14:textId="77777777">
      <w:pPr>
        <w:widowControl w:val="0"/>
        <w:rPr>
          <w:sz w:val="22"/>
        </w:rPr>
      </w:pPr>
      <w:r>
        <w:rPr>
          <w:sz w:val="22"/>
        </w:rPr>
        <w:tab/>
      </w:r>
      <w:r>
        <w:rPr>
          <w:sz w:val="22"/>
        </w:rPr>
        <w:tab/>
      </w:r>
      <w:r>
        <w:rPr>
          <w:sz w:val="22"/>
        </w:rPr>
        <w:tab/>
      </w:r>
      <w:r>
        <w:rPr>
          <w:sz w:val="22"/>
        </w:rPr>
        <w:tab/>
      </w:r>
      <w:r>
        <w:rPr>
          <w:sz w:val="22"/>
        </w:rPr>
        <w:tab/>
      </w:r>
      <w:r>
        <w:rPr>
          <w:sz w:val="22"/>
        </w:rPr>
        <w:tab/>
        <w:t xml:space="preserve">Office of Economics and Analytics </w:t>
      </w:r>
    </w:p>
    <w:p w:rsidR="00182657" w:rsidP="00182657" w14:paraId="5F23122E" w14:textId="77777777">
      <w:pPr>
        <w:widowControl w:val="0"/>
        <w:rPr>
          <w:sz w:val="22"/>
          <w:szCs w:val="24"/>
        </w:rPr>
      </w:pPr>
    </w:p>
    <w:p w:rsidR="00182657" w:rsidP="00182657" w14:paraId="5F7D5942" w14:textId="77777777">
      <w:pPr>
        <w:widowControl w:val="0"/>
        <w:tabs>
          <w:tab w:val="left" w:pos="360"/>
        </w:tabs>
        <w:rPr>
          <w:sz w:val="22"/>
          <w:szCs w:val="22"/>
        </w:rPr>
      </w:pPr>
    </w:p>
    <w:p w:rsidR="00182657" w:rsidP="00182657" w14:paraId="66D61E0E" w14:textId="77777777">
      <w:pPr>
        <w:widowControl w:val="0"/>
        <w:tabs>
          <w:tab w:val="left" w:pos="360"/>
        </w:tabs>
        <w:rPr>
          <w:sz w:val="22"/>
          <w:szCs w:val="22"/>
        </w:rPr>
      </w:pPr>
      <w:r>
        <w:rPr>
          <w:sz w:val="22"/>
          <w:szCs w:val="22"/>
        </w:rPr>
        <w:t>Attachments</w:t>
      </w:r>
    </w:p>
    <w:p w:rsidR="00182657" w:rsidP="00182657" w14:paraId="3F4BDA33" w14:textId="77777777">
      <w:pPr>
        <w:rPr>
          <w:sz w:val="22"/>
        </w:rPr>
      </w:pPr>
      <w:r>
        <w:rPr>
          <w:sz w:val="22"/>
        </w:rPr>
        <w:br w:type="page"/>
      </w:r>
    </w:p>
    <w:p w:rsidR="00182657" w:rsidRPr="009D4033" w:rsidP="00182657" w14:paraId="5BFEAB92" w14:textId="6632A361">
      <w:pPr>
        <w:pStyle w:val="Heading2"/>
        <w:rPr>
          <w:sz w:val="22"/>
          <w:szCs w:val="22"/>
          <w:u w:val="none"/>
        </w:rPr>
      </w:pPr>
      <w:r w:rsidRPr="009D4033">
        <w:rPr>
          <w:sz w:val="22"/>
          <w:szCs w:val="22"/>
        </w:rPr>
        <w:t>ATTACHMENT A</w:t>
      </w:r>
    </w:p>
    <w:p w:rsidR="00182657" w:rsidRPr="009D4033" w:rsidP="00182657" w14:paraId="5408E019" w14:textId="77777777">
      <w:pPr>
        <w:widowControl w:val="0"/>
        <w:jc w:val="center"/>
        <w:rPr>
          <w:sz w:val="22"/>
          <w:szCs w:val="22"/>
        </w:rPr>
      </w:pPr>
    </w:p>
    <w:p w:rsidR="00182657" w:rsidRPr="009D4033" w:rsidP="00182657" w14:paraId="7389F3AC" w14:textId="77777777">
      <w:pPr>
        <w:widowControl w:val="0"/>
        <w:jc w:val="center"/>
        <w:rPr>
          <w:sz w:val="22"/>
          <w:szCs w:val="22"/>
        </w:rPr>
      </w:pPr>
    </w:p>
    <w:p w:rsidR="00182657" w:rsidRPr="009D4033" w:rsidP="00182657" w14:paraId="0E561076" w14:textId="77777777">
      <w:pPr>
        <w:widowControl w:val="0"/>
        <w:jc w:val="center"/>
        <w:rPr>
          <w:b/>
          <w:sz w:val="22"/>
          <w:szCs w:val="22"/>
        </w:rPr>
      </w:pPr>
      <w:r w:rsidRPr="009D4033">
        <w:rPr>
          <w:b/>
          <w:sz w:val="22"/>
          <w:szCs w:val="22"/>
        </w:rPr>
        <w:t>Multi-Auction Default Payment Report</w:t>
      </w:r>
    </w:p>
    <w:p w:rsidR="00182657" w:rsidRPr="009D4033" w:rsidP="00182657" w14:paraId="16C245D4" w14:textId="77777777">
      <w:pPr>
        <w:widowControl w:val="0"/>
        <w:jc w:val="center"/>
        <w:rPr>
          <w:sz w:val="22"/>
          <w:szCs w:val="22"/>
        </w:rPr>
      </w:pPr>
    </w:p>
    <w:p w:rsidR="00182657" w:rsidRPr="009D4033" w:rsidP="00182657" w14:paraId="35FD8A04" w14:textId="77777777">
      <w:pPr>
        <w:widowControl w:val="0"/>
        <w:jc w:val="center"/>
        <w:rPr>
          <w:sz w:val="22"/>
          <w:szCs w:val="22"/>
        </w:rPr>
      </w:pPr>
    </w:p>
    <w:tbl>
      <w:tblPr>
        <w:tblpPr w:leftFromText="180" w:rightFromText="180" w:vertAnchor="text" w:horzAnchor="margin" w:tblpXSpec="center" w:tblpY="9"/>
        <w:tblW w:w="52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tblPr>
      <w:tblGrid>
        <w:gridCol w:w="1404"/>
        <w:gridCol w:w="1261"/>
        <w:gridCol w:w="1349"/>
        <w:gridCol w:w="1170"/>
        <w:gridCol w:w="1170"/>
        <w:gridCol w:w="990"/>
        <w:gridCol w:w="1261"/>
        <w:gridCol w:w="1259"/>
      </w:tblGrid>
      <w:tr w14:paraId="4F796D35" w14:textId="77777777" w:rsidTr="007036D5">
        <w:tblPrEx>
          <w:tblW w:w="52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tblPrEx>
        <w:trPr>
          <w:trHeight w:val="1152"/>
        </w:trPr>
        <w:tc>
          <w:tcPr>
            <w:tcW w:w="712" w:type="pct"/>
          </w:tcPr>
          <w:p w:rsidR="00182657" w:rsidRPr="009D4033" w:rsidP="007036D5" w14:paraId="5AA4978A" w14:textId="77777777">
            <w:pPr>
              <w:jc w:val="center"/>
              <w:rPr>
                <w:b/>
                <w:bCs/>
                <w:snapToGrid w:val="0"/>
                <w:sz w:val="22"/>
                <w:szCs w:val="22"/>
              </w:rPr>
            </w:pPr>
            <w:r w:rsidRPr="009D4033">
              <w:rPr>
                <w:b/>
                <w:bCs/>
                <w:snapToGrid w:val="0"/>
                <w:sz w:val="22"/>
                <w:szCs w:val="22"/>
              </w:rPr>
              <w:t>Construction Permit</w:t>
            </w:r>
          </w:p>
        </w:tc>
        <w:tc>
          <w:tcPr>
            <w:tcW w:w="639" w:type="pct"/>
          </w:tcPr>
          <w:p w:rsidR="00182657" w:rsidRPr="009D4033" w:rsidP="007036D5" w14:paraId="77566C09" w14:textId="77777777">
            <w:pPr>
              <w:jc w:val="center"/>
              <w:rPr>
                <w:b/>
                <w:bCs/>
                <w:snapToGrid w:val="0"/>
                <w:sz w:val="22"/>
                <w:szCs w:val="22"/>
              </w:rPr>
            </w:pPr>
            <w:r w:rsidRPr="009D4033">
              <w:rPr>
                <w:b/>
                <w:bCs/>
                <w:snapToGrid w:val="0"/>
                <w:sz w:val="22"/>
                <w:szCs w:val="22"/>
              </w:rPr>
              <w:t xml:space="preserve">Defaulted </w:t>
            </w:r>
          </w:p>
          <w:p w:rsidR="00182657" w:rsidRPr="009D4033" w:rsidP="007036D5" w14:paraId="497B8C7B" w14:textId="77777777">
            <w:pPr>
              <w:jc w:val="center"/>
              <w:rPr>
                <w:b/>
                <w:bCs/>
                <w:snapToGrid w:val="0"/>
                <w:sz w:val="22"/>
                <w:szCs w:val="22"/>
              </w:rPr>
            </w:pPr>
            <w:r w:rsidRPr="009D4033">
              <w:rPr>
                <w:b/>
                <w:bCs/>
                <w:snapToGrid w:val="0"/>
                <w:sz w:val="22"/>
                <w:szCs w:val="22"/>
              </w:rPr>
              <w:t>Gross Bid</w:t>
            </w:r>
          </w:p>
          <w:p w:rsidR="00182657" w:rsidRPr="009D4033" w:rsidP="007036D5" w14:paraId="23C9243A" w14:textId="77777777">
            <w:pPr>
              <w:jc w:val="center"/>
              <w:rPr>
                <w:snapToGrid w:val="0"/>
                <w:sz w:val="22"/>
                <w:szCs w:val="22"/>
              </w:rPr>
            </w:pPr>
            <w:r w:rsidRPr="009D4033">
              <w:rPr>
                <w:b/>
                <w:bCs/>
                <w:snapToGrid w:val="0"/>
                <w:sz w:val="22"/>
                <w:szCs w:val="22"/>
              </w:rPr>
              <w:t>Auction 62</w:t>
            </w:r>
          </w:p>
        </w:tc>
        <w:tc>
          <w:tcPr>
            <w:tcW w:w="684" w:type="pct"/>
          </w:tcPr>
          <w:p w:rsidR="00182657" w:rsidRPr="009D4033" w:rsidP="007036D5" w14:paraId="767F7ADE" w14:textId="77777777">
            <w:pPr>
              <w:jc w:val="center"/>
              <w:rPr>
                <w:b/>
                <w:bCs/>
                <w:snapToGrid w:val="0"/>
                <w:sz w:val="22"/>
                <w:szCs w:val="22"/>
              </w:rPr>
            </w:pPr>
            <w:r w:rsidRPr="009D4033">
              <w:rPr>
                <w:b/>
                <w:bCs/>
                <w:snapToGrid w:val="0"/>
                <w:sz w:val="22"/>
                <w:szCs w:val="22"/>
              </w:rPr>
              <w:t xml:space="preserve">Defaulted </w:t>
            </w:r>
          </w:p>
          <w:p w:rsidR="00182657" w:rsidRPr="009D4033" w:rsidP="007036D5" w14:paraId="13998086" w14:textId="77777777">
            <w:pPr>
              <w:jc w:val="center"/>
              <w:rPr>
                <w:b/>
                <w:bCs/>
                <w:snapToGrid w:val="0"/>
                <w:sz w:val="22"/>
                <w:szCs w:val="22"/>
              </w:rPr>
            </w:pPr>
            <w:r w:rsidRPr="009D4033">
              <w:rPr>
                <w:b/>
                <w:bCs/>
                <w:snapToGrid w:val="0"/>
                <w:sz w:val="22"/>
                <w:szCs w:val="22"/>
              </w:rPr>
              <w:t>Net Bid</w:t>
            </w:r>
          </w:p>
          <w:p w:rsidR="00182657" w:rsidRPr="009D4033" w:rsidP="007036D5" w14:paraId="02E4617C" w14:textId="77777777">
            <w:pPr>
              <w:jc w:val="center"/>
              <w:rPr>
                <w:snapToGrid w:val="0"/>
                <w:sz w:val="22"/>
                <w:szCs w:val="22"/>
              </w:rPr>
            </w:pPr>
            <w:r w:rsidRPr="009D4033">
              <w:rPr>
                <w:b/>
                <w:bCs/>
                <w:snapToGrid w:val="0"/>
                <w:sz w:val="22"/>
                <w:szCs w:val="22"/>
              </w:rPr>
              <w:t>Auction 62</w:t>
            </w:r>
          </w:p>
        </w:tc>
        <w:tc>
          <w:tcPr>
            <w:tcW w:w="593" w:type="pct"/>
          </w:tcPr>
          <w:p w:rsidR="00182657" w:rsidRPr="009D4033" w:rsidP="007036D5" w14:paraId="0E7C8C7F" w14:textId="77777777">
            <w:pPr>
              <w:jc w:val="center"/>
              <w:rPr>
                <w:b/>
                <w:bCs/>
                <w:snapToGrid w:val="0"/>
                <w:sz w:val="22"/>
                <w:szCs w:val="22"/>
              </w:rPr>
            </w:pPr>
            <w:r w:rsidRPr="009D4033">
              <w:rPr>
                <w:b/>
                <w:bCs/>
                <w:snapToGrid w:val="0"/>
                <w:sz w:val="22"/>
                <w:szCs w:val="22"/>
              </w:rPr>
              <w:t>Re-auction</w:t>
            </w:r>
          </w:p>
          <w:p w:rsidR="00182657" w:rsidRPr="009D4033" w:rsidP="007036D5" w14:paraId="5B268B53" w14:textId="77777777">
            <w:pPr>
              <w:jc w:val="center"/>
              <w:rPr>
                <w:b/>
                <w:bCs/>
                <w:snapToGrid w:val="0"/>
                <w:sz w:val="22"/>
                <w:szCs w:val="22"/>
              </w:rPr>
            </w:pPr>
            <w:r w:rsidRPr="009D4033">
              <w:rPr>
                <w:b/>
                <w:bCs/>
                <w:snapToGrid w:val="0"/>
                <w:sz w:val="22"/>
                <w:szCs w:val="22"/>
              </w:rPr>
              <w:t>Gross Bid</w:t>
            </w:r>
          </w:p>
          <w:p w:rsidR="00182657" w:rsidRPr="009D4033" w:rsidP="007036D5" w14:paraId="70BBDFEB" w14:textId="77777777">
            <w:pPr>
              <w:jc w:val="center"/>
              <w:rPr>
                <w:snapToGrid w:val="0"/>
                <w:sz w:val="22"/>
                <w:szCs w:val="22"/>
              </w:rPr>
            </w:pPr>
            <w:r w:rsidRPr="009D4033">
              <w:rPr>
                <w:b/>
                <w:bCs/>
                <w:snapToGrid w:val="0"/>
                <w:sz w:val="22"/>
                <w:szCs w:val="22"/>
              </w:rPr>
              <w:t>Auction 98</w:t>
            </w:r>
          </w:p>
        </w:tc>
        <w:tc>
          <w:tcPr>
            <w:tcW w:w="593" w:type="pct"/>
          </w:tcPr>
          <w:p w:rsidR="00182657" w:rsidRPr="009D4033" w:rsidP="007036D5" w14:paraId="728A225E" w14:textId="77777777">
            <w:pPr>
              <w:jc w:val="center"/>
              <w:rPr>
                <w:b/>
                <w:sz w:val="22"/>
                <w:szCs w:val="22"/>
              </w:rPr>
            </w:pPr>
            <w:r w:rsidRPr="009D4033">
              <w:rPr>
                <w:b/>
                <w:sz w:val="22"/>
                <w:szCs w:val="22"/>
              </w:rPr>
              <w:t>Re-auction Net Bid</w:t>
            </w:r>
          </w:p>
          <w:p w:rsidR="00182657" w:rsidRPr="009D4033" w:rsidP="007036D5" w14:paraId="385574D9" w14:textId="77777777">
            <w:pPr>
              <w:jc w:val="center"/>
              <w:rPr>
                <w:snapToGrid w:val="0"/>
                <w:sz w:val="22"/>
                <w:szCs w:val="22"/>
                <w:lang w:val="fr-FR"/>
              </w:rPr>
            </w:pPr>
            <w:r w:rsidRPr="009D4033">
              <w:rPr>
                <w:b/>
                <w:bCs/>
                <w:snapToGrid w:val="0"/>
                <w:sz w:val="22"/>
                <w:szCs w:val="22"/>
                <w:lang w:val="fr-FR"/>
              </w:rPr>
              <w:t>Auction 98</w:t>
            </w:r>
          </w:p>
        </w:tc>
        <w:tc>
          <w:tcPr>
            <w:tcW w:w="502" w:type="pct"/>
          </w:tcPr>
          <w:p w:rsidR="00182657" w:rsidRPr="009D4033" w:rsidP="007036D5" w14:paraId="417076AF" w14:textId="77777777">
            <w:pPr>
              <w:jc w:val="center"/>
              <w:rPr>
                <w:b/>
                <w:bCs/>
                <w:snapToGrid w:val="0"/>
                <w:sz w:val="22"/>
                <w:szCs w:val="22"/>
              </w:rPr>
            </w:pPr>
            <w:r w:rsidRPr="009D4033">
              <w:rPr>
                <w:b/>
                <w:bCs/>
                <w:snapToGrid w:val="0"/>
                <w:sz w:val="22"/>
                <w:szCs w:val="22"/>
              </w:rPr>
              <w:t>3% Payment</w:t>
            </w:r>
          </w:p>
        </w:tc>
        <w:tc>
          <w:tcPr>
            <w:tcW w:w="639" w:type="pct"/>
          </w:tcPr>
          <w:p w:rsidR="00182657" w:rsidRPr="009D4033" w:rsidP="007036D5" w14:paraId="1285E6DA" w14:textId="77777777">
            <w:pPr>
              <w:jc w:val="center"/>
              <w:rPr>
                <w:b/>
                <w:bCs/>
                <w:snapToGrid w:val="0"/>
                <w:sz w:val="22"/>
                <w:szCs w:val="22"/>
              </w:rPr>
            </w:pPr>
            <w:r w:rsidRPr="009D4033">
              <w:rPr>
                <w:b/>
                <w:bCs/>
                <w:snapToGrid w:val="0"/>
                <w:sz w:val="22"/>
                <w:szCs w:val="22"/>
              </w:rPr>
              <w:t>Lower Difference Payment</w:t>
            </w:r>
          </w:p>
          <w:p w:rsidR="00182657" w:rsidRPr="009D4033" w:rsidP="007036D5" w14:paraId="35F5F36A" w14:textId="77777777">
            <w:pPr>
              <w:jc w:val="center"/>
              <w:rPr>
                <w:snapToGrid w:val="0"/>
                <w:sz w:val="22"/>
                <w:szCs w:val="22"/>
              </w:rPr>
            </w:pPr>
          </w:p>
        </w:tc>
        <w:tc>
          <w:tcPr>
            <w:tcW w:w="638" w:type="pct"/>
          </w:tcPr>
          <w:p w:rsidR="00182657" w:rsidRPr="009D4033" w:rsidP="007036D5" w14:paraId="37880885" w14:textId="77777777">
            <w:pPr>
              <w:jc w:val="center"/>
              <w:rPr>
                <w:b/>
                <w:bCs/>
                <w:snapToGrid w:val="0"/>
                <w:sz w:val="22"/>
                <w:szCs w:val="22"/>
              </w:rPr>
            </w:pPr>
            <w:r w:rsidRPr="009D4033">
              <w:rPr>
                <w:b/>
                <w:bCs/>
                <w:snapToGrid w:val="0"/>
                <w:sz w:val="22"/>
                <w:szCs w:val="22"/>
              </w:rPr>
              <w:t xml:space="preserve">Final </w:t>
            </w:r>
          </w:p>
          <w:p w:rsidR="00182657" w:rsidRPr="009D4033" w:rsidP="007036D5" w14:paraId="78BB9614" w14:textId="77777777">
            <w:pPr>
              <w:jc w:val="center"/>
              <w:rPr>
                <w:snapToGrid w:val="0"/>
                <w:sz w:val="22"/>
                <w:szCs w:val="22"/>
              </w:rPr>
            </w:pPr>
            <w:r w:rsidRPr="009D4033">
              <w:rPr>
                <w:b/>
                <w:bCs/>
                <w:snapToGrid w:val="0"/>
                <w:sz w:val="22"/>
                <w:szCs w:val="22"/>
              </w:rPr>
              <w:t>Payment</w:t>
            </w:r>
          </w:p>
        </w:tc>
      </w:tr>
      <w:tr w14:paraId="5BDD8A97" w14:textId="77777777" w:rsidTr="007036D5">
        <w:tblPrEx>
          <w:tblW w:w="5209" w:type="pct"/>
          <w:tblLayout w:type="fixed"/>
          <w:tblCellMar>
            <w:left w:w="54" w:type="dxa"/>
            <w:right w:w="54" w:type="dxa"/>
          </w:tblCellMar>
          <w:tblLook w:val="00A0"/>
        </w:tblPrEx>
        <w:trPr>
          <w:trHeight w:val="792"/>
        </w:trPr>
        <w:tc>
          <w:tcPr>
            <w:tcW w:w="712" w:type="pct"/>
          </w:tcPr>
          <w:p w:rsidR="00182657" w:rsidRPr="009D4033" w:rsidP="007036D5" w14:paraId="005F727C" w14:textId="77777777">
            <w:pPr>
              <w:jc w:val="center"/>
              <w:rPr>
                <w:snapToGrid w:val="0"/>
                <w:sz w:val="22"/>
                <w:szCs w:val="22"/>
              </w:rPr>
            </w:pPr>
          </w:p>
          <w:p w:rsidR="00182657" w:rsidRPr="009D4033" w:rsidP="007036D5" w14:paraId="68B7A58F" w14:textId="77777777">
            <w:pPr>
              <w:jc w:val="center"/>
              <w:rPr>
                <w:snapToGrid w:val="0"/>
                <w:sz w:val="22"/>
                <w:szCs w:val="22"/>
              </w:rPr>
            </w:pPr>
            <w:r w:rsidRPr="009D4033">
              <w:rPr>
                <w:sz w:val="22"/>
                <w:szCs w:val="22"/>
              </w:rPr>
              <w:t>FM 459-A (Mertzon, Texas)</w:t>
            </w:r>
          </w:p>
        </w:tc>
        <w:tc>
          <w:tcPr>
            <w:tcW w:w="639" w:type="pct"/>
          </w:tcPr>
          <w:p w:rsidR="00182657" w:rsidRPr="009D4033" w:rsidP="007036D5" w14:paraId="685746B9" w14:textId="77777777">
            <w:pPr>
              <w:jc w:val="center"/>
              <w:rPr>
                <w:snapToGrid w:val="0"/>
                <w:sz w:val="22"/>
                <w:szCs w:val="22"/>
              </w:rPr>
            </w:pPr>
          </w:p>
          <w:p w:rsidR="00182657" w:rsidRPr="009D4033" w:rsidP="007036D5" w14:paraId="77412562" w14:textId="77777777">
            <w:pPr>
              <w:jc w:val="center"/>
              <w:rPr>
                <w:snapToGrid w:val="0"/>
                <w:sz w:val="22"/>
                <w:szCs w:val="22"/>
              </w:rPr>
            </w:pPr>
            <w:r w:rsidRPr="009D4033">
              <w:rPr>
                <w:snapToGrid w:val="0"/>
                <w:sz w:val="22"/>
                <w:szCs w:val="22"/>
              </w:rPr>
              <w:t>$476,000.00</w:t>
            </w:r>
          </w:p>
        </w:tc>
        <w:tc>
          <w:tcPr>
            <w:tcW w:w="684" w:type="pct"/>
          </w:tcPr>
          <w:p w:rsidR="00182657" w:rsidRPr="009D4033" w:rsidP="007036D5" w14:paraId="19441C50" w14:textId="77777777">
            <w:pPr>
              <w:jc w:val="center"/>
              <w:rPr>
                <w:snapToGrid w:val="0"/>
                <w:sz w:val="22"/>
                <w:szCs w:val="22"/>
              </w:rPr>
            </w:pPr>
          </w:p>
          <w:p w:rsidR="00182657" w:rsidRPr="009D4033" w:rsidP="007036D5" w14:paraId="64FED857" w14:textId="77777777">
            <w:pPr>
              <w:jc w:val="center"/>
              <w:rPr>
                <w:snapToGrid w:val="0"/>
                <w:sz w:val="22"/>
                <w:szCs w:val="22"/>
              </w:rPr>
            </w:pPr>
            <w:r w:rsidRPr="009D4033">
              <w:rPr>
                <w:snapToGrid w:val="0"/>
                <w:sz w:val="22"/>
                <w:szCs w:val="22"/>
              </w:rPr>
              <w:t>$309,400.00</w:t>
            </w:r>
          </w:p>
        </w:tc>
        <w:tc>
          <w:tcPr>
            <w:tcW w:w="593" w:type="pct"/>
          </w:tcPr>
          <w:p w:rsidR="00182657" w:rsidRPr="009D4033" w:rsidP="007036D5" w14:paraId="1FBE730D" w14:textId="77777777">
            <w:pPr>
              <w:jc w:val="center"/>
              <w:rPr>
                <w:snapToGrid w:val="0"/>
                <w:sz w:val="22"/>
                <w:szCs w:val="22"/>
              </w:rPr>
            </w:pPr>
          </w:p>
          <w:p w:rsidR="00182657" w:rsidRPr="009D4033" w:rsidP="007036D5" w14:paraId="68506D59" w14:textId="77777777">
            <w:pPr>
              <w:jc w:val="center"/>
              <w:rPr>
                <w:snapToGrid w:val="0"/>
                <w:sz w:val="22"/>
                <w:szCs w:val="22"/>
              </w:rPr>
            </w:pPr>
            <w:r w:rsidRPr="009D4033">
              <w:rPr>
                <w:snapToGrid w:val="0"/>
                <w:sz w:val="22"/>
                <w:szCs w:val="22"/>
              </w:rPr>
              <w:t>$91,000.00</w:t>
            </w:r>
          </w:p>
        </w:tc>
        <w:tc>
          <w:tcPr>
            <w:tcW w:w="593" w:type="pct"/>
          </w:tcPr>
          <w:p w:rsidR="00182657" w:rsidRPr="009D4033" w:rsidP="007036D5" w14:paraId="707FCEF0" w14:textId="77777777">
            <w:pPr>
              <w:jc w:val="center"/>
              <w:rPr>
                <w:snapToGrid w:val="0"/>
                <w:sz w:val="22"/>
                <w:szCs w:val="22"/>
              </w:rPr>
            </w:pPr>
          </w:p>
          <w:p w:rsidR="00182657" w:rsidRPr="009D4033" w:rsidP="007036D5" w14:paraId="7232C4B2" w14:textId="77777777">
            <w:pPr>
              <w:jc w:val="center"/>
              <w:rPr>
                <w:snapToGrid w:val="0"/>
                <w:sz w:val="22"/>
                <w:szCs w:val="22"/>
              </w:rPr>
            </w:pPr>
            <w:r w:rsidRPr="009D4033">
              <w:rPr>
                <w:snapToGrid w:val="0"/>
                <w:sz w:val="22"/>
                <w:szCs w:val="22"/>
              </w:rPr>
              <w:t>$91,000.00</w:t>
            </w:r>
          </w:p>
        </w:tc>
        <w:tc>
          <w:tcPr>
            <w:tcW w:w="502" w:type="pct"/>
          </w:tcPr>
          <w:p w:rsidR="00182657" w:rsidRPr="009D4033" w:rsidP="007036D5" w14:paraId="20B0D614" w14:textId="77777777">
            <w:pPr>
              <w:jc w:val="center"/>
              <w:rPr>
                <w:snapToGrid w:val="0"/>
                <w:sz w:val="22"/>
                <w:szCs w:val="22"/>
              </w:rPr>
            </w:pPr>
          </w:p>
          <w:p w:rsidR="00182657" w:rsidRPr="009D4033" w:rsidP="007036D5" w14:paraId="3B118905" w14:textId="77777777">
            <w:pPr>
              <w:jc w:val="center"/>
              <w:rPr>
                <w:snapToGrid w:val="0"/>
                <w:sz w:val="22"/>
                <w:szCs w:val="22"/>
              </w:rPr>
            </w:pPr>
            <w:r w:rsidRPr="009D4033">
              <w:rPr>
                <w:snapToGrid w:val="0"/>
                <w:sz w:val="22"/>
                <w:szCs w:val="22"/>
              </w:rPr>
              <w:t>$2,730.00</w:t>
            </w:r>
          </w:p>
        </w:tc>
        <w:tc>
          <w:tcPr>
            <w:tcW w:w="639" w:type="pct"/>
          </w:tcPr>
          <w:p w:rsidR="00182657" w:rsidRPr="009D4033" w:rsidP="007036D5" w14:paraId="2AC250CC" w14:textId="77777777">
            <w:pPr>
              <w:jc w:val="center"/>
              <w:rPr>
                <w:snapToGrid w:val="0"/>
                <w:sz w:val="22"/>
                <w:szCs w:val="22"/>
              </w:rPr>
            </w:pPr>
          </w:p>
          <w:p w:rsidR="00182657" w:rsidRPr="009D4033" w:rsidP="007036D5" w14:paraId="7BA25CA0" w14:textId="77777777">
            <w:pPr>
              <w:jc w:val="center"/>
              <w:rPr>
                <w:snapToGrid w:val="0"/>
                <w:sz w:val="22"/>
                <w:szCs w:val="22"/>
              </w:rPr>
            </w:pPr>
            <w:r w:rsidRPr="009D4033">
              <w:rPr>
                <w:snapToGrid w:val="0"/>
                <w:sz w:val="22"/>
                <w:szCs w:val="22"/>
              </w:rPr>
              <w:t>$218,400.00</w:t>
            </w:r>
          </w:p>
        </w:tc>
        <w:tc>
          <w:tcPr>
            <w:tcW w:w="638" w:type="pct"/>
          </w:tcPr>
          <w:p w:rsidR="00182657" w:rsidRPr="009D4033" w:rsidP="007036D5" w14:paraId="1EC86102" w14:textId="77777777">
            <w:pPr>
              <w:jc w:val="center"/>
              <w:rPr>
                <w:snapToGrid w:val="0"/>
                <w:sz w:val="22"/>
                <w:szCs w:val="22"/>
              </w:rPr>
            </w:pPr>
          </w:p>
          <w:p w:rsidR="00182657" w:rsidRPr="009D4033" w:rsidP="007036D5" w14:paraId="083E5F60" w14:textId="77777777">
            <w:pPr>
              <w:jc w:val="center"/>
              <w:rPr>
                <w:snapToGrid w:val="0"/>
                <w:sz w:val="22"/>
                <w:szCs w:val="22"/>
              </w:rPr>
            </w:pPr>
            <w:r w:rsidRPr="009D4033">
              <w:rPr>
                <w:snapToGrid w:val="0"/>
                <w:sz w:val="22"/>
                <w:szCs w:val="22"/>
              </w:rPr>
              <w:t>$221,130.00</w:t>
            </w:r>
          </w:p>
        </w:tc>
      </w:tr>
    </w:tbl>
    <w:p w:rsidR="00182657" w:rsidRPr="009D4033" w:rsidP="00182657" w14:paraId="5D1A9CD8" w14:textId="77777777">
      <w:pPr>
        <w:widowControl w:val="0"/>
        <w:rPr>
          <w:sz w:val="22"/>
          <w:szCs w:val="22"/>
        </w:rPr>
      </w:pPr>
    </w:p>
    <w:p w:rsidR="00182657" w:rsidRPr="009D4033" w:rsidP="00182657" w14:paraId="60FFEA13" w14:textId="77777777">
      <w:pPr>
        <w:rPr>
          <w:sz w:val="22"/>
          <w:szCs w:val="22"/>
        </w:rPr>
      </w:pPr>
    </w:p>
    <w:p w:rsidR="00182657" w:rsidRPr="009D4033" w:rsidP="00182657" w14:paraId="54C3D269" w14:textId="77777777">
      <w:pPr>
        <w:rPr>
          <w:sz w:val="22"/>
          <w:szCs w:val="22"/>
        </w:rPr>
      </w:pPr>
    </w:p>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196355D0" w14:textId="77777777" w:rsidTr="007036D5">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182657" w:rsidRPr="009D4033" w:rsidP="007036D5" w14:paraId="776BFB7B" w14:textId="77777777">
            <w:pPr>
              <w:widowControl w:val="0"/>
              <w:autoSpaceDE w:val="0"/>
              <w:autoSpaceDN w:val="0"/>
              <w:adjustRightInd w:val="0"/>
              <w:rPr>
                <w:sz w:val="22"/>
                <w:szCs w:val="22"/>
              </w:rPr>
            </w:pPr>
            <w:r w:rsidRPr="009D4033">
              <w:rPr>
                <w:sz w:val="22"/>
                <w:szCs w:val="22"/>
              </w:rPr>
              <w:t xml:space="preserve">Total Final Default Payment Due </w:t>
            </w:r>
          </w:p>
          <w:p w:rsidR="00182657" w:rsidRPr="009D4033" w:rsidP="007036D5" w14:paraId="049B88C3" w14:textId="77777777">
            <w:pPr>
              <w:widowControl w:val="0"/>
              <w:autoSpaceDE w:val="0"/>
              <w:autoSpaceDN w:val="0"/>
              <w:adjustRightInd w:val="0"/>
              <w:rPr>
                <w:sz w:val="22"/>
                <w:szCs w:val="22"/>
              </w:rPr>
            </w:pPr>
          </w:p>
        </w:tc>
        <w:tc>
          <w:tcPr>
            <w:tcW w:w="1890" w:type="dxa"/>
          </w:tcPr>
          <w:p w:rsidR="00182657" w:rsidRPr="009D4033" w:rsidP="007036D5" w14:paraId="5DDA43AE" w14:textId="77777777">
            <w:pPr>
              <w:widowControl w:val="0"/>
              <w:autoSpaceDE w:val="0"/>
              <w:autoSpaceDN w:val="0"/>
              <w:adjustRightInd w:val="0"/>
              <w:jc w:val="right"/>
              <w:rPr>
                <w:sz w:val="22"/>
                <w:szCs w:val="22"/>
              </w:rPr>
            </w:pPr>
            <w:r w:rsidRPr="009D4033">
              <w:rPr>
                <w:sz w:val="22"/>
                <w:szCs w:val="22"/>
              </w:rPr>
              <w:t>$221,130.00</w:t>
            </w:r>
          </w:p>
        </w:tc>
      </w:tr>
      <w:tr w14:paraId="2DC77AC4" w14:textId="77777777" w:rsidTr="007036D5">
        <w:tblPrEx>
          <w:tblW w:w="4950" w:type="dxa"/>
          <w:tblLayout w:type="fixed"/>
          <w:tblCellMar>
            <w:left w:w="54" w:type="dxa"/>
            <w:right w:w="54" w:type="dxa"/>
          </w:tblCellMar>
          <w:tblLook w:val="0000"/>
        </w:tblPrEx>
        <w:tc>
          <w:tcPr>
            <w:tcW w:w="3060" w:type="dxa"/>
          </w:tcPr>
          <w:p w:rsidR="00182657" w:rsidRPr="009D4033" w:rsidP="007036D5" w14:paraId="12DFB9BF" w14:textId="77777777">
            <w:pPr>
              <w:widowControl w:val="0"/>
              <w:autoSpaceDE w:val="0"/>
              <w:autoSpaceDN w:val="0"/>
              <w:adjustRightInd w:val="0"/>
              <w:rPr>
                <w:sz w:val="22"/>
                <w:szCs w:val="22"/>
              </w:rPr>
            </w:pPr>
            <w:r w:rsidRPr="009D4033">
              <w:rPr>
                <w:sz w:val="22"/>
                <w:szCs w:val="22"/>
              </w:rPr>
              <w:t>Less Amount on Deposit</w:t>
            </w:r>
          </w:p>
          <w:p w:rsidR="00182657" w:rsidRPr="009D4033" w:rsidP="007036D5" w14:paraId="2BE59C2B" w14:textId="77777777">
            <w:pPr>
              <w:widowControl w:val="0"/>
              <w:autoSpaceDE w:val="0"/>
              <w:autoSpaceDN w:val="0"/>
              <w:adjustRightInd w:val="0"/>
              <w:rPr>
                <w:sz w:val="22"/>
                <w:szCs w:val="22"/>
              </w:rPr>
            </w:pPr>
          </w:p>
        </w:tc>
        <w:tc>
          <w:tcPr>
            <w:tcW w:w="1890" w:type="dxa"/>
          </w:tcPr>
          <w:p w:rsidR="00182657" w:rsidRPr="009D4033" w:rsidP="007036D5" w14:paraId="22A4F7E9" w14:textId="77777777">
            <w:pPr>
              <w:widowControl w:val="0"/>
              <w:autoSpaceDE w:val="0"/>
              <w:autoSpaceDN w:val="0"/>
              <w:adjustRightInd w:val="0"/>
              <w:jc w:val="right"/>
              <w:rPr>
                <w:sz w:val="22"/>
                <w:szCs w:val="22"/>
              </w:rPr>
            </w:pPr>
            <w:r w:rsidRPr="009D4033">
              <w:rPr>
                <w:sz w:val="22"/>
                <w:szCs w:val="22"/>
              </w:rPr>
              <w:t>$61,880.00</w:t>
            </w:r>
          </w:p>
        </w:tc>
      </w:tr>
      <w:tr w14:paraId="6B7A5B83" w14:textId="77777777" w:rsidTr="007036D5">
        <w:tblPrEx>
          <w:tblW w:w="4950" w:type="dxa"/>
          <w:tblLayout w:type="fixed"/>
          <w:tblCellMar>
            <w:left w:w="54" w:type="dxa"/>
            <w:right w:w="54" w:type="dxa"/>
          </w:tblCellMar>
          <w:tblLook w:val="0000"/>
        </w:tblPrEx>
        <w:trPr>
          <w:trHeight w:val="285"/>
        </w:trPr>
        <w:tc>
          <w:tcPr>
            <w:tcW w:w="3060" w:type="dxa"/>
          </w:tcPr>
          <w:p w:rsidR="00182657" w:rsidRPr="009D4033" w:rsidP="007036D5" w14:paraId="58BD71DD" w14:textId="77777777">
            <w:pPr>
              <w:widowControl w:val="0"/>
              <w:autoSpaceDE w:val="0"/>
              <w:autoSpaceDN w:val="0"/>
              <w:adjustRightInd w:val="0"/>
              <w:rPr>
                <w:b/>
                <w:bCs/>
                <w:sz w:val="22"/>
                <w:szCs w:val="22"/>
              </w:rPr>
            </w:pPr>
            <w:r w:rsidRPr="009D4033">
              <w:rPr>
                <w:b/>
                <w:bCs/>
                <w:sz w:val="22"/>
                <w:szCs w:val="22"/>
              </w:rPr>
              <w:t>Outstanding Balance Due on Final Default Payment</w:t>
            </w:r>
          </w:p>
          <w:p w:rsidR="00182657" w:rsidRPr="009D4033" w:rsidP="007036D5" w14:paraId="76C6221E" w14:textId="77777777">
            <w:pPr>
              <w:widowControl w:val="0"/>
              <w:autoSpaceDE w:val="0"/>
              <w:autoSpaceDN w:val="0"/>
              <w:adjustRightInd w:val="0"/>
              <w:rPr>
                <w:b/>
                <w:bCs/>
                <w:sz w:val="22"/>
                <w:szCs w:val="22"/>
              </w:rPr>
            </w:pPr>
          </w:p>
        </w:tc>
        <w:tc>
          <w:tcPr>
            <w:tcW w:w="1890" w:type="dxa"/>
          </w:tcPr>
          <w:p w:rsidR="00182657" w:rsidRPr="009D4033" w:rsidP="007036D5" w14:paraId="2A17DC40" w14:textId="77777777">
            <w:pPr>
              <w:autoSpaceDE w:val="0"/>
              <w:autoSpaceDN w:val="0"/>
              <w:jc w:val="right"/>
              <w:rPr>
                <w:b/>
                <w:bCs/>
                <w:sz w:val="22"/>
                <w:szCs w:val="22"/>
              </w:rPr>
            </w:pPr>
            <w:r w:rsidRPr="009D4033">
              <w:rPr>
                <w:b/>
                <w:bCs/>
                <w:sz w:val="22"/>
                <w:szCs w:val="22"/>
              </w:rPr>
              <w:t>$159,250.00</w:t>
            </w:r>
          </w:p>
          <w:p w:rsidR="00182657" w:rsidRPr="009D4033" w:rsidP="007036D5" w14:paraId="706946C2" w14:textId="77777777">
            <w:pPr>
              <w:widowControl w:val="0"/>
              <w:autoSpaceDE w:val="0"/>
              <w:autoSpaceDN w:val="0"/>
              <w:adjustRightInd w:val="0"/>
              <w:jc w:val="right"/>
              <w:rPr>
                <w:b/>
                <w:bCs/>
                <w:sz w:val="22"/>
                <w:szCs w:val="22"/>
              </w:rPr>
            </w:pPr>
            <w:r w:rsidRPr="009D4033">
              <w:rPr>
                <w:b/>
                <w:bCs/>
                <w:sz w:val="22"/>
                <w:szCs w:val="22"/>
              </w:rPr>
              <w:t xml:space="preserve"> </w:t>
            </w:r>
          </w:p>
          <w:p w:rsidR="00182657" w:rsidRPr="009D4033" w:rsidP="007036D5" w14:paraId="11CC7392" w14:textId="77777777">
            <w:pPr>
              <w:widowControl w:val="0"/>
              <w:autoSpaceDE w:val="0"/>
              <w:autoSpaceDN w:val="0"/>
              <w:adjustRightInd w:val="0"/>
              <w:jc w:val="right"/>
              <w:rPr>
                <w:b/>
                <w:bCs/>
                <w:sz w:val="22"/>
                <w:szCs w:val="22"/>
              </w:rPr>
            </w:pPr>
          </w:p>
        </w:tc>
      </w:tr>
    </w:tbl>
    <w:p w:rsidR="00182657" w:rsidRPr="009D4033" w:rsidP="00182657" w14:paraId="5015A8A0" w14:textId="77777777">
      <w:pPr>
        <w:rPr>
          <w:sz w:val="22"/>
          <w:szCs w:val="22"/>
        </w:rPr>
      </w:pPr>
    </w:p>
    <w:p w:rsidR="00182657" w:rsidRPr="009D4033" w:rsidP="00182657" w14:paraId="69F2DBA9" w14:textId="77777777">
      <w:pPr>
        <w:rPr>
          <w:sz w:val="22"/>
          <w:szCs w:val="22"/>
        </w:rPr>
      </w:pPr>
    </w:p>
    <w:p w:rsidR="00182657" w:rsidRPr="009D4033" w:rsidP="00182657" w14:paraId="24E1E4EC" w14:textId="77777777">
      <w:pPr>
        <w:rPr>
          <w:sz w:val="22"/>
          <w:szCs w:val="22"/>
        </w:rPr>
      </w:pPr>
    </w:p>
    <w:p w:rsidR="00182657" w:rsidRPr="009D4033" w:rsidP="00182657" w14:paraId="0917F540" w14:textId="77777777">
      <w:pPr>
        <w:rPr>
          <w:sz w:val="22"/>
          <w:szCs w:val="22"/>
        </w:rPr>
      </w:pPr>
    </w:p>
    <w:p w:rsidR="00182657" w:rsidRPr="009D4033" w:rsidP="00182657" w14:paraId="77283E9C" w14:textId="77777777">
      <w:pPr>
        <w:rPr>
          <w:sz w:val="22"/>
          <w:szCs w:val="22"/>
        </w:rPr>
      </w:pPr>
    </w:p>
    <w:p w:rsidR="00182657" w:rsidRPr="009D4033" w:rsidP="00182657" w14:paraId="5DF6E6DF" w14:textId="77777777">
      <w:pPr>
        <w:pStyle w:val="Heading2"/>
        <w:jc w:val="right"/>
        <w:rPr>
          <w:sz w:val="22"/>
          <w:szCs w:val="22"/>
        </w:rPr>
      </w:pPr>
    </w:p>
    <w:p w:rsidR="00182657" w:rsidRPr="009D4033" w:rsidP="00182657" w14:paraId="6403F11F" w14:textId="77777777">
      <w:pPr>
        <w:rPr>
          <w:sz w:val="22"/>
          <w:szCs w:val="22"/>
        </w:rPr>
      </w:pPr>
    </w:p>
    <w:p w:rsidR="00182657" w:rsidRPr="009D4033" w:rsidP="00182657" w14:paraId="064612A0" w14:textId="77777777">
      <w:pPr>
        <w:widowControl w:val="0"/>
        <w:jc w:val="center"/>
        <w:rPr>
          <w:sz w:val="22"/>
          <w:szCs w:val="22"/>
        </w:rPr>
      </w:pPr>
      <w:r w:rsidRPr="009D4033">
        <w:rPr>
          <w:sz w:val="22"/>
          <w:szCs w:val="22"/>
        </w:rPr>
        <w:tab/>
      </w:r>
      <w:r w:rsidRPr="009D4033">
        <w:rPr>
          <w:sz w:val="22"/>
          <w:szCs w:val="22"/>
        </w:rPr>
        <w:tab/>
      </w:r>
      <w:r w:rsidRPr="009D4033">
        <w:rPr>
          <w:sz w:val="22"/>
          <w:szCs w:val="22"/>
        </w:rPr>
        <w:tab/>
      </w:r>
      <w:r w:rsidRPr="009D4033">
        <w:rPr>
          <w:sz w:val="22"/>
          <w:szCs w:val="22"/>
        </w:rPr>
        <w:tab/>
      </w:r>
      <w:r w:rsidRPr="009D4033">
        <w:rPr>
          <w:sz w:val="22"/>
          <w:szCs w:val="22"/>
        </w:rPr>
        <w:tab/>
      </w:r>
    </w:p>
    <w:p w:rsidR="00182657" w:rsidRPr="009D4033" w:rsidP="00182657" w14:paraId="494527DE" w14:textId="77777777">
      <w:pPr>
        <w:widowControl w:val="0"/>
        <w:jc w:val="center"/>
        <w:rPr>
          <w:sz w:val="22"/>
          <w:szCs w:val="22"/>
        </w:rPr>
      </w:pPr>
    </w:p>
    <w:p w:rsidR="00182657" w:rsidRPr="009D4033" w:rsidP="00182657" w14:paraId="7D173BC6" w14:textId="77777777">
      <w:pPr>
        <w:pStyle w:val="Heading2"/>
        <w:rPr>
          <w:sz w:val="22"/>
          <w:szCs w:val="22"/>
        </w:rPr>
      </w:pPr>
    </w:p>
    <w:p w:rsidR="00182657" w:rsidP="00182657" w14:paraId="7F5D09BF" w14:textId="77777777">
      <w:pPr>
        <w:rPr>
          <w:sz w:val="22"/>
          <w:szCs w:val="22"/>
        </w:rPr>
      </w:pPr>
      <w:r w:rsidRPr="009D4033">
        <w:rPr>
          <w:sz w:val="22"/>
          <w:szCs w:val="22"/>
        </w:rPr>
        <w:br w:type="page"/>
      </w:r>
    </w:p>
    <w:p w:rsidR="00182657" w:rsidP="00182657" w14:paraId="2F4BD71A" w14:textId="77777777">
      <w:pPr>
        <w:pStyle w:val="Heading2"/>
        <w:rPr>
          <w:sz w:val="22"/>
          <w:szCs w:val="22"/>
        </w:rPr>
      </w:pPr>
      <w:r>
        <w:rPr>
          <w:sz w:val="22"/>
          <w:szCs w:val="22"/>
        </w:rPr>
        <w:t>ATTACHMENT B</w:t>
      </w:r>
    </w:p>
    <w:p w:rsidR="00182657" w:rsidP="00182657" w14:paraId="0B87DDE2" w14:textId="77777777">
      <w:pPr>
        <w:jc w:val="center"/>
        <w:rPr>
          <w:b/>
          <w:sz w:val="22"/>
          <w:szCs w:val="22"/>
        </w:rPr>
      </w:pPr>
    </w:p>
    <w:p w:rsidR="00182657" w:rsidP="00182657" w14:paraId="7657EDFB" w14:textId="77777777">
      <w:pPr>
        <w:jc w:val="center"/>
        <w:rPr>
          <w:b/>
          <w:sz w:val="22"/>
          <w:szCs w:val="22"/>
        </w:rPr>
      </w:pPr>
      <w:r>
        <w:rPr>
          <w:b/>
          <w:sz w:val="22"/>
          <w:szCs w:val="22"/>
        </w:rPr>
        <w:t>PAYMENT INSTRUCTIONS</w:t>
      </w:r>
    </w:p>
    <w:p w:rsidR="00182657" w:rsidP="00182657" w14:paraId="2651AFF2" w14:textId="77777777">
      <w:pPr>
        <w:widowControl w:val="0"/>
        <w:rPr>
          <w:b/>
          <w:color w:val="000000"/>
          <w:sz w:val="22"/>
          <w:szCs w:val="22"/>
          <w:u w:val="single"/>
        </w:rPr>
      </w:pPr>
    </w:p>
    <w:p w:rsidR="00182657" w:rsidP="00182657" w14:paraId="26D790D6" w14:textId="77777777">
      <w:pPr>
        <w:rPr>
          <w:sz w:val="22"/>
          <w:szCs w:val="22"/>
        </w:rPr>
      </w:pPr>
      <w:r>
        <w:rPr>
          <w:sz w:val="22"/>
          <w:szCs w:val="22"/>
        </w:rPr>
        <w:t>The following information is being provided to assist you in making your payment.</w:t>
      </w:r>
    </w:p>
    <w:p w:rsidR="00182657" w:rsidP="00182657" w14:paraId="36DC24E1" w14:textId="77777777">
      <w:pPr>
        <w:rPr>
          <w:b/>
          <w:sz w:val="22"/>
          <w:szCs w:val="22"/>
        </w:rPr>
      </w:pPr>
    </w:p>
    <w:p w:rsidR="00182657" w:rsidP="00182657" w14:paraId="367F9BFD" w14:textId="77777777">
      <w:pPr>
        <w:rPr>
          <w:sz w:val="22"/>
          <w:szCs w:val="22"/>
        </w:rPr>
      </w:pPr>
      <w:r>
        <w:rPr>
          <w:sz w:val="22"/>
          <w:szCs w:val="22"/>
        </w:rPr>
        <w:t xml:space="preserve">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w:t>
      </w:r>
      <w:r w:rsidRPr="006401B9">
        <w:rPr>
          <w:i/>
          <w:sz w:val="22"/>
          <w:szCs w:val="22"/>
        </w:rPr>
        <w:t>e.g.</w:t>
      </w:r>
      <w:r>
        <w:rPr>
          <w:sz w:val="22"/>
          <w:szCs w:val="22"/>
        </w:rPr>
        <w:t>, Saturday, Sunday or Federal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182657" w:rsidP="00182657" w14:paraId="589000FD" w14:textId="77777777">
      <w:pPr>
        <w:rPr>
          <w:sz w:val="22"/>
          <w:szCs w:val="22"/>
        </w:rPr>
      </w:pPr>
    </w:p>
    <w:p w:rsidR="00182657" w:rsidP="00182657" w14:paraId="2782E013" w14:textId="77777777">
      <w:pPr>
        <w:rPr>
          <w:sz w:val="22"/>
          <w:szCs w:val="22"/>
        </w:rPr>
      </w:pPr>
      <w:r>
        <w:rPr>
          <w:sz w:val="22"/>
          <w:szCs w:val="22"/>
        </w:rPr>
        <w:t xml:space="preserve">ABA Routing Number: </w:t>
      </w:r>
      <w:r w:rsidRPr="00AD2699">
        <w:rPr>
          <w:b/>
          <w:sz w:val="22"/>
          <w:szCs w:val="22"/>
        </w:rPr>
        <w:t>021030004</w:t>
      </w:r>
    </w:p>
    <w:p w:rsidR="00182657" w:rsidP="00182657" w14:paraId="62DAFD89" w14:textId="77777777">
      <w:pPr>
        <w:rPr>
          <w:sz w:val="22"/>
          <w:szCs w:val="22"/>
        </w:rPr>
      </w:pPr>
      <w:r>
        <w:rPr>
          <w:sz w:val="22"/>
          <w:szCs w:val="22"/>
        </w:rPr>
        <w:t xml:space="preserve">Receiving Bank: </w:t>
      </w:r>
      <w:r w:rsidRPr="00AD2699">
        <w:rPr>
          <w:b/>
          <w:sz w:val="22"/>
          <w:szCs w:val="22"/>
        </w:rPr>
        <w:t>TREAS NYC</w:t>
      </w:r>
    </w:p>
    <w:p w:rsidR="00182657" w:rsidP="00182657" w14:paraId="063D594C" w14:textId="77777777">
      <w:pPr>
        <w:rPr>
          <w:sz w:val="22"/>
          <w:szCs w:val="22"/>
        </w:rPr>
      </w:pPr>
      <w:r>
        <w:rPr>
          <w:sz w:val="22"/>
          <w:szCs w:val="22"/>
        </w:rPr>
        <w:tab/>
      </w:r>
      <w:r>
        <w:rPr>
          <w:sz w:val="22"/>
          <w:szCs w:val="22"/>
        </w:rPr>
        <w:tab/>
        <w:t xml:space="preserve">   33 Liberty Street</w:t>
      </w:r>
    </w:p>
    <w:p w:rsidR="00182657" w:rsidP="00182657" w14:paraId="7A977AFE" w14:textId="77777777">
      <w:pPr>
        <w:rPr>
          <w:sz w:val="22"/>
          <w:szCs w:val="22"/>
        </w:rPr>
      </w:pPr>
      <w:r>
        <w:rPr>
          <w:sz w:val="22"/>
          <w:szCs w:val="22"/>
        </w:rPr>
        <w:tab/>
      </w:r>
      <w:r>
        <w:rPr>
          <w:sz w:val="22"/>
          <w:szCs w:val="22"/>
        </w:rPr>
        <w:tab/>
        <w:t xml:space="preserve">   New York, NY 10045</w:t>
      </w:r>
    </w:p>
    <w:p w:rsidR="00182657" w:rsidP="00182657" w14:paraId="20565FEE" w14:textId="77777777">
      <w:pPr>
        <w:rPr>
          <w:sz w:val="22"/>
          <w:szCs w:val="22"/>
        </w:rPr>
      </w:pPr>
      <w:r>
        <w:rPr>
          <w:sz w:val="22"/>
          <w:szCs w:val="22"/>
        </w:rPr>
        <w:t xml:space="preserve">ACCOUNT NAME:  </w:t>
      </w:r>
      <w:r w:rsidRPr="00AD2699">
        <w:rPr>
          <w:b/>
          <w:sz w:val="22"/>
          <w:szCs w:val="22"/>
        </w:rPr>
        <w:t>FCC</w:t>
      </w:r>
    </w:p>
    <w:p w:rsidR="00182657" w:rsidP="00182657" w14:paraId="2CAAF877" w14:textId="77777777">
      <w:pPr>
        <w:rPr>
          <w:sz w:val="22"/>
          <w:szCs w:val="22"/>
        </w:rPr>
      </w:pPr>
      <w:r>
        <w:rPr>
          <w:sz w:val="22"/>
          <w:szCs w:val="22"/>
        </w:rPr>
        <w:t xml:space="preserve">ACCOUNT NUMBER:  </w:t>
      </w:r>
      <w:r w:rsidRPr="00AD2699">
        <w:rPr>
          <w:b/>
          <w:sz w:val="22"/>
          <w:szCs w:val="22"/>
        </w:rPr>
        <w:t>27000001</w:t>
      </w:r>
    </w:p>
    <w:p w:rsidR="00182657" w:rsidP="00182657" w14:paraId="360AC040" w14:textId="77777777">
      <w:pPr>
        <w:rPr>
          <w:sz w:val="22"/>
          <w:szCs w:val="22"/>
        </w:rPr>
      </w:pPr>
      <w:r>
        <w:rPr>
          <w:sz w:val="22"/>
          <w:szCs w:val="22"/>
        </w:rPr>
        <w:t>OBI Field:  (Skip one space between each information item) “AUCTIONPAY”</w:t>
      </w:r>
    </w:p>
    <w:p w:rsidR="00182657" w:rsidP="00182657" w14:paraId="557E3AFB" w14:textId="77777777">
      <w:pPr>
        <w:rPr>
          <w:sz w:val="22"/>
          <w:szCs w:val="22"/>
        </w:rPr>
      </w:pPr>
      <w:r>
        <w:rPr>
          <w:sz w:val="22"/>
          <w:szCs w:val="22"/>
        </w:rPr>
        <w:t>APPLICANT FRN:</w:t>
      </w:r>
    </w:p>
    <w:p w:rsidR="00182657" w:rsidP="00182657" w14:paraId="66A97FF4" w14:textId="77777777">
      <w:pPr>
        <w:rPr>
          <w:sz w:val="22"/>
          <w:szCs w:val="22"/>
        </w:rPr>
      </w:pPr>
      <w:r>
        <w:rPr>
          <w:sz w:val="22"/>
          <w:szCs w:val="22"/>
        </w:rPr>
        <w:t>PAYMENT TYPE CODE:  (</w:t>
      </w:r>
      <w:r w:rsidRPr="00AD2699">
        <w:rPr>
          <w:b/>
          <w:sz w:val="22"/>
          <w:szCs w:val="22"/>
        </w:rPr>
        <w:t>“APEN”</w:t>
      </w:r>
      <w:r>
        <w:rPr>
          <w:sz w:val="22"/>
          <w:szCs w:val="22"/>
        </w:rPr>
        <w:t xml:space="preserve">) </w:t>
      </w:r>
    </w:p>
    <w:p w:rsidR="00182657" w:rsidP="00182657" w14:paraId="0F9EAC81" w14:textId="77777777">
      <w:pPr>
        <w:rPr>
          <w:sz w:val="22"/>
          <w:szCs w:val="22"/>
        </w:rPr>
      </w:pPr>
      <w:r>
        <w:rPr>
          <w:sz w:val="22"/>
          <w:szCs w:val="22"/>
        </w:rPr>
        <w:t>FCC CODE 1:  (“62”)</w:t>
      </w:r>
    </w:p>
    <w:p w:rsidR="00182657" w:rsidP="00182657" w14:paraId="554C83D0" w14:textId="77777777">
      <w:pPr>
        <w:rPr>
          <w:sz w:val="22"/>
          <w:szCs w:val="22"/>
        </w:rPr>
      </w:pPr>
      <w:r>
        <w:rPr>
          <w:sz w:val="22"/>
          <w:szCs w:val="22"/>
        </w:rPr>
        <w:t xml:space="preserve">PAYOR NAME: </w:t>
      </w:r>
    </w:p>
    <w:p w:rsidR="00182657" w:rsidP="00182657" w14:paraId="7369B02E" w14:textId="77777777">
      <w:pPr>
        <w:rPr>
          <w:sz w:val="22"/>
          <w:szCs w:val="22"/>
        </w:rPr>
      </w:pPr>
      <w:r>
        <w:rPr>
          <w:sz w:val="22"/>
          <w:szCs w:val="22"/>
        </w:rPr>
        <w:t>CONTACT PHONE NUMBER:</w:t>
      </w:r>
    </w:p>
    <w:p w:rsidR="00182657" w:rsidP="00182657" w14:paraId="3898CAF3" w14:textId="77777777">
      <w:pPr>
        <w:rPr>
          <w:sz w:val="22"/>
          <w:szCs w:val="22"/>
        </w:rPr>
      </w:pPr>
    </w:p>
    <w:p w:rsidR="00182657" w:rsidP="00182657" w14:paraId="58AE9807" w14:textId="77777777">
      <w:pPr>
        <w:rPr>
          <w:sz w:val="22"/>
          <w:szCs w:val="22"/>
        </w:rPr>
      </w:pPr>
      <w:r>
        <w:rPr>
          <w:sz w:val="22"/>
          <w:szCs w:val="22"/>
        </w:rPr>
        <w:t>Please Note:  The Commission no longer requires the submission of FCC Form 159 (Remittance Advice) with such payments.</w:t>
      </w:r>
    </w:p>
    <w:p w:rsidR="00182657" w:rsidP="00182657" w14:paraId="3D0B36E2" w14:textId="77777777">
      <w:pPr>
        <w:rPr>
          <w:sz w:val="22"/>
          <w:szCs w:val="22"/>
        </w:rPr>
      </w:pPr>
    </w:p>
    <w:p w:rsidR="00182657" w:rsidP="00182657" w14:paraId="72455CFB" w14:textId="77777777">
      <w:pPr>
        <w:widowControl w:val="0"/>
        <w:rPr>
          <w:b/>
          <w:color w:val="000000"/>
          <w:sz w:val="22"/>
          <w:szCs w:val="22"/>
        </w:rPr>
      </w:pPr>
      <w:r>
        <w:rPr>
          <w:sz w:val="22"/>
          <w:szCs w:val="22"/>
        </w:rPr>
        <w:t>For questions, please contact Scott Radcliffe, Office of the Managing Director, Financial Operations Center, Revenue &amp; Receivables Operations Group/Auctions, at (202) 418-7518.</w:t>
      </w:r>
      <w:r>
        <w:rPr>
          <w:b/>
          <w:color w:val="000000"/>
          <w:sz w:val="22"/>
          <w:szCs w:val="22"/>
        </w:rPr>
        <w:t xml:space="preserve"> </w:t>
      </w:r>
    </w:p>
    <w:p w:rsidR="00182657" w:rsidP="00182657" w14:paraId="6A0D0410" w14:textId="77777777">
      <w:pPr>
        <w:rPr>
          <w:sz w:val="22"/>
          <w:szCs w:val="22"/>
        </w:rPr>
      </w:pPr>
    </w:p>
    <w:p w:rsidR="00182657" w:rsidP="00182657" w14:paraId="1061D5D2" w14:textId="77777777">
      <w:pPr>
        <w:rPr>
          <w:sz w:val="22"/>
          <w:szCs w:val="22"/>
        </w:rPr>
      </w:pPr>
    </w:p>
    <w:p w:rsidR="00182657" w:rsidP="00182657" w14:paraId="1454A45F" w14:textId="77777777">
      <w:pPr>
        <w:widowControl w:val="0"/>
        <w:spacing w:after="120"/>
        <w:ind w:firstLine="720"/>
        <w:rPr>
          <w:sz w:val="22"/>
        </w:rPr>
      </w:pPr>
    </w:p>
    <w:p w:rsidR="00204CE3" w:rsidRPr="00204CE3" w14:paraId="6E266B4A" w14:textId="77777777">
      <w:pP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Yu Mincho"/>
    <w:charset w:val="00"/>
    <w:family w:val="roman"/>
    <w:pitch w:val="default"/>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EBC" w14:paraId="79BCAA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EBC" w14:paraId="382F66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EBC" w14:paraId="6394A1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2657" w14:paraId="32107670" w14:textId="77777777">
      <w:r>
        <w:separator/>
      </w:r>
    </w:p>
  </w:footnote>
  <w:footnote w:type="continuationSeparator" w:id="1">
    <w:p w:rsidR="00182657" w14:paraId="5686600E" w14:textId="77777777">
      <w:r>
        <w:continuationSeparator/>
      </w:r>
    </w:p>
  </w:footnote>
  <w:footnote w:id="2">
    <w:p w:rsidR="00182657" w:rsidRPr="009D4033" w:rsidP="00182657" w14:paraId="0E328424" w14:textId="77777777">
      <w:pPr>
        <w:pStyle w:val="FootnoteText"/>
        <w:spacing w:after="120"/>
      </w:pPr>
      <w:r w:rsidRPr="009D4033">
        <w:rPr>
          <w:rStyle w:val="FootnoteReference"/>
        </w:rPr>
        <w:footnoteRef/>
      </w:r>
      <w:r w:rsidRPr="009D4033">
        <w:t xml:space="preserve"> 47 CFR §§ 1.2104(g)(2), 1.2109.</w:t>
      </w:r>
    </w:p>
  </w:footnote>
  <w:footnote w:id="3">
    <w:p w:rsidR="00182657" w:rsidRPr="009D4033" w:rsidP="00182657" w14:paraId="43041253" w14:textId="77777777">
      <w:pPr>
        <w:pStyle w:val="FootnoteText"/>
        <w:spacing w:after="120"/>
      </w:pPr>
      <w:r w:rsidRPr="009D4033">
        <w:rPr>
          <w:rStyle w:val="FootnoteReference"/>
        </w:rPr>
        <w:footnoteRef/>
      </w:r>
      <w:r w:rsidRPr="009D4033">
        <w:t xml:space="preserve"> 31 </w:t>
      </w:r>
      <w:r>
        <w:t>U.S.C.</w:t>
      </w:r>
      <w:r w:rsidRPr="009D4033">
        <w:t xml:space="preserve"> § 3701(b)(1).</w:t>
      </w:r>
    </w:p>
  </w:footnote>
  <w:footnote w:id="4">
    <w:p w:rsidR="00182657" w:rsidRPr="009D4033" w:rsidP="00182657" w14:paraId="0E3FCB4E" w14:textId="77777777">
      <w:pPr>
        <w:pStyle w:val="FootnoteText"/>
        <w:spacing w:after="120"/>
      </w:pPr>
      <w:r w:rsidRPr="009D4033">
        <w:rPr>
          <w:rStyle w:val="FootnoteReference"/>
        </w:rPr>
        <w:footnoteRef/>
      </w:r>
      <w:r w:rsidRPr="009D4033">
        <w:t xml:space="preserve"> </w:t>
      </w:r>
      <w:r w:rsidRPr="00315520">
        <w:t xml:space="preserve">47 CFR § 1.2104(g)(2); </w:t>
      </w:r>
      <w:r w:rsidRPr="009D4033">
        <w:t xml:space="preserve">Letter from Margaret W. Wiener, Chief, Auctions and Spectrum Access Division, Wireless Telecommunications Bureau, and Peter H. Doyle, Chief, Audio Division, </w:t>
      </w:r>
      <w:r>
        <w:t xml:space="preserve">Media Bureau, </w:t>
      </w:r>
      <w:r w:rsidRPr="009D4033">
        <w:t>to Ace Radio Corporation, 30 FCC Rcd 586</w:t>
      </w:r>
      <w:r>
        <w:t>, 588</w:t>
      </w:r>
      <w:r w:rsidRPr="009D4033">
        <w:t xml:space="preserve"> (WTB 2015) (</w:t>
      </w:r>
      <w:r w:rsidRPr="009D4033">
        <w:rPr>
          <w:i/>
        </w:rPr>
        <w:t>Letter Order</w:t>
      </w:r>
      <w:r w:rsidRPr="009D4033">
        <w:t xml:space="preserve">).  </w:t>
      </w:r>
      <w:r>
        <w:t xml:space="preserve">The functions of the Auctions and Spectrum Access Division were shifted from the Wireless Telecommunications Bureau to the Auctions Division of the Commission’s Office of Economics and Analytics.  </w:t>
      </w:r>
      <w:r>
        <w:rPr>
          <w:rStyle w:val="FootnoteTextCharCharCharChar3CharCharChar1"/>
          <w:i/>
        </w:rPr>
        <w:t xml:space="preserve">See </w:t>
      </w:r>
      <w:r w:rsidRPr="00C33F95">
        <w:rPr>
          <w:rStyle w:val="FootnoteTextCharCharCharChar3CharCharChar1"/>
          <w:i/>
        </w:rPr>
        <w:t>Establishment of the Office of Economics and Analytics</w:t>
      </w:r>
      <w:r>
        <w:rPr>
          <w:rStyle w:val="FootnoteTextCharCharCharChar3CharCharChar1"/>
        </w:rPr>
        <w:t xml:space="preserve">, Order, 33 FCC Rcd 1539 (2018); </w:t>
      </w:r>
      <w:r>
        <w:rPr>
          <w:rStyle w:val="FootnoteTextCharCharCharChar3CharCharChar1"/>
          <w:i/>
        </w:rPr>
        <w:t xml:space="preserve">see also </w:t>
      </w:r>
      <w:r w:rsidRPr="00D1744F">
        <w:rPr>
          <w:rStyle w:val="FootnoteTextCharCharCharChar3CharCharChar1"/>
        </w:rPr>
        <w:t>83 Fed. Reg. 63073 (Dec. 7, 2018)</w:t>
      </w:r>
      <w:r>
        <w:rPr>
          <w:rStyle w:val="FootnoteTextCharCharCharChar3CharCharChar1"/>
        </w:rPr>
        <w:t xml:space="preserve">. </w:t>
      </w:r>
    </w:p>
  </w:footnote>
  <w:footnote w:id="5">
    <w:p w:rsidR="00182657" w:rsidRPr="009D4033" w:rsidP="00182657" w14:paraId="406717F3" w14:textId="77777777">
      <w:pPr>
        <w:pStyle w:val="FootnoteText"/>
        <w:spacing w:after="120"/>
      </w:pPr>
      <w:r w:rsidRPr="009D4033">
        <w:rPr>
          <w:rStyle w:val="FootnoteReference"/>
        </w:rPr>
        <w:footnoteRef/>
      </w:r>
      <w:r w:rsidRPr="009D4033">
        <w:t xml:space="preserve"> </w:t>
      </w:r>
      <w:r w:rsidRPr="009D4033">
        <w:rPr>
          <w:i/>
        </w:rPr>
        <w:t>See Auction of FM Broadcast Construction Permits Closes; Winning Bidders Announced for Auction 98</w:t>
      </w:r>
      <w:r w:rsidRPr="009D4033">
        <w:t>, Public Notice, 30 FCC Rcd 8313, Attach. C (WTB 2015) (</w:t>
      </w:r>
      <w:r w:rsidRPr="009D4033">
        <w:rPr>
          <w:i/>
        </w:rPr>
        <w:t>Auction 98 Closing Public Notice</w:t>
      </w:r>
      <w:r w:rsidRPr="009D4033">
        <w:t>).</w:t>
      </w:r>
    </w:p>
  </w:footnote>
  <w:footnote w:id="6">
    <w:p w:rsidR="00182657" w:rsidRPr="009D4033" w:rsidP="00182657" w14:paraId="4E0E89FC" w14:textId="77777777">
      <w:pPr>
        <w:pStyle w:val="FootnoteText"/>
        <w:spacing w:after="120"/>
      </w:pPr>
      <w:r w:rsidRPr="009D4033">
        <w:rPr>
          <w:rStyle w:val="FootnoteReference"/>
        </w:rPr>
        <w:footnoteRef/>
      </w:r>
      <w:r w:rsidRPr="009D4033">
        <w:t xml:space="preserve"> 47 CFR § 1.2104(g)(2).</w:t>
      </w:r>
    </w:p>
  </w:footnote>
  <w:footnote w:id="7">
    <w:p w:rsidR="00182657" w:rsidRPr="009D4033" w:rsidP="00182657" w14:paraId="1ED0780B" w14:textId="77777777">
      <w:pPr>
        <w:pStyle w:val="FootnoteText"/>
        <w:spacing w:after="120"/>
        <w:mirrorIndents/>
      </w:pPr>
      <w:r w:rsidRPr="009D4033">
        <w:rPr>
          <w:rStyle w:val="FootnoteReference"/>
        </w:rPr>
        <w:footnoteRef/>
      </w:r>
      <w:r w:rsidRPr="009D4033">
        <w:t xml:space="preserve"> </w:t>
      </w:r>
      <w:r w:rsidRPr="00FD6389">
        <w:rPr>
          <w:i/>
        </w:rPr>
        <w:t>Id.</w:t>
      </w:r>
    </w:p>
  </w:footnote>
  <w:footnote w:id="8">
    <w:p w:rsidR="00182657" w:rsidRPr="009D4033" w:rsidP="00182657" w14:paraId="3E99FC43" w14:textId="77777777">
      <w:pPr>
        <w:pStyle w:val="FootnoteText1"/>
        <w:spacing w:after="120"/>
        <w:mirrorIndents/>
        <w:rPr>
          <w:rFonts w:eastAsia="Times New Roman"/>
          <w:color w:val="auto"/>
          <w:lang w:bidi="x-none"/>
        </w:rPr>
      </w:pPr>
      <w:r w:rsidRPr="009D4033">
        <w:rPr>
          <w:rStyle w:val="FootnoteReference1"/>
        </w:rPr>
        <w:footnoteRef/>
      </w:r>
      <w:r w:rsidRPr="009D4033">
        <w:t xml:space="preserve"> 47 CFR §§ 1.2104(g)(2), 1.2109.</w:t>
      </w:r>
    </w:p>
  </w:footnote>
  <w:footnote w:id="9">
    <w:p w:rsidR="00182657" w:rsidRPr="009D4033" w:rsidP="00182657" w14:paraId="346F6E02" w14:textId="77777777">
      <w:pPr>
        <w:pStyle w:val="FootnoteText"/>
        <w:spacing w:after="120"/>
        <w:mirrorIndents/>
      </w:pPr>
      <w:r w:rsidRPr="009D4033">
        <w:rPr>
          <w:rStyle w:val="FootnoteReference"/>
        </w:rPr>
        <w:footnoteRef/>
      </w:r>
      <w:r w:rsidRPr="009D4033">
        <w:t xml:space="preserve"> 47 CFR § 1.2104(g)(2).  </w:t>
      </w:r>
    </w:p>
  </w:footnote>
  <w:footnote w:id="10">
    <w:p w:rsidR="00182657" w:rsidP="00182657" w14:paraId="31DC0A22" w14:textId="77777777">
      <w:pPr>
        <w:pStyle w:val="FootnoteText1"/>
        <w:spacing w:after="120"/>
        <w:rPr>
          <w:rFonts w:eastAsia="Times New Roman"/>
          <w:color w:val="auto"/>
          <w:lang w:bidi="x-none"/>
        </w:rPr>
      </w:pPr>
      <w:r>
        <w:rPr>
          <w:rStyle w:val="FootnoteReference1"/>
        </w:rPr>
        <w:footnoteRef/>
      </w:r>
      <w:r>
        <w:t xml:space="preserve"> 47 CFR § 1.2104(g)(2)(i).</w:t>
      </w:r>
    </w:p>
  </w:footnote>
  <w:footnote w:id="11">
    <w:p w:rsidR="00182657" w:rsidRPr="009D4033" w:rsidP="00182657" w14:paraId="617D9829" w14:textId="77777777">
      <w:pPr>
        <w:pStyle w:val="FootnoteText1"/>
        <w:spacing w:after="120"/>
        <w:mirrorIndents/>
        <w:rPr>
          <w:rFonts w:eastAsia="Times New Roman"/>
          <w:color w:val="auto"/>
          <w:lang w:bidi="x-none"/>
        </w:rPr>
      </w:pPr>
      <w:r w:rsidRPr="009D4033">
        <w:rPr>
          <w:rStyle w:val="FootnoteReference1"/>
        </w:rPr>
        <w:footnoteRef/>
      </w:r>
      <w:r w:rsidRPr="009D4033">
        <w:t xml:space="preserve"> </w:t>
      </w:r>
      <w:r w:rsidRPr="00FD6389">
        <w:rPr>
          <w:i/>
        </w:rPr>
        <w:t>Id</w:t>
      </w:r>
      <w:r w:rsidRPr="009D4033">
        <w:t>.</w:t>
      </w:r>
    </w:p>
  </w:footnote>
  <w:footnote w:id="12">
    <w:p w:rsidR="00182657" w:rsidRPr="009D4033" w:rsidP="00182657" w14:paraId="2A43469F" w14:textId="77777777">
      <w:pPr>
        <w:pStyle w:val="FootnoteText"/>
        <w:spacing w:after="120"/>
      </w:pPr>
      <w:r w:rsidRPr="009D4033">
        <w:rPr>
          <w:rStyle w:val="FootnoteReference"/>
        </w:rPr>
        <w:footnoteRef/>
      </w:r>
      <w:r w:rsidRPr="009D4033">
        <w:t xml:space="preserve"> 47 CFR§ 1.2104(g)(2).</w:t>
      </w:r>
    </w:p>
  </w:footnote>
  <w:footnote w:id="13">
    <w:p w:rsidR="00182657" w:rsidRPr="009D4033" w:rsidP="00182657" w14:paraId="71F9008D" w14:textId="77777777">
      <w:pPr>
        <w:spacing w:after="120"/>
      </w:pPr>
      <w:r w:rsidRPr="009D4033">
        <w:rPr>
          <w:rStyle w:val="FootnoteReference1"/>
        </w:rPr>
        <w:footnoteRef/>
      </w:r>
      <w:r w:rsidRPr="009D4033">
        <w:t xml:space="preserve"> </w:t>
      </w:r>
      <w:r w:rsidRPr="009D4033">
        <w:rPr>
          <w:i/>
        </w:rPr>
        <w:t>See id.</w:t>
      </w:r>
      <w:r w:rsidRPr="009D4033">
        <w:t xml:space="preserve">; </w:t>
      </w:r>
      <w:r w:rsidRPr="009D4033">
        <w:rPr>
          <w:i/>
        </w:rPr>
        <w:t>Auction of FM Broadcast Construction Permits Scheduled for November 1, 2005; Notice and Filing Requirements, Minimum Opening Bids, Upfront Payments, and Other Procedures for Auction 62</w:t>
      </w:r>
      <w:r w:rsidRPr="009D4033">
        <w:t>, Public Notice, 20 FCC Rcd 10492, 10536-37 (WTB 2005).</w:t>
      </w:r>
    </w:p>
  </w:footnote>
  <w:footnote w:id="14">
    <w:p w:rsidR="00182657" w:rsidRPr="009D4033" w:rsidP="00182657" w14:paraId="7897034D" w14:textId="77777777">
      <w:pPr>
        <w:pStyle w:val="FootnoteText"/>
        <w:spacing w:after="120"/>
      </w:pPr>
      <w:r w:rsidRPr="009D4033">
        <w:rPr>
          <w:rStyle w:val="FootnoteReference"/>
        </w:rPr>
        <w:footnoteRef/>
      </w:r>
      <w:r w:rsidRPr="009D4033">
        <w:t xml:space="preserve"> ARC paid an upfront payment of $1,100,000.00 to participate in Auction 62.  </w:t>
      </w:r>
      <w:r w:rsidRPr="009D4033">
        <w:rPr>
          <w:i/>
        </w:rPr>
        <w:t>See</w:t>
      </w:r>
      <w:r w:rsidRPr="009D4033">
        <w:t xml:space="preserve"> </w:t>
      </w:r>
      <w:r w:rsidRPr="009D4033">
        <w:rPr>
          <w:bCs/>
          <w:i/>
          <w:shd w:val="clear" w:color="auto" w:fill="FFFFFF"/>
        </w:rPr>
        <w:t>Auction of FM Broadcast Construction Permits Closes</w:t>
      </w:r>
      <w:r>
        <w:rPr>
          <w:bCs/>
          <w:i/>
          <w:shd w:val="clear" w:color="auto" w:fill="FFFFFF"/>
        </w:rPr>
        <w:t>;</w:t>
      </w:r>
      <w:r w:rsidRPr="009D4033">
        <w:rPr>
          <w:bCs/>
          <w:i/>
          <w:shd w:val="clear" w:color="auto" w:fill="FFFFFF"/>
        </w:rPr>
        <w:t xml:space="preserve"> Winning Bidders Announced for Auction No. 62</w:t>
      </w:r>
      <w:r w:rsidRPr="009D4033">
        <w:t>, Public Notice, 21 FCC Rcd 1071, Attach. B (WTB 2006) (</w:t>
      </w:r>
      <w:r w:rsidRPr="009D4033">
        <w:rPr>
          <w:i/>
        </w:rPr>
        <w:t>Auction 62 Closing Public Notice</w:t>
      </w:r>
      <w:r w:rsidRPr="009D4033">
        <w:t xml:space="preserve">).  Of this amount, the Commission withheld $61,880.00 to satisfy ARC’s </w:t>
      </w:r>
      <w:r>
        <w:t>down payment</w:t>
      </w:r>
      <w:r w:rsidRPr="009D4033">
        <w:t xml:space="preserve"> obligation</w:t>
      </w:r>
      <w:r>
        <w:t xml:space="preserve"> for this Permit and applied those monies to satisfy ARC’s interim default payment obligation of $9,282.00</w:t>
      </w:r>
      <w:r w:rsidRPr="009D4033">
        <w:t xml:space="preserve">.  </w:t>
      </w:r>
      <w:r w:rsidRPr="009D4033">
        <w:rPr>
          <w:i/>
        </w:rPr>
        <w:t>See</w:t>
      </w:r>
      <w:r w:rsidRPr="009D4033">
        <w:t xml:space="preserve"> </w:t>
      </w:r>
      <w:r w:rsidRPr="009D4033">
        <w:rPr>
          <w:i/>
        </w:rPr>
        <w:t>Letter Order</w:t>
      </w:r>
      <w:r w:rsidRPr="009D4033">
        <w:t>,</w:t>
      </w:r>
      <w:r w:rsidRPr="009D4033">
        <w:rPr>
          <w:i/>
        </w:rPr>
        <w:t xml:space="preserve"> </w:t>
      </w:r>
      <w:r w:rsidRPr="009D4033">
        <w:t>30 FCC Rcd at 588.</w:t>
      </w:r>
    </w:p>
  </w:footnote>
  <w:footnote w:id="15">
    <w:p w:rsidR="00182657" w:rsidRPr="009D4033" w:rsidP="00182657" w14:paraId="54669855" w14:textId="77777777">
      <w:pPr>
        <w:pStyle w:val="FootnoteText"/>
        <w:spacing w:after="120"/>
      </w:pPr>
      <w:r w:rsidRPr="009D4033">
        <w:rPr>
          <w:rStyle w:val="FootnoteReference"/>
        </w:rPr>
        <w:footnoteRef/>
      </w:r>
      <w:r w:rsidRPr="009D4033">
        <w:t xml:space="preserve"> Pub. L. No. 104-134, 110 Stat. 1321 (1996) (codified in relevant parts at 31 </w:t>
      </w:r>
      <w:r>
        <w:t>U.S.C.</w:t>
      </w:r>
      <w:r w:rsidRPr="009D4033">
        <w:t xml:space="preserve"> §§ 3716 (administrative offset) and 3717 (interest and penalty on claims)); </w:t>
      </w:r>
      <w:r w:rsidRPr="009D4033">
        <w:rPr>
          <w:i/>
        </w:rPr>
        <w:t>see also</w:t>
      </w:r>
      <w:r w:rsidRPr="009D4033">
        <w:t xml:space="preserve"> 47 CFR §§ 1.1901, 1.1911, 1.1912, 1.1940 and 1.1941.</w:t>
      </w:r>
    </w:p>
  </w:footnote>
  <w:footnote w:id="16">
    <w:p w:rsidR="00182657" w:rsidRPr="009D4033" w:rsidP="00182657" w14:paraId="7EEEDC5A" w14:textId="77777777">
      <w:pPr>
        <w:pStyle w:val="FootnoteText"/>
        <w:spacing w:after="120"/>
      </w:pPr>
      <w:r w:rsidRPr="009D4033">
        <w:rPr>
          <w:rStyle w:val="FootnoteReference"/>
        </w:rPr>
        <w:footnoteRef/>
      </w:r>
      <w:r w:rsidRPr="009D4033">
        <w:t xml:space="preserve"> As noted in Attachment B, if the</w:t>
      </w:r>
      <w:r w:rsidRPr="009D4033">
        <w:rPr>
          <w:vertAlign w:val="superscript"/>
        </w:rPr>
        <w:t xml:space="preserve"> </w:t>
      </w:r>
      <w:r w:rsidRPr="009D4033">
        <w:t>30th day falls on a non-business day, payment must be received on the next business day.</w:t>
      </w:r>
    </w:p>
  </w:footnote>
  <w:footnote w:id="17">
    <w:p w:rsidR="00182657" w:rsidRPr="009D4033" w:rsidP="00182657" w14:paraId="2C8862FB" w14:textId="77777777">
      <w:pPr>
        <w:pStyle w:val="FootnoteText"/>
        <w:spacing w:after="120"/>
      </w:pPr>
      <w:r w:rsidRPr="009D4033">
        <w:rPr>
          <w:rStyle w:val="FootnoteReference"/>
        </w:rPr>
        <w:footnoteRef/>
      </w:r>
      <w:r w:rsidRPr="009D4033">
        <w:t xml:space="preserve"> 31 </w:t>
      </w:r>
      <w:r>
        <w:t>U.S.C.</w:t>
      </w:r>
      <w:r w:rsidRPr="009D4033">
        <w:t xml:space="preserve"> § 3717(e)(1); 47 CFR § 1.1940(c).</w:t>
      </w:r>
    </w:p>
  </w:footnote>
  <w:footnote w:id="18">
    <w:p w:rsidR="00182657" w:rsidRPr="009D4033" w:rsidP="00182657" w14:paraId="0749FB72" w14:textId="77777777">
      <w:pPr>
        <w:pStyle w:val="FootnoteText"/>
        <w:spacing w:after="120"/>
      </w:pPr>
      <w:r w:rsidRPr="009D4033">
        <w:rPr>
          <w:rStyle w:val="FootnoteReference"/>
        </w:rPr>
        <w:footnoteRef/>
      </w:r>
      <w:r w:rsidRPr="009D4033">
        <w:t xml:space="preserve"> 31 </w:t>
      </w:r>
      <w:r>
        <w:t>U.S.C.</w:t>
      </w:r>
      <w:r w:rsidRPr="009D4033">
        <w:t xml:space="preserve"> § 3717(b); 47 CFR § 1.1940(b).</w:t>
      </w:r>
    </w:p>
  </w:footnote>
  <w:footnote w:id="19">
    <w:p w:rsidR="00182657" w:rsidRPr="009D4033" w:rsidP="00182657" w14:paraId="3C400A19" w14:textId="77777777">
      <w:pPr>
        <w:pStyle w:val="FootnoteText"/>
        <w:spacing w:after="120"/>
      </w:pPr>
      <w:r w:rsidRPr="009D4033">
        <w:rPr>
          <w:rStyle w:val="FootnoteReference"/>
        </w:rPr>
        <w:footnoteRef/>
      </w:r>
      <w:r w:rsidRPr="009D4033">
        <w:t xml:space="preserve"> 31 </w:t>
      </w:r>
      <w:r>
        <w:t>U.S.C.</w:t>
      </w:r>
      <w:r w:rsidRPr="009D4033">
        <w:t xml:space="preserve"> § 3717(e)(2); 47 CFR § 1.1940(d).</w:t>
      </w:r>
    </w:p>
  </w:footnote>
  <w:footnote w:id="20">
    <w:p w:rsidR="00182657" w:rsidRPr="009D4033" w:rsidP="00182657" w14:paraId="7FD03812" w14:textId="77777777">
      <w:pPr>
        <w:pStyle w:val="FootnoteText"/>
        <w:spacing w:after="120"/>
      </w:pPr>
      <w:r w:rsidRPr="009D4033">
        <w:rPr>
          <w:rStyle w:val="FootnoteReference"/>
        </w:rPr>
        <w:footnoteRef/>
      </w:r>
      <w:r w:rsidRPr="009D4033">
        <w:t xml:space="preserve"> 47 CFR § 1.1940(b).</w:t>
      </w:r>
    </w:p>
  </w:footnote>
  <w:footnote w:id="21">
    <w:p w:rsidR="00182657" w:rsidRPr="009D4033" w:rsidP="00182657" w14:paraId="72040651" w14:textId="77777777">
      <w:pPr>
        <w:pStyle w:val="FootnoteText"/>
        <w:spacing w:after="120"/>
      </w:pPr>
      <w:r w:rsidRPr="009D4033">
        <w:rPr>
          <w:rStyle w:val="FootnoteReference"/>
        </w:rPr>
        <w:footnoteRef/>
      </w:r>
      <w:r w:rsidRPr="009D4033">
        <w:t xml:space="preserve"> 31 </w:t>
      </w:r>
      <w:r>
        <w:t>U.S.C.</w:t>
      </w:r>
      <w:r w:rsidRPr="009D4033">
        <w:t xml:space="preserve"> § 3717(d); 47 CFR § 1.1940(g).  </w:t>
      </w:r>
    </w:p>
  </w:footnote>
  <w:footnote w:id="22">
    <w:p w:rsidR="00182657" w:rsidRPr="009D4033" w:rsidP="00182657" w14:paraId="1F735454" w14:textId="77777777">
      <w:pPr>
        <w:pStyle w:val="FootnoteText"/>
        <w:spacing w:after="120"/>
      </w:pPr>
      <w:r w:rsidRPr="009D4033">
        <w:rPr>
          <w:rStyle w:val="FootnoteReference"/>
        </w:rPr>
        <w:footnoteRef/>
      </w:r>
      <w:r w:rsidRPr="009D4033">
        <w:t xml:space="preserve"> 31 </w:t>
      </w:r>
      <w:r>
        <w:t>U.S.C.</w:t>
      </w:r>
      <w:r w:rsidRPr="009D4033">
        <w:t xml:space="preserve"> § 3717(e)(2); 47 CFR § 1.1940(d).</w:t>
      </w:r>
    </w:p>
  </w:footnote>
  <w:footnote w:id="23">
    <w:p w:rsidR="00182657" w:rsidRPr="009D4033" w:rsidP="00182657" w14:paraId="2676DA95" w14:textId="77777777">
      <w:pPr>
        <w:pStyle w:val="FootnoteText"/>
        <w:spacing w:after="120"/>
      </w:pPr>
      <w:r w:rsidRPr="009D4033">
        <w:rPr>
          <w:rStyle w:val="FootnoteReference"/>
        </w:rPr>
        <w:footnoteRef/>
      </w:r>
      <w:r w:rsidRPr="009D4033">
        <w:t xml:space="preserve">  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w:t>
      </w:r>
      <w:r>
        <w:t xml:space="preserve">ad hoc </w:t>
      </w:r>
      <w:r w:rsidRPr="009D4033">
        <w:t xml:space="preserve">case-by-case offsets when centralized offset is unavailable or inappropriate.  47 CFR § 1.1912(c). </w:t>
      </w:r>
    </w:p>
  </w:footnote>
  <w:footnote w:id="24">
    <w:p w:rsidR="00182657" w:rsidRPr="009D4033" w:rsidP="00182657" w14:paraId="38AC4538" w14:textId="77777777">
      <w:pPr>
        <w:pStyle w:val="FootnoteText"/>
        <w:spacing w:after="120"/>
      </w:pPr>
      <w:r w:rsidRPr="009D4033">
        <w:rPr>
          <w:rStyle w:val="FootnoteReference"/>
        </w:rPr>
        <w:footnoteRef/>
      </w:r>
      <w:r w:rsidRPr="009D4033">
        <w:t xml:space="preserve"> 31 </w:t>
      </w:r>
      <w:r>
        <w:t>U.S.C.</w:t>
      </w:r>
      <w:r w:rsidRPr="009D4033">
        <w:t xml:space="preserve"> §§ 3711(g), 3716; 28 </w:t>
      </w:r>
      <w:r>
        <w:t>U.S.C.</w:t>
      </w:r>
      <w:r w:rsidRPr="009D4033">
        <w:t xml:space="preserve"> § 3001 </w:t>
      </w:r>
      <w:r w:rsidRPr="009D4033">
        <w:rPr>
          <w:i/>
        </w:rPr>
        <w:t>et seq</w:t>
      </w:r>
      <w:r w:rsidRPr="009D4033">
        <w:t>.; 47 CFR § 1.1912.  Transfer may be made without further notice at any time after the Due Date.</w:t>
      </w:r>
    </w:p>
  </w:footnote>
  <w:footnote w:id="25">
    <w:p w:rsidR="00182657" w:rsidRPr="009D4033" w:rsidP="00182657" w14:paraId="43E84CEF" w14:textId="77777777">
      <w:pPr>
        <w:pStyle w:val="FootnoteText"/>
        <w:spacing w:after="120"/>
      </w:pPr>
      <w:r w:rsidRPr="009D4033">
        <w:rPr>
          <w:rStyle w:val="FootnoteReference"/>
        </w:rPr>
        <w:footnoteRef/>
      </w:r>
      <w:r w:rsidRPr="009D4033">
        <w:t xml:space="preserve"> 31 </w:t>
      </w:r>
      <w:r>
        <w:t>U.S.C.</w:t>
      </w:r>
      <w:r w:rsidRPr="009D4033">
        <w:t xml:space="preserve"> § 3717(e); 31 CFR § 285.12(j).</w:t>
      </w:r>
    </w:p>
  </w:footnote>
  <w:footnote w:id="26">
    <w:p w:rsidR="00182657" w:rsidRPr="009D4033" w:rsidP="00182657" w14:paraId="41DC53A0" w14:textId="77777777">
      <w:pPr>
        <w:pStyle w:val="FootnoteText"/>
        <w:spacing w:after="120"/>
      </w:pPr>
      <w:r w:rsidRPr="009D4033">
        <w:rPr>
          <w:rStyle w:val="FootnoteReference"/>
        </w:rPr>
        <w:footnoteRef/>
      </w:r>
      <w:r w:rsidRPr="009D4033">
        <w:t xml:space="preserve"> 31 </w:t>
      </w:r>
      <w:r>
        <w:t>U.S.C.</w:t>
      </w:r>
      <w:r w:rsidRPr="009D4033">
        <w:t xml:space="preserve"> § 3716; 47 CFR § 1.1912(b) (mandatory centralized administrative offset).</w:t>
      </w:r>
    </w:p>
  </w:footnote>
  <w:footnote w:id="27">
    <w:p w:rsidR="00182657" w:rsidP="00182657" w14:paraId="3C81030F" w14:textId="77777777">
      <w:pPr>
        <w:pStyle w:val="FootnoteText"/>
        <w:spacing w:after="120"/>
      </w:pPr>
      <w:r w:rsidRPr="009D4033">
        <w:rPr>
          <w:rStyle w:val="FootnoteReference"/>
        </w:rPr>
        <w:footnoteRef/>
      </w:r>
      <w:r w:rsidRPr="009D4033">
        <w:t xml:space="preserve"> 28 </w:t>
      </w:r>
      <w:r>
        <w:t>U.S.C.</w:t>
      </w:r>
      <w:r w:rsidRPr="009D4033">
        <w:t xml:space="preserve"> § 3011.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EBC" w14:paraId="02DFBF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657" w:rsidRPr="00182657" w14:paraId="030844BE" w14:textId="14F19535">
    <w:pPr>
      <w:pStyle w:val="Header"/>
      <w:rPr>
        <w:sz w:val="22"/>
        <w:szCs w:val="22"/>
      </w:rPr>
    </w:pPr>
    <w:r w:rsidRPr="00182657">
      <w:rPr>
        <w:sz w:val="22"/>
        <w:szCs w:val="22"/>
      </w:rPr>
      <w:t>Ace Radio Corporation</w:t>
    </w:r>
    <w:r>
      <w:rPr>
        <w:sz w:val="22"/>
        <w:szCs w:val="22"/>
      </w:rPr>
      <w:tab/>
    </w:r>
    <w:r>
      <w:rPr>
        <w:sz w:val="22"/>
        <w:szCs w:val="22"/>
      </w:rPr>
      <w:tab/>
      <w:t>DA 22-</w:t>
    </w:r>
    <w:r w:rsidR="00462331">
      <w:rPr>
        <w:sz w:val="22"/>
        <w:szCs w:val="22"/>
      </w:rPr>
      <w:t>1323</w:t>
    </w:r>
  </w:p>
  <w:p w:rsidR="00182657" w:rsidRPr="00182657" w14:paraId="286AD31D" w14:textId="003BEBC9">
    <w:pPr>
      <w:pStyle w:val="Header"/>
      <w:rPr>
        <w:sz w:val="22"/>
        <w:szCs w:val="22"/>
      </w:rPr>
    </w:pPr>
    <w:r w:rsidRPr="00182657">
      <w:rPr>
        <w:sz w:val="22"/>
        <w:szCs w:val="22"/>
      </w:rPr>
      <w:t>December 1</w:t>
    </w:r>
    <w:r w:rsidR="00611EBC">
      <w:rPr>
        <w:sz w:val="22"/>
        <w:szCs w:val="22"/>
      </w:rPr>
      <w:t>6</w:t>
    </w:r>
    <w:r w:rsidRPr="00182657">
      <w:rPr>
        <w:sz w:val="22"/>
        <w:szCs w:val="22"/>
      </w:rPr>
      <w:t>, 2022</w:t>
    </w:r>
  </w:p>
  <w:p w:rsidR="00182657" w:rsidRPr="00182657" w14:paraId="33AA8E7A" w14:textId="0E3219E9">
    <w:pPr>
      <w:pStyle w:val="Header"/>
      <w:rPr>
        <w:sz w:val="22"/>
        <w:szCs w:val="22"/>
      </w:rPr>
    </w:pPr>
    <w:r w:rsidRPr="00182657">
      <w:rPr>
        <w:sz w:val="22"/>
        <w:szCs w:val="22"/>
      </w:rPr>
      <w:t xml:space="preserve">Page </w:t>
    </w:r>
    <w:r w:rsidRPr="00182657">
      <w:rPr>
        <w:sz w:val="22"/>
        <w:szCs w:val="22"/>
      </w:rPr>
      <w:fldChar w:fldCharType="begin"/>
    </w:r>
    <w:r w:rsidRPr="00182657">
      <w:rPr>
        <w:sz w:val="22"/>
        <w:szCs w:val="22"/>
      </w:rPr>
      <w:instrText xml:space="preserve"> PAGE   \* MERGEFORMAT </w:instrText>
    </w:r>
    <w:r w:rsidRPr="00182657">
      <w:rPr>
        <w:sz w:val="22"/>
        <w:szCs w:val="22"/>
      </w:rPr>
      <w:fldChar w:fldCharType="separate"/>
    </w:r>
    <w:r w:rsidRPr="00182657">
      <w:rPr>
        <w:noProof/>
        <w:sz w:val="22"/>
        <w:szCs w:val="22"/>
      </w:rPr>
      <w:t>2</w:t>
    </w:r>
    <w:r w:rsidRPr="00182657">
      <w:rPr>
        <w:noProof/>
        <w:sz w:val="22"/>
        <w:szCs w:val="22"/>
      </w:rPr>
      <w:fldChar w:fldCharType="end"/>
    </w:r>
  </w:p>
  <w:p w:rsidR="00182657" w:rsidRPr="00182657" w14:paraId="6E7A89F9" w14:textId="731CD1D3">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8614CD8"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27CDDBCD"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F761F71" w14:textId="77777777">
    <w:pPr>
      <w:pStyle w:val="Header"/>
      <w:tabs>
        <w:tab w:val="clear" w:pos="4320"/>
      </w:tabs>
      <w:jc w:val="center"/>
      <w:rPr>
        <w:sz w:val="22"/>
      </w:rPr>
    </w:pPr>
  </w:p>
  <w:p w:rsidR="002B54DB" w14:paraId="11A0EEF8"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7"/>
    <w:rsid w:val="00035EA3"/>
    <w:rsid w:val="000405E7"/>
    <w:rsid w:val="001333F1"/>
    <w:rsid w:val="00182657"/>
    <w:rsid w:val="00204CE3"/>
    <w:rsid w:val="002B54DB"/>
    <w:rsid w:val="00315520"/>
    <w:rsid w:val="00462331"/>
    <w:rsid w:val="004D3B53"/>
    <w:rsid w:val="00611EBC"/>
    <w:rsid w:val="006401B9"/>
    <w:rsid w:val="007036D5"/>
    <w:rsid w:val="008A7DFD"/>
    <w:rsid w:val="009D4033"/>
    <w:rsid w:val="00AD2699"/>
    <w:rsid w:val="00C32B85"/>
    <w:rsid w:val="00C33F95"/>
    <w:rsid w:val="00D1744F"/>
    <w:rsid w:val="00D65FE5"/>
    <w:rsid w:val="00FD63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8D20DA"/>
  <w15:chartTrackingRefBased/>
  <w15:docId w15:val="{D74E1A1A-C677-4713-9A5D-38FA304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57"/>
  </w:style>
  <w:style w:type="paragraph" w:styleId="Heading2">
    <w:name w:val="heading 2"/>
    <w:basedOn w:val="Normal"/>
    <w:next w:val="Normal"/>
    <w:link w:val="Heading2Char"/>
    <w:qFormat/>
    <w:rsid w:val="00182657"/>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link w:val="Heading2"/>
    <w:rsid w:val="00182657"/>
    <w:rPr>
      <w:b/>
      <w:sz w:val="32"/>
      <w:u w:val="single"/>
    </w:rPr>
  </w:style>
  <w:style w:type="character" w:customStyle="1" w:styleId="FootnoteReference1">
    <w:name w:val="Footnote Reference1"/>
    <w:rsid w:val="00182657"/>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182657"/>
    <w:rPr>
      <w:rFonts w:eastAsia="ヒラギノ角ゴ Pro W3"/>
      <w:color w:val="000000"/>
    </w:rPr>
  </w:style>
  <w:style w:type="character" w:styleId="FootnoteReference">
    <w:name w:val="footnote reference"/>
    <w:aliases w:val="(N... + 11 pt,(NECG) Footnote Reference,-E Funotenzeichen,A,Appel note de bas de p,FR,Footnote Reference/,Style 12,Style 124,Style 13,Style 17,Style 20,Style 3,Style 34,Style 4,Style 6,Style 7,Style 9,callout,fr,o"/>
    <w:rsid w:val="00182657"/>
    <w:rPr>
      <w:vertAlign w:val="superscript"/>
    </w:rPr>
  </w:style>
  <w:style w:type="paragraph" w:styleId="FootnoteText">
    <w:name w:val="footnote text"/>
    <w:aliases w:val="ALTS FOOTNOTE,ALTS FOOTNOTE Char,Footnote Text Char Char Char Char Char,Footnote Text Char Char Char Char Char Char,Footnote Text Char1 Char Char Char,Footnote Text Char1 Char1 Char Char Char,Footnote Text Char2,Style,f,fn,ft Char"/>
    <w:basedOn w:val="Normal"/>
    <w:link w:val="FootnoteTextChar"/>
    <w:rsid w:val="00182657"/>
    <w:rPr>
      <w:rFonts w:eastAsia="ヒラギノ角ゴ Pro W3"/>
      <w:color w:val="000000"/>
    </w:rPr>
  </w:style>
  <w:style w:type="character" w:customStyle="1" w:styleId="FootnoteTextChar">
    <w:name w:val="Footnote Text Char"/>
    <w:aliases w:val="ALTS FOOTNOTE Char Char,ALTS FOOTNOTE Char2,Footnote Text Char Char Char Char Char Char Char,Footnote Text Char1 Char Char Char Char,Footnote Text Char1 Char1 Char Char Char Char,Footnote Text Char2 Char1,f Char,fn Char1,ft Char Char"/>
    <w:link w:val="FootnoteText"/>
    <w:rsid w:val="00182657"/>
    <w:rPr>
      <w:rFonts w:eastAsia="ヒラギノ角ゴ Pro W3"/>
      <w:color w:val="000000"/>
    </w:rPr>
  </w:style>
  <w:style w:type="paragraph" w:customStyle="1" w:styleId="ParaNum">
    <w:name w:val="ParaNum"/>
    <w:rsid w:val="00182657"/>
    <w:pPr>
      <w:widowControl w:val="0"/>
      <w:tabs>
        <w:tab w:val="left" w:pos="360"/>
      </w:tabs>
      <w:spacing w:after="220"/>
      <w:jc w:val="both"/>
    </w:pPr>
    <w:rPr>
      <w:rFonts w:eastAsia="ヒラギノ角ゴ Pro W3"/>
      <w:color w:val="000000"/>
      <w:kern w:val="28"/>
      <w:sz w:val="22"/>
    </w:rPr>
  </w:style>
  <w:style w:type="character" w:customStyle="1" w:styleId="HeaderChar">
    <w:name w:val="Header Char"/>
    <w:link w:val="Header"/>
    <w:uiPriority w:val="99"/>
    <w:locked/>
    <w:rsid w:val="00182657"/>
  </w:style>
  <w:style w:type="paragraph" w:styleId="BodyTextIndent">
    <w:name w:val="Body Text Indent"/>
    <w:basedOn w:val="Normal"/>
    <w:link w:val="BodyTextIndentChar"/>
    <w:rsid w:val="00182657"/>
    <w:pPr>
      <w:ind w:firstLine="720"/>
    </w:pPr>
    <w:rPr>
      <w:sz w:val="24"/>
    </w:rPr>
  </w:style>
  <w:style w:type="character" w:customStyle="1" w:styleId="BodyTextIndentChar">
    <w:name w:val="Body Text Indent Char"/>
    <w:link w:val="BodyTextIndent"/>
    <w:rsid w:val="00182657"/>
    <w:rPr>
      <w:sz w:val="24"/>
    </w:rPr>
  </w:style>
  <w:style w:type="paragraph" w:styleId="BodyText2">
    <w:name w:val="Body Text 2"/>
    <w:basedOn w:val="Normal"/>
    <w:link w:val="BodyText2Char"/>
    <w:rsid w:val="00182657"/>
    <w:pPr>
      <w:widowControl w:val="0"/>
      <w:jc w:val="both"/>
    </w:pPr>
    <w:rPr>
      <w:kern w:val="28"/>
      <w:sz w:val="24"/>
    </w:rPr>
  </w:style>
  <w:style w:type="character" w:customStyle="1" w:styleId="BodyText2Char">
    <w:name w:val="Body Text 2 Char"/>
    <w:link w:val="BodyText2"/>
    <w:rsid w:val="00182657"/>
    <w:rPr>
      <w:kern w:val="28"/>
      <w:sz w:val="24"/>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18265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