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rsidP="001D326B" w14:paraId="19E9D31C" w14:textId="72508CA3">
      <w:pPr>
        <w:jc w:val="center"/>
        <w:rPr>
          <w:sz w:val="22"/>
          <w:szCs w:val="22"/>
        </w:rPr>
      </w:pPr>
      <w:r w:rsidRPr="001D326B">
        <w:rPr>
          <w:sz w:val="22"/>
          <w:szCs w:val="22"/>
        </w:rPr>
        <w:t>December 1</w:t>
      </w:r>
      <w:r w:rsidR="003407DB">
        <w:rPr>
          <w:sz w:val="22"/>
          <w:szCs w:val="22"/>
        </w:rPr>
        <w:t>6</w:t>
      </w:r>
      <w:r w:rsidRPr="001D326B">
        <w:rPr>
          <w:sz w:val="22"/>
          <w:szCs w:val="22"/>
        </w:rPr>
        <w:t>, 2022</w:t>
      </w:r>
    </w:p>
    <w:p w:rsidR="001D326B" w:rsidP="001D326B" w14:paraId="51A1331C" w14:textId="30328EBE">
      <w:pPr>
        <w:jc w:val="center"/>
        <w:rPr>
          <w:sz w:val="22"/>
          <w:szCs w:val="22"/>
        </w:rPr>
      </w:pPr>
    </w:p>
    <w:p w:rsidR="001D326B" w:rsidP="00683768" w14:paraId="1D86240D" w14:textId="7629546F">
      <w:pPr>
        <w:jc w:val="right"/>
        <w:rPr>
          <w:b/>
          <w:sz w:val="22"/>
          <w:szCs w:val="22"/>
        </w:rPr>
      </w:pPr>
      <w:r w:rsidRPr="00FC1095">
        <w:rPr>
          <w:b/>
          <w:sz w:val="22"/>
          <w:szCs w:val="22"/>
        </w:rPr>
        <w:t xml:space="preserve">DA </w:t>
      </w:r>
      <w:r>
        <w:rPr>
          <w:b/>
          <w:sz w:val="22"/>
          <w:szCs w:val="22"/>
        </w:rPr>
        <w:t>22</w:t>
      </w:r>
      <w:r w:rsidRPr="00FC1095">
        <w:rPr>
          <w:b/>
          <w:sz w:val="22"/>
          <w:szCs w:val="22"/>
        </w:rPr>
        <w:t>-</w:t>
      </w:r>
      <w:r w:rsidR="00683768">
        <w:rPr>
          <w:b/>
          <w:sz w:val="22"/>
          <w:szCs w:val="22"/>
        </w:rPr>
        <w:t>1326</w:t>
      </w:r>
    </w:p>
    <w:p w:rsidR="00683768" w:rsidP="00683768" w14:paraId="544EE5BA" w14:textId="77777777">
      <w:pPr>
        <w:jc w:val="right"/>
        <w:rPr>
          <w:sz w:val="22"/>
          <w:szCs w:val="22"/>
        </w:rPr>
      </w:pPr>
    </w:p>
    <w:p w:rsidR="001D326B" w:rsidP="001D326B" w14:paraId="3E21BF85" w14:textId="1A93628A">
      <w:pPr>
        <w:rPr>
          <w:b/>
          <w:sz w:val="22"/>
          <w:szCs w:val="22"/>
          <w:u w:val="single"/>
        </w:rPr>
      </w:pPr>
      <w:r>
        <w:rPr>
          <w:b/>
          <w:sz w:val="22"/>
          <w:szCs w:val="22"/>
          <w:u w:val="single"/>
        </w:rPr>
        <w:t>Via Email and Certified Mail, Return Receipt Requested</w:t>
      </w:r>
    </w:p>
    <w:p w:rsidR="001D326B" w:rsidP="001D326B" w14:paraId="2FBD1F05" w14:textId="77777777">
      <w:pPr>
        <w:widowControl w:val="0"/>
        <w:rPr>
          <w:sz w:val="22"/>
          <w:szCs w:val="22"/>
        </w:rPr>
      </w:pPr>
    </w:p>
    <w:p w:rsidR="001D326B" w:rsidRPr="00FC1095" w:rsidP="001D326B" w14:paraId="055BC428" w14:textId="77777777">
      <w:pPr>
        <w:pStyle w:val="Header"/>
        <w:tabs>
          <w:tab w:val="clear" w:pos="4320"/>
          <w:tab w:val="clear" w:pos="8640"/>
        </w:tabs>
        <w:rPr>
          <w:sz w:val="22"/>
          <w:szCs w:val="22"/>
        </w:rPr>
      </w:pPr>
      <w:r w:rsidRPr="00FC1095">
        <w:rPr>
          <w:sz w:val="22"/>
          <w:szCs w:val="22"/>
        </w:rPr>
        <w:t>Golden Arrow Paging, Inc.</w:t>
      </w:r>
    </w:p>
    <w:p w:rsidR="001D326B" w:rsidRPr="00FC1095" w:rsidP="001D326B" w14:paraId="2C80F4FF" w14:textId="77777777">
      <w:pPr>
        <w:pStyle w:val="Header"/>
        <w:tabs>
          <w:tab w:val="clear" w:pos="4320"/>
          <w:tab w:val="clear" w:pos="8640"/>
        </w:tabs>
        <w:rPr>
          <w:sz w:val="22"/>
          <w:szCs w:val="22"/>
        </w:rPr>
      </w:pPr>
      <w:r w:rsidRPr="00FC1095">
        <w:rPr>
          <w:sz w:val="22"/>
          <w:szCs w:val="22"/>
        </w:rPr>
        <w:t>Attn: Charles LaCroix</w:t>
      </w:r>
    </w:p>
    <w:p w:rsidR="001D326B" w:rsidRPr="00FC1095" w:rsidP="001D326B" w14:paraId="6A439288" w14:textId="77777777">
      <w:pPr>
        <w:pStyle w:val="Header"/>
        <w:tabs>
          <w:tab w:val="clear" w:pos="4320"/>
          <w:tab w:val="clear" w:pos="8640"/>
        </w:tabs>
        <w:rPr>
          <w:sz w:val="22"/>
          <w:szCs w:val="22"/>
        </w:rPr>
      </w:pPr>
      <w:r w:rsidRPr="00FC1095">
        <w:rPr>
          <w:sz w:val="22"/>
          <w:szCs w:val="22"/>
        </w:rPr>
        <w:t>2125 Sidney Baker</w:t>
      </w:r>
    </w:p>
    <w:p w:rsidR="001D326B" w:rsidP="001D326B" w14:paraId="3D595894" w14:textId="77777777">
      <w:pPr>
        <w:pStyle w:val="Header"/>
        <w:tabs>
          <w:tab w:val="clear" w:pos="4320"/>
          <w:tab w:val="clear" w:pos="8640"/>
        </w:tabs>
        <w:rPr>
          <w:sz w:val="22"/>
          <w:szCs w:val="22"/>
        </w:rPr>
      </w:pPr>
      <w:r w:rsidRPr="00FC1095">
        <w:rPr>
          <w:sz w:val="22"/>
          <w:szCs w:val="22"/>
        </w:rPr>
        <w:t>Kerrville, TX 78028</w:t>
      </w:r>
    </w:p>
    <w:p w:rsidR="001D326B" w:rsidP="001D326B" w14:paraId="27A7F232" w14:textId="77777777">
      <w:pPr>
        <w:widowControl w:val="0"/>
        <w:rPr>
          <w:sz w:val="22"/>
          <w:szCs w:val="22"/>
        </w:rPr>
      </w:pPr>
    </w:p>
    <w:p w:rsidR="001D326B" w:rsidRPr="00E84B00" w:rsidP="001D326B" w14:paraId="71032621" w14:textId="77777777">
      <w:pPr>
        <w:widowControl w:val="0"/>
        <w:ind w:left="1200" w:hanging="480"/>
        <w:rPr>
          <w:b/>
          <w:sz w:val="22"/>
          <w:szCs w:val="22"/>
        </w:rPr>
      </w:pPr>
      <w:r w:rsidRPr="00E84B00">
        <w:rPr>
          <w:b/>
          <w:sz w:val="22"/>
          <w:szCs w:val="22"/>
        </w:rPr>
        <w:t xml:space="preserve">Re:   Final Default Payment </w:t>
      </w:r>
      <w:r>
        <w:rPr>
          <w:b/>
          <w:sz w:val="22"/>
          <w:szCs w:val="22"/>
        </w:rPr>
        <w:t xml:space="preserve">Amount </w:t>
      </w:r>
      <w:r w:rsidRPr="00E84B00">
        <w:rPr>
          <w:b/>
          <w:sz w:val="22"/>
          <w:szCs w:val="22"/>
        </w:rPr>
        <w:t xml:space="preserve">for </w:t>
      </w:r>
      <w:r>
        <w:rPr>
          <w:b/>
          <w:sz w:val="22"/>
          <w:szCs w:val="22"/>
        </w:rPr>
        <w:t xml:space="preserve">two </w:t>
      </w:r>
      <w:r w:rsidRPr="00E84B00">
        <w:rPr>
          <w:b/>
          <w:sz w:val="22"/>
          <w:szCs w:val="22"/>
        </w:rPr>
        <w:t xml:space="preserve">Auction </w:t>
      </w:r>
      <w:r>
        <w:rPr>
          <w:b/>
          <w:sz w:val="22"/>
          <w:szCs w:val="22"/>
        </w:rPr>
        <w:t>40</w:t>
      </w:r>
      <w:r w:rsidRPr="00E84B00">
        <w:rPr>
          <w:b/>
          <w:sz w:val="22"/>
          <w:szCs w:val="22"/>
        </w:rPr>
        <w:t xml:space="preserve"> </w:t>
      </w:r>
      <w:r>
        <w:rPr>
          <w:b/>
          <w:sz w:val="22"/>
          <w:szCs w:val="22"/>
        </w:rPr>
        <w:t>Licenses – CP-BEA085-FA (Lafayette, LA) and CP-BEA086-FA (Lake Charles, LA)</w:t>
      </w:r>
    </w:p>
    <w:p w:rsidR="001D326B" w:rsidP="001D326B" w14:paraId="20DAA226" w14:textId="77777777">
      <w:pPr>
        <w:widowControl w:val="0"/>
        <w:rPr>
          <w:sz w:val="22"/>
        </w:rPr>
      </w:pPr>
    </w:p>
    <w:p w:rsidR="001D326B" w:rsidRPr="008A7DFD" w:rsidP="001D326B" w14:paraId="7E8B3D7B" w14:textId="77777777">
      <w:pPr>
        <w:widowControl w:val="0"/>
        <w:jc w:val="center"/>
        <w:rPr>
          <w:b/>
          <w:sz w:val="22"/>
          <w:szCs w:val="22"/>
          <w:u w:val="single"/>
        </w:rPr>
      </w:pPr>
      <w:r w:rsidRPr="008A7DFD">
        <w:rPr>
          <w:b/>
          <w:sz w:val="22"/>
          <w:szCs w:val="22"/>
          <w:u w:val="single"/>
        </w:rPr>
        <w:t>DO NOT DISCARD THIS IMPORTANT NOTICE</w:t>
      </w:r>
    </w:p>
    <w:p w:rsidR="001D326B" w:rsidRPr="008A7DFD" w:rsidP="001D326B" w14:paraId="3EC281EF" w14:textId="77777777">
      <w:pPr>
        <w:widowControl w:val="0"/>
        <w:jc w:val="center"/>
        <w:rPr>
          <w:b/>
          <w:sz w:val="22"/>
          <w:szCs w:val="22"/>
          <w:u w:val="single"/>
        </w:rPr>
      </w:pPr>
      <w:r w:rsidRPr="008A7DFD">
        <w:rPr>
          <w:b/>
          <w:sz w:val="22"/>
          <w:szCs w:val="22"/>
          <w:u w:val="single"/>
        </w:rPr>
        <w:t>OF A DEMAND FOR PAYMENT</w:t>
      </w:r>
    </w:p>
    <w:p w:rsidR="001D326B" w:rsidRPr="008A7DFD" w:rsidP="001D326B" w14:paraId="46FF772E" w14:textId="77777777">
      <w:pPr>
        <w:widowControl w:val="0"/>
        <w:jc w:val="center"/>
        <w:rPr>
          <w:b/>
          <w:sz w:val="22"/>
          <w:szCs w:val="22"/>
          <w:u w:val="single"/>
        </w:rPr>
      </w:pPr>
      <w:r w:rsidRPr="008A7DFD">
        <w:rPr>
          <w:b/>
          <w:sz w:val="22"/>
          <w:szCs w:val="22"/>
          <w:u w:val="single"/>
        </w:rPr>
        <w:t>OF A DEBT OWED THE UNITED STATES AND ORDER OF PAYMENT</w:t>
      </w:r>
    </w:p>
    <w:p w:rsidR="001D326B" w:rsidP="001D326B" w14:paraId="518BF2E1" w14:textId="77777777">
      <w:pPr>
        <w:widowControl w:val="0"/>
        <w:rPr>
          <w:sz w:val="22"/>
          <w:szCs w:val="22"/>
        </w:rPr>
      </w:pPr>
    </w:p>
    <w:p w:rsidR="001D326B" w:rsidP="001D326B" w14:paraId="00F19369" w14:textId="77777777">
      <w:pPr>
        <w:widowControl w:val="0"/>
        <w:rPr>
          <w:sz w:val="22"/>
          <w:szCs w:val="22"/>
        </w:rPr>
      </w:pPr>
      <w:r>
        <w:rPr>
          <w:sz w:val="22"/>
          <w:szCs w:val="22"/>
        </w:rPr>
        <w:t xml:space="preserve">Dear Mr. </w:t>
      </w:r>
      <w:r w:rsidRPr="00FC1095">
        <w:rPr>
          <w:sz w:val="22"/>
          <w:szCs w:val="22"/>
        </w:rPr>
        <w:t>LaCroix</w:t>
      </w:r>
      <w:r>
        <w:rPr>
          <w:sz w:val="22"/>
          <w:szCs w:val="22"/>
        </w:rPr>
        <w:t>:</w:t>
      </w:r>
    </w:p>
    <w:p w:rsidR="001D326B" w:rsidP="001D326B" w14:paraId="4EB0C550" w14:textId="77777777">
      <w:pPr>
        <w:widowControl w:val="0"/>
        <w:rPr>
          <w:sz w:val="22"/>
          <w:szCs w:val="22"/>
        </w:rPr>
      </w:pPr>
    </w:p>
    <w:p w:rsidR="001D326B" w:rsidP="001D326B" w14:paraId="6E8E614E" w14:textId="77777777">
      <w:pPr>
        <w:pStyle w:val="Header"/>
        <w:tabs>
          <w:tab w:val="clear" w:pos="4320"/>
          <w:tab w:val="clear" w:pos="8640"/>
        </w:tabs>
        <w:rPr>
          <w:sz w:val="22"/>
          <w:szCs w:val="22"/>
        </w:rPr>
      </w:pPr>
      <w:r>
        <w:rPr>
          <w:sz w:val="22"/>
          <w:szCs w:val="22"/>
        </w:rPr>
        <w:tab/>
        <w:t xml:space="preserve">This Order provides notice of the final default payment amount of </w:t>
      </w:r>
      <w:r w:rsidRPr="00FC1095">
        <w:rPr>
          <w:sz w:val="22"/>
          <w:szCs w:val="22"/>
        </w:rPr>
        <w:t>Golden Arrow Paging, Inc.</w:t>
      </w:r>
      <w:r>
        <w:rPr>
          <w:sz w:val="22"/>
          <w:szCs w:val="22"/>
        </w:rPr>
        <w:t xml:space="preserve"> (Golden Arrow) with respect to its default on two licenses it won in Auction 40, and provides notice that the Golden Arrow’s interim default payment has been applied to satisfy its final default payment obligation.  Golden Arrow was the winning bidder for twenty-two lower and upper paging band licenses, including</w:t>
      </w:r>
      <w:r>
        <w:rPr>
          <w:b/>
          <w:color w:val="FF0000"/>
          <w:sz w:val="22"/>
          <w:szCs w:val="22"/>
        </w:rPr>
        <w:t xml:space="preserve"> </w:t>
      </w:r>
      <w:r w:rsidRPr="00885DC3">
        <w:rPr>
          <w:sz w:val="22"/>
          <w:szCs w:val="22"/>
        </w:rPr>
        <w:t>CP-BEA085-FA (La</w:t>
      </w:r>
      <w:r>
        <w:rPr>
          <w:sz w:val="22"/>
          <w:szCs w:val="22"/>
        </w:rPr>
        <w:t>f</w:t>
      </w:r>
      <w:r w:rsidRPr="00885DC3">
        <w:rPr>
          <w:sz w:val="22"/>
          <w:szCs w:val="22"/>
        </w:rPr>
        <w:t>ayette, LA) and CP-BEA086-FA (Lake Charles, LA)</w:t>
      </w:r>
      <w:r>
        <w:rPr>
          <w:sz w:val="22"/>
          <w:szCs w:val="22"/>
        </w:rPr>
        <w:t xml:space="preserve"> (the Lafayette and Lake Charles Licenses), in Auction 40.  After the close of Auction 40, Golden Arrow defaulted on its final payment obligation for all twenty-two of these licenses.</w:t>
      </w:r>
      <w:r>
        <w:rPr>
          <w:rStyle w:val="FootnoteReference"/>
          <w:sz w:val="22"/>
          <w:szCs w:val="22"/>
        </w:rPr>
        <w:footnoteReference w:id="2"/>
      </w:r>
      <w:r>
        <w:rPr>
          <w:sz w:val="22"/>
          <w:szCs w:val="22"/>
        </w:rPr>
        <w:t xml:space="preserve">  </w:t>
      </w:r>
    </w:p>
    <w:p w:rsidR="001D326B" w:rsidP="001D326B" w14:paraId="6737F16F" w14:textId="77777777">
      <w:pPr>
        <w:pStyle w:val="Header"/>
        <w:tabs>
          <w:tab w:val="clear" w:pos="4320"/>
          <w:tab w:val="clear" w:pos="8640"/>
        </w:tabs>
        <w:ind w:firstLine="720"/>
        <w:rPr>
          <w:sz w:val="22"/>
          <w:szCs w:val="22"/>
        </w:rPr>
      </w:pPr>
    </w:p>
    <w:p w:rsidR="001D326B" w:rsidP="001D326B" w14:paraId="68361227" w14:textId="748C41A9">
      <w:pPr>
        <w:pStyle w:val="Header"/>
        <w:tabs>
          <w:tab w:val="clear" w:pos="4320"/>
          <w:tab w:val="clear" w:pos="8640"/>
        </w:tabs>
        <w:ind w:firstLine="720"/>
        <w:rPr>
          <w:sz w:val="22"/>
          <w:szCs w:val="22"/>
        </w:rPr>
      </w:pPr>
      <w:r>
        <w:rPr>
          <w:sz w:val="22"/>
          <w:szCs w:val="22"/>
        </w:rPr>
        <w:t>In 2007, the Commission assessed an interim default payment of $1,770.00 for all twenty-two licenses from the monies Golden Arrow had on deposit.</w:t>
      </w:r>
      <w:r>
        <w:rPr>
          <w:rStyle w:val="FootnoteReference"/>
          <w:sz w:val="22"/>
          <w:szCs w:val="22"/>
        </w:rPr>
        <w:footnoteReference w:id="3"/>
      </w:r>
      <w:r>
        <w:rPr>
          <w:sz w:val="22"/>
          <w:szCs w:val="22"/>
        </w:rPr>
        <w:t xml:space="preserve">  New licenses for the spectrum were offered in a subsequent auction of lower and upper paging bands (Auction 87).  Licenses corresponding to the spectrum associated with fifteen of the twenty-two defaulted licenses received a winning bid in Auction 87.</w:t>
      </w:r>
      <w:r>
        <w:rPr>
          <w:rStyle w:val="FootnoteReference"/>
          <w:sz w:val="22"/>
          <w:szCs w:val="22"/>
        </w:rPr>
        <w:footnoteReference w:id="4"/>
      </w:r>
      <w:r>
        <w:rPr>
          <w:sz w:val="22"/>
          <w:szCs w:val="22"/>
        </w:rPr>
        <w:t xml:space="preserve">  Accordingly, the Commission was able to calculate that Golden Arrow’s final default payment obligation for those 15 licenses was </w:t>
      </w:r>
      <w:r w:rsidRPr="00226E0D">
        <w:rPr>
          <w:sz w:val="22"/>
          <w:szCs w:val="22"/>
        </w:rPr>
        <w:t>$25,011.50.</w:t>
      </w:r>
      <w:r>
        <w:rPr>
          <w:rStyle w:val="FootnoteReference"/>
          <w:sz w:val="22"/>
          <w:szCs w:val="22"/>
        </w:rPr>
        <w:footnoteReference w:id="5"/>
      </w:r>
      <w:r>
        <w:rPr>
          <w:sz w:val="22"/>
          <w:szCs w:val="22"/>
        </w:rPr>
        <w:t xml:space="preserve">  New licenses for the spectrum associated with the remaining seven licenses were then offered in another auction of lower and upper paging bands (Auction 95) with total net winning bids of $1,480.00.</w:t>
      </w:r>
      <w:r>
        <w:rPr>
          <w:rStyle w:val="FootnoteReference"/>
          <w:sz w:val="22"/>
          <w:szCs w:val="22"/>
        </w:rPr>
        <w:footnoteReference w:id="6"/>
      </w:r>
      <w:r>
        <w:rPr>
          <w:sz w:val="22"/>
          <w:szCs w:val="22"/>
        </w:rPr>
        <w:t xml:space="preserve">  Accordingly, the Commission is now able to </w:t>
      </w:r>
      <w:r>
        <w:rPr>
          <w:sz w:val="22"/>
          <w:szCs w:val="22"/>
        </w:rPr>
        <w:t>calculate Golden Arrow’s final default payment obligation with respect to the Lafayette and Lake Charles Licenses.</w:t>
      </w:r>
      <w:r>
        <w:rPr>
          <w:rStyle w:val="FootnoteReference"/>
          <w:sz w:val="22"/>
          <w:szCs w:val="22"/>
        </w:rPr>
        <w:footnoteReference w:id="7"/>
      </w:r>
    </w:p>
    <w:p w:rsidR="001D326B" w:rsidP="001D326B" w14:paraId="7D635268" w14:textId="77777777">
      <w:pPr>
        <w:pStyle w:val="Header"/>
        <w:tabs>
          <w:tab w:val="clear" w:pos="4320"/>
          <w:tab w:val="clear" w:pos="8640"/>
        </w:tabs>
        <w:rPr>
          <w:sz w:val="22"/>
          <w:szCs w:val="22"/>
        </w:rPr>
      </w:pPr>
    </w:p>
    <w:p w:rsidR="001D326B" w:rsidP="001D326B" w14:paraId="665D63BA" w14:textId="77777777">
      <w:pPr>
        <w:pStyle w:val="BodyText2"/>
        <w:ind w:firstLine="720"/>
        <w:jc w:val="left"/>
        <w:rPr>
          <w:rStyle w:val="FootnoteReference1"/>
          <w:sz w:val="22"/>
        </w:rPr>
      </w:pPr>
      <w:r w:rsidRPr="009D4033">
        <w:rPr>
          <w:sz w:val="22"/>
          <w:szCs w:val="22"/>
        </w:rPr>
        <w:t>Under the Commission’s rules, at the close of the auction, a winning bidder assumes a binding obligation to pay the full amount of its accepted winning bid.</w:t>
      </w:r>
      <w:r>
        <w:rPr>
          <w:rStyle w:val="FootnoteReference"/>
          <w:sz w:val="22"/>
          <w:szCs w:val="22"/>
        </w:rPr>
        <w:footnoteReference w:id="8"/>
      </w:r>
      <w:r w:rsidRPr="009D4033">
        <w:rPr>
          <w:sz w:val="22"/>
          <w:szCs w:val="22"/>
        </w:rPr>
        <w:t xml:space="preserve">  A bidder who defaults on that obligation or is disqualified is considered to be a defaulting bidder under the Commission’s rules and is subject to a default payment.</w:t>
      </w:r>
      <w:r>
        <w:rPr>
          <w:rStyle w:val="FootnoteReference1"/>
          <w:sz w:val="22"/>
          <w:szCs w:val="22"/>
        </w:rPr>
        <w:footnoteReference w:id="9"/>
      </w:r>
      <w:r w:rsidRPr="009D4033">
        <w:rPr>
          <w:sz w:val="22"/>
          <w:szCs w:val="22"/>
        </w:rPr>
        <w:t xml:space="preserve">  The default payment has two components:  a deficiency payment and an additional payment amount.</w:t>
      </w:r>
      <w:r>
        <w:rPr>
          <w:rStyle w:val="FootnoteReference"/>
          <w:sz w:val="22"/>
          <w:szCs w:val="22"/>
        </w:rPr>
        <w:footnoteReference w:id="10"/>
      </w:r>
      <w:r w:rsidRPr="009D4033">
        <w:rPr>
          <w:sz w:val="22"/>
          <w:szCs w:val="22"/>
        </w:rPr>
        <w:t xml:space="preserve">  The deficiency payment component applies only </w:t>
      </w:r>
      <w:r>
        <w:rPr>
          <w:sz w:val="22"/>
          <w:szCs w:val="22"/>
        </w:rPr>
        <w:t xml:space="preserve">if </w:t>
      </w:r>
      <w:r w:rsidRPr="009D4033">
        <w:rPr>
          <w:sz w:val="22"/>
          <w:szCs w:val="22"/>
        </w:rPr>
        <w:t>the subsequent winning bid</w:t>
      </w:r>
      <w:r>
        <w:rPr>
          <w:sz w:val="22"/>
          <w:szCs w:val="22"/>
        </w:rPr>
        <w:t>,</w:t>
      </w:r>
      <w:r w:rsidRPr="009D4033">
        <w:rPr>
          <w:sz w:val="22"/>
          <w:szCs w:val="22"/>
        </w:rPr>
        <w:t xml:space="preserve"> the next time a construction permit for the allotment is won</w:t>
      </w:r>
      <w:r>
        <w:rPr>
          <w:sz w:val="22"/>
          <w:szCs w:val="22"/>
        </w:rPr>
        <w:t>,</w:t>
      </w:r>
      <w:r w:rsidRPr="009D4033">
        <w:rPr>
          <w:sz w:val="22"/>
          <w:szCs w:val="22"/>
        </w:rPr>
        <w:t xml:space="preserve">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szCs w:val="22"/>
        </w:rPr>
        <w:footnoteReference w:id="11"/>
      </w:r>
      <w:r w:rsidRPr="009D4033">
        <w:rPr>
          <w:sz w:val="22"/>
          <w:szCs w:val="22"/>
        </w:rPr>
        <w:t xml:space="preserve">  The additional payment amount is owed by each defaulting bidder.</w:t>
      </w:r>
      <w:r>
        <w:rPr>
          <w:rStyle w:val="FootnoteReference"/>
          <w:sz w:val="22"/>
          <w:szCs w:val="22"/>
        </w:rPr>
        <w:footnoteReference w:id="12"/>
      </w:r>
      <w:r w:rsidRPr="009D4033">
        <w:rPr>
          <w:sz w:val="22"/>
          <w:szCs w:val="22"/>
        </w:rPr>
        <w:t xml:space="preserve">  </w:t>
      </w:r>
      <w:r>
        <w:rPr>
          <w:sz w:val="22"/>
        </w:rPr>
        <w:t>Under the Commission’s rules applicable to Auction 40, the additional payment amount is equal to three percent</w:t>
      </w:r>
      <w:r>
        <w:t xml:space="preserve"> </w:t>
      </w:r>
      <w:r>
        <w:rPr>
          <w:sz w:val="22"/>
        </w:rPr>
        <w:t>(3%) of the defaulter’s bid, or of the subsequent winning bid, whichever is less.</w:t>
      </w:r>
      <w:r>
        <w:rPr>
          <w:rStyle w:val="FootnoteReference1"/>
          <w:sz w:val="22"/>
        </w:rPr>
        <w:footnoteReference w:id="13"/>
      </w:r>
    </w:p>
    <w:p w:rsidR="001D326B" w:rsidP="001D326B" w14:paraId="27C7D1D4" w14:textId="77777777">
      <w:pPr>
        <w:pStyle w:val="BodyText2"/>
        <w:jc w:val="left"/>
        <w:rPr>
          <w:sz w:val="22"/>
          <w:szCs w:val="22"/>
        </w:rPr>
      </w:pPr>
      <w:r>
        <w:rPr>
          <w:sz w:val="22"/>
          <w:szCs w:val="22"/>
        </w:rPr>
        <w:t xml:space="preserve"> </w:t>
      </w:r>
    </w:p>
    <w:p w:rsidR="001D326B" w:rsidP="001D326B" w14:paraId="37C98423" w14:textId="77777777">
      <w:pPr>
        <w:pStyle w:val="BodyTextIndent"/>
        <w:rPr>
          <w:sz w:val="22"/>
          <w:szCs w:val="22"/>
        </w:rPr>
      </w:pPr>
      <w:r>
        <w:rPr>
          <w:sz w:val="22"/>
          <w:szCs w:val="22"/>
        </w:rPr>
        <w:t xml:space="preserve">As shown in Attachment A, and in accordance with section 1.2104(g)(2) of the Commission’s rules, we have completed the final default payment calculation for the Lafayette and Lake Charles Licenses and, </w:t>
      </w:r>
      <w:r w:rsidRPr="00597E56">
        <w:rPr>
          <w:sz w:val="22"/>
          <w:szCs w:val="22"/>
        </w:rPr>
        <w:t xml:space="preserve">after applying </w:t>
      </w:r>
      <w:r>
        <w:rPr>
          <w:sz w:val="22"/>
          <w:szCs w:val="22"/>
        </w:rPr>
        <w:t xml:space="preserve">the pro rata portion of the interim default payment attributable to the </w:t>
      </w:r>
      <w:r w:rsidRPr="00DC6C10">
        <w:rPr>
          <w:sz w:val="22"/>
          <w:szCs w:val="22"/>
        </w:rPr>
        <w:t xml:space="preserve">Lafayette and Lake Charles </w:t>
      </w:r>
      <w:r>
        <w:rPr>
          <w:sz w:val="22"/>
          <w:szCs w:val="22"/>
        </w:rPr>
        <w:t>Licenses, have determined that Golden Arrow owes no additional amount for its default on the Lafayette and Lake Charles Licenses.</w:t>
      </w:r>
      <w:r>
        <w:rPr>
          <w:rStyle w:val="FootnoteReference"/>
          <w:sz w:val="22"/>
          <w:szCs w:val="22"/>
        </w:rPr>
        <w:footnoteReference w:id="14"/>
      </w:r>
      <w:r>
        <w:rPr>
          <w:sz w:val="22"/>
          <w:szCs w:val="22"/>
        </w:rPr>
        <w:t xml:space="preserve"> </w:t>
      </w:r>
    </w:p>
    <w:p w:rsidR="001D326B" w:rsidP="001D326B" w14:paraId="48DF0F8D" w14:textId="77777777">
      <w:pPr>
        <w:pStyle w:val="BodyTextIndent"/>
      </w:pPr>
      <w:r>
        <w:rPr>
          <w:sz w:val="22"/>
          <w:szCs w:val="22"/>
        </w:rPr>
        <w:t xml:space="preserve">  </w:t>
      </w:r>
    </w:p>
    <w:p w:rsidR="001D326B" w:rsidRPr="00504D33" w:rsidP="001D326B" w14:paraId="30647016" w14:textId="77777777">
      <w:pPr>
        <w:jc w:val="center"/>
        <w:rPr>
          <w:b/>
          <w:spacing w:val="-2"/>
          <w:sz w:val="22"/>
          <w:szCs w:val="22"/>
          <w:u w:val="single"/>
        </w:rPr>
      </w:pPr>
      <w:r w:rsidRPr="00504D33">
        <w:rPr>
          <w:b/>
          <w:spacing w:val="-2"/>
          <w:sz w:val="22"/>
          <w:szCs w:val="22"/>
          <w:u w:val="single"/>
        </w:rPr>
        <w:t>Ordering Clauses</w:t>
      </w:r>
    </w:p>
    <w:p w:rsidR="001D326B" w:rsidP="001D326B" w14:paraId="182CC9FF" w14:textId="77777777">
      <w:pPr>
        <w:pStyle w:val="ParaNum"/>
        <w:numPr>
          <w:ilvl w:val="0"/>
          <w:numId w:val="0"/>
        </w:numPr>
        <w:spacing w:after="0"/>
        <w:ind w:firstLine="720"/>
        <w:jc w:val="left"/>
        <w:rPr>
          <w:spacing w:val="-2"/>
          <w:szCs w:val="22"/>
        </w:rPr>
      </w:pPr>
    </w:p>
    <w:p w:rsidR="001D326B" w:rsidP="001D326B" w14:paraId="094DF27D" w14:textId="314190F8">
      <w:pPr>
        <w:ind w:firstLine="720"/>
        <w:rPr>
          <w:sz w:val="22"/>
          <w:szCs w:val="22"/>
        </w:rPr>
      </w:pPr>
      <w:r>
        <w:rPr>
          <w:spacing w:val="-2"/>
          <w:sz w:val="22"/>
          <w:szCs w:val="22"/>
        </w:rPr>
        <w:t xml:space="preserve">Accordingly, IT IS ORDERED that, under sections 4(i) and 309 of the Communications Act of 1934 as amended, 47 U.S.C. </w:t>
      </w:r>
      <w:r>
        <w:rPr>
          <w:sz w:val="22"/>
          <w:szCs w:val="22"/>
        </w:rPr>
        <w:t>§§</w:t>
      </w:r>
      <w:r>
        <w:rPr>
          <w:spacing w:val="-2"/>
          <w:sz w:val="22"/>
          <w:szCs w:val="22"/>
        </w:rPr>
        <w:t xml:space="preserve"> 154(i), 309, and section 1.2104(g)(2) of the Commission’s rules, 47 CFR </w:t>
      </w:r>
      <w:r>
        <w:rPr>
          <w:sz w:val="22"/>
          <w:szCs w:val="22"/>
        </w:rPr>
        <w:t>§</w:t>
      </w:r>
      <w:r>
        <w:rPr>
          <w:spacing w:val="-2"/>
          <w:sz w:val="22"/>
          <w:szCs w:val="22"/>
        </w:rPr>
        <w:t xml:space="preserve"> 1.2104(g)(2), Golden Arrow Paging, Inc., </w:t>
      </w:r>
      <w:r w:rsidR="00B749BB">
        <w:rPr>
          <w:spacing w:val="-2"/>
          <w:sz w:val="22"/>
          <w:szCs w:val="22"/>
        </w:rPr>
        <w:t>is</w:t>
      </w:r>
      <w:r>
        <w:rPr>
          <w:spacing w:val="-2"/>
          <w:sz w:val="22"/>
          <w:szCs w:val="22"/>
        </w:rPr>
        <w:t xml:space="preserve"> ASSESSED a </w:t>
      </w:r>
      <w:r>
        <w:rPr>
          <w:sz w:val="22"/>
          <w:szCs w:val="22"/>
        </w:rPr>
        <w:t>final default payment obligation as computed in Attachment A.</w:t>
      </w:r>
    </w:p>
    <w:p w:rsidR="001D326B" w:rsidP="001D326B" w14:paraId="0E5C5764" w14:textId="77777777">
      <w:pPr>
        <w:ind w:firstLine="720"/>
        <w:rPr>
          <w:sz w:val="22"/>
          <w:szCs w:val="22"/>
        </w:rPr>
      </w:pPr>
      <w:r>
        <w:rPr>
          <w:sz w:val="22"/>
          <w:szCs w:val="22"/>
        </w:rPr>
        <w:t xml:space="preserve"> </w:t>
      </w:r>
    </w:p>
    <w:p w:rsidR="001D326B" w:rsidP="001D326B" w14:paraId="079150BA" w14:textId="3392655F">
      <w:pPr>
        <w:ind w:firstLine="720"/>
        <w:rPr>
          <w:spacing w:val="-2"/>
          <w:sz w:val="22"/>
          <w:szCs w:val="22"/>
        </w:rPr>
      </w:pPr>
      <w:r>
        <w:rPr>
          <w:spacing w:val="-2"/>
          <w:sz w:val="22"/>
          <w:szCs w:val="22"/>
        </w:rPr>
        <w:t xml:space="preserve">IT IS FURTHER ORDERED that, under sections 1.2104 and 1.2106 of the Commission’s rules, 47 CFR §§ 1.2104 and 1.2106, Golden Arrow Paging, Inc.’s interim payment be applied towards the final default payment obligation. </w:t>
      </w:r>
    </w:p>
    <w:p w:rsidR="001D326B" w:rsidRPr="00A923DD" w:rsidP="001D326B" w14:paraId="6CD2A84A" w14:textId="77777777">
      <w:pPr>
        <w:ind w:firstLine="720"/>
        <w:rPr>
          <w:spacing w:val="-2"/>
          <w:sz w:val="22"/>
          <w:szCs w:val="22"/>
        </w:rPr>
      </w:pPr>
      <w:r w:rsidRPr="00597E56">
        <w:rPr>
          <w:szCs w:val="22"/>
          <w:highlight w:val="yellow"/>
        </w:rPr>
        <w:t xml:space="preserve"> </w:t>
      </w:r>
    </w:p>
    <w:p w:rsidR="001D326B" w:rsidP="001D326B" w14:paraId="688F0BFA" w14:textId="184759E3">
      <w:pPr>
        <w:keepNext/>
        <w:ind w:firstLine="720"/>
        <w:rPr>
          <w:sz w:val="22"/>
          <w:szCs w:val="22"/>
        </w:rPr>
      </w:pPr>
      <w:r w:rsidRPr="0015265C">
        <w:rPr>
          <w:sz w:val="22"/>
          <w:szCs w:val="22"/>
        </w:rPr>
        <w:t>IT IS FURTHER ORDERED that this Order be sent to Golden Arrow Paging, Inc. and its representatives by certified mail, return receipt requested.  This action is taken in accordance with authority delegated by section</w:t>
      </w:r>
      <w:r>
        <w:rPr>
          <w:sz w:val="22"/>
          <w:szCs w:val="22"/>
        </w:rPr>
        <w:t>s</w:t>
      </w:r>
      <w:r w:rsidRPr="0015265C">
        <w:rPr>
          <w:sz w:val="22"/>
          <w:szCs w:val="22"/>
        </w:rPr>
        <w:t xml:space="preserve"> </w:t>
      </w:r>
      <w:r w:rsidRPr="00943B6D">
        <w:rPr>
          <w:sz w:val="22"/>
          <w:szCs w:val="22"/>
        </w:rPr>
        <w:t xml:space="preserve">0.21(m) and </w:t>
      </w:r>
      <w:r w:rsidRPr="0015265C">
        <w:rPr>
          <w:sz w:val="22"/>
          <w:szCs w:val="22"/>
        </w:rPr>
        <w:t>0.271 of the Commission’s rules, 47 CFR §</w:t>
      </w:r>
      <w:r>
        <w:rPr>
          <w:sz w:val="22"/>
          <w:szCs w:val="22"/>
        </w:rPr>
        <w:t>§ 0.21(m),</w:t>
      </w:r>
      <w:r w:rsidRPr="0015265C">
        <w:rPr>
          <w:sz w:val="22"/>
          <w:szCs w:val="22"/>
        </w:rPr>
        <w:t xml:space="preserve"> 0.271.</w:t>
      </w:r>
    </w:p>
    <w:p w:rsidR="001D326B" w:rsidP="001D326B" w14:paraId="52CB61A4" w14:textId="77777777">
      <w:pPr>
        <w:keepNext/>
        <w:widowControl w:val="0"/>
        <w:rPr>
          <w:sz w:val="22"/>
          <w:szCs w:val="22"/>
        </w:rPr>
      </w:pPr>
    </w:p>
    <w:p w:rsidR="001D326B" w:rsidP="001D326B" w14:paraId="5F6DB907"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1D326B" w:rsidP="001D326B" w14:paraId="0F602354" w14:textId="77777777">
      <w:pPr>
        <w:keepNext/>
        <w:widowControl w:val="0"/>
        <w:rPr>
          <w:sz w:val="22"/>
          <w:szCs w:val="22"/>
        </w:rPr>
      </w:pPr>
    </w:p>
    <w:p w:rsidR="001D326B" w:rsidP="001D326B" w14:paraId="76380290" w14:textId="77777777">
      <w:pPr>
        <w:keepNext/>
        <w:widowControl w:val="0"/>
        <w:rPr>
          <w:sz w:val="22"/>
          <w:szCs w:val="22"/>
        </w:rPr>
      </w:pPr>
    </w:p>
    <w:p w:rsidR="001D326B" w:rsidP="001D326B" w14:paraId="5DC73F3A" w14:textId="77777777">
      <w:pPr>
        <w:keepNext/>
        <w:widowControl w:val="0"/>
        <w:rPr>
          <w:sz w:val="22"/>
          <w:szCs w:val="22"/>
        </w:rPr>
      </w:pPr>
    </w:p>
    <w:p w:rsidR="001D326B" w:rsidP="001D326B" w14:paraId="3FD18A15" w14:textId="77777777">
      <w:pPr>
        <w:keepNext/>
        <w:widowControl w:val="0"/>
        <w:rPr>
          <w:sz w:val="22"/>
          <w:szCs w:val="22"/>
        </w:rPr>
      </w:pPr>
    </w:p>
    <w:p w:rsidR="001D326B" w:rsidRPr="001924E3" w:rsidP="001D326B" w14:paraId="64AB24B0"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924E3">
        <w:rPr>
          <w:sz w:val="22"/>
          <w:szCs w:val="22"/>
        </w:rPr>
        <w:t>Gary D. Michaels</w:t>
      </w:r>
    </w:p>
    <w:p w:rsidR="001D326B" w:rsidP="001D326B" w14:paraId="14AB64B5" w14:textId="77777777">
      <w:pPr>
        <w:keepNext/>
        <w:widowControl w:val="0"/>
        <w:rPr>
          <w:sz w:val="22"/>
          <w:szCs w:val="22"/>
        </w:rPr>
      </w:pPr>
      <w:r w:rsidRPr="001924E3">
        <w:rPr>
          <w:sz w:val="22"/>
          <w:szCs w:val="22"/>
        </w:rPr>
        <w:tab/>
      </w:r>
      <w:r w:rsidRPr="001924E3">
        <w:rPr>
          <w:sz w:val="22"/>
          <w:szCs w:val="22"/>
        </w:rPr>
        <w:tab/>
      </w:r>
      <w:r w:rsidRPr="001924E3">
        <w:rPr>
          <w:sz w:val="22"/>
          <w:szCs w:val="22"/>
        </w:rPr>
        <w:tab/>
      </w:r>
      <w:r w:rsidRPr="001924E3">
        <w:rPr>
          <w:sz w:val="22"/>
          <w:szCs w:val="22"/>
        </w:rPr>
        <w:tab/>
      </w:r>
      <w:r w:rsidRPr="001924E3">
        <w:rPr>
          <w:sz w:val="22"/>
          <w:szCs w:val="22"/>
        </w:rPr>
        <w:tab/>
      </w:r>
      <w:r w:rsidRPr="001924E3">
        <w:rPr>
          <w:sz w:val="22"/>
          <w:szCs w:val="22"/>
        </w:rPr>
        <w:tab/>
        <w:t>Deputy Chief, Auctions Division</w:t>
      </w:r>
    </w:p>
    <w:p w:rsidR="001D326B" w:rsidP="001D326B" w14:paraId="0E433565" w14:textId="77777777">
      <w:pPr>
        <w:keepNext/>
        <w:widowControl w:val="0"/>
        <w:ind w:left="3600" w:firstLine="720"/>
        <w:rPr>
          <w:sz w:val="22"/>
          <w:szCs w:val="22"/>
        </w:rPr>
      </w:pPr>
      <w:r>
        <w:rPr>
          <w:sz w:val="22"/>
          <w:szCs w:val="22"/>
        </w:rPr>
        <w:t>Office of Economics and Analytics</w:t>
      </w:r>
    </w:p>
    <w:p w:rsidR="001D326B" w:rsidP="001D326B" w14:paraId="43641BAA" w14:textId="77777777">
      <w:pPr>
        <w:widowControl w:val="0"/>
        <w:tabs>
          <w:tab w:val="left" w:pos="0"/>
        </w:tabs>
        <w:rPr>
          <w:sz w:val="22"/>
          <w:szCs w:val="22"/>
        </w:rPr>
      </w:pPr>
    </w:p>
    <w:p w:rsidR="001D326B" w:rsidP="001D326B" w14:paraId="72861688" w14:textId="77777777">
      <w:pPr>
        <w:widowControl w:val="0"/>
        <w:tabs>
          <w:tab w:val="left" w:pos="0"/>
        </w:tabs>
        <w:rPr>
          <w:sz w:val="22"/>
          <w:szCs w:val="22"/>
        </w:rPr>
      </w:pPr>
      <w:r>
        <w:rPr>
          <w:sz w:val="22"/>
          <w:szCs w:val="22"/>
        </w:rPr>
        <w:t>Attachment</w:t>
      </w:r>
    </w:p>
    <w:p w:rsidR="001D326B" w:rsidP="001D326B" w14:paraId="1D1B4E14" w14:textId="77777777">
      <w:pPr>
        <w:widowControl w:val="0"/>
        <w:ind w:left="3600" w:hanging="3600"/>
        <w:jc w:val="both"/>
        <w:rPr>
          <w:sz w:val="22"/>
          <w:szCs w:val="22"/>
        </w:rPr>
      </w:pPr>
    </w:p>
    <w:p w:rsidR="001D326B" w:rsidP="001D326B" w14:paraId="3B8F13AE" w14:textId="77777777">
      <w:pPr>
        <w:pStyle w:val="Heading2"/>
        <w:jc w:val="right"/>
        <w:rPr>
          <w:sz w:val="22"/>
          <w:szCs w:val="22"/>
          <w:u w:val="none"/>
        </w:rPr>
      </w:pPr>
      <w:r>
        <w:rPr>
          <w:sz w:val="22"/>
          <w:szCs w:val="22"/>
          <w:u w:val="none"/>
        </w:rPr>
        <w:t xml:space="preserve"> </w:t>
      </w:r>
    </w:p>
    <w:p w:rsidR="001D326B" w:rsidP="001D326B" w14:paraId="7AF2DFCF" w14:textId="77777777">
      <w:pPr>
        <w:pStyle w:val="Heading2"/>
        <w:rPr>
          <w:sz w:val="22"/>
          <w:szCs w:val="22"/>
          <w:u w:val="none"/>
        </w:rPr>
      </w:pPr>
      <w:r>
        <w:rPr>
          <w:sz w:val="22"/>
          <w:szCs w:val="22"/>
          <w:u w:val="none"/>
        </w:rPr>
        <w:br w:type="page"/>
      </w:r>
      <w:r>
        <w:rPr>
          <w:sz w:val="22"/>
          <w:szCs w:val="22"/>
        </w:rPr>
        <w:t>ATTACHMENT A</w:t>
      </w:r>
    </w:p>
    <w:p w:rsidR="001D326B" w:rsidP="001D326B" w14:paraId="52811417" w14:textId="77777777">
      <w:pPr>
        <w:widowControl w:val="0"/>
        <w:jc w:val="center"/>
        <w:rPr>
          <w:sz w:val="22"/>
          <w:szCs w:val="22"/>
        </w:rPr>
      </w:pPr>
    </w:p>
    <w:p w:rsidR="001D326B" w:rsidP="001D326B" w14:paraId="3CEC94FE" w14:textId="77777777">
      <w:pPr>
        <w:widowControl w:val="0"/>
        <w:jc w:val="center"/>
        <w:rPr>
          <w:sz w:val="22"/>
          <w:szCs w:val="22"/>
        </w:rPr>
      </w:pPr>
    </w:p>
    <w:p w:rsidR="001D326B" w:rsidP="001D326B" w14:paraId="5B1C978F" w14:textId="77777777">
      <w:pPr>
        <w:widowControl w:val="0"/>
        <w:jc w:val="center"/>
        <w:rPr>
          <w:b/>
          <w:sz w:val="22"/>
          <w:szCs w:val="22"/>
        </w:rPr>
      </w:pPr>
      <w:r>
        <w:rPr>
          <w:b/>
          <w:sz w:val="22"/>
          <w:szCs w:val="22"/>
        </w:rPr>
        <w:t>Multi-Auction Default Payment Report</w:t>
      </w:r>
    </w:p>
    <w:p w:rsidR="001D326B" w:rsidP="001D326B" w14:paraId="72EF2722" w14:textId="77777777">
      <w:pPr>
        <w:widowControl w:val="0"/>
        <w:jc w:val="center"/>
        <w:rPr>
          <w:sz w:val="22"/>
          <w:szCs w:val="22"/>
        </w:rPr>
      </w:pPr>
    </w:p>
    <w:p w:rsidR="001D326B" w:rsidP="001D326B" w14:paraId="5BBD298D" w14:textId="77777777">
      <w:pPr>
        <w:widowControl w:val="0"/>
        <w:jc w:val="center"/>
        <w:rPr>
          <w:sz w:val="22"/>
          <w:szCs w:val="22"/>
        </w:rPr>
      </w:pPr>
    </w:p>
    <w:tbl>
      <w:tblPr>
        <w:tblpPr w:leftFromText="180" w:rightFromText="180" w:vertAnchor="text" w:horzAnchor="margin" w:tblpXSpec="center" w:tblpY="9"/>
        <w:tblW w:w="473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
      <w:tblGrid>
        <w:gridCol w:w="1423"/>
        <w:gridCol w:w="1110"/>
        <w:gridCol w:w="1112"/>
        <w:gridCol w:w="907"/>
        <w:gridCol w:w="907"/>
        <w:gridCol w:w="939"/>
        <w:gridCol w:w="1112"/>
        <w:gridCol w:w="1454"/>
      </w:tblGrid>
      <w:tr w14:paraId="7CAF4DE7" w14:textId="77777777" w:rsidTr="007036D5">
        <w:tblPrEx>
          <w:tblW w:w="473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Ex>
        <w:trPr>
          <w:trHeight w:val="1152"/>
        </w:trPr>
        <w:tc>
          <w:tcPr>
            <w:tcW w:w="794" w:type="pct"/>
          </w:tcPr>
          <w:p w:rsidR="001D326B" w:rsidP="007036D5" w14:paraId="02EFFD23" w14:textId="77777777">
            <w:pPr>
              <w:widowControl w:val="0"/>
              <w:jc w:val="center"/>
              <w:rPr>
                <w:snapToGrid w:val="0"/>
                <w:sz w:val="22"/>
                <w:szCs w:val="22"/>
              </w:rPr>
            </w:pPr>
            <w:r>
              <w:rPr>
                <w:b/>
                <w:snapToGrid w:val="0"/>
                <w:sz w:val="22"/>
                <w:szCs w:val="22"/>
              </w:rPr>
              <w:t>License</w:t>
            </w:r>
          </w:p>
        </w:tc>
        <w:tc>
          <w:tcPr>
            <w:tcW w:w="619" w:type="pct"/>
          </w:tcPr>
          <w:p w:rsidR="001D326B" w:rsidRPr="00470CC8" w:rsidP="007036D5" w14:paraId="4BCEE54E" w14:textId="77777777">
            <w:pPr>
              <w:widowControl w:val="0"/>
              <w:jc w:val="center"/>
              <w:rPr>
                <w:b/>
                <w:snapToGrid w:val="0"/>
                <w:sz w:val="22"/>
                <w:szCs w:val="22"/>
              </w:rPr>
            </w:pPr>
            <w:r w:rsidRPr="00470CC8">
              <w:rPr>
                <w:b/>
                <w:snapToGrid w:val="0"/>
                <w:sz w:val="22"/>
                <w:szCs w:val="22"/>
              </w:rPr>
              <w:t xml:space="preserve">Defaulted </w:t>
            </w:r>
          </w:p>
          <w:p w:rsidR="001D326B" w:rsidRPr="00470CC8" w:rsidP="007036D5" w14:paraId="5B3FC704" w14:textId="77777777">
            <w:pPr>
              <w:widowControl w:val="0"/>
              <w:jc w:val="center"/>
              <w:rPr>
                <w:b/>
                <w:snapToGrid w:val="0"/>
                <w:sz w:val="22"/>
                <w:szCs w:val="22"/>
              </w:rPr>
            </w:pPr>
            <w:r w:rsidRPr="00470CC8">
              <w:rPr>
                <w:b/>
                <w:snapToGrid w:val="0"/>
                <w:sz w:val="22"/>
                <w:szCs w:val="22"/>
              </w:rPr>
              <w:t>Gross Bid</w:t>
            </w:r>
          </w:p>
          <w:p w:rsidR="001D326B" w:rsidP="007036D5" w14:paraId="38C2C197" w14:textId="77777777">
            <w:pPr>
              <w:widowControl w:val="0"/>
              <w:jc w:val="center"/>
              <w:rPr>
                <w:snapToGrid w:val="0"/>
                <w:sz w:val="22"/>
                <w:szCs w:val="22"/>
              </w:rPr>
            </w:pPr>
            <w:r w:rsidRPr="00470CC8">
              <w:rPr>
                <w:b/>
                <w:snapToGrid w:val="0"/>
                <w:sz w:val="22"/>
                <w:szCs w:val="22"/>
              </w:rPr>
              <w:t xml:space="preserve">Auction </w:t>
            </w:r>
            <w:r>
              <w:rPr>
                <w:b/>
                <w:snapToGrid w:val="0"/>
                <w:sz w:val="22"/>
                <w:szCs w:val="22"/>
              </w:rPr>
              <w:t>40</w:t>
            </w:r>
          </w:p>
        </w:tc>
        <w:tc>
          <w:tcPr>
            <w:tcW w:w="620" w:type="pct"/>
          </w:tcPr>
          <w:p w:rsidR="001D326B" w:rsidRPr="00470CC8" w:rsidP="007036D5" w14:paraId="22898F3B" w14:textId="77777777">
            <w:pPr>
              <w:widowControl w:val="0"/>
              <w:jc w:val="center"/>
              <w:rPr>
                <w:b/>
                <w:snapToGrid w:val="0"/>
                <w:sz w:val="22"/>
                <w:szCs w:val="22"/>
              </w:rPr>
            </w:pPr>
            <w:r w:rsidRPr="00470CC8">
              <w:rPr>
                <w:b/>
                <w:snapToGrid w:val="0"/>
                <w:sz w:val="22"/>
                <w:szCs w:val="22"/>
              </w:rPr>
              <w:t xml:space="preserve">Defaulted </w:t>
            </w:r>
          </w:p>
          <w:p w:rsidR="001D326B" w:rsidRPr="00470CC8" w:rsidP="007036D5" w14:paraId="124887F4" w14:textId="77777777">
            <w:pPr>
              <w:widowControl w:val="0"/>
              <w:jc w:val="center"/>
              <w:rPr>
                <w:b/>
                <w:snapToGrid w:val="0"/>
                <w:sz w:val="22"/>
                <w:szCs w:val="22"/>
              </w:rPr>
            </w:pPr>
            <w:r w:rsidRPr="00470CC8">
              <w:rPr>
                <w:b/>
                <w:snapToGrid w:val="0"/>
                <w:sz w:val="22"/>
                <w:szCs w:val="22"/>
              </w:rPr>
              <w:t>Net Bid</w:t>
            </w:r>
          </w:p>
          <w:p w:rsidR="001D326B" w:rsidP="007036D5" w14:paraId="039453FE" w14:textId="77777777">
            <w:pPr>
              <w:widowControl w:val="0"/>
              <w:jc w:val="center"/>
              <w:rPr>
                <w:snapToGrid w:val="0"/>
                <w:sz w:val="22"/>
                <w:szCs w:val="22"/>
              </w:rPr>
            </w:pPr>
            <w:r w:rsidRPr="00470CC8">
              <w:rPr>
                <w:b/>
                <w:snapToGrid w:val="0"/>
                <w:sz w:val="22"/>
                <w:szCs w:val="22"/>
              </w:rPr>
              <w:t xml:space="preserve">Auction </w:t>
            </w:r>
            <w:r>
              <w:rPr>
                <w:b/>
                <w:snapToGrid w:val="0"/>
                <w:sz w:val="22"/>
                <w:szCs w:val="22"/>
              </w:rPr>
              <w:t>40</w:t>
            </w:r>
          </w:p>
        </w:tc>
        <w:tc>
          <w:tcPr>
            <w:tcW w:w="506" w:type="pct"/>
          </w:tcPr>
          <w:p w:rsidR="001D326B" w:rsidRPr="00470CC8" w:rsidP="007036D5" w14:paraId="6C66DB29" w14:textId="77777777">
            <w:pPr>
              <w:widowControl w:val="0"/>
              <w:jc w:val="center"/>
              <w:rPr>
                <w:b/>
                <w:snapToGrid w:val="0"/>
                <w:sz w:val="22"/>
                <w:szCs w:val="22"/>
              </w:rPr>
            </w:pPr>
            <w:r w:rsidRPr="00470CC8">
              <w:rPr>
                <w:b/>
                <w:snapToGrid w:val="0"/>
                <w:sz w:val="22"/>
                <w:szCs w:val="22"/>
              </w:rPr>
              <w:t>Re-auction</w:t>
            </w:r>
          </w:p>
          <w:p w:rsidR="001D326B" w:rsidRPr="00470CC8" w:rsidP="007036D5" w14:paraId="40F2B452" w14:textId="77777777">
            <w:pPr>
              <w:widowControl w:val="0"/>
              <w:jc w:val="center"/>
              <w:rPr>
                <w:b/>
                <w:snapToGrid w:val="0"/>
                <w:sz w:val="22"/>
                <w:szCs w:val="22"/>
              </w:rPr>
            </w:pPr>
            <w:r w:rsidRPr="00470CC8">
              <w:rPr>
                <w:b/>
                <w:snapToGrid w:val="0"/>
                <w:sz w:val="22"/>
                <w:szCs w:val="22"/>
              </w:rPr>
              <w:t>Gross Bid</w:t>
            </w:r>
          </w:p>
          <w:p w:rsidR="001D326B" w:rsidP="007036D5" w14:paraId="39FC9484" w14:textId="77777777">
            <w:pPr>
              <w:widowControl w:val="0"/>
              <w:jc w:val="center"/>
              <w:rPr>
                <w:snapToGrid w:val="0"/>
                <w:sz w:val="22"/>
                <w:szCs w:val="22"/>
              </w:rPr>
            </w:pPr>
            <w:r w:rsidRPr="00470CC8">
              <w:rPr>
                <w:b/>
                <w:snapToGrid w:val="0"/>
                <w:sz w:val="22"/>
                <w:szCs w:val="22"/>
              </w:rPr>
              <w:t xml:space="preserve">Auction </w:t>
            </w:r>
            <w:r>
              <w:rPr>
                <w:b/>
                <w:snapToGrid w:val="0"/>
                <w:sz w:val="22"/>
                <w:szCs w:val="22"/>
              </w:rPr>
              <w:t>95</w:t>
            </w:r>
          </w:p>
        </w:tc>
        <w:tc>
          <w:tcPr>
            <w:tcW w:w="506" w:type="pct"/>
          </w:tcPr>
          <w:p w:rsidR="001D326B" w:rsidRPr="00470CC8" w:rsidP="007036D5" w14:paraId="29DA66EB" w14:textId="77777777">
            <w:pPr>
              <w:widowControl w:val="0"/>
              <w:jc w:val="center"/>
              <w:rPr>
                <w:b/>
                <w:snapToGrid w:val="0"/>
                <w:sz w:val="22"/>
                <w:szCs w:val="22"/>
                <w:lang w:val="fr-FR"/>
              </w:rPr>
            </w:pPr>
            <w:r w:rsidRPr="00470CC8">
              <w:rPr>
                <w:b/>
                <w:snapToGrid w:val="0"/>
                <w:sz w:val="22"/>
                <w:szCs w:val="22"/>
                <w:lang w:val="fr-FR"/>
              </w:rPr>
              <w:t>Re-auction Net Bid</w:t>
            </w:r>
          </w:p>
          <w:p w:rsidR="001D326B" w:rsidP="007036D5" w14:paraId="3AAB0C7B" w14:textId="77777777">
            <w:pPr>
              <w:widowControl w:val="0"/>
              <w:jc w:val="center"/>
              <w:rPr>
                <w:snapToGrid w:val="0"/>
                <w:sz w:val="22"/>
                <w:szCs w:val="22"/>
                <w:lang w:val="fr-FR"/>
              </w:rPr>
            </w:pPr>
            <w:r w:rsidRPr="00470CC8">
              <w:rPr>
                <w:b/>
                <w:snapToGrid w:val="0"/>
                <w:sz w:val="22"/>
                <w:szCs w:val="22"/>
                <w:lang w:val="fr-FR"/>
              </w:rPr>
              <w:t xml:space="preserve">Auction </w:t>
            </w:r>
            <w:r>
              <w:rPr>
                <w:b/>
                <w:snapToGrid w:val="0"/>
                <w:sz w:val="22"/>
                <w:szCs w:val="22"/>
                <w:lang w:val="fr-FR"/>
              </w:rPr>
              <w:t>95</w:t>
            </w:r>
          </w:p>
        </w:tc>
        <w:tc>
          <w:tcPr>
            <w:tcW w:w="524" w:type="pct"/>
          </w:tcPr>
          <w:p w:rsidR="001D326B" w:rsidRPr="00A01D6D" w:rsidP="007036D5" w14:paraId="4F0A8C9F" w14:textId="77777777">
            <w:pPr>
              <w:widowControl w:val="0"/>
              <w:jc w:val="center"/>
              <w:rPr>
                <w:b/>
                <w:snapToGrid w:val="0"/>
                <w:sz w:val="22"/>
                <w:szCs w:val="22"/>
              </w:rPr>
            </w:pPr>
            <w:r>
              <w:rPr>
                <w:b/>
                <w:snapToGrid w:val="0"/>
                <w:sz w:val="22"/>
                <w:szCs w:val="22"/>
              </w:rPr>
              <w:t>3</w:t>
            </w:r>
            <w:r w:rsidRPr="00A01D6D">
              <w:rPr>
                <w:b/>
                <w:snapToGrid w:val="0"/>
                <w:sz w:val="22"/>
                <w:szCs w:val="22"/>
              </w:rPr>
              <w:t>% Payment</w:t>
            </w:r>
          </w:p>
        </w:tc>
        <w:tc>
          <w:tcPr>
            <w:tcW w:w="620" w:type="pct"/>
          </w:tcPr>
          <w:p w:rsidR="001D326B" w:rsidRPr="00A01D6D" w:rsidP="007036D5" w14:paraId="62C1839B" w14:textId="77777777">
            <w:pPr>
              <w:widowControl w:val="0"/>
              <w:jc w:val="center"/>
              <w:rPr>
                <w:b/>
                <w:snapToGrid w:val="0"/>
                <w:sz w:val="22"/>
                <w:szCs w:val="22"/>
              </w:rPr>
            </w:pPr>
            <w:r w:rsidRPr="00A01D6D">
              <w:rPr>
                <w:b/>
                <w:snapToGrid w:val="0"/>
                <w:sz w:val="22"/>
                <w:szCs w:val="22"/>
              </w:rPr>
              <w:t>Lower Difference Payment</w:t>
            </w:r>
          </w:p>
          <w:p w:rsidR="001D326B" w:rsidP="007036D5" w14:paraId="34E2B4F7" w14:textId="77777777">
            <w:pPr>
              <w:widowControl w:val="0"/>
              <w:jc w:val="center"/>
              <w:rPr>
                <w:snapToGrid w:val="0"/>
                <w:sz w:val="22"/>
                <w:szCs w:val="22"/>
              </w:rPr>
            </w:pPr>
          </w:p>
        </w:tc>
        <w:tc>
          <w:tcPr>
            <w:tcW w:w="812" w:type="pct"/>
          </w:tcPr>
          <w:p w:rsidR="001D326B" w:rsidRPr="00A01D6D" w:rsidP="007036D5" w14:paraId="78453188" w14:textId="77777777">
            <w:pPr>
              <w:widowControl w:val="0"/>
              <w:jc w:val="center"/>
              <w:rPr>
                <w:b/>
                <w:snapToGrid w:val="0"/>
                <w:sz w:val="22"/>
                <w:szCs w:val="22"/>
              </w:rPr>
            </w:pPr>
            <w:r w:rsidRPr="00A01D6D">
              <w:rPr>
                <w:b/>
                <w:snapToGrid w:val="0"/>
                <w:sz w:val="22"/>
                <w:szCs w:val="22"/>
              </w:rPr>
              <w:t xml:space="preserve">Final </w:t>
            </w:r>
          </w:p>
          <w:p w:rsidR="001D326B" w:rsidP="007036D5" w14:paraId="118A2B64" w14:textId="77777777">
            <w:pPr>
              <w:widowControl w:val="0"/>
              <w:jc w:val="center"/>
              <w:rPr>
                <w:snapToGrid w:val="0"/>
                <w:sz w:val="22"/>
                <w:szCs w:val="22"/>
              </w:rPr>
            </w:pPr>
            <w:r w:rsidRPr="00A01D6D">
              <w:rPr>
                <w:b/>
                <w:snapToGrid w:val="0"/>
                <w:sz w:val="22"/>
                <w:szCs w:val="22"/>
              </w:rPr>
              <w:t>Payment</w:t>
            </w:r>
          </w:p>
        </w:tc>
      </w:tr>
      <w:tr w14:paraId="5B8A4973" w14:textId="77777777" w:rsidTr="007036D5">
        <w:tblPrEx>
          <w:tblW w:w="4734" w:type="pct"/>
          <w:tblCellMar>
            <w:left w:w="54" w:type="dxa"/>
            <w:right w:w="54" w:type="dxa"/>
          </w:tblCellMar>
          <w:tblLook w:val="00A0"/>
        </w:tblPrEx>
        <w:trPr>
          <w:trHeight w:val="792"/>
        </w:trPr>
        <w:tc>
          <w:tcPr>
            <w:tcW w:w="794" w:type="pct"/>
          </w:tcPr>
          <w:p w:rsidR="001D326B" w:rsidRPr="006E7608" w:rsidP="007036D5" w14:paraId="6C4C880F" w14:textId="77777777">
            <w:pPr>
              <w:widowControl w:val="0"/>
              <w:rPr>
                <w:snapToGrid w:val="0"/>
              </w:rPr>
            </w:pPr>
          </w:p>
          <w:p w:rsidR="001D326B" w:rsidRPr="006E7608" w:rsidP="007036D5" w14:paraId="4F0C8C14" w14:textId="77777777">
            <w:pPr>
              <w:widowControl w:val="0"/>
              <w:rPr>
                <w:snapToGrid w:val="0"/>
              </w:rPr>
            </w:pPr>
            <w:r w:rsidRPr="006E7608">
              <w:rPr>
                <w:sz w:val="22"/>
                <w:szCs w:val="22"/>
              </w:rPr>
              <w:t>CP-BEA085-FA (La</w:t>
            </w:r>
            <w:r>
              <w:rPr>
                <w:sz w:val="22"/>
                <w:szCs w:val="22"/>
              </w:rPr>
              <w:t>f</w:t>
            </w:r>
            <w:r w:rsidRPr="006E7608">
              <w:rPr>
                <w:sz w:val="22"/>
                <w:szCs w:val="22"/>
              </w:rPr>
              <w:t>ayette, LA)</w:t>
            </w:r>
          </w:p>
        </w:tc>
        <w:tc>
          <w:tcPr>
            <w:tcW w:w="619" w:type="pct"/>
          </w:tcPr>
          <w:p w:rsidR="001D326B" w:rsidP="007036D5" w14:paraId="2F66B302" w14:textId="77777777">
            <w:pPr>
              <w:widowControl w:val="0"/>
              <w:jc w:val="right"/>
              <w:rPr>
                <w:snapToGrid w:val="0"/>
              </w:rPr>
            </w:pPr>
          </w:p>
          <w:p w:rsidR="001D326B" w:rsidP="007036D5" w14:paraId="11EE221B" w14:textId="77777777">
            <w:pPr>
              <w:widowControl w:val="0"/>
              <w:jc w:val="right"/>
              <w:rPr>
                <w:snapToGrid w:val="0"/>
              </w:rPr>
            </w:pPr>
            <w:r>
              <w:rPr>
                <w:snapToGrid w:val="0"/>
              </w:rPr>
              <w:t>$500.00</w:t>
            </w:r>
          </w:p>
        </w:tc>
        <w:tc>
          <w:tcPr>
            <w:tcW w:w="620" w:type="pct"/>
          </w:tcPr>
          <w:p w:rsidR="001D326B" w:rsidP="007036D5" w14:paraId="779F1922" w14:textId="77777777">
            <w:pPr>
              <w:widowControl w:val="0"/>
              <w:jc w:val="right"/>
              <w:rPr>
                <w:snapToGrid w:val="0"/>
              </w:rPr>
            </w:pPr>
          </w:p>
          <w:p w:rsidR="001D326B" w:rsidP="007036D5" w14:paraId="2D941774" w14:textId="77777777">
            <w:pPr>
              <w:widowControl w:val="0"/>
              <w:jc w:val="right"/>
              <w:rPr>
                <w:snapToGrid w:val="0"/>
              </w:rPr>
            </w:pPr>
            <w:r>
              <w:rPr>
                <w:snapToGrid w:val="0"/>
              </w:rPr>
              <w:t>$500.00</w:t>
            </w:r>
          </w:p>
        </w:tc>
        <w:tc>
          <w:tcPr>
            <w:tcW w:w="506" w:type="pct"/>
          </w:tcPr>
          <w:p w:rsidR="001D326B" w:rsidP="007036D5" w14:paraId="25547869" w14:textId="77777777">
            <w:pPr>
              <w:widowControl w:val="0"/>
              <w:jc w:val="right"/>
              <w:rPr>
                <w:snapToGrid w:val="0"/>
              </w:rPr>
            </w:pPr>
          </w:p>
          <w:p w:rsidR="001D326B" w:rsidP="007036D5" w14:paraId="349C219F" w14:textId="77777777">
            <w:pPr>
              <w:widowControl w:val="0"/>
              <w:jc w:val="right"/>
              <w:rPr>
                <w:snapToGrid w:val="0"/>
              </w:rPr>
            </w:pPr>
            <w:r>
              <w:rPr>
                <w:snapToGrid w:val="0"/>
              </w:rPr>
              <w:t>$810.00</w:t>
            </w:r>
          </w:p>
        </w:tc>
        <w:tc>
          <w:tcPr>
            <w:tcW w:w="506" w:type="pct"/>
          </w:tcPr>
          <w:p w:rsidR="001D326B" w:rsidP="007036D5" w14:paraId="64C2A38E" w14:textId="77777777">
            <w:pPr>
              <w:widowControl w:val="0"/>
              <w:jc w:val="right"/>
              <w:rPr>
                <w:snapToGrid w:val="0"/>
              </w:rPr>
            </w:pPr>
          </w:p>
          <w:p w:rsidR="001D326B" w:rsidP="007036D5" w14:paraId="1A0973C7" w14:textId="77777777">
            <w:pPr>
              <w:widowControl w:val="0"/>
              <w:jc w:val="right"/>
              <w:rPr>
                <w:snapToGrid w:val="0"/>
              </w:rPr>
            </w:pPr>
            <w:r>
              <w:rPr>
                <w:snapToGrid w:val="0"/>
              </w:rPr>
              <w:t>$810.00</w:t>
            </w:r>
          </w:p>
        </w:tc>
        <w:tc>
          <w:tcPr>
            <w:tcW w:w="524" w:type="pct"/>
          </w:tcPr>
          <w:p w:rsidR="001D326B" w:rsidP="007036D5" w14:paraId="77AB5010" w14:textId="77777777">
            <w:pPr>
              <w:widowControl w:val="0"/>
              <w:jc w:val="right"/>
              <w:rPr>
                <w:snapToGrid w:val="0"/>
              </w:rPr>
            </w:pPr>
          </w:p>
          <w:p w:rsidR="001D326B" w:rsidP="007036D5" w14:paraId="022B6D8D" w14:textId="77777777">
            <w:pPr>
              <w:widowControl w:val="0"/>
              <w:jc w:val="right"/>
              <w:rPr>
                <w:snapToGrid w:val="0"/>
              </w:rPr>
            </w:pPr>
            <w:r>
              <w:rPr>
                <w:snapToGrid w:val="0"/>
              </w:rPr>
              <w:t>$15.00</w:t>
            </w:r>
          </w:p>
        </w:tc>
        <w:tc>
          <w:tcPr>
            <w:tcW w:w="620" w:type="pct"/>
          </w:tcPr>
          <w:p w:rsidR="001D326B" w:rsidP="007036D5" w14:paraId="571677E3" w14:textId="77777777">
            <w:pPr>
              <w:widowControl w:val="0"/>
              <w:jc w:val="right"/>
              <w:rPr>
                <w:snapToGrid w:val="0"/>
              </w:rPr>
            </w:pPr>
          </w:p>
          <w:p w:rsidR="001D326B" w:rsidP="007036D5" w14:paraId="14022C1E" w14:textId="77777777">
            <w:pPr>
              <w:widowControl w:val="0"/>
              <w:jc w:val="right"/>
              <w:rPr>
                <w:snapToGrid w:val="0"/>
              </w:rPr>
            </w:pPr>
            <w:r>
              <w:rPr>
                <w:snapToGrid w:val="0"/>
              </w:rPr>
              <w:t>$0.00</w:t>
            </w:r>
          </w:p>
        </w:tc>
        <w:tc>
          <w:tcPr>
            <w:tcW w:w="812" w:type="pct"/>
          </w:tcPr>
          <w:p w:rsidR="001D326B" w:rsidP="007036D5" w14:paraId="32632D8D" w14:textId="77777777">
            <w:pPr>
              <w:widowControl w:val="0"/>
              <w:jc w:val="right"/>
              <w:rPr>
                <w:snapToGrid w:val="0"/>
              </w:rPr>
            </w:pPr>
          </w:p>
          <w:p w:rsidR="001D326B" w:rsidP="007036D5" w14:paraId="21D74BF9" w14:textId="77777777">
            <w:pPr>
              <w:widowControl w:val="0"/>
              <w:jc w:val="right"/>
              <w:rPr>
                <w:snapToGrid w:val="0"/>
              </w:rPr>
            </w:pPr>
            <w:r>
              <w:rPr>
                <w:snapToGrid w:val="0"/>
              </w:rPr>
              <w:t>$15.00</w:t>
            </w:r>
          </w:p>
        </w:tc>
      </w:tr>
      <w:tr w14:paraId="64292E4B" w14:textId="77777777" w:rsidTr="007036D5">
        <w:tblPrEx>
          <w:tblW w:w="4734" w:type="pct"/>
          <w:tblCellMar>
            <w:left w:w="54" w:type="dxa"/>
            <w:right w:w="54" w:type="dxa"/>
          </w:tblCellMar>
          <w:tblLook w:val="00A0"/>
        </w:tblPrEx>
        <w:trPr>
          <w:trHeight w:val="792"/>
        </w:trPr>
        <w:tc>
          <w:tcPr>
            <w:tcW w:w="794" w:type="pct"/>
          </w:tcPr>
          <w:p w:rsidR="001D326B" w:rsidP="007036D5" w14:paraId="6330B13E" w14:textId="77777777">
            <w:pPr>
              <w:widowControl w:val="0"/>
              <w:rPr>
                <w:snapToGrid w:val="0"/>
              </w:rPr>
            </w:pPr>
            <w:r w:rsidRPr="00C12EA2">
              <w:rPr>
                <w:sz w:val="22"/>
                <w:szCs w:val="22"/>
              </w:rPr>
              <w:t>CP-BEA086-FA (Lake Charles, LA</w:t>
            </w:r>
            <w:r>
              <w:rPr>
                <w:b/>
                <w:sz w:val="22"/>
                <w:szCs w:val="22"/>
              </w:rPr>
              <w:t>)</w:t>
            </w:r>
          </w:p>
        </w:tc>
        <w:tc>
          <w:tcPr>
            <w:tcW w:w="619" w:type="pct"/>
          </w:tcPr>
          <w:p w:rsidR="001D326B" w:rsidP="007036D5" w14:paraId="5E0C8A03" w14:textId="77777777">
            <w:pPr>
              <w:widowControl w:val="0"/>
              <w:jc w:val="right"/>
              <w:rPr>
                <w:snapToGrid w:val="0"/>
              </w:rPr>
            </w:pPr>
            <w:r>
              <w:rPr>
                <w:snapToGrid w:val="0"/>
              </w:rPr>
              <w:t>$500.00</w:t>
            </w:r>
          </w:p>
        </w:tc>
        <w:tc>
          <w:tcPr>
            <w:tcW w:w="620" w:type="pct"/>
          </w:tcPr>
          <w:p w:rsidR="001D326B" w:rsidP="007036D5" w14:paraId="221783E9" w14:textId="77777777">
            <w:pPr>
              <w:widowControl w:val="0"/>
              <w:jc w:val="right"/>
              <w:rPr>
                <w:snapToGrid w:val="0"/>
              </w:rPr>
            </w:pPr>
            <w:r>
              <w:rPr>
                <w:snapToGrid w:val="0"/>
              </w:rPr>
              <w:t>$500.00</w:t>
            </w:r>
          </w:p>
        </w:tc>
        <w:tc>
          <w:tcPr>
            <w:tcW w:w="506" w:type="pct"/>
          </w:tcPr>
          <w:p w:rsidR="001D326B" w:rsidP="007036D5" w14:paraId="7B2C4DEB" w14:textId="77777777">
            <w:pPr>
              <w:widowControl w:val="0"/>
              <w:jc w:val="right"/>
              <w:rPr>
                <w:snapToGrid w:val="0"/>
              </w:rPr>
            </w:pPr>
            <w:r>
              <w:rPr>
                <w:snapToGrid w:val="0"/>
              </w:rPr>
              <w:t>$670.00</w:t>
            </w:r>
          </w:p>
        </w:tc>
        <w:tc>
          <w:tcPr>
            <w:tcW w:w="506" w:type="pct"/>
          </w:tcPr>
          <w:p w:rsidR="001D326B" w:rsidP="007036D5" w14:paraId="6DB62D20" w14:textId="77777777">
            <w:pPr>
              <w:widowControl w:val="0"/>
              <w:jc w:val="right"/>
              <w:rPr>
                <w:snapToGrid w:val="0"/>
              </w:rPr>
            </w:pPr>
            <w:r>
              <w:rPr>
                <w:snapToGrid w:val="0"/>
              </w:rPr>
              <w:t>$670.00</w:t>
            </w:r>
          </w:p>
        </w:tc>
        <w:tc>
          <w:tcPr>
            <w:tcW w:w="524" w:type="pct"/>
          </w:tcPr>
          <w:p w:rsidR="001D326B" w:rsidP="007036D5" w14:paraId="00EE0F1A" w14:textId="77777777">
            <w:pPr>
              <w:widowControl w:val="0"/>
              <w:jc w:val="right"/>
              <w:rPr>
                <w:snapToGrid w:val="0"/>
              </w:rPr>
            </w:pPr>
            <w:r>
              <w:rPr>
                <w:snapToGrid w:val="0"/>
              </w:rPr>
              <w:t>$15.00</w:t>
            </w:r>
          </w:p>
        </w:tc>
        <w:tc>
          <w:tcPr>
            <w:tcW w:w="620" w:type="pct"/>
          </w:tcPr>
          <w:p w:rsidR="001D326B" w:rsidP="007036D5" w14:paraId="47C61044" w14:textId="77777777">
            <w:pPr>
              <w:widowControl w:val="0"/>
              <w:jc w:val="right"/>
              <w:rPr>
                <w:snapToGrid w:val="0"/>
              </w:rPr>
            </w:pPr>
            <w:r>
              <w:rPr>
                <w:snapToGrid w:val="0"/>
              </w:rPr>
              <w:t>$0.00</w:t>
            </w:r>
          </w:p>
        </w:tc>
        <w:tc>
          <w:tcPr>
            <w:tcW w:w="812" w:type="pct"/>
          </w:tcPr>
          <w:p w:rsidR="001D326B" w:rsidP="007036D5" w14:paraId="146AE6E9" w14:textId="77777777">
            <w:pPr>
              <w:widowControl w:val="0"/>
              <w:jc w:val="right"/>
              <w:rPr>
                <w:snapToGrid w:val="0"/>
              </w:rPr>
            </w:pPr>
            <w:r>
              <w:rPr>
                <w:snapToGrid w:val="0"/>
              </w:rPr>
              <w:t>$15.00</w:t>
            </w:r>
          </w:p>
        </w:tc>
      </w:tr>
    </w:tbl>
    <w:p w:rsidR="001D326B" w:rsidP="001D326B" w14:paraId="1AE1CF30" w14:textId="77777777">
      <w:pPr>
        <w:widowControl w:val="0"/>
        <w:rPr>
          <w:sz w:val="22"/>
          <w:szCs w:val="22"/>
        </w:rPr>
      </w:pPr>
    </w:p>
    <w:p w:rsidR="001D326B" w:rsidP="001D326B" w14:paraId="63D6130B" w14:textId="77777777">
      <w:pPr>
        <w:rPr>
          <w:sz w:val="22"/>
          <w:szCs w:val="22"/>
        </w:rPr>
      </w:pPr>
    </w:p>
    <w:p w:rsidR="001D326B" w:rsidP="001D326B" w14:paraId="26A56616" w14:textId="77777777"/>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4D34F3B8" w14:textId="77777777" w:rsidTr="007036D5">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1D326B" w:rsidP="007036D5" w14:paraId="324A32B5" w14:textId="77777777">
            <w:pPr>
              <w:widowControl w:val="0"/>
              <w:autoSpaceDE w:val="0"/>
              <w:autoSpaceDN w:val="0"/>
              <w:adjustRightInd w:val="0"/>
              <w:rPr>
                <w:sz w:val="22"/>
                <w:szCs w:val="22"/>
              </w:rPr>
            </w:pPr>
            <w:r>
              <w:rPr>
                <w:sz w:val="22"/>
                <w:szCs w:val="22"/>
              </w:rPr>
              <w:t xml:space="preserve">Total Final Default Payment </w:t>
            </w:r>
          </w:p>
          <w:p w:rsidR="001D326B" w:rsidP="007036D5" w14:paraId="638825FD" w14:textId="77777777">
            <w:pPr>
              <w:widowControl w:val="0"/>
              <w:autoSpaceDE w:val="0"/>
              <w:autoSpaceDN w:val="0"/>
              <w:adjustRightInd w:val="0"/>
              <w:rPr>
                <w:sz w:val="22"/>
                <w:szCs w:val="22"/>
              </w:rPr>
            </w:pPr>
          </w:p>
        </w:tc>
        <w:tc>
          <w:tcPr>
            <w:tcW w:w="1890" w:type="dxa"/>
          </w:tcPr>
          <w:p w:rsidR="001D326B" w:rsidP="007036D5" w14:paraId="79264BC0" w14:textId="77777777">
            <w:pPr>
              <w:widowControl w:val="0"/>
              <w:autoSpaceDE w:val="0"/>
              <w:autoSpaceDN w:val="0"/>
              <w:adjustRightInd w:val="0"/>
              <w:jc w:val="right"/>
              <w:rPr>
                <w:sz w:val="22"/>
                <w:szCs w:val="22"/>
              </w:rPr>
            </w:pPr>
            <w:r>
              <w:rPr>
                <w:sz w:val="22"/>
                <w:szCs w:val="22"/>
              </w:rPr>
              <w:t>$30.00</w:t>
            </w:r>
          </w:p>
        </w:tc>
      </w:tr>
      <w:tr w14:paraId="04E65750" w14:textId="77777777" w:rsidTr="007036D5">
        <w:tblPrEx>
          <w:tblW w:w="4950" w:type="dxa"/>
          <w:tblLayout w:type="fixed"/>
          <w:tblCellMar>
            <w:left w:w="54" w:type="dxa"/>
            <w:right w:w="54" w:type="dxa"/>
          </w:tblCellMar>
          <w:tblLook w:val="0000"/>
        </w:tblPrEx>
        <w:tc>
          <w:tcPr>
            <w:tcW w:w="3060" w:type="dxa"/>
          </w:tcPr>
          <w:p w:rsidR="001D326B" w:rsidP="007036D5" w14:paraId="0376B423" w14:textId="77777777">
            <w:pPr>
              <w:widowControl w:val="0"/>
              <w:autoSpaceDE w:val="0"/>
              <w:autoSpaceDN w:val="0"/>
              <w:adjustRightInd w:val="0"/>
              <w:rPr>
                <w:sz w:val="22"/>
                <w:szCs w:val="22"/>
              </w:rPr>
            </w:pPr>
            <w:r>
              <w:rPr>
                <w:sz w:val="22"/>
                <w:szCs w:val="22"/>
              </w:rPr>
              <w:t xml:space="preserve">Less </w:t>
            </w:r>
            <w:r>
              <w:rPr>
                <w:sz w:val="22"/>
              </w:rPr>
              <w:t>Interim Default Payment</w:t>
            </w:r>
          </w:p>
          <w:p w:rsidR="001D326B" w:rsidP="007036D5" w14:paraId="7BE95177" w14:textId="77777777">
            <w:pPr>
              <w:widowControl w:val="0"/>
              <w:autoSpaceDE w:val="0"/>
              <w:autoSpaceDN w:val="0"/>
              <w:adjustRightInd w:val="0"/>
              <w:rPr>
                <w:sz w:val="22"/>
                <w:szCs w:val="22"/>
              </w:rPr>
            </w:pPr>
          </w:p>
        </w:tc>
        <w:tc>
          <w:tcPr>
            <w:tcW w:w="1890" w:type="dxa"/>
          </w:tcPr>
          <w:p w:rsidR="001D326B" w:rsidP="007036D5" w14:paraId="40E74F9F" w14:textId="77777777">
            <w:pPr>
              <w:widowControl w:val="0"/>
              <w:autoSpaceDE w:val="0"/>
              <w:autoSpaceDN w:val="0"/>
              <w:adjustRightInd w:val="0"/>
              <w:jc w:val="right"/>
              <w:rPr>
                <w:sz w:val="22"/>
                <w:szCs w:val="22"/>
              </w:rPr>
            </w:pPr>
            <w:r>
              <w:rPr>
                <w:sz w:val="22"/>
                <w:szCs w:val="22"/>
              </w:rPr>
              <w:t>$30.00</w:t>
            </w:r>
          </w:p>
        </w:tc>
      </w:tr>
      <w:tr w14:paraId="1EC48449" w14:textId="77777777" w:rsidTr="007036D5">
        <w:tblPrEx>
          <w:tblW w:w="4950" w:type="dxa"/>
          <w:tblLayout w:type="fixed"/>
          <w:tblCellMar>
            <w:left w:w="54" w:type="dxa"/>
            <w:right w:w="54" w:type="dxa"/>
          </w:tblCellMar>
          <w:tblLook w:val="0000"/>
        </w:tblPrEx>
        <w:trPr>
          <w:trHeight w:val="285"/>
        </w:trPr>
        <w:tc>
          <w:tcPr>
            <w:tcW w:w="3060" w:type="dxa"/>
          </w:tcPr>
          <w:p w:rsidR="001D326B" w:rsidP="007036D5" w14:paraId="13B055A8" w14:textId="77777777">
            <w:pPr>
              <w:widowControl w:val="0"/>
              <w:autoSpaceDE w:val="0"/>
              <w:autoSpaceDN w:val="0"/>
              <w:adjustRightInd w:val="0"/>
              <w:rPr>
                <w:b/>
                <w:bCs/>
                <w:sz w:val="22"/>
                <w:szCs w:val="22"/>
              </w:rPr>
            </w:pPr>
            <w:r>
              <w:rPr>
                <w:b/>
                <w:bCs/>
                <w:sz w:val="22"/>
                <w:szCs w:val="22"/>
              </w:rPr>
              <w:t xml:space="preserve">Outstanding Balance </w:t>
            </w:r>
          </w:p>
          <w:p w:rsidR="001D326B" w:rsidP="007036D5" w14:paraId="6ED2CD58" w14:textId="77777777">
            <w:pPr>
              <w:widowControl w:val="0"/>
              <w:autoSpaceDE w:val="0"/>
              <w:autoSpaceDN w:val="0"/>
              <w:adjustRightInd w:val="0"/>
              <w:rPr>
                <w:b/>
                <w:bCs/>
                <w:sz w:val="22"/>
                <w:szCs w:val="22"/>
              </w:rPr>
            </w:pPr>
          </w:p>
        </w:tc>
        <w:tc>
          <w:tcPr>
            <w:tcW w:w="1890" w:type="dxa"/>
          </w:tcPr>
          <w:p w:rsidR="001D326B" w:rsidP="007036D5" w14:paraId="6B9ED0AB" w14:textId="198771AD">
            <w:pPr>
              <w:widowControl w:val="0"/>
              <w:autoSpaceDE w:val="0"/>
              <w:autoSpaceDN w:val="0"/>
              <w:adjustRightInd w:val="0"/>
              <w:jc w:val="right"/>
              <w:rPr>
                <w:b/>
                <w:bCs/>
                <w:sz w:val="22"/>
                <w:szCs w:val="22"/>
              </w:rPr>
            </w:pPr>
            <w:r>
              <w:rPr>
                <w:b/>
                <w:bCs/>
                <w:sz w:val="22"/>
                <w:szCs w:val="22"/>
              </w:rPr>
              <w:t>$0.00</w:t>
            </w:r>
          </w:p>
          <w:p w:rsidR="001D326B" w:rsidP="007036D5" w14:paraId="46B8132D" w14:textId="77777777">
            <w:pPr>
              <w:widowControl w:val="0"/>
              <w:autoSpaceDE w:val="0"/>
              <w:autoSpaceDN w:val="0"/>
              <w:adjustRightInd w:val="0"/>
              <w:jc w:val="right"/>
              <w:rPr>
                <w:b/>
                <w:bCs/>
                <w:sz w:val="22"/>
                <w:szCs w:val="22"/>
              </w:rPr>
            </w:pPr>
          </w:p>
        </w:tc>
      </w:tr>
    </w:tbl>
    <w:p w:rsidR="001D326B" w:rsidP="001D326B" w14:paraId="74139D50" w14:textId="77777777">
      <w:pPr>
        <w:rPr>
          <w:sz w:val="22"/>
          <w:szCs w:val="22"/>
        </w:rPr>
      </w:pPr>
    </w:p>
    <w:p w:rsidR="001D326B" w:rsidP="001D326B" w14:paraId="2F86FA21" w14:textId="77777777">
      <w:pPr>
        <w:rPr>
          <w:sz w:val="22"/>
          <w:szCs w:val="22"/>
        </w:rPr>
      </w:pPr>
    </w:p>
    <w:p w:rsidR="001D326B" w:rsidP="001D326B" w14:paraId="68368566" w14:textId="77777777">
      <w:pPr>
        <w:rPr>
          <w:sz w:val="22"/>
          <w:szCs w:val="22"/>
        </w:rPr>
      </w:pPr>
    </w:p>
    <w:p w:rsidR="001D326B" w:rsidP="001D326B" w14:paraId="0EA889DA" w14:textId="77777777">
      <w:pPr>
        <w:rPr>
          <w:sz w:val="22"/>
          <w:szCs w:val="22"/>
        </w:rPr>
      </w:pPr>
    </w:p>
    <w:p w:rsidR="001D326B" w:rsidP="001D326B" w14:paraId="72BD23F8" w14:textId="77777777">
      <w:pPr>
        <w:rPr>
          <w:sz w:val="22"/>
          <w:szCs w:val="22"/>
        </w:rPr>
      </w:pPr>
    </w:p>
    <w:p w:rsidR="001D326B" w:rsidP="001D326B" w14:paraId="5D19CEA3" w14:textId="77777777">
      <w:pPr>
        <w:pStyle w:val="Heading2"/>
        <w:jc w:val="right"/>
        <w:rPr>
          <w:sz w:val="22"/>
          <w:szCs w:val="22"/>
        </w:rPr>
      </w:pPr>
    </w:p>
    <w:p w:rsidR="001D326B" w:rsidRPr="00204CE3" w:rsidP="001D326B" w14:paraId="1E9AD323" w14:textId="77777777">
      <w:pPr>
        <w:jc w:val="cente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Yu Mincho"/>
    <w:panose1 w:val="00000000000000000000"/>
    <w:charset w:val="8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DF7" w14:paraId="5D069F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DF7" w14:paraId="0A7400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DF7" w14:paraId="6EBAC9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326B" w14:paraId="5BACAB0F" w14:textId="77777777">
      <w:r>
        <w:separator/>
      </w:r>
    </w:p>
  </w:footnote>
  <w:footnote w:type="continuationSeparator" w:id="1">
    <w:p w:rsidR="001D326B" w14:paraId="37044197" w14:textId="77777777">
      <w:r>
        <w:continuationSeparator/>
      </w:r>
    </w:p>
  </w:footnote>
  <w:footnote w:id="2">
    <w:p w:rsidR="001D326B" w:rsidRPr="00597E56" w:rsidP="001D326B" w14:paraId="421932A2" w14:textId="77777777">
      <w:pPr>
        <w:pStyle w:val="FootnoteText"/>
        <w:spacing w:after="120"/>
        <w:rPr>
          <w:b/>
          <w:color w:val="FF0000"/>
        </w:rPr>
      </w:pPr>
      <w:r>
        <w:rPr>
          <w:rStyle w:val="FootnoteReference"/>
        </w:rPr>
        <w:footnoteRef/>
      </w:r>
      <w:r>
        <w:t xml:space="preserve"> </w:t>
      </w:r>
      <w:r w:rsidRPr="00D50B76">
        <w:rPr>
          <w:i/>
        </w:rPr>
        <w:t>See</w:t>
      </w:r>
      <w:r>
        <w:t xml:space="preserve"> </w:t>
      </w:r>
      <w:r>
        <w:rPr>
          <w:i/>
        </w:rPr>
        <w:t>Notice of Auction 40 Interim Default Payment Obligations of Golden Arrow Paging, Inc.</w:t>
      </w:r>
      <w:r>
        <w:t>, Letter Order, 22</w:t>
      </w:r>
      <w:r>
        <w:rPr>
          <w:rStyle w:val="documentbody"/>
        </w:rPr>
        <w:t xml:space="preserve"> FCC Rcd 14069 </w:t>
      </w:r>
      <w:r>
        <w:t>(ASAD-WTB 2007) (</w:t>
      </w:r>
      <w:r>
        <w:rPr>
          <w:i/>
        </w:rPr>
        <w:t xml:space="preserve">Interim Payment </w:t>
      </w:r>
      <w:r w:rsidRPr="00D67767">
        <w:rPr>
          <w:i/>
        </w:rPr>
        <w:t>Letter</w:t>
      </w:r>
      <w:r>
        <w:t xml:space="preserve">).  </w:t>
      </w:r>
    </w:p>
  </w:footnote>
  <w:footnote w:id="3">
    <w:p w:rsidR="001D326B" w:rsidP="001D326B" w14:paraId="5BB84E83" w14:textId="77777777">
      <w:pPr>
        <w:pStyle w:val="FootnoteText"/>
        <w:spacing w:after="120"/>
      </w:pPr>
      <w:r>
        <w:rPr>
          <w:rStyle w:val="FootnoteReference"/>
        </w:rPr>
        <w:footnoteRef/>
      </w:r>
      <w:r>
        <w:t xml:space="preserve"> </w:t>
      </w:r>
      <w:r>
        <w:rPr>
          <w:i/>
        </w:rPr>
        <w:t xml:space="preserve">Interim Payment </w:t>
      </w:r>
      <w:r w:rsidRPr="00D67767">
        <w:rPr>
          <w:i/>
        </w:rPr>
        <w:t>Letter</w:t>
      </w:r>
      <w:r>
        <w:t>, 22 FCC Rcd at 14071.</w:t>
      </w:r>
    </w:p>
  </w:footnote>
  <w:footnote w:id="4">
    <w:p w:rsidR="001D326B" w:rsidP="001D326B" w14:paraId="48A8D360" w14:textId="77777777">
      <w:pPr>
        <w:pStyle w:val="FootnoteText"/>
        <w:spacing w:after="120"/>
      </w:pPr>
      <w:r>
        <w:rPr>
          <w:rStyle w:val="FootnoteReference"/>
        </w:rPr>
        <w:footnoteRef/>
      </w:r>
      <w:r>
        <w:t xml:space="preserve"> </w:t>
      </w:r>
      <w:r w:rsidRPr="00EE011C">
        <w:rPr>
          <w:i/>
        </w:rPr>
        <w:t>See Auction of Lower and Upper Paging Bands Licenses Closes, Winning Bidders Announced for Auction 87</w:t>
      </w:r>
      <w:r>
        <w:t xml:space="preserve">, </w:t>
      </w:r>
      <w:r w:rsidRPr="00EE011C">
        <w:rPr>
          <w:iCs/>
        </w:rPr>
        <w:t>Public Notice</w:t>
      </w:r>
      <w:r>
        <w:t>, 25 FCC Rcd 18164, 18487, Attach. D (WTB 2010).</w:t>
      </w:r>
    </w:p>
  </w:footnote>
  <w:footnote w:id="5">
    <w:p w:rsidR="001D326B" w:rsidRPr="00A56F34" w:rsidP="001D326B" w14:paraId="0FC1F746" w14:textId="77777777">
      <w:pPr>
        <w:pStyle w:val="FootnoteText"/>
        <w:spacing w:after="120"/>
      </w:pPr>
      <w:r>
        <w:rPr>
          <w:rStyle w:val="FootnoteReference"/>
        </w:rPr>
        <w:footnoteRef/>
      </w:r>
      <w:r>
        <w:t xml:space="preserve"> </w:t>
      </w:r>
      <w:r>
        <w:rPr>
          <w:i/>
        </w:rPr>
        <w:t>See Notice of Auction 40 Final Default Payment Obligations of Golden Arrow Paging, Inc.</w:t>
      </w:r>
      <w:r>
        <w:t>, 27 FCC Rcd 2845, 2845-46 (ASAD-WTB 2007) (</w:t>
      </w:r>
      <w:r>
        <w:rPr>
          <w:i/>
          <w:iCs/>
        </w:rPr>
        <w:t>First Final Default Payment Letter</w:t>
      </w:r>
      <w:r>
        <w:t xml:space="preserve">); </w:t>
      </w:r>
      <w:r>
        <w:rPr>
          <w:i/>
        </w:rPr>
        <w:t xml:space="preserve">see </w:t>
      </w:r>
      <w:r>
        <w:t>47 CFR § 1.2104(g)(2).</w:t>
      </w:r>
    </w:p>
  </w:footnote>
  <w:footnote w:id="6">
    <w:p w:rsidR="001D326B" w:rsidP="001D326B" w14:paraId="1F37F367" w14:textId="77777777">
      <w:pPr>
        <w:pStyle w:val="FootnoteText"/>
        <w:spacing w:after="120"/>
      </w:pPr>
      <w:r>
        <w:rPr>
          <w:rStyle w:val="FootnoteReference"/>
        </w:rPr>
        <w:footnoteRef/>
      </w:r>
      <w:r>
        <w:t xml:space="preserve"> </w:t>
      </w:r>
      <w:r>
        <w:rPr>
          <w:i/>
        </w:rPr>
        <w:t>See</w:t>
      </w:r>
      <w:r>
        <w:t xml:space="preserve"> </w:t>
      </w:r>
      <w:r w:rsidRPr="00597E56">
        <w:rPr>
          <w:i/>
        </w:rPr>
        <w:t>Auction of Lower and Upper Paging Bands Licenses Closes; Winning Bidders Announced for Auction 95</w:t>
      </w:r>
      <w:r>
        <w:t xml:space="preserve">, </w:t>
      </w:r>
      <w:r w:rsidRPr="00597E56">
        <w:t>Public Notice</w:t>
      </w:r>
      <w:r>
        <w:t>, 28 FCC Rcd 11848, 12146 (WTB 2013).</w:t>
      </w:r>
    </w:p>
  </w:footnote>
  <w:footnote w:id="7">
    <w:p w:rsidR="001D326B" w:rsidP="001D326B" w14:paraId="40816805" w14:textId="77777777">
      <w:pPr>
        <w:pStyle w:val="FootnoteText"/>
        <w:spacing w:after="120"/>
      </w:pPr>
      <w:r>
        <w:rPr>
          <w:rStyle w:val="FootnoteReference"/>
        </w:rPr>
        <w:footnoteRef/>
      </w:r>
      <w:r>
        <w:t xml:space="preserve"> 47 CFR § 1.2104(g)(2).  Until new licenses for the relevant spectrum associated with the five remaining defaulted licenses are won in a subsequent auction, the Commission cannot determine the full amount of the default payment that is owed for those licenses.  Once a subsequent winning bid for the relevant spectrum is established, the remaining amount owed by Golden Arrow, if any, will then be assessed.</w:t>
      </w:r>
    </w:p>
  </w:footnote>
  <w:footnote w:id="8">
    <w:p w:rsidR="001D326B" w:rsidRPr="009D4033" w:rsidP="001D326B" w14:paraId="3F806B19" w14:textId="77777777">
      <w:pPr>
        <w:pStyle w:val="FootnoteText1"/>
        <w:spacing w:after="120"/>
      </w:pPr>
      <w:r w:rsidRPr="009D4033">
        <w:rPr>
          <w:rStyle w:val="FootnoteReference"/>
        </w:rPr>
        <w:footnoteRef/>
      </w:r>
      <w:r w:rsidRPr="009D4033">
        <w:t xml:space="preserve"> </w:t>
      </w:r>
      <w:r w:rsidRPr="009667DA">
        <w:rPr>
          <w:i/>
          <w:iCs/>
        </w:rPr>
        <w:t>Id</w:t>
      </w:r>
      <w:r w:rsidRPr="009D4033">
        <w:t>.</w:t>
      </w:r>
    </w:p>
  </w:footnote>
  <w:footnote w:id="9">
    <w:p w:rsidR="001D326B" w:rsidRPr="009D4033" w:rsidP="001D326B" w14:paraId="3C996B69" w14:textId="77777777">
      <w:pPr>
        <w:pStyle w:val="FootnoteText1"/>
        <w:spacing w:after="120"/>
        <w:rPr>
          <w:rFonts w:eastAsia="Times New Roman"/>
          <w:color w:val="auto"/>
          <w:lang w:bidi="x-none"/>
        </w:rPr>
      </w:pPr>
      <w:r w:rsidRPr="009D4033">
        <w:rPr>
          <w:rStyle w:val="FootnoteReference1"/>
        </w:rPr>
        <w:footnoteRef/>
      </w:r>
      <w:r w:rsidRPr="009D4033">
        <w:t xml:space="preserve"> 47 CFR §§ 1.2104(g)(2), 1.2109.</w:t>
      </w:r>
    </w:p>
  </w:footnote>
  <w:footnote w:id="10">
    <w:p w:rsidR="001D326B" w:rsidRPr="009D4033" w:rsidP="001D326B" w14:paraId="64BA6000" w14:textId="77777777">
      <w:pPr>
        <w:pStyle w:val="FootnoteText1"/>
        <w:spacing w:after="120"/>
      </w:pPr>
      <w:r w:rsidRPr="009D4033">
        <w:rPr>
          <w:rStyle w:val="FootnoteReference"/>
        </w:rPr>
        <w:footnoteRef/>
      </w:r>
      <w:r w:rsidRPr="009D4033">
        <w:t xml:space="preserve"> 47 CFR § 1.2104(g)(2).  </w:t>
      </w:r>
    </w:p>
  </w:footnote>
  <w:footnote w:id="11">
    <w:p w:rsidR="001D326B" w:rsidRPr="009D4033" w:rsidP="001D326B" w14:paraId="5D01DD6E" w14:textId="77777777">
      <w:pPr>
        <w:pStyle w:val="FootnoteText1"/>
        <w:spacing w:after="120"/>
        <w:rPr>
          <w:rFonts w:eastAsia="Times New Roman"/>
          <w:color w:val="auto"/>
          <w:lang w:bidi="x-none"/>
        </w:rPr>
      </w:pPr>
      <w:r w:rsidRPr="009D4033">
        <w:rPr>
          <w:rStyle w:val="FootnoteReference1"/>
        </w:rPr>
        <w:footnoteRef/>
      </w:r>
      <w:r w:rsidRPr="009D4033">
        <w:t xml:space="preserve"> 47 CFR § 1.2104(g)(2)(i).</w:t>
      </w:r>
    </w:p>
  </w:footnote>
  <w:footnote w:id="12">
    <w:p w:rsidR="001D326B" w:rsidRPr="009D4033" w:rsidP="001D326B" w14:paraId="2B98A159" w14:textId="77777777">
      <w:pPr>
        <w:pStyle w:val="FootnoteText1"/>
        <w:spacing w:after="120"/>
      </w:pPr>
      <w:r w:rsidRPr="009D4033">
        <w:rPr>
          <w:rStyle w:val="FootnoteReference"/>
        </w:rPr>
        <w:footnoteRef/>
      </w:r>
      <w:r w:rsidRPr="009D4033">
        <w:t xml:space="preserve"> 47 CFR§ 1.2104(g)(2).</w:t>
      </w:r>
    </w:p>
  </w:footnote>
  <w:footnote w:id="13">
    <w:p w:rsidR="001D326B" w:rsidRPr="00906D7B" w:rsidP="001D326B" w14:paraId="1972ABC0" w14:textId="77777777">
      <w:pPr>
        <w:spacing w:after="120"/>
      </w:pPr>
      <w:r w:rsidRPr="00906D7B">
        <w:rPr>
          <w:rStyle w:val="FootnoteReference1"/>
        </w:rPr>
        <w:footnoteRef/>
      </w:r>
      <w:r w:rsidRPr="00906D7B">
        <w:t xml:space="preserve"> </w:t>
      </w:r>
      <w:r>
        <w:t xml:space="preserve">47 CFR § </w:t>
      </w:r>
      <w:r w:rsidRPr="00906D7B">
        <w:t>1.2104(g)(2)</w:t>
      </w:r>
      <w:r>
        <w:t xml:space="preserve"> (2001)</w:t>
      </w:r>
      <w:r w:rsidRPr="00151B87">
        <w:t xml:space="preserve">; </w:t>
      </w:r>
      <w:r>
        <w:rPr>
          <w:i/>
        </w:rPr>
        <w:t xml:space="preserve">see also </w:t>
      </w:r>
      <w:r w:rsidRPr="00597E56">
        <w:rPr>
          <w:i/>
        </w:rPr>
        <w:t>Lower and Upper Paging Banks Auction Scheduled for June 26, 2001; Notice and Filing Requirements, Minimum Opening Bids, Upfront Payments and Other Procedural Issues</w:t>
      </w:r>
      <w:r>
        <w:t>, Public Notice, 16 FCC Rcd 7657, 7696 (WTB 2001).</w:t>
      </w:r>
    </w:p>
  </w:footnote>
  <w:footnote w:id="14">
    <w:p w:rsidR="001D326B" w:rsidRPr="00CE30D4" w:rsidP="001D326B" w14:paraId="5F33A51D" w14:textId="77777777">
      <w:pPr>
        <w:pStyle w:val="FootnoteText"/>
        <w:spacing w:after="120"/>
        <w:rPr>
          <w:b/>
          <w:color w:val="FF0000"/>
        </w:rPr>
      </w:pPr>
      <w:r>
        <w:rPr>
          <w:rStyle w:val="FootnoteReference"/>
        </w:rPr>
        <w:footnoteRef/>
      </w:r>
      <w:r>
        <w:t xml:space="preserve"> </w:t>
      </w:r>
      <w:r w:rsidRPr="00EA3408">
        <w:t xml:space="preserve">In the </w:t>
      </w:r>
      <w:r w:rsidRPr="00EA3408">
        <w:rPr>
          <w:i/>
          <w:iCs/>
        </w:rPr>
        <w:t>First Final Default Payment Letter</w:t>
      </w:r>
      <w:r w:rsidRPr="00EA3408">
        <w:t xml:space="preserve">, the Commission withheld $150.00 of the funds Golden Arrow then had on deposit with the Commission, as an interim default payment for the remaining seven licenses.  We will now apply $30 of that interim default payment to satisfy the final default payment for these two </w:t>
      </w:r>
      <w:r>
        <w:t>l</w:t>
      </w:r>
      <w:r w:rsidRPr="00EA3408">
        <w:t>icense</w:t>
      </w:r>
      <w:r>
        <w:t>s</w:t>
      </w:r>
      <w:r w:rsidRPr="00EA3408">
        <w:t xml:space="preserve"> and withhold the remaining $120.00 as the interim default payments for the five remaining licenses that have not yet received winning bids in a subsequent auction.  The remaining $30.00 will be applied to satisfy Golden Arrow’s outstanding balance for the </w:t>
      </w:r>
      <w:r>
        <w:t>Lafayette and Lake Charles</w:t>
      </w:r>
      <w:r w:rsidRPr="00EA3408">
        <w:t xml:space="preserve"> Licenses.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DF7" w14:paraId="73AE46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26B" w:rsidRPr="00AD4DF7" w:rsidP="00683768" w14:paraId="0CC02385" w14:textId="0A353981">
    <w:pPr>
      <w:pStyle w:val="Header"/>
      <w:keepNext/>
      <w:tabs>
        <w:tab w:val="clear" w:pos="4320"/>
        <w:tab w:val="clear" w:pos="8640"/>
      </w:tabs>
      <w:rPr>
        <w:sz w:val="22"/>
        <w:szCs w:val="22"/>
      </w:rPr>
    </w:pPr>
    <w:r w:rsidRPr="00AD4DF7">
      <w:rPr>
        <w:sz w:val="22"/>
        <w:szCs w:val="22"/>
      </w:rPr>
      <w:t>Golden Arrow Paging, Inc.</w:t>
    </w:r>
    <w:r w:rsidRPr="00AD4DF7">
      <w:rPr>
        <w:sz w:val="22"/>
        <w:szCs w:val="22"/>
      </w:rPr>
      <w:tab/>
    </w:r>
    <w:r w:rsidRPr="00AD4DF7">
      <w:rPr>
        <w:sz w:val="22"/>
        <w:szCs w:val="22"/>
      </w:rPr>
      <w:tab/>
    </w:r>
    <w:r w:rsidRPr="00AD4DF7">
      <w:rPr>
        <w:sz w:val="22"/>
        <w:szCs w:val="22"/>
      </w:rPr>
      <w:tab/>
    </w:r>
    <w:r w:rsidRPr="00AD4DF7">
      <w:rPr>
        <w:sz w:val="22"/>
        <w:szCs w:val="22"/>
      </w:rPr>
      <w:tab/>
    </w:r>
    <w:r w:rsidRPr="00AD4DF7">
      <w:rPr>
        <w:sz w:val="22"/>
        <w:szCs w:val="22"/>
      </w:rPr>
      <w:tab/>
    </w:r>
    <w:r w:rsidRPr="00AD4DF7">
      <w:rPr>
        <w:sz w:val="22"/>
        <w:szCs w:val="22"/>
      </w:rPr>
      <w:tab/>
    </w:r>
    <w:r w:rsidRPr="00AD4DF7">
      <w:rPr>
        <w:sz w:val="22"/>
        <w:szCs w:val="22"/>
      </w:rPr>
      <w:tab/>
    </w:r>
    <w:r w:rsidRPr="00AD4DF7">
      <w:rPr>
        <w:sz w:val="22"/>
        <w:szCs w:val="22"/>
      </w:rPr>
      <w:tab/>
      <w:t>DA 22</w:t>
    </w:r>
    <w:r w:rsidR="00683768">
      <w:rPr>
        <w:sz w:val="22"/>
        <w:szCs w:val="22"/>
      </w:rPr>
      <w:t>-1326</w:t>
    </w:r>
  </w:p>
  <w:p w:rsidR="001D326B" w:rsidRPr="00AD4DF7" w14:paraId="1DFAE622" w14:textId="529E59F6">
    <w:pPr>
      <w:pStyle w:val="Header"/>
      <w:rPr>
        <w:sz w:val="22"/>
        <w:szCs w:val="22"/>
      </w:rPr>
    </w:pPr>
    <w:r w:rsidRPr="00AD4DF7">
      <w:rPr>
        <w:sz w:val="22"/>
        <w:szCs w:val="22"/>
      </w:rPr>
      <w:t>December 1</w:t>
    </w:r>
    <w:r w:rsidR="003407DB">
      <w:rPr>
        <w:sz w:val="22"/>
        <w:szCs w:val="22"/>
      </w:rPr>
      <w:t>6</w:t>
    </w:r>
    <w:r w:rsidRPr="00AD4DF7">
      <w:rPr>
        <w:sz w:val="22"/>
        <w:szCs w:val="22"/>
      </w:rPr>
      <w:t>, 2022</w:t>
    </w:r>
  </w:p>
  <w:p w:rsidR="001D326B" w:rsidRPr="00AD4DF7" w14:paraId="11232E3E" w14:textId="6F369F05">
    <w:pPr>
      <w:pStyle w:val="Header"/>
      <w:rPr>
        <w:sz w:val="22"/>
        <w:szCs w:val="22"/>
      </w:rPr>
    </w:pPr>
    <w:r w:rsidRPr="00AD4DF7">
      <w:rPr>
        <w:sz w:val="22"/>
        <w:szCs w:val="22"/>
      </w:rPr>
      <w:t xml:space="preserve">Page </w:t>
    </w:r>
    <w:r w:rsidRPr="00AD4DF7">
      <w:rPr>
        <w:sz w:val="22"/>
        <w:szCs w:val="22"/>
      </w:rPr>
      <w:fldChar w:fldCharType="begin"/>
    </w:r>
    <w:r w:rsidRPr="00AD4DF7">
      <w:rPr>
        <w:sz w:val="22"/>
        <w:szCs w:val="22"/>
      </w:rPr>
      <w:instrText xml:space="preserve"> PAGE   \* MERGEFORMAT </w:instrText>
    </w:r>
    <w:r w:rsidRPr="00AD4DF7">
      <w:rPr>
        <w:sz w:val="22"/>
        <w:szCs w:val="22"/>
      </w:rPr>
      <w:fldChar w:fldCharType="separate"/>
    </w:r>
    <w:r w:rsidRPr="00AD4DF7">
      <w:rPr>
        <w:noProof/>
        <w:sz w:val="22"/>
        <w:szCs w:val="22"/>
      </w:rPr>
      <w:t>2</w:t>
    </w:r>
    <w:r w:rsidRPr="00AD4DF7">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A1D06BE"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06988B0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251B5E5F" w14:textId="77777777">
    <w:pPr>
      <w:pStyle w:val="Header"/>
      <w:tabs>
        <w:tab w:val="clear" w:pos="4320"/>
      </w:tabs>
      <w:jc w:val="center"/>
      <w:rPr>
        <w:sz w:val="22"/>
      </w:rPr>
    </w:pPr>
  </w:p>
  <w:p w:rsidR="002B54DB" w14:paraId="26002487"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6B"/>
    <w:rsid w:val="00035EA3"/>
    <w:rsid w:val="001333F1"/>
    <w:rsid w:val="00151B87"/>
    <w:rsid w:val="0015265C"/>
    <w:rsid w:val="001924E3"/>
    <w:rsid w:val="001D326B"/>
    <w:rsid w:val="00204CE3"/>
    <w:rsid w:val="00226E0D"/>
    <w:rsid w:val="002B54DB"/>
    <w:rsid w:val="003407DB"/>
    <w:rsid w:val="00470CC8"/>
    <w:rsid w:val="004D3B53"/>
    <w:rsid w:val="00504D33"/>
    <w:rsid w:val="00597E56"/>
    <w:rsid w:val="00683768"/>
    <w:rsid w:val="006E7608"/>
    <w:rsid w:val="007036D5"/>
    <w:rsid w:val="00885DC3"/>
    <w:rsid w:val="008A7DFD"/>
    <w:rsid w:val="00906D7B"/>
    <w:rsid w:val="00943B6D"/>
    <w:rsid w:val="009667DA"/>
    <w:rsid w:val="009D4033"/>
    <w:rsid w:val="00A01D6D"/>
    <w:rsid w:val="00A56F34"/>
    <w:rsid w:val="00A923DD"/>
    <w:rsid w:val="00AD4DF7"/>
    <w:rsid w:val="00B749BB"/>
    <w:rsid w:val="00C12EA2"/>
    <w:rsid w:val="00CE30D4"/>
    <w:rsid w:val="00D50B76"/>
    <w:rsid w:val="00D67767"/>
    <w:rsid w:val="00DC6C10"/>
    <w:rsid w:val="00E84B00"/>
    <w:rsid w:val="00EA3408"/>
    <w:rsid w:val="00EE011C"/>
    <w:rsid w:val="00FC1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677838"/>
  <w15:chartTrackingRefBased/>
  <w15:docId w15:val="{0E99DC21-DFA6-4BF6-90FB-DF23FEFE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D326B"/>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link w:val="Heading2"/>
    <w:rsid w:val="001D326B"/>
    <w:rPr>
      <w:b/>
      <w:sz w:val="32"/>
      <w:u w:val="single"/>
    </w:rPr>
  </w:style>
  <w:style w:type="character" w:customStyle="1" w:styleId="HeaderChar">
    <w:name w:val="Header Char"/>
    <w:link w:val="Header"/>
    <w:uiPriority w:val="99"/>
    <w:locked/>
    <w:rsid w:val="001D326B"/>
  </w:style>
  <w:style w:type="paragraph" w:styleId="FootnoteText">
    <w:name w:val="footnote text"/>
    <w:aliases w:val="ft Char"/>
    <w:basedOn w:val="Normal"/>
    <w:link w:val="FootnoteTextChar"/>
    <w:rsid w:val="001D326B"/>
  </w:style>
  <w:style w:type="character" w:customStyle="1" w:styleId="FootnoteTextChar">
    <w:name w:val="Footnote Text Char"/>
    <w:aliases w:val="ft Char Char"/>
    <w:basedOn w:val="DefaultParagraphFont"/>
    <w:link w:val="FootnoteText"/>
    <w:rsid w:val="001D326B"/>
  </w:style>
  <w:style w:type="character" w:styleId="FootnoteReference">
    <w:name w:val="footnote reference"/>
    <w:aliases w:val="(NECG) Footnote Reference,Appel note de bas de p,FR,Footnote Reference/,Style 12,Style 124,Style 13,Style 17,Style 3,Style 4,Style 6,Style 7,fr,o"/>
    <w:rsid w:val="001D326B"/>
    <w:rPr>
      <w:rFonts w:cs="Times New Roman"/>
      <w:vertAlign w:val="superscript"/>
    </w:rPr>
  </w:style>
  <w:style w:type="paragraph" w:customStyle="1" w:styleId="ParaNum">
    <w:name w:val="ParaNum"/>
    <w:basedOn w:val="Normal"/>
    <w:rsid w:val="001D326B"/>
    <w:pPr>
      <w:widowControl w:val="0"/>
      <w:numPr>
        <w:numId w:val="1"/>
      </w:numPr>
      <w:spacing w:after="220"/>
      <w:jc w:val="both"/>
    </w:pPr>
    <w:rPr>
      <w:kern w:val="28"/>
      <w:sz w:val="22"/>
    </w:rPr>
  </w:style>
  <w:style w:type="paragraph" w:styleId="BodyTextIndent">
    <w:name w:val="Body Text Indent"/>
    <w:basedOn w:val="Normal"/>
    <w:link w:val="BodyTextIndentChar"/>
    <w:rsid w:val="001D326B"/>
    <w:pPr>
      <w:ind w:firstLine="720"/>
    </w:pPr>
    <w:rPr>
      <w:sz w:val="24"/>
    </w:rPr>
  </w:style>
  <w:style w:type="character" w:customStyle="1" w:styleId="BodyTextIndentChar">
    <w:name w:val="Body Text Indent Char"/>
    <w:link w:val="BodyTextIndent"/>
    <w:rsid w:val="001D326B"/>
    <w:rPr>
      <w:sz w:val="24"/>
    </w:rPr>
  </w:style>
  <w:style w:type="paragraph" w:styleId="BodyText2">
    <w:name w:val="Body Text 2"/>
    <w:basedOn w:val="Normal"/>
    <w:link w:val="BodyText2Char"/>
    <w:rsid w:val="001D326B"/>
    <w:pPr>
      <w:widowControl w:val="0"/>
      <w:jc w:val="both"/>
    </w:pPr>
    <w:rPr>
      <w:kern w:val="28"/>
      <w:sz w:val="24"/>
    </w:rPr>
  </w:style>
  <w:style w:type="character" w:customStyle="1" w:styleId="BodyText2Char">
    <w:name w:val="Body Text 2 Char"/>
    <w:link w:val="BodyText2"/>
    <w:rsid w:val="001D326B"/>
    <w:rPr>
      <w:kern w:val="28"/>
      <w:sz w:val="24"/>
    </w:rPr>
  </w:style>
  <w:style w:type="character" w:customStyle="1" w:styleId="documentbody">
    <w:name w:val="documentbody"/>
    <w:rsid w:val="001D326B"/>
    <w:rPr>
      <w:rFonts w:cs="Times New Roman"/>
    </w:rPr>
  </w:style>
  <w:style w:type="character" w:customStyle="1" w:styleId="FootnoteReference1">
    <w:name w:val="Footnote Reference1"/>
    <w:rsid w:val="001D326B"/>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1D326B"/>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