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215797" w14:paraId="4A50E3C9" w14:textId="77777777">
      <w:pPr>
        <w:jc w:val="center"/>
        <w:rPr>
          <w:b/>
        </w:rPr>
      </w:pPr>
      <w:bookmarkStart w:id="0" w:name="_Hlk43661146"/>
      <w:r w:rsidRPr="00215797">
        <w:rPr>
          <w:rFonts w:ascii="Times New Roman Bold" w:hAnsi="Times New Roman Bold"/>
          <w:b/>
          <w:kern w:val="0"/>
          <w:szCs w:val="22"/>
        </w:rPr>
        <w:t>Before</w:t>
      </w:r>
      <w:r w:rsidRPr="00215797">
        <w:rPr>
          <w:b/>
        </w:rPr>
        <w:t xml:space="preserve"> the</w:t>
      </w:r>
    </w:p>
    <w:p w:rsidR="00921803" w:rsidRPr="00215797" w:rsidP="00921803" w14:paraId="1C3F7D20" w14:textId="77777777">
      <w:pPr>
        <w:pStyle w:val="StyleBoldCentered"/>
      </w:pPr>
      <w:r w:rsidRPr="00215797">
        <w:t>F</w:t>
      </w:r>
      <w:r w:rsidRPr="00215797">
        <w:rPr>
          <w:caps w:val="0"/>
        </w:rPr>
        <w:t>ederal Communications Commission</w:t>
      </w:r>
    </w:p>
    <w:p w:rsidR="004C2EE3" w:rsidRPr="00215797" w:rsidP="00096D8C" w14:paraId="4AAFE5B4" w14:textId="77777777">
      <w:pPr>
        <w:pStyle w:val="StyleBoldCentered"/>
      </w:pPr>
      <w:r w:rsidRPr="00215797">
        <w:rPr>
          <w:caps w:val="0"/>
        </w:rPr>
        <w:t>Washington, D.C. 20554</w:t>
      </w:r>
    </w:p>
    <w:p w:rsidR="004C2EE3" w:rsidRPr="00215797" w:rsidP="0070224F" w14:paraId="590C0341" w14:textId="77777777"/>
    <w:p w:rsidR="004C2EE3" w:rsidRPr="00215797" w:rsidP="0070224F" w14:paraId="3CE5BECA" w14:textId="77777777"/>
    <w:tbl>
      <w:tblPr>
        <w:tblW w:w="0" w:type="auto"/>
        <w:tblLayout w:type="fixed"/>
        <w:tblLook w:val="0000"/>
      </w:tblPr>
      <w:tblGrid>
        <w:gridCol w:w="4698"/>
        <w:gridCol w:w="630"/>
        <w:gridCol w:w="4248"/>
      </w:tblGrid>
      <w:tr w14:paraId="504736C9" w14:textId="77777777">
        <w:tblPrEx>
          <w:tblW w:w="0" w:type="auto"/>
          <w:tblLayout w:type="fixed"/>
          <w:tblLook w:val="0000"/>
        </w:tblPrEx>
        <w:tc>
          <w:tcPr>
            <w:tcW w:w="4698" w:type="dxa"/>
          </w:tcPr>
          <w:p w:rsidR="004C2EE3" w:rsidRPr="00215797" w14:paraId="54D50D9E" w14:textId="77777777">
            <w:pPr>
              <w:tabs>
                <w:tab w:val="center" w:pos="4680"/>
              </w:tabs>
              <w:suppressAutoHyphens/>
              <w:rPr>
                <w:spacing w:val="-2"/>
              </w:rPr>
            </w:pPr>
            <w:bookmarkStart w:id="1" w:name="_Hlk43657849"/>
            <w:r w:rsidRPr="00215797">
              <w:rPr>
                <w:spacing w:val="-2"/>
              </w:rPr>
              <w:t>In the Matter of</w:t>
            </w:r>
          </w:p>
          <w:p w:rsidR="004C2EE3" w:rsidRPr="00215797" w14:paraId="0C78561F" w14:textId="77777777">
            <w:pPr>
              <w:tabs>
                <w:tab w:val="center" w:pos="4680"/>
              </w:tabs>
              <w:suppressAutoHyphens/>
              <w:rPr>
                <w:spacing w:val="-2"/>
              </w:rPr>
            </w:pPr>
          </w:p>
          <w:p w:rsidR="00C16280" w:rsidRPr="00215797" w:rsidP="00C16280" w14:paraId="7F8C9011" w14:textId="77777777">
            <w:pPr>
              <w:tabs>
                <w:tab w:val="center" w:pos="4680"/>
              </w:tabs>
              <w:suppressAutoHyphens/>
              <w:rPr>
                <w:spacing w:val="-2"/>
              </w:rPr>
            </w:pPr>
            <w:r w:rsidRPr="00215797">
              <w:rPr>
                <w:spacing w:val="-2"/>
              </w:rPr>
              <w:t>Liberty Defense Holdings, Ltd.</w:t>
            </w:r>
          </w:p>
          <w:p w:rsidR="005E3B51" w:rsidRPr="00215797" w:rsidP="00C16280" w14:paraId="4E7FCDD7" w14:textId="77777777">
            <w:pPr>
              <w:tabs>
                <w:tab w:val="center" w:pos="4680"/>
              </w:tabs>
              <w:suppressAutoHyphens/>
              <w:rPr>
                <w:spacing w:val="-2"/>
              </w:rPr>
            </w:pPr>
            <w:r w:rsidRPr="00215797">
              <w:rPr>
                <w:spacing w:val="-2"/>
              </w:rPr>
              <w:t>d/b/a Liberty Defense Technologies</w:t>
            </w:r>
          </w:p>
          <w:p w:rsidR="00C16280" w:rsidRPr="00215797" w:rsidP="00C16280" w14:paraId="1808A014" w14:textId="77777777">
            <w:pPr>
              <w:tabs>
                <w:tab w:val="center" w:pos="4680"/>
              </w:tabs>
              <w:suppressAutoHyphens/>
              <w:rPr>
                <w:spacing w:val="-2"/>
              </w:rPr>
            </w:pPr>
          </w:p>
          <w:p w:rsidR="004C2EE3" w:rsidRPr="00215797" w:rsidP="00C16280" w14:paraId="1DF1D31E" w14:textId="77777777">
            <w:pPr>
              <w:tabs>
                <w:tab w:val="center" w:pos="4680"/>
              </w:tabs>
              <w:suppressAutoHyphens/>
              <w:rPr>
                <w:spacing w:val="-2"/>
              </w:rPr>
            </w:pPr>
            <w:r w:rsidRPr="00215797">
              <w:rPr>
                <w:spacing w:val="-2"/>
              </w:rPr>
              <w:t xml:space="preserve">Request for Waiver of </w:t>
            </w:r>
            <w:r w:rsidRPr="00215797" w:rsidR="005E3B51">
              <w:rPr>
                <w:spacing w:val="-2"/>
              </w:rPr>
              <w:t xml:space="preserve">Sections </w:t>
            </w:r>
            <w:bookmarkStart w:id="2" w:name="_Hlk26362203"/>
            <w:r w:rsidRPr="00215797" w:rsidR="005E3B51">
              <w:rPr>
                <w:spacing w:val="-2"/>
              </w:rPr>
              <w:t>15.31(c), 15.503(d),</w:t>
            </w:r>
          </w:p>
          <w:p w:rsidR="005E3B51" w:rsidRPr="008928A6" w:rsidP="00C16280" w14:paraId="613CF40C" w14:textId="77777777">
            <w:pPr>
              <w:tabs>
                <w:tab w:val="center" w:pos="4680"/>
              </w:tabs>
              <w:suppressAutoHyphens/>
              <w:rPr>
                <w:spacing w:val="-2"/>
              </w:rPr>
            </w:pPr>
            <w:r w:rsidRPr="00215797">
              <w:rPr>
                <w:spacing w:val="-2"/>
              </w:rPr>
              <w:t>15.511(b), 15.511(f) and 15.</w:t>
            </w:r>
            <w:r w:rsidRPr="00215797" w:rsidR="00A044F7">
              <w:rPr>
                <w:spacing w:val="-2"/>
              </w:rPr>
              <w:t>5</w:t>
            </w:r>
            <w:r w:rsidRPr="008928A6">
              <w:rPr>
                <w:spacing w:val="-2"/>
              </w:rPr>
              <w:t>21(d)</w:t>
            </w:r>
            <w:bookmarkEnd w:id="2"/>
            <w:r w:rsidRPr="008928A6">
              <w:rPr>
                <w:spacing w:val="-2"/>
              </w:rPr>
              <w:t xml:space="preserve"> of the Commission’s Rules</w:t>
            </w:r>
          </w:p>
        </w:tc>
        <w:tc>
          <w:tcPr>
            <w:tcW w:w="630" w:type="dxa"/>
          </w:tcPr>
          <w:p w:rsidR="004C2EE3" w:rsidRPr="0034623C" w14:paraId="7A6B5B81" w14:textId="77777777">
            <w:pPr>
              <w:tabs>
                <w:tab w:val="center" w:pos="4680"/>
              </w:tabs>
              <w:suppressAutoHyphens/>
              <w:rPr>
                <w:b/>
                <w:spacing w:val="-2"/>
              </w:rPr>
            </w:pPr>
            <w:r w:rsidRPr="0034623C">
              <w:rPr>
                <w:b/>
                <w:spacing w:val="-2"/>
              </w:rPr>
              <w:t>)</w:t>
            </w:r>
          </w:p>
          <w:p w:rsidR="004C2EE3" w:rsidRPr="0034623C" w14:paraId="03A25A54" w14:textId="77777777">
            <w:pPr>
              <w:tabs>
                <w:tab w:val="center" w:pos="4680"/>
              </w:tabs>
              <w:suppressAutoHyphens/>
              <w:rPr>
                <w:b/>
                <w:spacing w:val="-2"/>
              </w:rPr>
            </w:pPr>
            <w:r w:rsidRPr="0034623C">
              <w:rPr>
                <w:b/>
                <w:spacing w:val="-2"/>
              </w:rPr>
              <w:t>)</w:t>
            </w:r>
          </w:p>
          <w:p w:rsidR="004C2EE3" w:rsidRPr="0034623C" w14:paraId="067002BD" w14:textId="77777777">
            <w:pPr>
              <w:tabs>
                <w:tab w:val="center" w:pos="4680"/>
              </w:tabs>
              <w:suppressAutoHyphens/>
              <w:rPr>
                <w:b/>
                <w:spacing w:val="-2"/>
              </w:rPr>
            </w:pPr>
            <w:r w:rsidRPr="0034623C">
              <w:rPr>
                <w:b/>
                <w:spacing w:val="-2"/>
              </w:rPr>
              <w:t>)</w:t>
            </w:r>
          </w:p>
          <w:p w:rsidR="004C2EE3" w:rsidRPr="0034623C" w14:paraId="1225C54F" w14:textId="77777777">
            <w:pPr>
              <w:tabs>
                <w:tab w:val="center" w:pos="4680"/>
              </w:tabs>
              <w:suppressAutoHyphens/>
              <w:rPr>
                <w:b/>
                <w:spacing w:val="-2"/>
              </w:rPr>
            </w:pPr>
            <w:r w:rsidRPr="0034623C">
              <w:rPr>
                <w:b/>
                <w:spacing w:val="-2"/>
              </w:rPr>
              <w:t>)</w:t>
            </w:r>
          </w:p>
          <w:p w:rsidR="004C2EE3" w:rsidRPr="0034623C" w14:paraId="4E0F2776" w14:textId="77777777">
            <w:pPr>
              <w:tabs>
                <w:tab w:val="center" w:pos="4680"/>
              </w:tabs>
              <w:suppressAutoHyphens/>
              <w:rPr>
                <w:b/>
                <w:spacing w:val="-2"/>
              </w:rPr>
            </w:pPr>
            <w:r w:rsidRPr="0034623C">
              <w:rPr>
                <w:b/>
                <w:spacing w:val="-2"/>
              </w:rPr>
              <w:t>)</w:t>
            </w:r>
          </w:p>
          <w:p w:rsidR="004C2EE3" w:rsidRPr="0034623C" w14:paraId="3669C9D0" w14:textId="77777777">
            <w:pPr>
              <w:tabs>
                <w:tab w:val="center" w:pos="4680"/>
              </w:tabs>
              <w:suppressAutoHyphens/>
              <w:rPr>
                <w:b/>
                <w:spacing w:val="-2"/>
              </w:rPr>
            </w:pPr>
            <w:r w:rsidRPr="0034623C">
              <w:rPr>
                <w:b/>
                <w:spacing w:val="-2"/>
              </w:rPr>
              <w:t>)</w:t>
            </w:r>
          </w:p>
          <w:p w:rsidR="00457CDA" w14:paraId="136FF247" w14:textId="77777777">
            <w:pPr>
              <w:tabs>
                <w:tab w:val="center" w:pos="4680"/>
              </w:tabs>
              <w:suppressAutoHyphens/>
              <w:rPr>
                <w:spacing w:val="-2"/>
              </w:rPr>
            </w:pPr>
            <w:r>
              <w:rPr>
                <w:spacing w:val="-2"/>
              </w:rPr>
              <w:t>)</w:t>
            </w:r>
          </w:p>
          <w:p w:rsidR="004C2EE3" w14:paraId="48AE4CBC" w14:textId="77777777">
            <w:pPr>
              <w:tabs>
                <w:tab w:val="center" w:pos="4680"/>
              </w:tabs>
              <w:suppressAutoHyphens/>
              <w:rPr>
                <w:spacing w:val="-2"/>
              </w:rPr>
            </w:pPr>
            <w:r>
              <w:rPr>
                <w:spacing w:val="-2"/>
              </w:rPr>
              <w:t>)</w:t>
            </w:r>
          </w:p>
          <w:p w:rsidR="00C0076C" w14:paraId="61C291F3" w14:textId="77777777">
            <w:pPr>
              <w:tabs>
                <w:tab w:val="center" w:pos="4680"/>
              </w:tabs>
              <w:suppressAutoHyphens/>
              <w:rPr>
                <w:spacing w:val="-2"/>
              </w:rPr>
            </w:pPr>
          </w:p>
          <w:p w:rsidR="00C0076C" w:rsidRPr="0034623C" w14:paraId="00660653" w14:textId="77777777">
            <w:pPr>
              <w:tabs>
                <w:tab w:val="center" w:pos="4680"/>
              </w:tabs>
              <w:suppressAutoHyphens/>
              <w:rPr>
                <w:spacing w:val="-2"/>
              </w:rPr>
            </w:pPr>
          </w:p>
        </w:tc>
        <w:tc>
          <w:tcPr>
            <w:tcW w:w="4248" w:type="dxa"/>
          </w:tcPr>
          <w:p w:rsidR="004C2EE3" w:rsidRPr="0034623C" w14:paraId="650D58F8" w14:textId="77777777">
            <w:pPr>
              <w:tabs>
                <w:tab w:val="center" w:pos="4680"/>
              </w:tabs>
              <w:suppressAutoHyphens/>
              <w:rPr>
                <w:spacing w:val="-2"/>
              </w:rPr>
            </w:pPr>
          </w:p>
          <w:p w:rsidR="004C2EE3" w:rsidRPr="0034623C" w14:paraId="4C1B127D" w14:textId="77777777">
            <w:pPr>
              <w:pStyle w:val="TOAHeading"/>
              <w:tabs>
                <w:tab w:val="center" w:pos="4680"/>
                <w:tab w:val="clear" w:pos="9360"/>
              </w:tabs>
              <w:rPr>
                <w:spacing w:val="-2"/>
              </w:rPr>
            </w:pPr>
          </w:p>
          <w:p w:rsidR="004C2EE3" w:rsidRPr="0034623C" w14:paraId="45A118F5" w14:textId="77777777">
            <w:pPr>
              <w:tabs>
                <w:tab w:val="center" w:pos="4680"/>
              </w:tabs>
              <w:suppressAutoHyphens/>
              <w:rPr>
                <w:spacing w:val="-2"/>
              </w:rPr>
            </w:pPr>
            <w:r w:rsidRPr="0034623C">
              <w:rPr>
                <w:spacing w:val="-2"/>
              </w:rPr>
              <w:t xml:space="preserve">ET Docket No. </w:t>
            </w:r>
            <w:r w:rsidRPr="0034623C" w:rsidR="00A035E9">
              <w:rPr>
                <w:spacing w:val="-2"/>
              </w:rPr>
              <w:t>19</w:t>
            </w:r>
            <w:r w:rsidRPr="0034623C">
              <w:rPr>
                <w:spacing w:val="-2"/>
              </w:rPr>
              <w:t>-</w:t>
            </w:r>
            <w:r w:rsidRPr="0034623C" w:rsidR="00A035E9">
              <w:rPr>
                <w:spacing w:val="-2"/>
              </w:rPr>
              <w:t>217</w:t>
            </w:r>
          </w:p>
        </w:tc>
      </w:tr>
    </w:tbl>
    <w:p w:rsidR="00C16280" w:rsidRPr="0034623C" w:rsidP="00C16280" w14:paraId="570D974F" w14:textId="77777777">
      <w:pPr>
        <w:pStyle w:val="StyleBoldCentered"/>
      </w:pPr>
      <w:r w:rsidRPr="0034623C">
        <w:t>order</w:t>
      </w:r>
    </w:p>
    <w:p w:rsidR="004C2EE3" w:rsidRPr="0034623C" w14:paraId="3F7286D1" w14:textId="77777777">
      <w:pPr>
        <w:tabs>
          <w:tab w:val="left" w:pos="-720"/>
        </w:tabs>
        <w:suppressAutoHyphens/>
        <w:spacing w:line="227" w:lineRule="auto"/>
        <w:rPr>
          <w:spacing w:val="-2"/>
        </w:rPr>
      </w:pPr>
    </w:p>
    <w:p w:rsidR="004C2EE3" w:rsidRPr="0034623C" w:rsidP="00133F79" w14:paraId="27AAE6F4" w14:textId="53772E77">
      <w:pPr>
        <w:tabs>
          <w:tab w:val="left" w:pos="720"/>
          <w:tab w:val="right" w:pos="9360"/>
        </w:tabs>
        <w:suppressAutoHyphens/>
        <w:spacing w:line="227" w:lineRule="auto"/>
        <w:rPr>
          <w:spacing w:val="-2"/>
        </w:rPr>
      </w:pPr>
      <w:r w:rsidRPr="0034623C">
        <w:rPr>
          <w:b/>
          <w:spacing w:val="-2"/>
        </w:rPr>
        <w:t xml:space="preserve">Adopted:  </w:t>
      </w:r>
      <w:r w:rsidR="00033427">
        <w:rPr>
          <w:b/>
          <w:spacing w:val="-2"/>
        </w:rPr>
        <w:t>February 9</w:t>
      </w:r>
      <w:r w:rsidRPr="0034623C" w:rsidR="00C16280">
        <w:rPr>
          <w:b/>
          <w:spacing w:val="-2"/>
        </w:rPr>
        <w:t>, 20</w:t>
      </w:r>
      <w:r w:rsidR="008A1E09">
        <w:rPr>
          <w:b/>
          <w:spacing w:val="-2"/>
        </w:rPr>
        <w:t>2</w:t>
      </w:r>
      <w:r w:rsidR="00C43BAA">
        <w:rPr>
          <w:b/>
          <w:spacing w:val="-2"/>
        </w:rPr>
        <w:t>2</w:t>
      </w:r>
      <w:r w:rsidRPr="0034623C">
        <w:rPr>
          <w:b/>
          <w:spacing w:val="-2"/>
        </w:rPr>
        <w:tab/>
      </w:r>
      <w:r w:rsidRPr="0034623C" w:rsidR="00822CE0">
        <w:rPr>
          <w:b/>
          <w:spacing w:val="-2"/>
        </w:rPr>
        <w:t>Released</w:t>
      </w:r>
      <w:r w:rsidRPr="0034623C">
        <w:rPr>
          <w:b/>
          <w:spacing w:val="-2"/>
        </w:rPr>
        <w:t>:</w:t>
      </w:r>
      <w:r w:rsidRPr="0034623C" w:rsidR="00822CE0">
        <w:rPr>
          <w:b/>
          <w:spacing w:val="-2"/>
        </w:rPr>
        <w:t xml:space="preserve"> </w:t>
      </w:r>
      <w:r w:rsidRPr="0034623C">
        <w:rPr>
          <w:b/>
          <w:spacing w:val="-2"/>
        </w:rPr>
        <w:t xml:space="preserve"> </w:t>
      </w:r>
      <w:r w:rsidR="00033427">
        <w:rPr>
          <w:b/>
          <w:spacing w:val="-2"/>
        </w:rPr>
        <w:t>February 9</w:t>
      </w:r>
      <w:r w:rsidRPr="0034623C" w:rsidR="00C16280">
        <w:rPr>
          <w:b/>
          <w:spacing w:val="-2"/>
        </w:rPr>
        <w:t>, 20</w:t>
      </w:r>
      <w:r w:rsidR="008A1E09">
        <w:rPr>
          <w:b/>
          <w:spacing w:val="-2"/>
        </w:rPr>
        <w:t>2</w:t>
      </w:r>
      <w:r w:rsidR="00C43BAA">
        <w:rPr>
          <w:b/>
          <w:spacing w:val="-2"/>
        </w:rPr>
        <w:t>2</w:t>
      </w:r>
    </w:p>
    <w:p w:rsidR="00822CE0" w:rsidRPr="0034623C" w14:paraId="626AEF1D" w14:textId="77777777"/>
    <w:p w:rsidR="00C16280" w:rsidRPr="0034623C" w:rsidP="00C16280" w14:paraId="3B640886" w14:textId="77777777">
      <w:pPr>
        <w:rPr>
          <w:spacing w:val="-2"/>
        </w:rPr>
      </w:pPr>
      <w:r w:rsidRPr="0034623C">
        <w:t xml:space="preserve">By the </w:t>
      </w:r>
      <w:r w:rsidR="00C0076C">
        <w:t xml:space="preserve">Acting </w:t>
      </w:r>
      <w:r w:rsidRPr="0034623C">
        <w:rPr>
          <w:spacing w:val="-2"/>
        </w:rPr>
        <w:t>Chief, Office of Engineering and Technology:</w:t>
      </w:r>
    </w:p>
    <w:bookmarkEnd w:id="1"/>
    <w:p w:rsidR="00C16280" w:rsidRPr="0034623C" w:rsidP="00C16280" w14:paraId="07A7C01E" w14:textId="77777777"/>
    <w:bookmarkEnd w:id="0"/>
    <w:p w:rsidR="00C16280" w:rsidRPr="0034623C" w:rsidP="00C16280" w14:paraId="498204A8" w14:textId="77777777"/>
    <w:p w:rsidR="00C16280" w:rsidRPr="0034623C" w:rsidP="00C60A8B" w14:paraId="1BF97EFE" w14:textId="77777777">
      <w:pPr>
        <w:pStyle w:val="Heading1"/>
      </w:pPr>
      <w:r w:rsidRPr="0034623C">
        <w:t>introduction</w:t>
      </w:r>
      <w:bookmarkStart w:id="3" w:name="_Hlk40784286"/>
    </w:p>
    <w:p w:rsidR="002C3C69" w:rsidRPr="00215797" w:rsidP="002C3C69" w14:paraId="4D89A792" w14:textId="77777777">
      <w:pPr>
        <w:pStyle w:val="ParaNum"/>
      </w:pPr>
      <w:bookmarkStart w:id="4" w:name="_Hlk43661346"/>
      <w:r w:rsidRPr="0034623C">
        <w:t xml:space="preserve">By this Order, we grant a request by Liberty Defense </w:t>
      </w:r>
      <w:r w:rsidR="0027648F">
        <w:t xml:space="preserve">Holdings, Ltd. </w:t>
      </w:r>
      <w:r w:rsidR="00EE72A7">
        <w:t>d</w:t>
      </w:r>
      <w:r w:rsidR="0027648F">
        <w:t xml:space="preserve">/b/a Liberty Defense </w:t>
      </w:r>
      <w:r w:rsidRPr="0034623C">
        <w:t xml:space="preserve">Technologies (Liberty), for a waiver of our rules governing unlicensed ultra-wideband (UWB) devices to permit the certification and marketing of its </w:t>
      </w:r>
      <w:r w:rsidRPr="00215797">
        <w:t>threat de</w:t>
      </w:r>
      <w:r w:rsidRPr="00215797" w:rsidR="00965E6A">
        <w:t>te</w:t>
      </w:r>
      <w:r w:rsidRPr="00215797">
        <w:t>ction imaging system</w:t>
      </w:r>
      <w:r w:rsidRPr="00215797">
        <w:rPr>
          <w:color w:val="FF0000"/>
        </w:rPr>
        <w:t>.</w:t>
      </w:r>
      <w:r w:rsidRPr="00215797">
        <w:t xml:space="preserve">  We find that</w:t>
      </w:r>
      <w:r w:rsidR="0027648F">
        <w:t xml:space="preserve"> </w:t>
      </w:r>
      <w:r w:rsidR="00455FAB">
        <w:t>opening a path</w:t>
      </w:r>
      <w:r w:rsidR="0027648F">
        <w:t xml:space="preserve"> for the sale and operation of this equipment will </w:t>
      </w:r>
      <w:r w:rsidR="00455FAB">
        <w:t>allow this system to be deployed to protect Americans against threats in public venues and other high-traffic areas</w:t>
      </w:r>
      <w:r w:rsidR="0027648F">
        <w:t>, in furtherance of the public interest, and that operation of</w:t>
      </w:r>
      <w:r w:rsidRPr="00215797">
        <w:t xml:space="preserve"> this device under the specified waiver conditions poses no greater risk of causing harmful interference to communication services than those devices already permitted under the existing rules</w:t>
      </w:r>
      <w:r w:rsidRPr="008928A6">
        <w:t>.</w:t>
      </w:r>
      <w:bookmarkEnd w:id="3"/>
      <w:bookmarkEnd w:id="4"/>
    </w:p>
    <w:p w:rsidR="000F6AEF" w:rsidRPr="00C60A8B" w:rsidP="00C60A8B" w14:paraId="34EE68F3" w14:textId="77777777">
      <w:pPr>
        <w:pStyle w:val="Heading1"/>
        <w:rPr>
          <w:spacing w:val="-2"/>
        </w:rPr>
      </w:pPr>
      <w:r w:rsidRPr="00215797">
        <w:t>Background</w:t>
      </w:r>
    </w:p>
    <w:p w:rsidR="00541CBB" w:rsidRPr="00C60A8B" w:rsidP="00735E87" w14:paraId="393D151C" w14:textId="77777777">
      <w:pPr>
        <w:pStyle w:val="ParaNum"/>
      </w:pPr>
      <w:bookmarkStart w:id="5" w:name="_Hlk43661407"/>
      <w:r w:rsidRPr="0034623C">
        <w:rPr>
          <w:snapToGrid/>
        </w:rPr>
        <w:t>On May 8, 2019, Liberty filed a request for waiver of the Commission’s Part 15 rules to allow the marketing and operation of its surveillance system known as the HEXWAVE.</w:t>
      </w:r>
      <w:r>
        <w:rPr>
          <w:rStyle w:val="FootnoteReference"/>
          <w:snapToGrid/>
        </w:rPr>
        <w:footnoteReference w:id="3"/>
      </w:r>
      <w:r w:rsidRPr="0034623C">
        <w:rPr>
          <w:snapToGrid/>
        </w:rPr>
        <w:t xml:space="preserve"> </w:t>
      </w:r>
      <w:r w:rsidR="003600DE">
        <w:rPr>
          <w:snapToGrid/>
        </w:rPr>
        <w:t xml:space="preserve"> </w:t>
      </w:r>
      <w:r w:rsidRPr="0034623C">
        <w:rPr>
          <w:snapToGrid/>
        </w:rPr>
        <w:t xml:space="preserve">Liberty states that the system uses active three-dimensional imaging to detect weapons, explosives, and other threats using </w:t>
      </w:r>
      <w:r w:rsidRPr="0034623C" w:rsidR="003600DE">
        <w:rPr>
          <w:snapToGrid/>
        </w:rPr>
        <w:t xml:space="preserve">UWB </w:t>
      </w:r>
      <w:r w:rsidRPr="0034623C">
        <w:rPr>
          <w:snapToGrid/>
        </w:rPr>
        <w:t>technology</w:t>
      </w:r>
      <w:r w:rsidR="00B33759">
        <w:rPr>
          <w:snapToGrid/>
        </w:rPr>
        <w:t xml:space="preserve">, and that </w:t>
      </w:r>
      <w:r w:rsidRPr="0034623C">
        <w:rPr>
          <w:snapToGrid/>
        </w:rPr>
        <w:t xml:space="preserve">the HEXWAVE </w:t>
      </w:r>
      <w:r w:rsidR="00B33759">
        <w:rPr>
          <w:snapToGrid/>
        </w:rPr>
        <w:t xml:space="preserve">will </w:t>
      </w:r>
      <w:r w:rsidRPr="0034623C">
        <w:rPr>
          <w:snapToGrid/>
        </w:rPr>
        <w:t>enable law enforcement and security professionals to engage a target before a situation can escalate into an attack.</w:t>
      </w:r>
      <w:r>
        <w:rPr>
          <w:rStyle w:val="FootnoteReference"/>
          <w:snapToGrid/>
          <w:kern w:val="0"/>
          <w:szCs w:val="22"/>
        </w:rPr>
        <w:footnoteReference w:id="4"/>
      </w:r>
    </w:p>
    <w:p w:rsidR="003B57D7" w:rsidRPr="005E2D66" w:rsidP="00033427" w14:paraId="775F9D0C" w14:textId="77777777">
      <w:pPr>
        <w:pStyle w:val="ParaNum"/>
        <w:widowControl/>
      </w:pPr>
      <w:r>
        <w:rPr>
          <w:snapToGrid/>
          <w:kern w:val="0"/>
          <w:szCs w:val="22"/>
        </w:rPr>
        <w:t>The HEXWAVE is a UWB device that is designed to</w:t>
      </w:r>
      <w:r w:rsidRPr="0034623C">
        <w:rPr>
          <w:snapToGrid/>
          <w:kern w:val="0"/>
          <w:szCs w:val="22"/>
        </w:rPr>
        <w:t xml:space="preserve"> </w:t>
      </w:r>
      <w:r>
        <w:rPr>
          <w:snapToGrid/>
          <w:kern w:val="0"/>
          <w:szCs w:val="22"/>
        </w:rPr>
        <w:t xml:space="preserve">operate in the 6-10.6 GHz band by </w:t>
      </w:r>
      <w:r w:rsidRPr="0034623C">
        <w:rPr>
          <w:snapToGrid/>
          <w:kern w:val="0"/>
          <w:szCs w:val="22"/>
        </w:rPr>
        <w:t>sweep</w:t>
      </w:r>
      <w:r>
        <w:rPr>
          <w:snapToGrid/>
          <w:kern w:val="0"/>
          <w:szCs w:val="22"/>
        </w:rPr>
        <w:t>ing</w:t>
      </w:r>
      <w:r w:rsidRPr="0034623C">
        <w:rPr>
          <w:snapToGrid/>
          <w:kern w:val="0"/>
          <w:szCs w:val="22"/>
        </w:rPr>
        <w:t xml:space="preserve"> through</w:t>
      </w:r>
      <w:r>
        <w:rPr>
          <w:snapToGrid/>
          <w:kern w:val="0"/>
          <w:szCs w:val="22"/>
        </w:rPr>
        <w:t xml:space="preserve"> its</w:t>
      </w:r>
      <w:r w:rsidRPr="0034623C">
        <w:rPr>
          <w:snapToGrid/>
          <w:kern w:val="0"/>
          <w:szCs w:val="22"/>
        </w:rPr>
        <w:t xml:space="preserve"> frequency range in 200</w:t>
      </w:r>
      <w:r w:rsidR="00E8318D">
        <w:rPr>
          <w:snapToGrid/>
          <w:kern w:val="0"/>
          <w:szCs w:val="22"/>
        </w:rPr>
        <w:t>-megahertz</w:t>
      </w:r>
      <w:r w:rsidRPr="0034623C">
        <w:rPr>
          <w:snapToGrid/>
          <w:kern w:val="0"/>
          <w:szCs w:val="22"/>
        </w:rPr>
        <w:t xml:space="preserve"> blocks.</w:t>
      </w:r>
      <w:r>
        <w:rPr>
          <w:snapToGrid/>
          <w:kern w:val="0"/>
          <w:szCs w:val="22"/>
        </w:rPr>
        <w:t xml:space="preserve">  </w:t>
      </w:r>
      <w:r>
        <w:t xml:space="preserve">UWB devices are </w:t>
      </w:r>
      <w:r w:rsidRPr="00215797">
        <w:t>low</w:t>
      </w:r>
      <w:r w:rsidRPr="00215797">
        <w:noBreakHyphen/>
        <w:t xml:space="preserve">power radio frequency devices </w:t>
      </w:r>
      <w:r>
        <w:t xml:space="preserve">that operate under </w:t>
      </w:r>
      <w:r w:rsidRPr="00215797">
        <w:t>Part 15</w:t>
      </w:r>
      <w:r>
        <w:t xml:space="preserve"> Subpart F</w:t>
      </w:r>
      <w:r w:rsidRPr="00215797">
        <w:t xml:space="preserve"> of the </w:t>
      </w:r>
      <w:r w:rsidRPr="00215797">
        <w:rPr>
          <w:szCs w:val="22"/>
        </w:rPr>
        <w:t>Commission’s</w:t>
      </w:r>
      <w:r w:rsidRPr="00215797">
        <w:t xml:space="preserve"> rules without individual license</w:t>
      </w:r>
      <w:r>
        <w:t>s</w:t>
      </w:r>
      <w:r w:rsidRPr="00215797">
        <w:t xml:space="preserve"> from the Commission.</w:t>
      </w:r>
      <w:r>
        <w:rPr>
          <w:rStyle w:val="FootnoteReference"/>
          <w:szCs w:val="22"/>
        </w:rPr>
        <w:footnoteReference w:id="5"/>
      </w:r>
      <w:r w:rsidRPr="00215797">
        <w:t xml:space="preserve">  UWB t</w:t>
      </w:r>
      <w:r>
        <w:t>ransmitters</w:t>
      </w:r>
      <w:r w:rsidRPr="00215797">
        <w:t xml:space="preserve"> </w:t>
      </w:r>
      <w:r>
        <w:rPr>
          <w:szCs w:val="22"/>
        </w:rPr>
        <w:t xml:space="preserve">use </w:t>
      </w:r>
      <w:r w:rsidRPr="00215797">
        <w:rPr>
          <w:szCs w:val="22"/>
        </w:rPr>
        <w:t xml:space="preserve">narrow or short duration pulses that result in </w:t>
      </w:r>
      <w:r>
        <w:rPr>
          <w:szCs w:val="22"/>
        </w:rPr>
        <w:t xml:space="preserve">transmissions over </w:t>
      </w:r>
      <w:r w:rsidRPr="00215797">
        <w:rPr>
          <w:szCs w:val="22"/>
        </w:rPr>
        <w:t xml:space="preserve">very large bandwidths.  Surveillance systems </w:t>
      </w:r>
      <w:r>
        <w:rPr>
          <w:szCs w:val="22"/>
        </w:rPr>
        <w:t xml:space="preserve">such as the HEXWAVE </w:t>
      </w:r>
      <w:r w:rsidRPr="00215797">
        <w:rPr>
          <w:szCs w:val="22"/>
        </w:rPr>
        <w:t xml:space="preserve">are </w:t>
      </w:r>
      <w:r>
        <w:rPr>
          <w:szCs w:val="22"/>
        </w:rPr>
        <w:t xml:space="preserve">a particular </w:t>
      </w:r>
      <w:r>
        <w:rPr>
          <w:szCs w:val="22"/>
        </w:rPr>
        <w:t xml:space="preserve">type of </w:t>
      </w:r>
      <w:r w:rsidRPr="00215797">
        <w:rPr>
          <w:szCs w:val="22"/>
        </w:rPr>
        <w:t xml:space="preserve">UWB </w:t>
      </w:r>
      <w:r w:rsidR="001C29EF">
        <w:rPr>
          <w:szCs w:val="22"/>
        </w:rPr>
        <w:t xml:space="preserve">imaging device </w:t>
      </w:r>
      <w:r>
        <w:rPr>
          <w:szCs w:val="22"/>
        </w:rPr>
        <w:t xml:space="preserve">that are </w:t>
      </w:r>
      <w:r w:rsidRPr="00215797">
        <w:rPr>
          <w:szCs w:val="22"/>
        </w:rPr>
        <w:t xml:space="preserve">designed </w:t>
      </w:r>
      <w:r w:rsidR="00E8318D">
        <w:rPr>
          <w:szCs w:val="22"/>
        </w:rPr>
        <w:t xml:space="preserve">to </w:t>
      </w:r>
      <w:r w:rsidRPr="008928A6">
        <w:rPr>
          <w:szCs w:val="22"/>
        </w:rPr>
        <w:t>operate as “security fences” by establishing a stationary RF perimeter field and detecting the intrusion by persons o</w:t>
      </w:r>
      <w:r w:rsidRPr="0034623C">
        <w:rPr>
          <w:szCs w:val="22"/>
        </w:rPr>
        <w:t>r objects in that field.</w:t>
      </w:r>
      <w:r>
        <w:rPr>
          <w:rStyle w:val="FootnoteReference"/>
          <w:color w:val="000000"/>
          <w:szCs w:val="22"/>
        </w:rPr>
        <w:footnoteReference w:id="6"/>
      </w:r>
    </w:p>
    <w:p w:rsidR="003B57D7" w:rsidRPr="002C3C69" w:rsidP="003B57D7" w14:paraId="2A18D94F" w14:textId="77777777">
      <w:pPr>
        <w:pStyle w:val="ParaNum"/>
      </w:pPr>
      <w:r>
        <w:rPr>
          <w:snapToGrid/>
          <w:kern w:val="0"/>
          <w:szCs w:val="22"/>
        </w:rPr>
        <w:t xml:space="preserve">Liberty </w:t>
      </w:r>
      <w:r w:rsidR="00DE38A4">
        <w:rPr>
          <w:snapToGrid/>
          <w:kern w:val="0"/>
          <w:szCs w:val="22"/>
        </w:rPr>
        <w:t xml:space="preserve">seeks waiver of the following </w:t>
      </w:r>
      <w:r w:rsidR="002E0416">
        <w:rPr>
          <w:snapToGrid/>
          <w:kern w:val="0"/>
          <w:szCs w:val="22"/>
        </w:rPr>
        <w:t xml:space="preserve">sections of </w:t>
      </w:r>
      <w:r w:rsidR="00DE38A4">
        <w:rPr>
          <w:snapToGrid/>
          <w:kern w:val="0"/>
          <w:szCs w:val="22"/>
        </w:rPr>
        <w:t xml:space="preserve">the </w:t>
      </w:r>
      <w:r w:rsidR="00E8318D">
        <w:rPr>
          <w:snapToGrid/>
          <w:kern w:val="0"/>
          <w:szCs w:val="22"/>
        </w:rPr>
        <w:t xml:space="preserve">Commission’s </w:t>
      </w:r>
      <w:r>
        <w:rPr>
          <w:snapToGrid/>
          <w:kern w:val="0"/>
          <w:szCs w:val="22"/>
        </w:rPr>
        <w:t>rules</w:t>
      </w:r>
      <w:r w:rsidR="00DE38A4">
        <w:rPr>
          <w:snapToGrid/>
          <w:kern w:val="0"/>
          <w:szCs w:val="22"/>
        </w:rPr>
        <w:t xml:space="preserve">: </w:t>
      </w:r>
      <w:r w:rsidRPr="0034623C">
        <w:rPr>
          <w:snapToGrid/>
          <w:kern w:val="0"/>
          <w:szCs w:val="22"/>
        </w:rPr>
        <w:t>Section 15.503(d)</w:t>
      </w:r>
      <w:r w:rsidR="0003208D">
        <w:rPr>
          <w:snapToGrid/>
          <w:kern w:val="0"/>
          <w:szCs w:val="22"/>
        </w:rPr>
        <w:t>, which</w:t>
      </w:r>
      <w:r w:rsidR="008A1E09">
        <w:rPr>
          <w:snapToGrid/>
          <w:kern w:val="0"/>
          <w:szCs w:val="22"/>
        </w:rPr>
        <w:t xml:space="preserve"> </w:t>
      </w:r>
      <w:r w:rsidRPr="0034623C">
        <w:rPr>
          <w:snapToGrid/>
          <w:kern w:val="0"/>
          <w:szCs w:val="22"/>
        </w:rPr>
        <w:t xml:space="preserve">requires that a UWB transmitter at any point in time have a fractional bandwidth equal to or greater than 0.20 or a UWB bandwidth equal to or greater than 500 </w:t>
      </w:r>
      <w:r w:rsidR="00E8318D">
        <w:rPr>
          <w:snapToGrid/>
          <w:kern w:val="0"/>
          <w:szCs w:val="22"/>
        </w:rPr>
        <w:t>megahertz</w:t>
      </w:r>
      <w:r w:rsidRPr="0034623C">
        <w:rPr>
          <w:snapToGrid/>
          <w:kern w:val="0"/>
          <w:szCs w:val="22"/>
        </w:rPr>
        <w:t>, regardless of the fractional bandwidth</w:t>
      </w:r>
      <w:r>
        <w:rPr>
          <w:snapToGrid/>
          <w:kern w:val="0"/>
          <w:szCs w:val="22"/>
        </w:rPr>
        <w:t xml:space="preserve">; </w:t>
      </w:r>
      <w:r w:rsidRPr="0034623C">
        <w:rPr>
          <w:snapToGrid/>
          <w:kern w:val="0"/>
          <w:szCs w:val="22"/>
        </w:rPr>
        <w:t xml:space="preserve">Section 15.31(c), </w:t>
      </w:r>
      <w:r w:rsidR="0003208D">
        <w:rPr>
          <w:snapToGrid/>
          <w:kern w:val="0"/>
          <w:szCs w:val="22"/>
        </w:rPr>
        <w:t xml:space="preserve">which </w:t>
      </w:r>
      <w:r w:rsidRPr="0034623C">
        <w:rPr>
          <w:snapToGrid/>
          <w:kern w:val="0"/>
          <w:szCs w:val="22"/>
        </w:rPr>
        <w:t>requires measurements to be made with the frequency sweep stopped</w:t>
      </w:r>
      <w:r w:rsidR="008A1E09">
        <w:rPr>
          <w:snapToGrid/>
          <w:kern w:val="0"/>
          <w:szCs w:val="22"/>
        </w:rPr>
        <w:t>;</w:t>
      </w:r>
      <w:r w:rsidRPr="0034623C">
        <w:rPr>
          <w:snapToGrid/>
          <w:kern w:val="0"/>
          <w:szCs w:val="22"/>
        </w:rPr>
        <w:t xml:space="preserve"> and Section 15.521(d),</w:t>
      </w:r>
      <w:r w:rsidR="008A1E09">
        <w:rPr>
          <w:snapToGrid/>
          <w:kern w:val="0"/>
          <w:szCs w:val="22"/>
        </w:rPr>
        <w:t xml:space="preserve"> </w:t>
      </w:r>
      <w:r w:rsidRPr="0034623C">
        <w:rPr>
          <w:snapToGrid/>
          <w:kern w:val="0"/>
          <w:szCs w:val="22"/>
        </w:rPr>
        <w:t xml:space="preserve">requires that </w:t>
      </w:r>
      <w:r w:rsidRPr="0034623C">
        <w:rPr>
          <w:snapToGrid/>
          <w:kern w:val="0"/>
        </w:rPr>
        <w:t>that if pulse gating is employed where the transmitter is quiescent for intervals that are long compared to the nominal pulse repetition interval, measurements shall be made with the pulse train gated on.</w:t>
      </w:r>
      <w:r>
        <w:rPr>
          <w:rStyle w:val="FootnoteReference"/>
          <w:snapToGrid/>
          <w:kern w:val="0"/>
          <w:szCs w:val="22"/>
        </w:rPr>
        <w:footnoteReference w:id="7"/>
      </w:r>
      <w:r>
        <w:rPr>
          <w:snapToGrid/>
          <w:kern w:val="0"/>
        </w:rPr>
        <w:t xml:space="preserve">  </w:t>
      </w:r>
      <w:r w:rsidR="007A5C8D">
        <w:rPr>
          <w:snapToGrid/>
          <w:kern w:val="0"/>
        </w:rPr>
        <w:t xml:space="preserve">Liberty </w:t>
      </w:r>
      <w:r>
        <w:rPr>
          <w:snapToGrid/>
          <w:kern w:val="0"/>
        </w:rPr>
        <w:t>also seeks a waiver of Section 15.511’s use limitations to allow for the use of HEXWAVE devices by private security personnel.</w:t>
      </w:r>
      <w:r>
        <w:rPr>
          <w:rStyle w:val="FootnoteReference"/>
        </w:rPr>
        <w:footnoteReference w:id="8"/>
      </w:r>
      <w:r>
        <w:rPr>
          <w:snapToGrid/>
          <w:kern w:val="0"/>
        </w:rPr>
        <w:t xml:space="preserve">  </w:t>
      </w:r>
      <w:r w:rsidR="008A1E09">
        <w:rPr>
          <w:snapToGrid/>
          <w:kern w:val="0"/>
        </w:rPr>
        <w:t xml:space="preserve">The </w:t>
      </w:r>
      <w:r w:rsidR="00451B3E">
        <w:rPr>
          <w:snapToGrid/>
          <w:kern w:val="0"/>
        </w:rPr>
        <w:t>three</w:t>
      </w:r>
      <w:r w:rsidR="00DE38A4">
        <w:rPr>
          <w:snapToGrid/>
          <w:kern w:val="0"/>
        </w:rPr>
        <w:t xml:space="preserve"> paragraphs </w:t>
      </w:r>
      <w:r w:rsidR="00176DC6">
        <w:rPr>
          <w:snapToGrid/>
          <w:kern w:val="0"/>
        </w:rPr>
        <w:t>of Section</w:t>
      </w:r>
      <w:r>
        <w:rPr>
          <w:snapToGrid/>
          <w:kern w:val="0"/>
        </w:rPr>
        <w:t xml:space="preserve"> 15.511</w:t>
      </w:r>
      <w:r w:rsidR="007A5C8D">
        <w:rPr>
          <w:snapToGrid/>
          <w:kern w:val="0"/>
        </w:rPr>
        <w:t xml:space="preserve"> subject to Liberty’s waiver request</w:t>
      </w:r>
      <w:r w:rsidR="008A1E09">
        <w:rPr>
          <w:snapToGrid/>
          <w:kern w:val="0"/>
        </w:rPr>
        <w:t xml:space="preserve"> </w:t>
      </w:r>
      <w:r w:rsidR="006E08FB">
        <w:rPr>
          <w:snapToGrid/>
          <w:kern w:val="0"/>
        </w:rPr>
        <w:t xml:space="preserve">relate to eligibility requirements for the operation of such surveillance systems </w:t>
      </w:r>
      <w:r w:rsidRPr="008928A6">
        <w:t xml:space="preserve">to </w:t>
      </w:r>
      <w:r w:rsidRPr="0034623C">
        <w:rPr>
          <w:szCs w:val="22"/>
        </w:rPr>
        <w:t>law enforcement, fire or emergency rescue organizations, or by manufacturers licensees, petroleum licensees or power licensees</w:t>
      </w:r>
      <w:r>
        <w:rPr>
          <w:szCs w:val="22"/>
        </w:rPr>
        <w:t xml:space="preserve">; </w:t>
      </w:r>
      <w:r w:rsidR="008A1E09">
        <w:rPr>
          <w:szCs w:val="22"/>
        </w:rPr>
        <w:t xml:space="preserve">require </w:t>
      </w:r>
      <w:r w:rsidRPr="00215797" w:rsidR="008A1E09">
        <w:rPr>
          <w:szCs w:val="22"/>
        </w:rPr>
        <w:t xml:space="preserve">that operation </w:t>
      </w:r>
      <w:r w:rsidR="008A1E09">
        <w:rPr>
          <w:szCs w:val="22"/>
        </w:rPr>
        <w:t xml:space="preserve">must </w:t>
      </w:r>
      <w:r w:rsidRPr="00215797" w:rsidR="008A1E09">
        <w:rPr>
          <w:szCs w:val="22"/>
        </w:rPr>
        <w:t xml:space="preserve">be coordinated </w:t>
      </w:r>
      <w:r w:rsidR="008A1E09">
        <w:rPr>
          <w:snapToGrid/>
          <w:kern w:val="0"/>
        </w:rPr>
        <w:t>with the Federal government</w:t>
      </w:r>
      <w:r w:rsidR="008A1E09">
        <w:rPr>
          <w:szCs w:val="22"/>
        </w:rPr>
        <w:t xml:space="preserve">; </w:t>
      </w:r>
      <w:r>
        <w:rPr>
          <w:szCs w:val="22"/>
        </w:rPr>
        <w:t xml:space="preserve">and </w:t>
      </w:r>
      <w:r>
        <w:rPr>
          <w:snapToGrid/>
          <w:kern w:val="0"/>
        </w:rPr>
        <w:t>specif</w:t>
      </w:r>
      <w:r w:rsidR="00176DC6">
        <w:rPr>
          <w:snapToGrid/>
          <w:kern w:val="0"/>
        </w:rPr>
        <w:t>y</w:t>
      </w:r>
      <w:r>
        <w:rPr>
          <w:snapToGrid/>
          <w:kern w:val="0"/>
        </w:rPr>
        <w:t xml:space="preserve"> that </w:t>
      </w:r>
      <w:r w:rsidRPr="00215797">
        <w:rPr>
          <w:snapToGrid/>
          <w:kern w:val="0"/>
        </w:rPr>
        <w:t xml:space="preserve">surveillance systems </w:t>
      </w:r>
      <w:r>
        <w:rPr>
          <w:snapToGrid/>
          <w:kern w:val="0"/>
        </w:rPr>
        <w:t>must</w:t>
      </w:r>
      <w:r w:rsidRPr="00215797">
        <w:rPr>
          <w:snapToGrid/>
          <w:kern w:val="0"/>
        </w:rPr>
        <w:t xml:space="preserve"> bear the statement that: “Operation of this device is restricted to law enforcement, fire and rescue officials, public utilities, and industrial entities</w:t>
      </w:r>
      <w:r>
        <w:rPr>
          <w:snapToGrid/>
          <w:kern w:val="0"/>
        </w:rPr>
        <w:t>.</w:t>
      </w:r>
      <w:r w:rsidRPr="00215797">
        <w:rPr>
          <w:snapToGrid/>
          <w:kern w:val="0"/>
        </w:rPr>
        <w:t>”</w:t>
      </w:r>
      <w:r>
        <w:rPr>
          <w:rStyle w:val="FootnoteReference"/>
          <w:snapToGrid/>
          <w:kern w:val="0"/>
        </w:rPr>
        <w:footnoteReference w:id="9"/>
      </w:r>
    </w:p>
    <w:p w:rsidR="00883E09" w:rsidRPr="00883E09" w:rsidP="00883E09" w14:paraId="16558099" w14:textId="77777777">
      <w:pPr>
        <w:pStyle w:val="ParaNum"/>
      </w:pPr>
      <w:r>
        <w:rPr>
          <w:szCs w:val="22"/>
        </w:rPr>
        <w:t>The Office of Engineering and Technology (OET) sought comment on Liberty’s waiver request.</w:t>
      </w:r>
      <w:r>
        <w:rPr>
          <w:rStyle w:val="FootnoteReference"/>
          <w:szCs w:val="22"/>
        </w:rPr>
        <w:footnoteReference w:id="10"/>
      </w:r>
      <w:r>
        <w:rPr>
          <w:szCs w:val="22"/>
        </w:rPr>
        <w:t xml:space="preserve">  </w:t>
      </w:r>
      <w:r w:rsidR="00455C44">
        <w:rPr>
          <w:szCs w:val="22"/>
        </w:rPr>
        <w:t>While n</w:t>
      </w:r>
      <w:r>
        <w:rPr>
          <w:szCs w:val="22"/>
        </w:rPr>
        <w:t>o party filed comments specifically addressing technical concerns regarding the waiver request</w:t>
      </w:r>
      <w:r w:rsidR="00455C44">
        <w:rPr>
          <w:szCs w:val="22"/>
        </w:rPr>
        <w:t xml:space="preserve">, </w:t>
      </w:r>
      <w:r w:rsidR="00753FA6">
        <w:rPr>
          <w:szCs w:val="22"/>
        </w:rPr>
        <w:t>Liberty’s request</w:t>
      </w:r>
      <w:r w:rsidR="00455C44">
        <w:rPr>
          <w:szCs w:val="22"/>
        </w:rPr>
        <w:t xml:space="preserve"> was cited in a letter that </w:t>
      </w:r>
      <w:r>
        <w:rPr>
          <w:szCs w:val="22"/>
        </w:rPr>
        <w:t>Cisco Systems, Inc. and Hewlett Packard Enterprise Company</w:t>
      </w:r>
      <w:r w:rsidR="00455C44">
        <w:rPr>
          <w:szCs w:val="22"/>
        </w:rPr>
        <w:t xml:space="preserve"> filed in multiple </w:t>
      </w:r>
      <w:r w:rsidR="00753FA6">
        <w:rPr>
          <w:szCs w:val="22"/>
        </w:rPr>
        <w:t>proceedings asking that the Commission evaluate the UWB rules as part of a comprehensive proceeding.</w:t>
      </w:r>
      <w:r>
        <w:rPr>
          <w:rStyle w:val="FootnoteReference"/>
          <w:szCs w:val="22"/>
        </w:rPr>
        <w:footnoteReference w:id="11"/>
      </w:r>
      <w:bookmarkEnd w:id="5"/>
    </w:p>
    <w:p w:rsidR="00883E09" w:rsidP="00883E09" w14:paraId="69331957" w14:textId="77777777">
      <w:pPr>
        <w:pStyle w:val="Heading1"/>
      </w:pPr>
      <w:r w:rsidRPr="008928A6">
        <w:t>Discussion</w:t>
      </w:r>
    </w:p>
    <w:p w:rsidR="00FB2BC9" w:rsidP="00F3354E" w14:paraId="685FFB71" w14:textId="77777777">
      <w:pPr>
        <w:pStyle w:val="ParaNum"/>
      </w:pPr>
      <w:r w:rsidRPr="008928A6">
        <w:t>We are authorized to grant a waiver under Section 1.3 of the Commission's rules if the petitioner demonstrates good cause for such action.</w:t>
      </w:r>
      <w:r>
        <w:rPr>
          <w:rStyle w:val="FootnoteReference"/>
        </w:rPr>
        <w:footnoteReference w:id="12"/>
      </w:r>
      <w:r w:rsidRPr="00215797">
        <w:t xml:space="preserve">  Good cause, in turn, may be found “where </w:t>
      </w:r>
      <w:r w:rsidRPr="00215797">
        <w:t>particular facts would make strict compliance inconsistent with the public interest.”</w:t>
      </w:r>
      <w:r>
        <w:rPr>
          <w:vertAlign w:val="superscript"/>
        </w:rPr>
        <w:footnoteReference w:id="13"/>
      </w:r>
      <w:r w:rsidRPr="00215797">
        <w:t xml:space="preserve">  To make this public interest determination, the waiver cannot undermine the purpose of the rule, and there must be a stronger public interest benefit in granting the waiver than in applying the rule.</w:t>
      </w:r>
      <w:r>
        <w:rPr>
          <w:vertAlign w:val="superscript"/>
        </w:rPr>
        <w:footnoteReference w:id="14"/>
      </w:r>
      <w:r w:rsidR="00BF6DC8">
        <w:t xml:space="preserve">  </w:t>
      </w:r>
      <w:r w:rsidRPr="00BF6DC8" w:rsidR="00E440D5">
        <w:rPr>
          <w:color w:val="000000"/>
        </w:rPr>
        <w:t xml:space="preserve">The UWB standards in Part 15 were adopted to ensure that UWB devices, including surveillance devices, do not cause harmful interference to authorized radio services, including </w:t>
      </w:r>
      <w:r w:rsidR="00AF5352">
        <w:rPr>
          <w:color w:val="000000"/>
        </w:rPr>
        <w:t xml:space="preserve">those operated by the </w:t>
      </w:r>
      <w:r w:rsidRPr="00BF6DC8" w:rsidR="00E440D5">
        <w:rPr>
          <w:color w:val="000000"/>
        </w:rPr>
        <w:t xml:space="preserve">Federal </w:t>
      </w:r>
      <w:r w:rsidR="00AF5352">
        <w:rPr>
          <w:color w:val="000000"/>
        </w:rPr>
        <w:t>Government</w:t>
      </w:r>
      <w:r w:rsidRPr="00BF6DC8" w:rsidR="00E440D5">
        <w:rPr>
          <w:color w:val="000000"/>
        </w:rPr>
        <w:t>.</w:t>
      </w:r>
      <w:r>
        <w:rPr>
          <w:rStyle w:val="FootnoteReference"/>
        </w:rPr>
        <w:footnoteReference w:id="15"/>
      </w:r>
      <w:r w:rsidR="00FB3CA5">
        <w:rPr>
          <w:color w:val="000000"/>
        </w:rPr>
        <w:t xml:space="preserve">  </w:t>
      </w:r>
      <w:r w:rsidR="00BF6DC8">
        <w:t>As discussed below, w</w:t>
      </w:r>
      <w:r w:rsidRPr="008928A6" w:rsidR="00BF6DC8">
        <w:t xml:space="preserve">e </w:t>
      </w:r>
      <w:r w:rsidR="00BF6DC8">
        <w:t>find</w:t>
      </w:r>
      <w:r w:rsidRPr="008928A6" w:rsidR="00BF6DC8">
        <w:t xml:space="preserve"> that, with appropriate operational and technical </w:t>
      </w:r>
      <w:r w:rsidR="001510F1">
        <w:t>limitations</w:t>
      </w:r>
      <w:r w:rsidRPr="008928A6" w:rsidR="00BF6DC8">
        <w:t>, granting Libe</w:t>
      </w:r>
      <w:r w:rsidRPr="00215797" w:rsidR="00BF6DC8">
        <w:t xml:space="preserve">rty’s request for waiver </w:t>
      </w:r>
      <w:r w:rsidRPr="00BF6DC8" w:rsidR="00FB3CA5">
        <w:rPr>
          <w:color w:val="000000"/>
        </w:rPr>
        <w:t>poses no greater risk of causing harmful interference to radio communications services than any other surveillance device operating under our</w:t>
      </w:r>
      <w:r w:rsidRPr="00BF6DC8" w:rsidR="00FB3CA5">
        <w:rPr>
          <w:color w:val="000000"/>
          <w:szCs w:val="22"/>
        </w:rPr>
        <w:t xml:space="preserve"> </w:t>
      </w:r>
      <w:r w:rsidRPr="00BF6DC8" w:rsidR="00FB3CA5">
        <w:rPr>
          <w:color w:val="000000"/>
        </w:rPr>
        <w:t>rules</w:t>
      </w:r>
      <w:r w:rsidR="00BF6DC8">
        <w:t xml:space="preserve">.  </w:t>
      </w:r>
      <w:r w:rsidRPr="00883E09" w:rsidR="00BF6DC8">
        <w:rPr>
          <w:color w:val="000000"/>
        </w:rPr>
        <w:t>In addition, we find that there is a stronger public interest benefit in granting this waiver than in strictly applying the rules.  HEXWAVE devices can provide protection and safety to the American public by passively detecting weapons and other threats in public venues.  Thus, we find that the waiver standard has been met.</w:t>
      </w:r>
    </w:p>
    <w:p w:rsidR="008A4C01" w:rsidRPr="0034623C" w:rsidP="008A4C01" w14:paraId="453DF9EA" w14:textId="77777777">
      <w:pPr>
        <w:pStyle w:val="Heading2"/>
        <w:rPr>
          <w:color w:val="000000"/>
        </w:rPr>
      </w:pPr>
      <w:bookmarkStart w:id="8" w:name="_Hlk42767612"/>
      <w:r w:rsidRPr="0034623C">
        <w:rPr>
          <w:szCs w:val="22"/>
        </w:rPr>
        <w:t xml:space="preserve">  </w:t>
      </w:r>
      <w:r w:rsidRPr="0034623C">
        <w:rPr>
          <w:color w:val="000000"/>
        </w:rPr>
        <w:t xml:space="preserve">Waiver of the UWB definition </w:t>
      </w:r>
      <w:r w:rsidR="00745897">
        <w:rPr>
          <w:color w:val="000000"/>
        </w:rPr>
        <w:t xml:space="preserve">in </w:t>
      </w:r>
      <w:r w:rsidRPr="0034623C">
        <w:rPr>
          <w:color w:val="000000"/>
        </w:rPr>
        <w:t>Section 15.503(d)</w:t>
      </w:r>
    </w:p>
    <w:bookmarkEnd w:id="8"/>
    <w:p w:rsidR="00424926" w:rsidRPr="00215797" w:rsidP="00883E09" w14:paraId="75A95401" w14:textId="77777777">
      <w:pPr>
        <w:pStyle w:val="ParaNum"/>
      </w:pPr>
      <w:r w:rsidRPr="0034623C">
        <w:t>Section 15.503(d) of the Commission’s rules defines a UWB transmitter as a device that “at any point in time” has an UWB bandwidth equal to or greater than 500 megahertz or a fractional bandwidth equal to or greater than 0.20.</w:t>
      </w:r>
      <w:r>
        <w:rPr>
          <w:rStyle w:val="FootnoteReference"/>
        </w:rPr>
        <w:footnoteReference w:id="16"/>
      </w:r>
      <w:r w:rsidR="00883E09">
        <w:t xml:space="preserve">  </w:t>
      </w:r>
      <w:r w:rsidRPr="0034623C" w:rsidR="000A2F20">
        <w:t>Liberty describes the H</w:t>
      </w:r>
      <w:r w:rsidR="001510F1">
        <w:t>EXWAVE</w:t>
      </w:r>
      <w:r w:rsidRPr="0034623C" w:rsidR="000A2F20">
        <w:t xml:space="preserve"> as using a set of “chirplets</w:t>
      </w:r>
      <w:r w:rsidR="00883E09">
        <w:t>.</w:t>
      </w:r>
      <w:r w:rsidRPr="0034623C" w:rsidR="000A2F20">
        <w:t>”</w:t>
      </w:r>
      <w:r>
        <w:rPr>
          <w:rStyle w:val="FootnoteReference"/>
        </w:rPr>
        <w:footnoteReference w:id="17"/>
      </w:r>
      <w:r w:rsidR="00716608">
        <w:t xml:space="preserve"> </w:t>
      </w:r>
      <w:r w:rsidRPr="0034623C" w:rsidR="002225FD">
        <w:t xml:space="preserve"> It sweeps a </w:t>
      </w:r>
      <w:r w:rsidR="00883E09">
        <w:t>continuous waveform</w:t>
      </w:r>
      <w:r w:rsidRPr="0034623C" w:rsidR="002225FD">
        <w:t xml:space="preserve"> signal through a 200</w:t>
      </w:r>
      <w:r w:rsidR="00666269">
        <w:t>-megahertz</w:t>
      </w:r>
      <w:r w:rsidRPr="0034623C" w:rsidR="002225FD">
        <w:t xml:space="preserve"> block of spectrum</w:t>
      </w:r>
      <w:r w:rsidR="00883E09">
        <w:t>, followed by a</w:t>
      </w:r>
      <w:r w:rsidRPr="0034623C" w:rsidR="002225FD">
        <w:t xml:space="preserve"> 100 n</w:t>
      </w:r>
      <w:r w:rsidR="00883E09">
        <w:t>ano</w:t>
      </w:r>
      <w:r w:rsidRPr="0034623C" w:rsidR="002225FD">
        <w:t>s</w:t>
      </w:r>
      <w:r w:rsidR="00883E09">
        <w:t>econd quiet period</w:t>
      </w:r>
      <w:r w:rsidRPr="0034623C" w:rsidR="002225FD">
        <w:t xml:space="preserve">. </w:t>
      </w:r>
      <w:r w:rsidR="00883E09">
        <w:t xml:space="preserve"> </w:t>
      </w:r>
      <w:r w:rsidRPr="0034623C" w:rsidR="002225FD">
        <w:t>The device then sweeps through the next 200</w:t>
      </w:r>
      <w:r w:rsidR="00666269">
        <w:t>-megahertz</w:t>
      </w:r>
      <w:r w:rsidRPr="0034623C" w:rsidR="002225FD">
        <w:t xml:space="preserve"> block of spectrum. These chirplets are grouped together in sets of three, spanning a total of 600 </w:t>
      </w:r>
      <w:r w:rsidR="00666269">
        <w:t>megahertz</w:t>
      </w:r>
      <w:r w:rsidRPr="0034623C" w:rsidR="002225FD">
        <w:t>.</w:t>
      </w:r>
      <w:r>
        <w:rPr>
          <w:rStyle w:val="FootnoteReference"/>
        </w:rPr>
        <w:footnoteReference w:id="18"/>
      </w:r>
      <w:r w:rsidRPr="00215797" w:rsidR="002225FD">
        <w:t xml:space="preserve"> </w:t>
      </w:r>
      <w:r w:rsidRPr="00215797">
        <w:t xml:space="preserve"> Each of these individual transmissions is less than 500 megahertz in bandwidth “at any point in time”</w:t>
      </w:r>
      <w:r w:rsidRPr="008928A6">
        <w:t xml:space="preserve"> and </w:t>
      </w:r>
      <w:r w:rsidRPr="008928A6" w:rsidR="002225FD">
        <w:t>Liberty</w:t>
      </w:r>
      <w:r w:rsidRPr="008928A6">
        <w:t xml:space="preserve">’s device does not have a 0.20 or greater fractional bandwidth.  Thus, even though the device </w:t>
      </w:r>
      <w:r w:rsidRPr="0034623C">
        <w:t>has a total bandwidth that exceeds 500 megahertz, it would not meet the definitional requirement for operation under the UWB rules</w:t>
      </w:r>
      <w:r w:rsidR="00E86C88">
        <w:t xml:space="preserve"> because of the quiet period between each chirplet</w:t>
      </w:r>
      <w:r w:rsidRPr="0034623C">
        <w:t>.</w:t>
      </w:r>
      <w:r>
        <w:rPr>
          <w:rStyle w:val="FootnoteReference"/>
          <w:szCs w:val="22"/>
        </w:rPr>
        <w:footnoteReference w:id="19"/>
      </w:r>
    </w:p>
    <w:p w:rsidR="00B354AB" w:rsidRPr="0034623C" w:rsidP="00033427" w14:paraId="7C08ADEF" w14:textId="77777777">
      <w:pPr>
        <w:pStyle w:val="ParaNum"/>
        <w:widowControl/>
      </w:pPr>
      <w:r w:rsidRPr="00215797">
        <w:t xml:space="preserve">The UWB imaging rules were designed to accommodate devices that emit impulsive or transient-like signals that are spread across a very wide bandwidth to produce an image of objects </w:t>
      </w:r>
      <w:r w:rsidRPr="008928A6">
        <w:t>within the ground or other materials.</w:t>
      </w:r>
      <w:r>
        <w:rPr>
          <w:rStyle w:val="FootnoteReference"/>
          <w:szCs w:val="22"/>
        </w:rPr>
        <w:footnoteReference w:id="20"/>
      </w:r>
      <w:r w:rsidRPr="00215797">
        <w:t xml:space="preserve">  The primary difference between the </w:t>
      </w:r>
      <w:r w:rsidRPr="00215797" w:rsidR="00642E78">
        <w:t>Liberty</w:t>
      </w:r>
      <w:r w:rsidRPr="00215797">
        <w:t xml:space="preserve"> device and other UWB </w:t>
      </w:r>
      <w:r w:rsidRPr="008928A6">
        <w:t>surveillance systems</w:t>
      </w:r>
      <w:r w:rsidRPr="008928A6">
        <w:t xml:space="preserve"> devices provided for in the rules is that the </w:t>
      </w:r>
      <w:r w:rsidRPr="008928A6" w:rsidR="00642E78">
        <w:t>H</w:t>
      </w:r>
      <w:r w:rsidR="00A12914">
        <w:t>EXWAVE</w:t>
      </w:r>
      <w:r w:rsidRPr="008928A6">
        <w:t xml:space="preserve"> uses </w:t>
      </w:r>
      <w:r w:rsidR="00A12914">
        <w:t xml:space="preserve">an </w:t>
      </w:r>
      <w:r w:rsidRPr="0034623C">
        <w:t>array of closely spaced transmitting/receiving antennas that transmit sequentially over a large band of spectrum</w:t>
      </w:r>
      <w:r w:rsidR="00A12914">
        <w:t xml:space="preserve"> </w:t>
      </w:r>
      <w:r w:rsidRPr="0034623C">
        <w:t xml:space="preserve">to gather all the needed data.  This modulation scheme is functionally equivalent to other types of UWB </w:t>
      </w:r>
      <w:r w:rsidRPr="0034623C" w:rsidR="00642E78">
        <w:t>imaging</w:t>
      </w:r>
      <w:r w:rsidRPr="0034623C">
        <w:t xml:space="preserve"> devices in that it uses transient-like signals spread across a wide bandwidth.  The risk of interference is no </w:t>
      </w:r>
      <w:r w:rsidRPr="0034623C">
        <w:t xml:space="preserve">greater than that from other such UWB </w:t>
      </w:r>
      <w:r w:rsidRPr="0034623C" w:rsidR="00610DBB">
        <w:t>surveillance systems</w:t>
      </w:r>
      <w:r w:rsidR="00A12914">
        <w:t xml:space="preserve">, and so </w:t>
      </w:r>
      <w:r w:rsidRPr="0034623C">
        <w:t>a waiver</w:t>
      </w:r>
      <w:r w:rsidR="00A12914">
        <w:t xml:space="preserve"> in this case</w:t>
      </w:r>
      <w:r w:rsidRPr="0034623C">
        <w:t xml:space="preserve"> will not undermine the intent of our rule.  </w:t>
      </w:r>
    </w:p>
    <w:p w:rsidR="00B354AB" w:rsidRPr="00457CDA" w:rsidP="00C60A8B" w14:paraId="7405A886" w14:textId="77777777">
      <w:pPr>
        <w:pStyle w:val="Heading2"/>
      </w:pPr>
      <w:bookmarkStart w:id="9" w:name="_Hlk42767669"/>
      <w:r w:rsidRPr="0034623C">
        <w:t>Waiver of the measurement procedures in Sections 15.31(c) and 15.521(d)</w:t>
      </w:r>
      <w:bookmarkEnd w:id="9"/>
    </w:p>
    <w:p w:rsidR="00424926" w:rsidRPr="00215797" w:rsidP="00424926" w14:paraId="181F22E1" w14:textId="77777777">
      <w:pPr>
        <w:pStyle w:val="ParaNum"/>
      </w:pPr>
      <w:r w:rsidRPr="0034623C">
        <w:t>Section 15.31(c) of the Commission’s rules sets forth the measurement standards for unlicensed devices to demonstrate compliance with applicable emissions limits.</w:t>
      </w:r>
      <w:r>
        <w:rPr>
          <w:rStyle w:val="FootnoteReference"/>
        </w:rPr>
        <w:footnoteReference w:id="21"/>
      </w:r>
      <w:r w:rsidRPr="0034623C">
        <w:t xml:space="preserve">  This rule requires swept frequency equipment measurements </w:t>
      </w:r>
      <w:r w:rsidR="00D03057">
        <w:t>to</w:t>
      </w:r>
      <w:r w:rsidRPr="0034623C">
        <w:t xml:space="preserve"> be made with the frequency sweep stopped.  Section 15.521(d) sets forth the measurement procedures for UWB devices to demonstrate compliance with applicable emissions limits.</w:t>
      </w:r>
      <w:r>
        <w:rPr>
          <w:rStyle w:val="FootnoteReference"/>
        </w:rPr>
        <w:footnoteReference w:id="22"/>
      </w:r>
      <w:r w:rsidRPr="0034623C">
        <w:t xml:space="preserve">  For emissions above 960 MHz, this rule requires that, if pulse gating is used and the transmitter is quiescent for longer intervals than the nominal pulse repetition interval, measurements are made with the pulse train gated on.  </w:t>
      </w:r>
      <w:r w:rsidRPr="0034623C" w:rsidR="00856A50">
        <w:t>Liberty</w:t>
      </w:r>
      <w:r w:rsidRPr="0034623C">
        <w:t xml:space="preserve"> observes that, since this rule was adopted, the Commission has permitted other UWB transmitters operating above 960 MHz that use frequency stepping techniques to be measured using an average detector with the transmitter operating in its normal mode, </w:t>
      </w:r>
      <w:r w:rsidRPr="0034623C">
        <w:rPr>
          <w:i/>
        </w:rPr>
        <w:t>i.e</w:t>
      </w:r>
      <w:r w:rsidRPr="0034623C">
        <w:t>., with the s</w:t>
      </w:r>
      <w:r w:rsidRPr="0034623C" w:rsidR="00856A50">
        <w:t>weeping</w:t>
      </w:r>
      <w:r w:rsidRPr="0034623C">
        <w:t xml:space="preserve"> function active.</w:t>
      </w:r>
      <w:r>
        <w:rPr>
          <w:rStyle w:val="FootnoteReference"/>
          <w:szCs w:val="22"/>
        </w:rPr>
        <w:footnoteReference w:id="23"/>
      </w:r>
      <w:r w:rsidRPr="00215797">
        <w:t xml:space="preserve">  </w:t>
      </w:r>
      <w:r w:rsidRPr="00215797" w:rsidR="00456E8F">
        <w:t xml:space="preserve">Liberty </w:t>
      </w:r>
      <w:r w:rsidRPr="00215797">
        <w:t xml:space="preserve">claims that </w:t>
      </w:r>
      <w:r w:rsidR="00B06FA2">
        <w:t>the</w:t>
      </w:r>
      <w:r w:rsidRPr="00215797" w:rsidR="00456E8F">
        <w:t xml:space="preserve"> H</w:t>
      </w:r>
      <w:r w:rsidR="00B06FA2">
        <w:t>EXWAVE</w:t>
      </w:r>
      <w:r w:rsidRPr="00215797">
        <w:t xml:space="preserve"> will meet all other emission limits and t</w:t>
      </w:r>
      <w:r w:rsidRPr="008928A6">
        <w:t>echnical requirements under the UWB rules when measured with the s</w:t>
      </w:r>
      <w:r w:rsidRPr="008928A6" w:rsidR="00456E8F">
        <w:t>weeping</w:t>
      </w:r>
      <w:r w:rsidRPr="008928A6">
        <w:t xml:space="preserve"> function active.</w:t>
      </w:r>
      <w:r>
        <w:rPr>
          <w:rStyle w:val="FootnoteReference"/>
        </w:rPr>
        <w:footnoteReference w:id="24"/>
      </w:r>
      <w:r w:rsidRPr="00215797">
        <w:t xml:space="preserve">  </w:t>
      </w:r>
    </w:p>
    <w:p w:rsidR="00E440D5" w:rsidRPr="00E440D5" w:rsidP="00E440D5" w14:paraId="7D89D180" w14:textId="77777777">
      <w:pPr>
        <w:pStyle w:val="ParaNum"/>
      </w:pPr>
      <w:r>
        <w:t>We recognized in p</w:t>
      </w:r>
      <w:r w:rsidRPr="008928A6" w:rsidR="00424926">
        <w:t xml:space="preserve">rior </w:t>
      </w:r>
      <w:r>
        <w:t xml:space="preserve">orders granting </w:t>
      </w:r>
      <w:r w:rsidRPr="008928A6" w:rsidR="00424926">
        <w:t>waivers of the measurement procedures for UWB transmitters</w:t>
      </w:r>
      <w:r>
        <w:t xml:space="preserve">, where </w:t>
      </w:r>
      <w:r w:rsidRPr="008928A6" w:rsidR="00424926">
        <w:t xml:space="preserve">emissions </w:t>
      </w:r>
      <w:r>
        <w:t xml:space="preserve">were permitted </w:t>
      </w:r>
      <w:r w:rsidRPr="008928A6" w:rsidR="00424926">
        <w:t>to be measured with the transmitter operating in its normal transmission mode</w:t>
      </w:r>
      <w:r>
        <w:t>,</w:t>
      </w:r>
      <w:r w:rsidRPr="008928A6" w:rsidR="00424926">
        <w:t xml:space="preserve"> that the interference aspects of a transmitter employing frequency hopping, frequency stepping, or gating are quite similar, as viewed by a receiver</w:t>
      </w:r>
      <w:r>
        <w:t>.</w:t>
      </w:r>
      <w:r>
        <w:rPr>
          <w:vertAlign w:val="superscript"/>
        </w:rPr>
        <w:footnoteReference w:id="25"/>
      </w:r>
      <w:r>
        <w:t xml:space="preserve"> That is because </w:t>
      </w:r>
      <w:r w:rsidRPr="008928A6" w:rsidR="00424926">
        <w:t>transmitters using these burst formats appear to the receiver to emit for a short period of time followed by a quiet period.</w:t>
      </w:r>
      <w:r>
        <w:rPr>
          <w:vertAlign w:val="superscript"/>
        </w:rPr>
        <w:footnoteReference w:id="26"/>
      </w:r>
      <w:r w:rsidRPr="00215797" w:rsidR="00424926">
        <w:t xml:space="preserve">  </w:t>
      </w:r>
      <w:r>
        <w:t xml:space="preserve">We </w:t>
      </w:r>
      <w:r w:rsidRPr="00215797" w:rsidR="00424926">
        <w:t xml:space="preserve">concluded that </w:t>
      </w:r>
      <w:r w:rsidR="00472AE0">
        <w:t>“</w:t>
      </w:r>
      <w:r w:rsidRPr="00215797" w:rsidR="00424926">
        <w:t>any requirement to stop the frequency hopping, band sequencing, or system gating serves only to add another unnecessary level of conservatism to already stringent UWB standards.</w:t>
      </w:r>
      <w:r w:rsidR="00472AE0">
        <w:t>”</w:t>
      </w:r>
      <w:r>
        <w:rPr>
          <w:vertAlign w:val="superscript"/>
        </w:rPr>
        <w:footnoteReference w:id="27"/>
      </w:r>
      <w:r w:rsidRPr="00215797" w:rsidR="00424926">
        <w:t xml:space="preserve">  In conjunction with NTIA, we have further determined that allowing stepped frequency devices to be measured with the stepping function on would not increase the interference potential of</w:t>
      </w:r>
      <w:r w:rsidRPr="008928A6" w:rsidR="00424926">
        <w:t xml:space="preserve"> the device above that of impulse UWB devices if all other emission limits and technical requirements are met.</w:t>
      </w:r>
      <w:r>
        <w:rPr>
          <w:rStyle w:val="FootnoteReference"/>
          <w:szCs w:val="22"/>
        </w:rPr>
        <w:footnoteReference w:id="28"/>
      </w:r>
      <w:r w:rsidR="00DC70B2">
        <w:t xml:space="preserve">  </w:t>
      </w:r>
      <w:r w:rsidRPr="00215797" w:rsidR="00847EEA">
        <w:t>Libert</w:t>
      </w:r>
      <w:r w:rsidRPr="008928A6" w:rsidR="00005620">
        <w:t>y’s</w:t>
      </w:r>
      <w:r w:rsidRPr="008928A6" w:rsidR="00424926">
        <w:t xml:space="preserve"> request represents an analogous situation.  </w:t>
      </w:r>
      <w:r>
        <w:t>We find that p</w:t>
      </w:r>
      <w:r w:rsidRPr="008928A6" w:rsidR="00424926">
        <w:t xml:space="preserve">ermitting </w:t>
      </w:r>
      <w:r w:rsidRPr="008928A6" w:rsidR="00B354AB">
        <w:t>Liberty</w:t>
      </w:r>
      <w:r w:rsidRPr="008928A6" w:rsidR="00424926">
        <w:t xml:space="preserve"> to demonstrate compliance </w:t>
      </w:r>
      <w:r w:rsidRPr="0034623C" w:rsidR="00424926">
        <w:t xml:space="preserve">with the UWB </w:t>
      </w:r>
      <w:r w:rsidRPr="0034623C" w:rsidR="00B354AB">
        <w:t>surveillance systems</w:t>
      </w:r>
      <w:r w:rsidRPr="00215797" w:rsidR="00424926">
        <w:t xml:space="preserve"> emission limits </w:t>
      </w:r>
      <w:r w:rsidR="00DC70B2">
        <w:t xml:space="preserve">under a </w:t>
      </w:r>
      <w:r w:rsidRPr="008928A6" w:rsidR="00DC70B2">
        <w:t>waiver of the measurement procedures in Sections 15.31(c) and 15.521(d) poses no greater risk of causing harmful interference to radio communications services than any other UWB imaging system operating under our rules</w:t>
      </w:r>
      <w:r w:rsidR="00DC70B2">
        <w:t xml:space="preserve">, and therefore </w:t>
      </w:r>
      <w:r w:rsidRPr="00215797" w:rsidR="00424926">
        <w:t>will not undermine the purpose of the</w:t>
      </w:r>
      <w:r w:rsidR="00DC70B2">
        <w:t>se</w:t>
      </w:r>
      <w:r w:rsidRPr="00215797" w:rsidR="00424926">
        <w:t xml:space="preserve"> rule</w:t>
      </w:r>
      <w:r w:rsidR="00DC70B2">
        <w:t>s</w:t>
      </w:r>
      <w:r w:rsidRPr="00215797" w:rsidR="00424926">
        <w:t>.</w:t>
      </w:r>
      <w:r>
        <w:rPr>
          <w:vertAlign w:val="superscript"/>
        </w:rPr>
        <w:footnoteReference w:id="29"/>
      </w:r>
    </w:p>
    <w:p w:rsidR="00883E09" w:rsidP="00883E09" w14:paraId="2B370B72" w14:textId="77777777">
      <w:pPr>
        <w:pStyle w:val="Heading2"/>
      </w:pPr>
      <w:r>
        <w:t xml:space="preserve">Waiver of the </w:t>
      </w:r>
      <w:r w:rsidR="006A7139">
        <w:t xml:space="preserve">eligibility, </w:t>
      </w:r>
      <w:r>
        <w:t>operational</w:t>
      </w:r>
      <w:r w:rsidR="006A7139">
        <w:t>,</w:t>
      </w:r>
      <w:r>
        <w:t xml:space="preserve"> and </w:t>
      </w:r>
      <w:r w:rsidR="006A7139">
        <w:t>disclosure</w:t>
      </w:r>
      <w:r>
        <w:t xml:space="preserve"> requirements in Section 15.511</w:t>
      </w:r>
    </w:p>
    <w:p w:rsidR="00C03B81" w:rsidRPr="00215797" w:rsidP="00C03B81" w14:paraId="79BED646" w14:textId="77777777">
      <w:pPr>
        <w:pStyle w:val="ParaNum"/>
        <w:widowControl/>
        <w:autoSpaceDE w:val="0"/>
        <w:autoSpaceDN w:val="0"/>
        <w:adjustRightInd w:val="0"/>
        <w:rPr>
          <w:color w:val="000000"/>
        </w:rPr>
      </w:pPr>
      <w:r w:rsidRPr="0034623C">
        <w:rPr>
          <w:color w:val="000000"/>
        </w:rPr>
        <w:t xml:space="preserve">Section 15.511(b) includes </w:t>
      </w:r>
      <w:r w:rsidR="00A27B25">
        <w:rPr>
          <w:color w:val="000000"/>
        </w:rPr>
        <w:t xml:space="preserve">eligibility requirements and </w:t>
      </w:r>
      <w:r w:rsidR="00DE38A4">
        <w:rPr>
          <w:color w:val="000000"/>
        </w:rPr>
        <w:t xml:space="preserve">coordination requirements with the Federal Government under section 15.525 </w:t>
      </w:r>
      <w:r w:rsidRPr="0034623C">
        <w:rPr>
          <w:color w:val="000000"/>
        </w:rPr>
        <w:t>applicable to UWB surveillance systems.</w:t>
      </w:r>
      <w:r>
        <w:rPr>
          <w:rStyle w:val="FootnoteReference"/>
        </w:rPr>
        <w:footnoteReference w:id="30"/>
      </w:r>
      <w:r w:rsidRPr="00215797">
        <w:rPr>
          <w:color w:val="000000"/>
        </w:rPr>
        <w:t xml:space="preserve">  The </w:t>
      </w:r>
      <w:r w:rsidR="00DE38A4">
        <w:rPr>
          <w:color w:val="000000"/>
        </w:rPr>
        <w:t xml:space="preserve">eligibility requirements </w:t>
      </w:r>
      <w:r w:rsidRPr="00215797">
        <w:rPr>
          <w:color w:val="000000"/>
        </w:rPr>
        <w:t xml:space="preserve">limit the use of fixed surveillance systems to </w:t>
      </w:r>
      <w:r w:rsidRPr="00215797">
        <w:rPr>
          <w:color w:val="000000"/>
          <w:szCs w:val="22"/>
        </w:rPr>
        <w:t xml:space="preserve">applications associated with law enforcement, firefighting, </w:t>
      </w:r>
      <w:r w:rsidRPr="0034623C">
        <w:rPr>
          <w:color w:val="000000"/>
          <w:szCs w:val="22"/>
        </w:rPr>
        <w:t xml:space="preserve">emergency rescue, manufacturers licensees, petroleum licensees, or power </w:t>
      </w:r>
      <w:r w:rsidRPr="00215797">
        <w:rPr>
          <w:color w:val="000000"/>
          <w:szCs w:val="22"/>
        </w:rPr>
        <w:t>licensees.  This provision is</w:t>
      </w:r>
      <w:r>
        <w:rPr>
          <w:color w:val="000000"/>
          <w:szCs w:val="22"/>
        </w:rPr>
        <w:t xml:space="preserve"> intended</w:t>
      </w:r>
      <w:r w:rsidRPr="00215797">
        <w:rPr>
          <w:color w:val="000000"/>
          <w:szCs w:val="22"/>
        </w:rPr>
        <w:t xml:space="preserve"> to ensure that surveillance systems are used infrequently with a low proliferation rate</w:t>
      </w:r>
      <w:r>
        <w:rPr>
          <w:color w:val="000000"/>
          <w:szCs w:val="22"/>
        </w:rPr>
        <w:t xml:space="preserve"> </w:t>
      </w:r>
      <w:r w:rsidRPr="00215797">
        <w:rPr>
          <w:color w:val="000000"/>
          <w:szCs w:val="22"/>
        </w:rPr>
        <w:t>to avoid causing harmful interference to authorized users.</w:t>
      </w:r>
      <w:r>
        <w:rPr>
          <w:rStyle w:val="FootnoteReference"/>
          <w:color w:val="000000"/>
          <w:szCs w:val="22"/>
        </w:rPr>
        <w:footnoteReference w:id="31"/>
      </w:r>
      <w:r w:rsidRPr="00215797">
        <w:rPr>
          <w:color w:val="000000"/>
          <w:szCs w:val="22"/>
        </w:rPr>
        <w:t xml:space="preserve">  </w:t>
      </w:r>
      <w:r>
        <w:rPr>
          <w:color w:val="000000"/>
        </w:rPr>
        <w:t>Section</w:t>
      </w:r>
      <w:r w:rsidRPr="0034623C">
        <w:rPr>
          <w:color w:val="000000"/>
        </w:rPr>
        <w:t xml:space="preserve"> 15.511(f) mandates that a surveillance system carry a statement that the operation of the system is restricted to law enforcement, fire and rescue, public utilities, and industrial entities.</w:t>
      </w:r>
      <w:r>
        <w:rPr>
          <w:rStyle w:val="FootnoteReference"/>
        </w:rPr>
        <w:footnoteReference w:id="32"/>
      </w:r>
    </w:p>
    <w:p w:rsidR="00431598" w:rsidP="00431598" w14:paraId="292F2EAC" w14:textId="77777777">
      <w:pPr>
        <w:pStyle w:val="ParaNum"/>
        <w:widowControl/>
        <w:autoSpaceDE w:val="0"/>
        <w:autoSpaceDN w:val="0"/>
        <w:adjustRightInd w:val="0"/>
        <w:rPr>
          <w:color w:val="000000"/>
        </w:rPr>
      </w:pPr>
      <w:r w:rsidRPr="008928A6">
        <w:rPr>
          <w:color w:val="000000"/>
        </w:rPr>
        <w:t xml:space="preserve">In its waiver request, Liberty </w:t>
      </w:r>
      <w:r w:rsidR="00A27B25">
        <w:rPr>
          <w:color w:val="000000"/>
        </w:rPr>
        <w:t xml:space="preserve">argues </w:t>
      </w:r>
      <w:r w:rsidRPr="008928A6">
        <w:rPr>
          <w:color w:val="000000"/>
        </w:rPr>
        <w:t xml:space="preserve">that </w:t>
      </w:r>
      <w:r>
        <w:rPr>
          <w:color w:val="000000"/>
        </w:rPr>
        <w:t xml:space="preserve">while </w:t>
      </w:r>
      <w:r w:rsidRPr="008928A6">
        <w:rPr>
          <w:color w:val="000000"/>
        </w:rPr>
        <w:t xml:space="preserve">the </w:t>
      </w:r>
      <w:r>
        <w:rPr>
          <w:color w:val="000000"/>
        </w:rPr>
        <w:t>list</w:t>
      </w:r>
      <w:r w:rsidRPr="008928A6">
        <w:rPr>
          <w:color w:val="000000"/>
        </w:rPr>
        <w:t xml:space="preserve"> of eligible users does not include private security professionals</w:t>
      </w:r>
      <w:r>
        <w:rPr>
          <w:color w:val="000000"/>
        </w:rPr>
        <w:t>,</w:t>
      </w:r>
      <w:r w:rsidRPr="00215797">
        <w:rPr>
          <w:color w:val="000000"/>
        </w:rPr>
        <w:t xml:space="preserve"> reliance on such private security teams is an important component of efforts to protect vulnerable facilities and public gatherings nationwide</w:t>
      </w:r>
      <w:r>
        <w:t>.</w:t>
      </w:r>
      <w:r>
        <w:rPr>
          <w:rStyle w:val="FootnoteReference"/>
        </w:rPr>
        <w:footnoteReference w:id="33"/>
      </w:r>
      <w:r>
        <w:t xml:space="preserve">  </w:t>
      </w:r>
      <w:r>
        <w:rPr>
          <w:color w:val="000000"/>
        </w:rPr>
        <w:t>A</w:t>
      </w:r>
      <w:r w:rsidRPr="00215797">
        <w:rPr>
          <w:color w:val="000000"/>
        </w:rPr>
        <w:t xml:space="preserve"> waiver of </w:t>
      </w:r>
      <w:r w:rsidR="00A27B25">
        <w:rPr>
          <w:color w:val="000000"/>
        </w:rPr>
        <w:t xml:space="preserve">the eligibility requirements </w:t>
      </w:r>
      <w:r w:rsidR="008D0E97">
        <w:rPr>
          <w:color w:val="000000"/>
        </w:rPr>
        <w:t>set forth in the introductory text of</w:t>
      </w:r>
      <w:r w:rsidR="00A27B25">
        <w:rPr>
          <w:color w:val="000000"/>
        </w:rPr>
        <w:t xml:space="preserve"> </w:t>
      </w:r>
      <w:r w:rsidRPr="00215797">
        <w:rPr>
          <w:color w:val="000000"/>
        </w:rPr>
        <w:t>S</w:t>
      </w:r>
      <w:r w:rsidRPr="008928A6">
        <w:rPr>
          <w:color w:val="000000"/>
        </w:rPr>
        <w:t xml:space="preserve">ection 15.511(b) </w:t>
      </w:r>
      <w:r w:rsidR="005C3698">
        <w:rPr>
          <w:color w:val="000000"/>
        </w:rPr>
        <w:t>would</w:t>
      </w:r>
      <w:r w:rsidRPr="008928A6">
        <w:rPr>
          <w:color w:val="000000"/>
        </w:rPr>
        <w:t xml:space="preserve"> permit security professionals that do not qualify </w:t>
      </w:r>
      <w:r>
        <w:rPr>
          <w:color w:val="000000"/>
        </w:rPr>
        <w:t>under the</w:t>
      </w:r>
      <w:r w:rsidRPr="008928A6">
        <w:rPr>
          <w:color w:val="000000"/>
        </w:rPr>
        <w:t xml:space="preserve"> law enforcement </w:t>
      </w:r>
      <w:r>
        <w:rPr>
          <w:color w:val="000000"/>
        </w:rPr>
        <w:t xml:space="preserve">provision </w:t>
      </w:r>
      <w:r w:rsidRPr="008928A6">
        <w:rPr>
          <w:color w:val="000000"/>
        </w:rPr>
        <w:t xml:space="preserve">to operate </w:t>
      </w:r>
      <w:r>
        <w:rPr>
          <w:color w:val="000000"/>
        </w:rPr>
        <w:t>HEXWAVE devices</w:t>
      </w:r>
      <w:r w:rsidRPr="008928A6">
        <w:rPr>
          <w:color w:val="000000"/>
        </w:rPr>
        <w:t>.</w:t>
      </w:r>
      <w:r>
        <w:rPr>
          <w:color w:val="000000"/>
        </w:rPr>
        <w:t xml:space="preserve">  We find that Liberty has made a persuasive case that use under the requested waiver will be sufficiently limited so as not to undermine the purpose of the rule, and that grant of a waiver</w:t>
      </w:r>
      <w:r w:rsidR="00A27B25">
        <w:rPr>
          <w:color w:val="000000"/>
        </w:rPr>
        <w:t xml:space="preserve"> of this section</w:t>
      </w:r>
      <w:r>
        <w:rPr>
          <w:color w:val="000000"/>
        </w:rPr>
        <w:t xml:space="preserve"> would be consistent with our prior decisions.  </w:t>
      </w:r>
      <w:r w:rsidR="003B3FFF">
        <w:rPr>
          <w:color w:val="000000"/>
        </w:rPr>
        <w:t>T</w:t>
      </w:r>
      <w:r w:rsidRPr="00215797">
        <w:rPr>
          <w:color w:val="000000"/>
        </w:rPr>
        <w:t xml:space="preserve">he HEXWAVE is intended </w:t>
      </w:r>
      <w:r w:rsidR="003B3FFF">
        <w:rPr>
          <w:color w:val="000000"/>
        </w:rPr>
        <w:t xml:space="preserve">for use </w:t>
      </w:r>
      <w:r w:rsidRPr="00215797">
        <w:rPr>
          <w:color w:val="000000"/>
        </w:rPr>
        <w:t>by trained security professionals</w:t>
      </w:r>
      <w:r w:rsidR="003B3FFF">
        <w:rPr>
          <w:color w:val="000000"/>
        </w:rPr>
        <w:t xml:space="preserve"> in limited locations.  According to Liberty,</w:t>
      </w:r>
      <w:r w:rsidRPr="00215797">
        <w:rPr>
          <w:color w:val="000000"/>
        </w:rPr>
        <w:t xml:space="preserve"> </w:t>
      </w:r>
      <w:r w:rsidR="003B3FFF">
        <w:rPr>
          <w:color w:val="000000"/>
        </w:rPr>
        <w:t xml:space="preserve">HEXWAVE’s </w:t>
      </w:r>
      <w:r w:rsidRPr="00215797">
        <w:rPr>
          <w:color w:val="000000"/>
        </w:rPr>
        <w:t xml:space="preserve">price point will </w:t>
      </w:r>
      <w:r>
        <w:rPr>
          <w:color w:val="000000"/>
        </w:rPr>
        <w:t>have the practical effect of limiting deployment to high priority events</w:t>
      </w:r>
      <w:r w:rsidRPr="008928A6">
        <w:rPr>
          <w:color w:val="000000"/>
        </w:rPr>
        <w:t>.</w:t>
      </w:r>
      <w:r>
        <w:rPr>
          <w:rStyle w:val="FootnoteReference"/>
        </w:rPr>
        <w:footnoteReference w:id="34"/>
      </w:r>
      <w:r>
        <w:rPr>
          <w:color w:val="000000"/>
        </w:rPr>
        <w:t xml:space="preserve">  In addition, the use scenario – detection of </w:t>
      </w:r>
      <w:r w:rsidRPr="008928A6">
        <w:rPr>
          <w:color w:val="000000"/>
          <w:szCs w:val="22"/>
        </w:rPr>
        <w:t xml:space="preserve">concealed weapon detection </w:t>
      </w:r>
      <w:r>
        <w:rPr>
          <w:color w:val="000000"/>
          <w:szCs w:val="22"/>
        </w:rPr>
        <w:t>– is exactly the type of targeted law enforcement use that would already be permissible under</w:t>
      </w:r>
      <w:r w:rsidRPr="008928A6">
        <w:rPr>
          <w:color w:val="000000"/>
          <w:szCs w:val="22"/>
        </w:rPr>
        <w:t xml:space="preserve"> Section 15.511(b), </w:t>
      </w:r>
      <w:r>
        <w:rPr>
          <w:color w:val="000000"/>
          <w:szCs w:val="22"/>
        </w:rPr>
        <w:t>but for the fact that the HEXWAVE operators may not themselves be</w:t>
      </w:r>
      <w:r w:rsidRPr="008928A6">
        <w:rPr>
          <w:color w:val="000000"/>
          <w:szCs w:val="22"/>
        </w:rPr>
        <w:t xml:space="preserve"> </w:t>
      </w:r>
      <w:r w:rsidRPr="0034623C">
        <w:rPr>
          <w:color w:val="000000"/>
          <w:szCs w:val="22"/>
        </w:rPr>
        <w:t>law en</w:t>
      </w:r>
      <w:r w:rsidRPr="00215797">
        <w:rPr>
          <w:color w:val="000000"/>
          <w:szCs w:val="22"/>
        </w:rPr>
        <w:t xml:space="preserve">forcement </w:t>
      </w:r>
      <w:r>
        <w:rPr>
          <w:color w:val="000000"/>
          <w:szCs w:val="22"/>
        </w:rPr>
        <w:t xml:space="preserve">officers.  Moreover, grant of a limited waiver in this instance is consistent with </w:t>
      </w:r>
      <w:r w:rsidR="001A4486">
        <w:rPr>
          <w:color w:val="000000"/>
          <w:szCs w:val="22"/>
        </w:rPr>
        <w:t xml:space="preserve">precedent, where </w:t>
      </w:r>
      <w:r>
        <w:rPr>
          <w:color w:val="000000"/>
          <w:szCs w:val="22"/>
        </w:rPr>
        <w:t>we found</w:t>
      </w:r>
      <w:r w:rsidR="001A4486">
        <w:rPr>
          <w:color w:val="000000"/>
          <w:szCs w:val="22"/>
        </w:rPr>
        <w:t xml:space="preserve"> that</w:t>
      </w:r>
      <w:r>
        <w:rPr>
          <w:color w:val="000000"/>
          <w:szCs w:val="22"/>
        </w:rPr>
        <w:t xml:space="preserve"> expanding eligibility </w:t>
      </w:r>
      <w:r w:rsidR="001A4486">
        <w:rPr>
          <w:color w:val="000000"/>
          <w:szCs w:val="22"/>
        </w:rPr>
        <w:t xml:space="preserve">requirements </w:t>
      </w:r>
      <w:r>
        <w:rPr>
          <w:color w:val="000000"/>
          <w:szCs w:val="22"/>
        </w:rPr>
        <w:t>to permit a narrow and specific application was justified where such use would be infrequent and with a low proliferation rate.</w:t>
      </w:r>
      <w:r>
        <w:rPr>
          <w:rStyle w:val="FootnoteReference"/>
        </w:rPr>
        <w:footnoteReference w:id="35"/>
      </w:r>
    </w:p>
    <w:p w:rsidR="005F7298" w:rsidRPr="00431598" w:rsidP="00431598" w14:paraId="121E3E0D" w14:textId="77777777">
      <w:pPr>
        <w:pStyle w:val="ParaNum"/>
        <w:widowControl/>
        <w:autoSpaceDE w:val="0"/>
        <w:autoSpaceDN w:val="0"/>
        <w:adjustRightInd w:val="0"/>
        <w:rPr>
          <w:color w:val="000000"/>
        </w:rPr>
      </w:pPr>
      <w:r w:rsidRPr="00431598">
        <w:rPr>
          <w:color w:val="000000"/>
        </w:rPr>
        <w:t xml:space="preserve">Therefore, for purposes of this waiver, we adopt a narrowly tailored definition of “private security personnel” </w:t>
      </w:r>
      <w:r w:rsidR="00765D12">
        <w:t>suggested by Liberty in its waiver petition,</w:t>
      </w:r>
      <w:r>
        <w:rPr>
          <w:rStyle w:val="FootnoteReference"/>
        </w:rPr>
        <w:footnoteReference w:id="36"/>
      </w:r>
      <w:r w:rsidR="00765D12">
        <w:t xml:space="preserve"> </w:t>
      </w:r>
      <w:r w:rsidRPr="00431598">
        <w:rPr>
          <w:color w:val="000000"/>
        </w:rPr>
        <w:t xml:space="preserve">to mean </w:t>
      </w:r>
      <w:r w:rsidRPr="008A1E09">
        <w:t>individuals and organizations (other than public law enforcement personnel and agencies) that primarily are engaged in the detection of crime and threats to people and property at sites at which people aggregate, including providers of (i) proprietary or contractual guard and screening services, (ii) electronic security systems integration and management services, and (iii) security consulting services</w:t>
      </w:r>
      <w:r w:rsidR="005823E4">
        <w:t>, which could include security staff who also hold private security licenses or adhere to federal, state, or local private security laws</w:t>
      </w:r>
      <w:r>
        <w:t xml:space="preserve">.  This definition is designed to ensure that eligibility to use the HEXWAVE is not extended to </w:t>
      </w:r>
      <w:r w:rsidRPr="00431598">
        <w:rPr>
          <w:color w:val="000000"/>
        </w:rPr>
        <w:t>members of the general public who are not otherwise involved in security-related activities.</w:t>
      </w:r>
    </w:p>
    <w:p w:rsidR="00C03B81" w:rsidP="00C03B81" w14:paraId="2D3F29BA" w14:textId="77777777">
      <w:pPr>
        <w:pStyle w:val="ParaNum"/>
        <w:widowControl/>
        <w:autoSpaceDE w:val="0"/>
        <w:autoSpaceDN w:val="0"/>
        <w:adjustRightInd w:val="0"/>
        <w:rPr>
          <w:color w:val="000000"/>
        </w:rPr>
      </w:pPr>
      <w:r>
        <w:rPr>
          <w:color w:val="000000"/>
          <w:szCs w:val="22"/>
        </w:rPr>
        <w:t xml:space="preserve">To </w:t>
      </w:r>
      <w:r w:rsidRPr="00E752E9">
        <w:rPr>
          <w:color w:val="000000"/>
          <w:szCs w:val="22"/>
        </w:rPr>
        <w:t>further ensure that the purpose of the rule is not undermined</w:t>
      </w:r>
      <w:r>
        <w:rPr>
          <w:color w:val="000000"/>
          <w:szCs w:val="22"/>
        </w:rPr>
        <w:t xml:space="preserve">, we will </w:t>
      </w:r>
      <w:r w:rsidRPr="00E752E9">
        <w:rPr>
          <w:color w:val="000000"/>
          <w:szCs w:val="22"/>
        </w:rPr>
        <w:t>limit the number of devices that may be deployed under this waiver</w:t>
      </w:r>
      <w:r w:rsidRPr="00215797" w:rsidR="005F7298">
        <w:t xml:space="preserve"> to </w:t>
      </w:r>
      <w:r w:rsidR="005F7298">
        <w:t>100</w:t>
      </w:r>
      <w:r w:rsidRPr="00215797" w:rsidR="005F7298">
        <w:t xml:space="preserve"> in the first year following the effective date of this Order</w:t>
      </w:r>
      <w:r w:rsidR="005F7298">
        <w:t xml:space="preserve">, </w:t>
      </w:r>
      <w:r w:rsidRPr="00215797" w:rsidR="005F7298">
        <w:t xml:space="preserve">to an additional </w:t>
      </w:r>
      <w:r w:rsidR="005F7298">
        <w:t>200</w:t>
      </w:r>
      <w:r w:rsidRPr="00215797" w:rsidR="005F7298">
        <w:t xml:space="preserve"> in the second year, </w:t>
      </w:r>
      <w:r w:rsidR="005F7298">
        <w:t xml:space="preserve">and to an additional 300 in the third year </w:t>
      </w:r>
      <w:r w:rsidRPr="00215797" w:rsidR="005F7298">
        <w:t xml:space="preserve">for a total of </w:t>
      </w:r>
      <w:r w:rsidR="005F7298">
        <w:t>600</w:t>
      </w:r>
      <w:r w:rsidRPr="00215797" w:rsidR="005F7298">
        <w:t xml:space="preserve"> devices at the end of the </w:t>
      </w:r>
      <w:r w:rsidR="005F7298">
        <w:t xml:space="preserve">third </w:t>
      </w:r>
      <w:r w:rsidRPr="00215797" w:rsidR="005F7298">
        <w:t>year</w:t>
      </w:r>
      <w:r w:rsidR="005F7298">
        <w:t>.</w:t>
      </w:r>
      <w:r>
        <w:rPr>
          <w:rStyle w:val="FootnoteReference"/>
        </w:rPr>
        <w:footnoteReference w:id="37"/>
      </w:r>
      <w:r w:rsidR="005F7298">
        <w:t xml:space="preserve"> </w:t>
      </w:r>
      <w:r w:rsidRPr="00215797" w:rsidR="005F7298">
        <w:t xml:space="preserve"> </w:t>
      </w:r>
      <w:r w:rsidR="00CF4095">
        <w:t xml:space="preserve">In the fourth year and all subsequent years, Liberty may deploy up to 300 additional devices per year.  </w:t>
      </w:r>
      <w:r w:rsidRPr="00215797" w:rsidR="005F7298">
        <w:t xml:space="preserve">Our decision to limit the number of devices and to allow for their gradual deployment is a cautious approach, so that harmful interference issues can be </w:t>
      </w:r>
      <w:r w:rsidR="005F7298">
        <w:t xml:space="preserve">identified and </w:t>
      </w:r>
      <w:r w:rsidRPr="00215797" w:rsidR="005F7298">
        <w:t xml:space="preserve">addressed </w:t>
      </w:r>
      <w:r w:rsidR="00544674">
        <w:t>in the extremely unlikely event that</w:t>
      </w:r>
      <w:r w:rsidRPr="00215797" w:rsidR="005F7298">
        <w:t xml:space="preserve"> they </w:t>
      </w:r>
      <w:r w:rsidR="00544674">
        <w:t xml:space="preserve">were to </w:t>
      </w:r>
      <w:r w:rsidRPr="00215797" w:rsidR="005F7298">
        <w:t>occur</w:t>
      </w:r>
      <w:r w:rsidR="005F7298">
        <w:t xml:space="preserve">. </w:t>
      </w:r>
      <w:r w:rsidRPr="00215797" w:rsidR="005F7298">
        <w:t xml:space="preserve"> </w:t>
      </w:r>
      <w:r w:rsidR="00CF4095">
        <w:t xml:space="preserve">If no interference issues arise, starting in the fourth year the FCC, in coordination with NTIA, </w:t>
      </w:r>
      <w:r w:rsidR="009B55EE">
        <w:t xml:space="preserve">would </w:t>
      </w:r>
      <w:r w:rsidR="00CF4095">
        <w:t xml:space="preserve">consider </w:t>
      </w:r>
      <w:r w:rsidR="009B55EE">
        <w:t xml:space="preserve">a </w:t>
      </w:r>
      <w:r w:rsidR="00CF4095">
        <w:t xml:space="preserve">request by Liberty to increase the number of devices that may be deployed each year.  </w:t>
      </w:r>
      <w:r w:rsidRPr="00215797" w:rsidR="005F7298">
        <w:t>Devices deployed under the terms of this waiver may contin</w:t>
      </w:r>
      <w:r w:rsidRPr="008928A6" w:rsidR="005F7298">
        <w:t xml:space="preserve">ue to operate after the </w:t>
      </w:r>
      <w:r w:rsidR="00581B1D">
        <w:t>three</w:t>
      </w:r>
      <w:r w:rsidRPr="008928A6" w:rsidR="005F7298">
        <w:t>-year deployment period ends, provided there is no harmful interference to authorized operations</w:t>
      </w:r>
      <w:r>
        <w:t>.</w:t>
      </w:r>
      <w:r>
        <w:rPr>
          <w:rStyle w:val="FootnoteReference"/>
        </w:rPr>
        <w:footnoteReference w:id="38"/>
      </w:r>
      <w:r w:rsidRPr="00E752E9">
        <w:rPr>
          <w:color w:val="000000"/>
          <w:szCs w:val="22"/>
        </w:rPr>
        <w:t xml:space="preserve">  </w:t>
      </w:r>
      <w:r w:rsidR="00955D8A">
        <w:rPr>
          <w:color w:val="000000"/>
          <w:szCs w:val="22"/>
        </w:rPr>
        <w:t xml:space="preserve">As an additional </w:t>
      </w:r>
      <w:r w:rsidR="00BA480E">
        <w:rPr>
          <w:color w:val="000000"/>
          <w:szCs w:val="22"/>
        </w:rPr>
        <w:t>precautionary</w:t>
      </w:r>
      <w:r w:rsidR="00955D8A">
        <w:rPr>
          <w:color w:val="000000"/>
          <w:szCs w:val="22"/>
        </w:rPr>
        <w:t xml:space="preserve"> measure, Liberty has agreed to limit the parameters for the HEXWAVE system to those described in its </w:t>
      </w:r>
      <w:r w:rsidRPr="003B645F" w:rsidR="00955D8A">
        <w:rPr>
          <w:i/>
          <w:iCs/>
          <w:color w:val="000000"/>
          <w:szCs w:val="22"/>
        </w:rPr>
        <w:t>Ex Parte</w:t>
      </w:r>
      <w:r w:rsidR="00955D8A">
        <w:rPr>
          <w:color w:val="000000"/>
          <w:szCs w:val="22"/>
        </w:rPr>
        <w:t xml:space="preserve"> </w:t>
      </w:r>
      <w:r w:rsidR="00984E24">
        <w:rPr>
          <w:color w:val="000000"/>
          <w:szCs w:val="22"/>
        </w:rPr>
        <w:t>presentation.</w:t>
      </w:r>
      <w:r>
        <w:rPr>
          <w:rStyle w:val="FootnoteReference"/>
          <w:szCs w:val="22"/>
        </w:rPr>
        <w:footnoteReference w:id="39"/>
      </w:r>
      <w:r w:rsidR="00955D8A">
        <w:rPr>
          <w:color w:val="000000"/>
          <w:szCs w:val="22"/>
        </w:rPr>
        <w:t xml:space="preserve"> </w:t>
      </w:r>
      <w:r w:rsidR="00CF4095">
        <w:rPr>
          <w:color w:val="000000"/>
          <w:szCs w:val="22"/>
        </w:rPr>
        <w:t xml:space="preserve"> </w:t>
      </w:r>
      <w:r w:rsidR="00955D8A">
        <w:rPr>
          <w:color w:val="000000"/>
          <w:szCs w:val="22"/>
        </w:rPr>
        <w:t xml:space="preserve">More specifically </w:t>
      </w:r>
      <w:r w:rsidR="009B55EE">
        <w:rPr>
          <w:color w:val="000000"/>
          <w:szCs w:val="22"/>
        </w:rPr>
        <w:t>L</w:t>
      </w:r>
      <w:r w:rsidR="00955D8A">
        <w:rPr>
          <w:color w:val="000000"/>
          <w:szCs w:val="22"/>
        </w:rPr>
        <w:t xml:space="preserve">iberty on its own motion has agreed to limit the </w:t>
      </w:r>
      <w:r w:rsidRPr="00594233" w:rsidR="00955D8A">
        <w:t xml:space="preserve">total transmit time of the HEXWAVE system during a cycle </w:t>
      </w:r>
      <w:r w:rsidR="00896832">
        <w:t xml:space="preserve">to </w:t>
      </w:r>
      <w:r w:rsidRPr="00594233" w:rsidR="00955D8A">
        <w:t xml:space="preserve">less than 54 milliseconds and each cycle will be repeated with a period of no less than 100 </w:t>
      </w:r>
      <w:r w:rsidRPr="00594233" w:rsidR="00896832">
        <w:t>milliseconds.</w:t>
      </w:r>
      <w:r w:rsidR="00896832">
        <w:rPr>
          <w:color w:val="000000"/>
        </w:rPr>
        <w:t xml:space="preserve"> </w:t>
      </w:r>
      <w:r w:rsidR="00CF4095">
        <w:rPr>
          <w:color w:val="000000"/>
        </w:rPr>
        <w:t xml:space="preserve"> </w:t>
      </w:r>
      <w:r w:rsidR="00896832">
        <w:rPr>
          <w:color w:val="000000"/>
        </w:rPr>
        <w:t>This</w:t>
      </w:r>
      <w:r w:rsidR="00BA480E">
        <w:rPr>
          <w:color w:val="000000"/>
        </w:rPr>
        <w:t xml:space="preserve"> will ensure that the total transmit time will be kept to a minimum.</w:t>
      </w:r>
    </w:p>
    <w:p w:rsidR="00331EA1" w:rsidRPr="00331EA1" w:rsidP="00C03B81" w14:paraId="6B309677" w14:textId="77777777">
      <w:pPr>
        <w:pStyle w:val="ParaNum"/>
        <w:widowControl/>
        <w:autoSpaceDE w:val="0"/>
        <w:autoSpaceDN w:val="0"/>
        <w:adjustRightInd w:val="0"/>
        <w:rPr>
          <w:color w:val="000000"/>
        </w:rPr>
      </w:pPr>
      <w:r>
        <w:rPr>
          <w:color w:val="000000"/>
        </w:rPr>
        <w:t>We also find that a</w:t>
      </w:r>
      <w:r w:rsidRPr="008928A6">
        <w:rPr>
          <w:color w:val="000000"/>
        </w:rPr>
        <w:t xml:space="preserve"> waiver of </w:t>
      </w:r>
      <w:r>
        <w:rPr>
          <w:color w:val="000000"/>
        </w:rPr>
        <w:t xml:space="preserve">the Section </w:t>
      </w:r>
      <w:r w:rsidRPr="008928A6">
        <w:rPr>
          <w:color w:val="000000"/>
        </w:rPr>
        <w:t>15.511(b)(2) coordination requirement</w:t>
      </w:r>
      <w:r>
        <w:rPr>
          <w:color w:val="000000"/>
        </w:rPr>
        <w:t>, with appropriate conditions, is warranted</w:t>
      </w:r>
      <w:r w:rsidRPr="008928A6">
        <w:rPr>
          <w:color w:val="000000"/>
        </w:rPr>
        <w:t>.</w:t>
      </w:r>
      <w:r>
        <w:rPr>
          <w:color w:val="000000"/>
        </w:rPr>
        <w:t xml:space="preserve">  </w:t>
      </w:r>
      <w:r w:rsidR="00C307BF">
        <w:rPr>
          <w:color w:val="000000"/>
        </w:rPr>
        <w:t>The HEXWAVE will be limited in number and only used in specialized settings (</w:t>
      </w:r>
      <w:r w:rsidR="00BE0B36">
        <w:rPr>
          <w:color w:val="000000"/>
        </w:rPr>
        <w:t>e.g.,</w:t>
      </w:r>
      <w:r w:rsidR="00C307BF">
        <w:rPr>
          <w:color w:val="000000"/>
        </w:rPr>
        <w:t xml:space="preserve"> hotels, schools, and sporting venues).  </w:t>
      </w:r>
      <w:r w:rsidR="00B73782">
        <w:rPr>
          <w:color w:val="000000"/>
        </w:rPr>
        <w:t xml:space="preserve">As noted in the </w:t>
      </w:r>
      <w:r w:rsidRPr="008748E4" w:rsidR="00B73782">
        <w:rPr>
          <w:i/>
          <w:iCs/>
          <w:color w:val="000000"/>
        </w:rPr>
        <w:t>Kyma Medical Order</w:t>
      </w:r>
      <w:r w:rsidR="00B73782">
        <w:rPr>
          <w:color w:val="000000"/>
        </w:rPr>
        <w:t>, the coordination process</w:t>
      </w:r>
      <w:r w:rsidR="000B680C">
        <w:rPr>
          <w:color w:val="000000"/>
        </w:rPr>
        <w:t xml:space="preserve"> for UWB devices</w:t>
      </w:r>
      <w:r w:rsidR="00B73782">
        <w:rPr>
          <w:color w:val="000000"/>
        </w:rPr>
        <w:t xml:space="preserve"> was primarily put into place to keep track of ground penetrating radars that would potentially be used for extended periods in outdoor locations.</w:t>
      </w:r>
      <w:r>
        <w:rPr>
          <w:rStyle w:val="FootnoteReference"/>
        </w:rPr>
        <w:footnoteReference w:id="40"/>
      </w:r>
      <w:r w:rsidR="00B73782">
        <w:rPr>
          <w:color w:val="000000"/>
        </w:rPr>
        <w:t xml:space="preserve">  </w:t>
      </w:r>
      <w:r w:rsidR="00090CA0">
        <w:rPr>
          <w:color w:val="000000"/>
        </w:rPr>
        <w:t>Unlike the HEXWAVE, ground penetrating radars are prolific commercial devices that are widely deployed throughout the United States.</w:t>
      </w:r>
      <w:r w:rsidR="009B5602">
        <w:rPr>
          <w:color w:val="000000"/>
        </w:rPr>
        <w:t xml:space="preserve">  In addition, </w:t>
      </w:r>
      <w:r w:rsidR="009B5602">
        <w:t>Liberty has agreed to operational restrictions to protect certain Federal government operations.  The 7.145-7.235 GHz and 8.4-8.5 GHz bands are allocated to the space research service and are used to receive low-power signals from space by NASA and radio astronomers.  To protect these operations, Liberty has agreed that operations of HEXWAVE devices should be prohibited in certain locations and should require coordination with either NASA or radio astronomy at other locations</w:t>
      </w:r>
      <w:r w:rsidR="00E92279">
        <w:t>.</w:t>
      </w:r>
    </w:p>
    <w:p w:rsidR="00331EA1" w:rsidRPr="00331EA1" w:rsidP="00F902C6" w14:paraId="42094186" w14:textId="77777777">
      <w:pPr>
        <w:pStyle w:val="ParaNum"/>
        <w:widowControl/>
        <w:autoSpaceDE w:val="0"/>
        <w:autoSpaceDN w:val="0"/>
        <w:adjustRightInd w:val="0"/>
      </w:pPr>
      <w:r>
        <w:rPr>
          <w:color w:val="000000"/>
          <w:szCs w:val="22"/>
        </w:rPr>
        <w:t xml:space="preserve">To satisfy Federal </w:t>
      </w:r>
      <w:r w:rsidR="00D85FE6">
        <w:rPr>
          <w:color w:val="000000"/>
          <w:szCs w:val="22"/>
        </w:rPr>
        <w:t xml:space="preserve">government </w:t>
      </w:r>
      <w:r>
        <w:rPr>
          <w:color w:val="000000"/>
          <w:szCs w:val="22"/>
        </w:rPr>
        <w:t>coordination interests</w:t>
      </w:r>
      <w:r w:rsidR="00C03B81">
        <w:rPr>
          <w:color w:val="000000"/>
          <w:szCs w:val="22"/>
        </w:rPr>
        <w:t xml:space="preserve">, </w:t>
      </w:r>
      <w:r>
        <w:t xml:space="preserve">we </w:t>
      </w:r>
      <w:r w:rsidRPr="00215797">
        <w:t>will require Liberty to create and maintain a record of installations of all devices operating under this waiver, including the identity of the customer, the type of installation (e</w:t>
      </w:r>
      <w:r w:rsidR="00EF2688">
        <w:t>.</w:t>
      </w:r>
      <w:r w:rsidRPr="00215797">
        <w:t>g</w:t>
      </w:r>
      <w:r w:rsidR="00EF2688">
        <w:t>.</w:t>
      </w:r>
      <w:r w:rsidRPr="00215797">
        <w:t>, airport or government building</w:t>
      </w:r>
      <w:r w:rsidRPr="008928A6">
        <w:t>, commercial venue), and street address and/or geographical coordinates</w:t>
      </w:r>
      <w:r w:rsidR="0018184D">
        <w:t xml:space="preserve">, and must maintain a record of any instances of harmful interference caused to Federal government </w:t>
      </w:r>
      <w:r w:rsidR="002953F3">
        <w:t>operations</w:t>
      </w:r>
      <w:r>
        <w:t xml:space="preserve">. </w:t>
      </w:r>
      <w:r w:rsidRPr="00331EA1" w:rsidR="00C03B81">
        <w:rPr>
          <w:color w:val="000000"/>
        </w:rPr>
        <w:t xml:space="preserve">Liberty </w:t>
      </w:r>
      <w:r w:rsidR="00F902C6">
        <w:rPr>
          <w:color w:val="000000"/>
        </w:rPr>
        <w:t>must</w:t>
      </w:r>
      <w:r w:rsidRPr="00331EA1" w:rsidR="00C03B81">
        <w:rPr>
          <w:color w:val="000000"/>
        </w:rPr>
        <w:t xml:space="preserve"> make this information available to the Commission and/or NTIA upon request</w:t>
      </w:r>
      <w:r w:rsidR="009E0DF4">
        <w:rPr>
          <w:color w:val="000000"/>
        </w:rPr>
        <w:t xml:space="preserve">.  Liberty must also </w:t>
      </w:r>
      <w:r w:rsidRPr="00331EA1" w:rsidR="00C03B81">
        <w:rPr>
          <w:color w:val="000000"/>
        </w:rPr>
        <w:t>inform purchasers that HEXWAVE devices may not be resold to third parties for use at another installation in the United States without prior notice and unless arrangements are made for the third-party buyer to meet all the waiver conditions</w:t>
      </w:r>
      <w:r w:rsidRPr="00331EA1">
        <w:rPr>
          <w:color w:val="000000"/>
        </w:rPr>
        <w:t>.</w:t>
      </w:r>
      <w:r w:rsidR="00F902C6">
        <w:rPr>
          <w:color w:val="000000"/>
        </w:rPr>
        <w:t xml:space="preserve"> </w:t>
      </w:r>
      <w:r w:rsidR="002F3F5F">
        <w:rPr>
          <w:color w:val="000000"/>
        </w:rPr>
        <w:t xml:space="preserve">We will also require </w:t>
      </w:r>
      <w:r w:rsidR="001F19A7">
        <w:rPr>
          <w:color w:val="000000"/>
        </w:rPr>
        <w:t xml:space="preserve">Liberty to actively </w:t>
      </w:r>
      <w:r w:rsidR="008B799A">
        <w:rPr>
          <w:color w:val="000000"/>
        </w:rPr>
        <w:t>maintain</w:t>
      </w:r>
      <w:r w:rsidR="00FC59BE">
        <w:rPr>
          <w:color w:val="000000"/>
        </w:rPr>
        <w:t xml:space="preserve"> location information, have the capability of detecting any abnormal operation, and possess the ability to remotely cease transmission of a HEXWAVE system upon notice of interference.</w:t>
      </w:r>
      <w:r>
        <w:rPr>
          <w:rStyle w:val="FootnoteReference"/>
        </w:rPr>
        <w:footnoteReference w:id="41"/>
      </w:r>
      <w:r w:rsidR="001F19A7">
        <w:rPr>
          <w:color w:val="000000"/>
        </w:rPr>
        <w:t xml:space="preserve"> </w:t>
      </w:r>
      <w:r w:rsidR="00F902C6">
        <w:t xml:space="preserve">These requirements are consistent with those suggested by Liberty and </w:t>
      </w:r>
      <w:r w:rsidR="00272940">
        <w:t xml:space="preserve">will </w:t>
      </w:r>
      <w:r w:rsidR="00F902C6">
        <w:t xml:space="preserve">assist it and the </w:t>
      </w:r>
      <w:r w:rsidR="00F902C6">
        <w:t xml:space="preserve">Commission in addressing questions that may arise regarding the deployment and operation of </w:t>
      </w:r>
      <w:r w:rsidR="00FD3FD4">
        <w:t>H</w:t>
      </w:r>
      <w:r w:rsidR="00F902C6">
        <w:t>EXWAVE devices.</w:t>
      </w:r>
      <w:r>
        <w:rPr>
          <w:rStyle w:val="FootnoteReference"/>
        </w:rPr>
        <w:footnoteReference w:id="42"/>
      </w:r>
      <w:r w:rsidR="004C4C30">
        <w:t xml:space="preserve">  </w:t>
      </w:r>
    </w:p>
    <w:p w:rsidR="008D38B0" w:rsidRPr="00431598" w:rsidP="00431598" w14:paraId="782399E7" w14:textId="77777777">
      <w:pPr>
        <w:pStyle w:val="ParaNum"/>
        <w:widowControl/>
        <w:autoSpaceDE w:val="0"/>
        <w:autoSpaceDN w:val="0"/>
        <w:adjustRightInd w:val="0"/>
        <w:rPr>
          <w:color w:val="000000"/>
        </w:rPr>
      </w:pPr>
      <w:r>
        <w:rPr>
          <w:color w:val="000000"/>
        </w:rPr>
        <w:t xml:space="preserve">We also grant a waiver of Section 15.511(f), to properly reflect </w:t>
      </w:r>
      <w:r w:rsidR="00C03B81">
        <w:rPr>
          <w:color w:val="000000"/>
        </w:rPr>
        <w:t>the waiver</w:t>
      </w:r>
      <w:r w:rsidR="007A5C8D">
        <w:rPr>
          <w:color w:val="000000"/>
        </w:rPr>
        <w:t xml:space="preserve"> </w:t>
      </w:r>
      <w:r w:rsidR="00C03B81">
        <w:rPr>
          <w:color w:val="000000"/>
        </w:rPr>
        <w:t>of Section 15.511(b)</w:t>
      </w:r>
      <w:r w:rsidR="00BA748C">
        <w:rPr>
          <w:color w:val="000000"/>
        </w:rPr>
        <w:t xml:space="preserve"> </w:t>
      </w:r>
      <w:r w:rsidR="00C03B81">
        <w:rPr>
          <w:color w:val="000000"/>
        </w:rPr>
        <w:t xml:space="preserve">by requiring a modified </w:t>
      </w:r>
      <w:r w:rsidRPr="00EB634A" w:rsidR="00C03B81">
        <w:rPr>
          <w:color w:val="000000"/>
        </w:rPr>
        <w:t xml:space="preserve">statement </w:t>
      </w:r>
      <w:r w:rsidR="00C03B81">
        <w:rPr>
          <w:color w:val="000000"/>
        </w:rPr>
        <w:t xml:space="preserve">of who may operate the HEXWAVE system.  </w:t>
      </w:r>
      <w:r w:rsidR="00544674">
        <w:rPr>
          <w:color w:val="000000"/>
        </w:rPr>
        <w:t>E</w:t>
      </w:r>
      <w:r w:rsidRPr="0034623C" w:rsidR="00C03B81">
        <w:t xml:space="preserve">ach HEXWAVE </w:t>
      </w:r>
      <w:r w:rsidR="00544674">
        <w:t xml:space="preserve">device </w:t>
      </w:r>
      <w:r w:rsidR="00C03B81">
        <w:t>will be required to</w:t>
      </w:r>
      <w:r w:rsidRPr="0034623C" w:rsidR="00C03B81">
        <w:t xml:space="preserve"> bear the following </w:t>
      </w:r>
      <w:r w:rsidR="00C03B81">
        <w:t>(</w:t>
      </w:r>
      <w:r w:rsidRPr="0034623C" w:rsidR="00C03B81">
        <w:t xml:space="preserve">or </w:t>
      </w:r>
      <w:r w:rsidR="00C03B81">
        <w:t xml:space="preserve">a </w:t>
      </w:r>
      <w:r w:rsidRPr="0034623C" w:rsidR="00C03B81">
        <w:t>substantially similar</w:t>
      </w:r>
      <w:r w:rsidR="00C03B81">
        <w:t>)</w:t>
      </w:r>
      <w:r w:rsidRPr="0034623C" w:rsidR="00C03B81">
        <w:t xml:space="preserve"> statement in a conspicuous location on the device: “Operation of this device is restricted to law enforcement, fire and rescue officials, private security personnel, public utilities, and industrial entities. Operation by any other party is a violation of 47 U.S.C. 301 and could subject the operator to serious legal penalties.</w:t>
      </w:r>
      <w:r w:rsidRPr="00EB634A" w:rsidR="00C03B81">
        <w:rPr>
          <w:color w:val="000000"/>
        </w:rPr>
        <w:t>”</w:t>
      </w:r>
      <w:r>
        <w:rPr>
          <w:rStyle w:val="FootnoteReference"/>
        </w:rPr>
        <w:footnoteReference w:id="43"/>
      </w:r>
    </w:p>
    <w:p w:rsidR="00883E09" w:rsidRPr="00883E09" w:rsidP="00883E09" w14:paraId="08D42629" w14:textId="77777777">
      <w:pPr>
        <w:pStyle w:val="Heading2"/>
      </w:pPr>
      <w:r>
        <w:t>Waiver conditions</w:t>
      </w:r>
    </w:p>
    <w:p w:rsidR="007B09E7" w:rsidP="00C63C5D" w14:paraId="4DC8B475" w14:textId="77777777">
      <w:pPr>
        <w:pStyle w:val="ParaNum"/>
        <w:widowControl/>
        <w:autoSpaceDE w:val="0"/>
        <w:autoSpaceDN w:val="0"/>
        <w:adjustRightInd w:val="0"/>
      </w:pPr>
      <w:r>
        <w:t xml:space="preserve">This waiver is conditioned on Liberty meeting the specified waiver conditions. </w:t>
      </w:r>
      <w:r w:rsidRPr="0034623C" w:rsidR="00FF71AC">
        <w:t xml:space="preserve"> </w:t>
      </w:r>
      <w:bookmarkStart w:id="10" w:name="_Hlk39666036"/>
      <w:r w:rsidR="00C63C5D">
        <w:rPr>
          <w:color w:val="000000"/>
          <w:szCs w:val="22"/>
        </w:rPr>
        <w:t xml:space="preserve">We </w:t>
      </w:r>
      <w:r>
        <w:rPr>
          <w:color w:val="000000"/>
          <w:szCs w:val="22"/>
        </w:rPr>
        <w:t xml:space="preserve">further </w:t>
      </w:r>
      <w:r w:rsidR="00C63C5D">
        <w:rPr>
          <w:color w:val="000000"/>
          <w:szCs w:val="22"/>
        </w:rPr>
        <w:t xml:space="preserve">note that </w:t>
      </w:r>
      <w:r w:rsidRPr="0034623C" w:rsidR="00C63C5D">
        <w:rPr>
          <w:color w:val="000000"/>
          <w:szCs w:val="22"/>
        </w:rPr>
        <w:t>Liberty is not requesting a relaxation of</w:t>
      </w:r>
      <w:r w:rsidR="00C63C5D">
        <w:rPr>
          <w:color w:val="000000"/>
          <w:szCs w:val="22"/>
        </w:rPr>
        <w:t xml:space="preserve"> the </w:t>
      </w:r>
      <w:r w:rsidRPr="008928A6" w:rsidR="00C63C5D">
        <w:rPr>
          <w:color w:val="000000"/>
          <w:szCs w:val="22"/>
        </w:rPr>
        <w:t>restrictive emission limits</w:t>
      </w:r>
      <w:r w:rsidR="00C63C5D">
        <w:rPr>
          <w:color w:val="000000"/>
          <w:szCs w:val="22"/>
        </w:rPr>
        <w:t xml:space="preserve"> that are an integral part of our UWB rules, and which we have acknowledged to be conservative and extremely protective of incumbent services.</w:t>
      </w:r>
      <w:r>
        <w:rPr>
          <w:rStyle w:val="FootnoteReference"/>
          <w:szCs w:val="22"/>
        </w:rPr>
        <w:footnoteReference w:id="44"/>
      </w:r>
      <w:r w:rsidRPr="0034623C" w:rsidR="00C63C5D">
        <w:rPr>
          <w:color w:val="000000"/>
          <w:szCs w:val="22"/>
        </w:rPr>
        <w:t xml:space="preserve"> </w:t>
      </w:r>
      <w:r w:rsidR="00C63C5D">
        <w:rPr>
          <w:color w:val="000000"/>
          <w:szCs w:val="22"/>
        </w:rPr>
        <w:t xml:space="preserve"> Because the HEXWAVE must comply with these rules, and because it can operate under a waiver of the four rules we have identified in a manner</w:t>
      </w:r>
      <w:r w:rsidRPr="0034623C" w:rsidR="00C63C5D">
        <w:rPr>
          <w:color w:val="000000"/>
        </w:rPr>
        <w:t xml:space="preserve"> consistent with the use characteristics associated with </w:t>
      </w:r>
      <w:r w:rsidR="00C63C5D">
        <w:rPr>
          <w:color w:val="000000"/>
        </w:rPr>
        <w:t xml:space="preserve">other </w:t>
      </w:r>
      <w:r w:rsidRPr="0034623C" w:rsidR="00C63C5D">
        <w:rPr>
          <w:color w:val="000000"/>
        </w:rPr>
        <w:t xml:space="preserve">UWB surveillance applications </w:t>
      </w:r>
      <w:r w:rsidR="00C63C5D">
        <w:rPr>
          <w:color w:val="000000"/>
        </w:rPr>
        <w:t>without</w:t>
      </w:r>
      <w:r w:rsidRPr="0034623C" w:rsidR="00C63C5D">
        <w:rPr>
          <w:color w:val="000000"/>
        </w:rPr>
        <w:t xml:space="preserve"> increas</w:t>
      </w:r>
      <w:r w:rsidR="00C63C5D">
        <w:rPr>
          <w:color w:val="000000"/>
        </w:rPr>
        <w:t>ing</w:t>
      </w:r>
      <w:r w:rsidRPr="0034623C" w:rsidR="00C63C5D">
        <w:rPr>
          <w:color w:val="000000"/>
        </w:rPr>
        <w:t xml:space="preserve"> the potential for harmful interference to authorized users</w:t>
      </w:r>
      <w:r w:rsidR="00C63C5D">
        <w:rPr>
          <w:color w:val="000000"/>
        </w:rPr>
        <w:t xml:space="preserve">, we find good cause to grant the waiver request.  We also find </w:t>
      </w:r>
      <w:r w:rsidR="00C63C5D">
        <w:t>good cause to grant this waiver without first resolving the issues Cisco and Hewlett Packard have raised in their letter.</w:t>
      </w:r>
      <w:r>
        <w:rPr>
          <w:rStyle w:val="FootnoteReference"/>
        </w:rPr>
        <w:footnoteReference w:id="45"/>
      </w:r>
      <w:r w:rsidR="00C63C5D">
        <w:t xml:space="preserve">  Liberty’s request is narrowly tailored, can be granted without raising the potential for causing harmful interference to authorized services, and can help realize important public safety benefits.  By contrast, Cisco and Hewlett Packard raise general questions of Commission practice and policy that will remain available for our consideration later and in an appropriate context.</w:t>
      </w:r>
    </w:p>
    <w:p w:rsidR="00C16280" w:rsidRPr="0034623C" w:rsidP="00C16280" w14:paraId="27BFC3DF" w14:textId="77777777">
      <w:pPr>
        <w:pStyle w:val="ParaNum"/>
      </w:pPr>
      <w:bookmarkStart w:id="11" w:name="_Hlk90050017"/>
      <w:bookmarkEnd w:id="10"/>
      <w:r w:rsidRPr="008928A6">
        <w:t xml:space="preserve">Accordingly, pursuant to the delegated authority in Sections 0.31 and 0.241 of the Commission’s rules, we waive the requirements of Sections 15.31(c), 15.503(d), </w:t>
      </w:r>
      <w:r w:rsidR="002F3BEB">
        <w:t xml:space="preserve">the introductory text of </w:t>
      </w:r>
      <w:r w:rsidRPr="008928A6">
        <w:t>15.51</w:t>
      </w:r>
      <w:r w:rsidRPr="008928A6" w:rsidR="00E33334">
        <w:t>1</w:t>
      </w:r>
      <w:r w:rsidRPr="0034623C">
        <w:t>(</w:t>
      </w:r>
      <w:r w:rsidRPr="0034623C" w:rsidR="00E33334">
        <w:t>b</w:t>
      </w:r>
      <w:r w:rsidRPr="0034623C">
        <w:t>)</w:t>
      </w:r>
      <w:r w:rsidR="00176DC6">
        <w:t>, 15.511(b)(2)</w:t>
      </w:r>
      <w:r w:rsidRPr="0034623C">
        <w:t xml:space="preserve">, </w:t>
      </w:r>
      <w:r w:rsidRPr="0034623C" w:rsidR="00E33334">
        <w:t>15.511(f)</w:t>
      </w:r>
      <w:r w:rsidRPr="0034623C">
        <w:t>, and 15.52</w:t>
      </w:r>
      <w:r w:rsidRPr="0034623C" w:rsidR="00E33334">
        <w:t>1(d)</w:t>
      </w:r>
      <w:r w:rsidRPr="0034623C">
        <w:t xml:space="preserve"> of our rules to permit the certification and marketing of the </w:t>
      </w:r>
      <w:r w:rsidRPr="0034623C" w:rsidR="00A2256A">
        <w:t>HEXWAVE</w:t>
      </w:r>
      <w:r w:rsidRPr="0034623C">
        <w:t xml:space="preserve"> System.  This waiver is subject to the following conditions:</w:t>
      </w:r>
    </w:p>
    <w:p w:rsidR="00A2256A" w:rsidRPr="0034623C" w:rsidP="00601426" w14:paraId="02CA13EA" w14:textId="77777777">
      <w:pPr>
        <w:pStyle w:val="ParaNum"/>
        <w:numPr>
          <w:ilvl w:val="0"/>
          <w:numId w:val="7"/>
        </w:numPr>
      </w:pPr>
      <w:r w:rsidRPr="0034623C">
        <w:t xml:space="preserve">The HEXWAVE device shall be certified by the Commission and must comply with the technical specifications applicable to operation under Part 15 of 47 </w:t>
      </w:r>
      <w:r w:rsidR="0003208D">
        <w:t>CFR</w:t>
      </w:r>
      <w:r w:rsidRPr="0034623C">
        <w:t>, except as permitted below</w:t>
      </w:r>
      <w:r w:rsidR="00601426">
        <w:t>:</w:t>
      </w:r>
    </w:p>
    <w:p w:rsidR="00A2256A" w:rsidRPr="0034623C" w:rsidP="00706520" w14:paraId="1D6A9994" w14:textId="77777777">
      <w:pPr>
        <w:pStyle w:val="ParaNum"/>
        <w:numPr>
          <w:ilvl w:val="0"/>
          <w:numId w:val="0"/>
        </w:numPr>
        <w:ind w:left="720"/>
      </w:pPr>
      <w:r w:rsidRPr="0034623C">
        <w:t xml:space="preserve">(a) the instantaneous bandwidth requirement in 47 </w:t>
      </w:r>
      <w:r w:rsidR="0003208D">
        <w:t>CFR</w:t>
      </w:r>
      <w:r w:rsidRPr="0034623C">
        <w:t xml:space="preserve"> §15.503(d) is waived to permit operation of the swept-frequency UWB surveillance system;</w:t>
      </w:r>
    </w:p>
    <w:p w:rsidR="00601426" w:rsidRPr="0034623C" w:rsidP="00601426" w14:paraId="1D9284A2" w14:textId="77777777">
      <w:pPr>
        <w:pStyle w:val="ParaNum"/>
        <w:numPr>
          <w:ilvl w:val="0"/>
          <w:numId w:val="0"/>
        </w:numPr>
        <w:ind w:left="720"/>
      </w:pPr>
      <w:r w:rsidRPr="0034623C">
        <w:t xml:space="preserve">(b) the measurement requirements in 47 </w:t>
      </w:r>
      <w:r w:rsidR="0003208D">
        <w:t>CFR</w:t>
      </w:r>
      <w:r w:rsidRPr="0034623C">
        <w:t xml:space="preserve"> §15.31(c) and 47 </w:t>
      </w:r>
      <w:r w:rsidR="0003208D">
        <w:t>CFR</w:t>
      </w:r>
      <w:r w:rsidRPr="0034623C">
        <w:t xml:space="preserve"> § 15.521(d) are waived to permit the HEXWAVE device to be tested with the frequency sweep active, rather than stopped, to demonstrate compliance with the maximum permitted average power in Section 15.511</w:t>
      </w:r>
      <w:r>
        <w:t>;</w:t>
      </w:r>
    </w:p>
    <w:p w:rsidR="00C16280" w:rsidP="0034623C" w14:paraId="18F6F85F" w14:textId="77777777">
      <w:pPr>
        <w:pStyle w:val="ParaNum"/>
        <w:numPr>
          <w:ilvl w:val="0"/>
          <w:numId w:val="0"/>
        </w:numPr>
        <w:ind w:left="720"/>
      </w:pPr>
      <w:r w:rsidRPr="0034623C">
        <w:t xml:space="preserve">(c) the eligible user requirements </w:t>
      </w:r>
      <w:r w:rsidR="002F3BEB">
        <w:t xml:space="preserve">specified in the introductory text </w:t>
      </w:r>
      <w:r w:rsidRPr="0034623C">
        <w:t xml:space="preserve">of 47 </w:t>
      </w:r>
      <w:r w:rsidR="0003208D">
        <w:t>CFR</w:t>
      </w:r>
      <w:r w:rsidRPr="0034623C">
        <w:t xml:space="preserve"> §15.511(b)</w:t>
      </w:r>
      <w:r w:rsidR="00176DC6">
        <w:t xml:space="preserve"> </w:t>
      </w:r>
      <w:r w:rsidRPr="0034623C">
        <w:t xml:space="preserve">are relaxed to </w:t>
      </w:r>
      <w:r w:rsidR="00601426">
        <w:t xml:space="preserve">also </w:t>
      </w:r>
      <w:r w:rsidRPr="0034623C">
        <w:t>allow use by private security personnel</w:t>
      </w:r>
      <w:r w:rsidR="00601426">
        <w:t xml:space="preserve"> </w:t>
      </w:r>
      <w:r w:rsidRPr="00E86191" w:rsidR="00CA3F4C">
        <w:t>defined as “</w:t>
      </w:r>
      <w:r w:rsidRPr="008A1E09" w:rsidR="005F5E9E">
        <w:t>I</w:t>
      </w:r>
      <w:r w:rsidRPr="008A1E09" w:rsidR="00CA3F4C">
        <w:t xml:space="preserve">ndividuals and organizations (other than public law enforcement personnel and agencies) that primarily are engaged in the detection of crime and threats to people and property at sites at which people aggregate, including </w:t>
      </w:r>
      <w:r w:rsidRPr="008A1E09" w:rsidR="00CA3F4C">
        <w:t>providers of (i) proprietary or contractual guard and screening services, (ii) electronic security systems integration and management services, and (iii) security consulting services”</w:t>
      </w:r>
      <w:r w:rsidRPr="008A1E09" w:rsidR="00601426">
        <w:t>;</w:t>
      </w:r>
    </w:p>
    <w:p w:rsidR="00294E84" w:rsidP="0034623C" w14:paraId="55A30CDB" w14:textId="77777777">
      <w:pPr>
        <w:pStyle w:val="ParaNum"/>
        <w:numPr>
          <w:ilvl w:val="0"/>
          <w:numId w:val="0"/>
        </w:numPr>
        <w:ind w:left="720"/>
      </w:pPr>
      <w:r>
        <w:t>(d)</w:t>
      </w:r>
      <w:r w:rsidR="00813CC3">
        <w:t xml:space="preserve"> the coordination requirement of 47 </w:t>
      </w:r>
      <w:r w:rsidR="0003208D">
        <w:t>CFR</w:t>
      </w:r>
      <w:r w:rsidR="00813CC3">
        <w:t xml:space="preserve"> §15.511(b)(2) </w:t>
      </w:r>
      <w:r w:rsidR="00DE38A4">
        <w:t xml:space="preserve">to coordinate directly with the Commission and NTIA </w:t>
      </w:r>
      <w:r w:rsidR="00813CC3">
        <w:t>is waived</w:t>
      </w:r>
      <w:r w:rsidR="00FB7550">
        <w:t>;</w:t>
      </w:r>
    </w:p>
    <w:p w:rsidR="00C16280" w:rsidP="00601426" w14:paraId="6B311E2C" w14:textId="77777777">
      <w:pPr>
        <w:pStyle w:val="ParaNum"/>
        <w:numPr>
          <w:ilvl w:val="0"/>
          <w:numId w:val="0"/>
        </w:numPr>
        <w:ind w:left="720"/>
      </w:pPr>
      <w:r>
        <w:t>(</w:t>
      </w:r>
      <w:r w:rsidR="00294E84">
        <w:t>e</w:t>
      </w:r>
      <w:r>
        <w:t xml:space="preserve">) in lieu of the labeling requirement of 47 </w:t>
      </w:r>
      <w:r w:rsidR="0003208D">
        <w:t>CFR</w:t>
      </w:r>
      <w:r w:rsidRPr="00601426">
        <w:t xml:space="preserve"> </w:t>
      </w:r>
      <w:r w:rsidRPr="0034623C">
        <w:t>§15.511(</w:t>
      </w:r>
      <w:r w:rsidR="00176DC6">
        <w:t>f)</w:t>
      </w:r>
      <w:r>
        <w:t>, e</w:t>
      </w:r>
      <w:r w:rsidRPr="0034623C" w:rsidR="00A2256A">
        <w:t xml:space="preserve">ach HEXWAVE system shall bear the following or substantially similar statement in a conspicuous location on the device: “Operation of this device is restricted to law enforcement, fire and rescue officials, private security personnel, </w:t>
      </w:r>
      <w:bookmarkStart w:id="12" w:name="_Hlk90390096"/>
      <w:r w:rsidRPr="0034623C" w:rsidR="00A2256A">
        <w:t>public utilities, and industrial entities</w:t>
      </w:r>
      <w:bookmarkEnd w:id="12"/>
      <w:r w:rsidRPr="0034623C" w:rsidR="00A2256A">
        <w:t>. Operation by any other party is a violation of 47 U.S.C. 301 and could subject the operator to serious legal penalties.”</w:t>
      </w:r>
    </w:p>
    <w:p w:rsidR="00264457" w:rsidP="00601426" w14:paraId="565F7E69" w14:textId="77777777">
      <w:pPr>
        <w:pStyle w:val="ParaNum"/>
        <w:numPr>
          <w:ilvl w:val="0"/>
          <w:numId w:val="0"/>
        </w:numPr>
        <w:ind w:left="720"/>
      </w:pPr>
      <w:r>
        <w:t>(f)</w:t>
      </w:r>
      <w:r w:rsidRPr="00AD36E8" w:rsidR="00AD36E8">
        <w:rPr>
          <w:color w:val="000000"/>
          <w:szCs w:val="22"/>
        </w:rPr>
        <w:t xml:space="preserve"> </w:t>
      </w:r>
      <w:r w:rsidRPr="003B645F" w:rsidR="00AD36E8">
        <w:rPr>
          <w:color w:val="000000"/>
          <w:szCs w:val="22"/>
        </w:rPr>
        <w:t xml:space="preserve">Liberty’s sale of the HEXWAVE system will be limited to </w:t>
      </w:r>
      <w:r w:rsidR="00B92943">
        <w:rPr>
          <w:color w:val="000000"/>
          <w:szCs w:val="22"/>
        </w:rPr>
        <w:t xml:space="preserve">law enforcement, </w:t>
      </w:r>
      <w:r w:rsidR="00DB5F27">
        <w:rPr>
          <w:color w:val="000000"/>
          <w:szCs w:val="22"/>
        </w:rPr>
        <w:t>fire,</w:t>
      </w:r>
      <w:r w:rsidR="00B92943">
        <w:rPr>
          <w:color w:val="000000"/>
          <w:szCs w:val="22"/>
        </w:rPr>
        <w:t xml:space="preserve"> and rescue officials, </w:t>
      </w:r>
      <w:r w:rsidRPr="003B645F" w:rsidR="00AD36E8">
        <w:rPr>
          <w:color w:val="000000"/>
          <w:szCs w:val="22"/>
        </w:rPr>
        <w:t>private security personnel,</w:t>
      </w:r>
      <w:r w:rsidR="00B92943">
        <w:rPr>
          <w:color w:val="000000"/>
          <w:szCs w:val="22"/>
        </w:rPr>
        <w:t xml:space="preserve"> public utilities, and industrial entities </w:t>
      </w:r>
      <w:r w:rsidRPr="003B645F" w:rsidR="00AD36E8">
        <w:rPr>
          <w:color w:val="000000"/>
          <w:szCs w:val="22"/>
        </w:rPr>
        <w:t xml:space="preserve">as </w:t>
      </w:r>
      <w:r w:rsidR="00B92943">
        <w:rPr>
          <w:color w:val="000000"/>
          <w:szCs w:val="22"/>
        </w:rPr>
        <w:t>described in conditions (1)(c) and</w:t>
      </w:r>
      <w:r w:rsidRPr="003B645F" w:rsidR="00AD36E8">
        <w:rPr>
          <w:color w:val="000000"/>
          <w:szCs w:val="22"/>
        </w:rPr>
        <w:t xml:space="preserve"> (1)(e)</w:t>
      </w:r>
      <w:r w:rsidR="00B92943">
        <w:rPr>
          <w:color w:val="000000"/>
          <w:szCs w:val="22"/>
        </w:rPr>
        <w:t>.</w:t>
      </w:r>
    </w:p>
    <w:p w:rsidR="00FC7729" w:rsidP="00FC7729" w14:paraId="288168DF" w14:textId="77777777">
      <w:pPr>
        <w:pStyle w:val="ParaNum"/>
        <w:numPr>
          <w:ilvl w:val="0"/>
          <w:numId w:val="7"/>
        </w:numPr>
      </w:pPr>
      <w:r w:rsidRPr="003B645F">
        <w:t xml:space="preserve">Liberty shall create and maintain a record of all devices sold under this waiver, which record shall include all information set forth in 47 CFR § 15.525(b) to include latitude and longitude information. This record shall be made available to the Commission and to NTIA upon request.  </w:t>
      </w:r>
    </w:p>
    <w:p w:rsidR="00B05CE4" w:rsidRPr="003B645F" w:rsidP="00B05CE4" w14:paraId="07A10DFA" w14:textId="77777777">
      <w:pPr>
        <w:pStyle w:val="ParaNum"/>
        <w:numPr>
          <w:ilvl w:val="0"/>
          <w:numId w:val="7"/>
        </w:numPr>
      </w:pPr>
      <w:r w:rsidRPr="00367F84">
        <w:t>T</w:t>
      </w:r>
      <w:r w:rsidRPr="003B645F">
        <w:t>he maximum EIRP of the HEXWAVE system shall not exceed -41.3 dBm/MHz.</w:t>
      </w:r>
    </w:p>
    <w:p w:rsidR="00B05CE4" w:rsidRPr="003B645F" w:rsidP="00B05CE4" w14:paraId="48A1F6ED" w14:textId="77777777">
      <w:pPr>
        <w:pStyle w:val="ParaNum"/>
        <w:numPr>
          <w:ilvl w:val="0"/>
          <w:numId w:val="7"/>
        </w:numPr>
      </w:pPr>
      <w:r w:rsidRPr="003B645F">
        <w:t>The intentional emissions generated by the HEXWAVE device must be completely contained within the 6-</w:t>
      </w:r>
      <w:r>
        <w:t>10.6</w:t>
      </w:r>
      <w:r w:rsidRPr="003B645F">
        <w:t xml:space="preserve"> GHz frequency range.</w:t>
      </w:r>
    </w:p>
    <w:p w:rsidR="00B05CE4" w:rsidRPr="003B645F" w:rsidP="00B05CE4" w14:paraId="088ACA67" w14:textId="77777777">
      <w:pPr>
        <w:pStyle w:val="ParaNum"/>
        <w:numPr>
          <w:ilvl w:val="0"/>
          <w:numId w:val="7"/>
        </w:numPr>
      </w:pPr>
      <w:r w:rsidRPr="003B645F">
        <w:t>The total transmit time of the HEXWAVE system during a cycle will be less than 54 milliseconds and each cycle will be repeated with a period of no less than 100 milliseconds.</w:t>
      </w:r>
    </w:p>
    <w:p w:rsidR="00B05CE4" w:rsidRPr="003B645F" w:rsidP="00B05CE4" w14:paraId="4F837EE6" w14:textId="77777777">
      <w:pPr>
        <w:pStyle w:val="ParaNum"/>
        <w:numPr>
          <w:ilvl w:val="0"/>
          <w:numId w:val="7"/>
        </w:numPr>
      </w:pPr>
      <w:r>
        <w:t xml:space="preserve">Each </w:t>
      </w:r>
      <w:r w:rsidRPr="003B645F">
        <w:t xml:space="preserve">HEXWAVE system will be operated such that no two antennas within a single HEXWAVE system will transmit </w:t>
      </w:r>
      <w:r w:rsidRPr="00367F84">
        <w:t xml:space="preserve">concurrently. </w:t>
      </w:r>
    </w:p>
    <w:p w:rsidR="00B05CE4" w:rsidP="00B05CE4" w14:paraId="02A82137" w14:textId="77777777">
      <w:pPr>
        <w:pStyle w:val="ParaNum"/>
        <w:numPr>
          <w:ilvl w:val="0"/>
          <w:numId w:val="7"/>
        </w:numPr>
      </w:pPr>
      <w:r w:rsidRPr="003B645F">
        <w:t>This waiver shall apply to the HEXWAVE systems as described herein and provided no changes are made to the transmitter that would increase the</w:t>
      </w:r>
      <w:r>
        <w:t xml:space="preserve"> system’s EIRP.</w:t>
      </w:r>
    </w:p>
    <w:p w:rsidR="002E29A2" w:rsidRPr="002E29A2" w:rsidP="00FC7729" w14:paraId="070EDE6D" w14:textId="77777777">
      <w:pPr>
        <w:pStyle w:val="ParaNum"/>
        <w:numPr>
          <w:ilvl w:val="0"/>
          <w:numId w:val="7"/>
        </w:numPr>
        <w:rPr>
          <w:szCs w:val="22"/>
        </w:rPr>
      </w:pPr>
      <w:r>
        <w:rPr>
          <w:color w:val="000000"/>
        </w:rPr>
        <w:t xml:space="preserve">Liberty </w:t>
      </w:r>
      <w:r w:rsidR="00843405">
        <w:rPr>
          <w:color w:val="000000"/>
        </w:rPr>
        <w:t>shall</w:t>
      </w:r>
      <w:r w:rsidR="00BE0B36">
        <w:rPr>
          <w:color w:val="000000"/>
        </w:rPr>
        <w:t>:</w:t>
      </w:r>
    </w:p>
    <w:p w:rsidR="00FC7729" w:rsidRPr="00FC7729" w:rsidP="002E29A2" w14:paraId="6077ABDA" w14:textId="77777777">
      <w:pPr>
        <w:pStyle w:val="ParaNum"/>
        <w:numPr>
          <w:ilvl w:val="0"/>
          <w:numId w:val="0"/>
        </w:numPr>
        <w:ind w:left="1440"/>
        <w:rPr>
          <w:szCs w:val="22"/>
        </w:rPr>
      </w:pPr>
      <w:r>
        <w:rPr>
          <w:color w:val="000000"/>
        </w:rPr>
        <w:t>a)</w:t>
      </w:r>
      <w:r w:rsidRPr="003B645F">
        <w:rPr>
          <w:color w:val="000000"/>
        </w:rPr>
        <w:t xml:space="preserve"> maintain</w:t>
      </w:r>
      <w:r w:rsidRPr="003B645F">
        <w:rPr>
          <w:color w:val="000000"/>
        </w:rPr>
        <w:t xml:space="preserve"> a database, accessible to the FCC and NTIA upon request, of any instance in which a deployed HEXWAVE system caused </w:t>
      </w:r>
      <w:r w:rsidR="00974EAD">
        <w:rPr>
          <w:color w:val="000000"/>
        </w:rPr>
        <w:t xml:space="preserve">harmful </w:t>
      </w:r>
      <w:r w:rsidRPr="003B645F">
        <w:rPr>
          <w:color w:val="000000"/>
        </w:rPr>
        <w:t>interference to federal operations</w:t>
      </w:r>
      <w:r w:rsidR="00DB5F27">
        <w:rPr>
          <w:color w:val="000000"/>
        </w:rPr>
        <w:t>;</w:t>
      </w:r>
      <w:r>
        <w:rPr>
          <w:color w:val="000000"/>
        </w:rPr>
        <w:t xml:space="preserve"> </w:t>
      </w:r>
    </w:p>
    <w:p w:rsidR="00FC7729" w:rsidP="002E29A2" w14:paraId="6A08BA20" w14:textId="77777777">
      <w:pPr>
        <w:pStyle w:val="ParaNum"/>
        <w:numPr>
          <w:ilvl w:val="0"/>
          <w:numId w:val="0"/>
        </w:numPr>
        <w:ind w:left="1440"/>
        <w:rPr>
          <w:szCs w:val="22"/>
        </w:rPr>
      </w:pPr>
      <w:r>
        <w:rPr>
          <w:szCs w:val="22"/>
        </w:rPr>
        <w:t>b)</w:t>
      </w:r>
      <w:r w:rsidR="00EE72A7">
        <w:rPr>
          <w:szCs w:val="22"/>
        </w:rPr>
        <w:t xml:space="preserve"> </w:t>
      </w:r>
      <w:r w:rsidRPr="003B645F">
        <w:rPr>
          <w:szCs w:val="22"/>
        </w:rPr>
        <w:t>in every instance know the exact location of the deployment of each HEXWAVE system due to the terms of its customer agreements and its ability to remotely monitor operating HEXWAVE systems, and contractually require</w:t>
      </w:r>
      <w:r w:rsidR="00B91835">
        <w:rPr>
          <w:szCs w:val="22"/>
        </w:rPr>
        <w:t xml:space="preserve"> </w:t>
      </w:r>
      <w:r w:rsidRPr="003B645F" w:rsidR="00B91835">
        <w:rPr>
          <w:szCs w:val="22"/>
        </w:rPr>
        <w:t xml:space="preserve">Liberty’s approval </w:t>
      </w:r>
      <w:r w:rsidRPr="003B645F">
        <w:rPr>
          <w:szCs w:val="22"/>
        </w:rPr>
        <w:t>for its customer to move a HEXWAVE system</w:t>
      </w:r>
      <w:r>
        <w:rPr>
          <w:szCs w:val="22"/>
        </w:rPr>
        <w:t>;</w:t>
      </w:r>
      <w:r w:rsidR="006B6C89">
        <w:rPr>
          <w:szCs w:val="22"/>
        </w:rPr>
        <w:t xml:space="preserve"> and</w:t>
      </w:r>
    </w:p>
    <w:p w:rsidR="00B05CE4" w:rsidRPr="003B645F" w:rsidP="002E29A2" w14:paraId="6BD95CC7" w14:textId="77777777">
      <w:pPr>
        <w:pStyle w:val="ParaNum"/>
        <w:numPr>
          <w:ilvl w:val="0"/>
          <w:numId w:val="0"/>
        </w:numPr>
        <w:ind w:left="1440"/>
      </w:pPr>
      <w:r>
        <w:t xml:space="preserve">c) </w:t>
      </w:r>
      <w:r w:rsidRPr="003B645F">
        <w:t>maintain remote connectivity to each HEXWAVE to continuously monitor systems operating in the field. Liberty will take corrective action if there is abnormal operation by a HEXWAVE system, including terminating operation in the event of interference.</w:t>
      </w:r>
    </w:p>
    <w:p w:rsidR="00FC7729" w:rsidRPr="003B645F" w:rsidP="00FC7729" w14:paraId="0CC92180" w14:textId="77777777">
      <w:pPr>
        <w:pStyle w:val="ParaNum"/>
        <w:numPr>
          <w:ilvl w:val="0"/>
          <w:numId w:val="7"/>
        </w:numPr>
      </w:pPr>
      <w:r w:rsidRPr="003B645F">
        <w:t>Liberty shall inform purchasers that the HEXWAVE device may not be resold or leased by such purchasers to third parties for use at another installation in the United States without prior notice to Liberty and unless appropriate arrangements are made for the third-party buyer to meet all of the conditions of this waiver.</w:t>
      </w:r>
      <w:r w:rsidRPr="003B645F">
        <w:t xml:space="preserve"> </w:t>
      </w:r>
    </w:p>
    <w:p w:rsidR="00FC7729" w:rsidRPr="003B645F" w:rsidP="00FC7729" w14:paraId="1B16F1DC" w14:textId="77777777">
      <w:pPr>
        <w:pStyle w:val="ParaNum"/>
        <w:numPr>
          <w:ilvl w:val="0"/>
          <w:numId w:val="7"/>
        </w:numPr>
      </w:pPr>
      <w:r w:rsidRPr="003B645F">
        <w:rPr>
          <w:szCs w:val="22"/>
        </w:rPr>
        <w:t>Liberty shall disclose in a manner that would be conspicuous to both initial and subsequent purchasers of HEXWAVE that these devices may only be operated on a non-interference basis to existing and future authorized services and operators of these devices will be required to mitigate any instances of harmful interference that may occur.</w:t>
      </w:r>
    </w:p>
    <w:p w:rsidR="00FC7729" w:rsidRPr="003B645F" w:rsidP="00FC7729" w14:paraId="5A494DE7" w14:textId="77777777">
      <w:pPr>
        <w:pStyle w:val="ParaNum"/>
        <w:numPr>
          <w:ilvl w:val="0"/>
          <w:numId w:val="7"/>
        </w:numPr>
      </w:pPr>
      <w:r w:rsidRPr="003B645F">
        <w:t xml:space="preserve">Liberty shall limit the number of systems installed under this waiver to one hundred (100) installations during the first twelve months following the grant of this waiver and to an additional </w:t>
      </w:r>
      <w:r w:rsidRPr="003B645F">
        <w:t>two hundred (200) during the second twelve months and to an additional three hundred (300) during the third twelve months, for a total of no more than six hundred (600) systems at the end of three years.</w:t>
      </w:r>
      <w:r w:rsidR="0048658B">
        <w:t xml:space="preserve">  In the fourth year and all subsequent years Liberty may install up to three hundred (300) additional systems per year</w:t>
      </w:r>
      <w:r w:rsidR="00EE72A7">
        <w:t xml:space="preserve">; </w:t>
      </w:r>
      <w:r w:rsidR="00C30F50">
        <w:t xml:space="preserve">any request by Liberty to modify this limit may be </w:t>
      </w:r>
      <w:r w:rsidR="00EF73AC">
        <w:t>considered</w:t>
      </w:r>
      <w:r w:rsidR="00C30F50">
        <w:t xml:space="preserve"> by the FCC in coordination with NTIA.</w:t>
      </w:r>
      <w:r w:rsidR="0048658B">
        <w:t xml:space="preserve">  </w:t>
      </w:r>
    </w:p>
    <w:p w:rsidR="005F6B64" w:rsidRPr="003B645F" w:rsidP="003B645F" w14:paraId="493E6D9C" w14:textId="77777777">
      <w:pPr>
        <w:pStyle w:val="ParaNum"/>
        <w:numPr>
          <w:ilvl w:val="0"/>
          <w:numId w:val="7"/>
        </w:numPr>
        <w:rPr>
          <w:szCs w:val="22"/>
        </w:rPr>
      </w:pPr>
      <w:r w:rsidRPr="003B645F">
        <w:rPr>
          <w:color w:val="000000"/>
        </w:rPr>
        <w:t xml:space="preserve">Liberty </w:t>
      </w:r>
      <w:r w:rsidR="00843405">
        <w:rPr>
          <w:color w:val="000000"/>
        </w:rPr>
        <w:t>shall</w:t>
      </w:r>
      <w:r w:rsidRPr="003B645F" w:rsidR="00843405">
        <w:rPr>
          <w:color w:val="000000"/>
        </w:rPr>
        <w:t xml:space="preserve"> </w:t>
      </w:r>
      <w:r w:rsidRPr="003B645F">
        <w:rPr>
          <w:color w:val="000000"/>
        </w:rPr>
        <w:t xml:space="preserve">avoid </w:t>
      </w:r>
      <w:r w:rsidR="00386F24">
        <w:rPr>
          <w:color w:val="000000"/>
        </w:rPr>
        <w:t xml:space="preserve">outdoor </w:t>
      </w:r>
      <w:r w:rsidRPr="003B645F">
        <w:rPr>
          <w:color w:val="000000"/>
        </w:rPr>
        <w:t>d</w:t>
      </w:r>
      <w:r w:rsidRPr="00367F84" w:rsidR="00460A6B">
        <w:rPr>
          <w:color w:val="000000"/>
        </w:rPr>
        <w:t>eployment within</w:t>
      </w:r>
      <w:r w:rsidRPr="00367F84" w:rsidR="00460A6B">
        <w:rPr>
          <w:b/>
          <w:bCs/>
          <w:color w:val="000000"/>
        </w:rPr>
        <w:t xml:space="preserve"> </w:t>
      </w:r>
      <w:r w:rsidRPr="00367F84" w:rsidR="00460A6B">
        <w:rPr>
          <w:color w:val="000000"/>
        </w:rPr>
        <w:t xml:space="preserve">20 km of the sites listed in </w:t>
      </w:r>
      <w:r w:rsidRPr="003B645F" w:rsidR="00345940">
        <w:rPr>
          <w:color w:val="000000"/>
        </w:rPr>
        <w:t xml:space="preserve">footnote </w:t>
      </w:r>
      <w:r w:rsidRPr="00367F84" w:rsidR="00460A6B">
        <w:rPr>
          <w:color w:val="000000"/>
        </w:rPr>
        <w:t>US 13</w:t>
      </w:r>
      <w:r w:rsidRPr="003B645F">
        <w:rPr>
          <w:color w:val="000000"/>
        </w:rPr>
        <w:t>1</w:t>
      </w:r>
      <w:r w:rsidRPr="00367F84" w:rsidR="00460A6B">
        <w:rPr>
          <w:color w:val="000000"/>
        </w:rPr>
        <w:t>:</w:t>
      </w:r>
    </w:p>
    <w:p w:rsidR="005F6B64" w:rsidRPr="00C34DDB" w:rsidP="005F6B64" w14:paraId="7AFFD994" w14:textId="77777777">
      <w:pPr>
        <w:ind w:left="720" w:firstLine="720"/>
        <w:rPr>
          <w:rFonts w:ascii="Calibri" w:hAnsi="Calibri" w:cs="Calibri"/>
          <w:color w:val="000000"/>
          <w:szCs w:val="22"/>
        </w:rPr>
      </w:pPr>
      <w:r w:rsidRPr="00C34DDB">
        <w:rPr>
          <w:color w:val="000000"/>
        </w:rPr>
        <w:t>Arecibo Observatory, PR…………….…...</w:t>
      </w:r>
      <w:r>
        <w:rPr>
          <w:color w:val="000000"/>
        </w:rPr>
        <w:tab/>
      </w:r>
      <w:r w:rsidRPr="00C34DDB">
        <w:rPr>
          <w:color w:val="000000"/>
        </w:rPr>
        <w:t>18° 20' 37"</w:t>
      </w:r>
      <w:r>
        <w:rPr>
          <w:color w:val="000000"/>
        </w:rPr>
        <w:t xml:space="preserve"> N, </w:t>
      </w:r>
      <w:r w:rsidRPr="00C34DDB">
        <w:rPr>
          <w:color w:val="000000"/>
        </w:rPr>
        <w:t>66° 45' 11"</w:t>
      </w:r>
      <w:r>
        <w:rPr>
          <w:color w:val="000000"/>
        </w:rPr>
        <w:t xml:space="preserve"> W</w:t>
      </w:r>
      <w:r w:rsidRPr="00C34DDB">
        <w:rPr>
          <w:color w:val="000000"/>
        </w:rPr>
        <w:t xml:space="preserve"> </w:t>
      </w:r>
    </w:p>
    <w:p w:rsidR="005F6B64" w:rsidRPr="00C34DDB" w:rsidP="005F6B64" w14:paraId="444AEFC9" w14:textId="77777777">
      <w:pPr>
        <w:ind w:left="720" w:firstLine="720"/>
        <w:rPr>
          <w:color w:val="000000"/>
        </w:rPr>
      </w:pPr>
      <w:r w:rsidRPr="00C34DDB">
        <w:rPr>
          <w:color w:val="000000"/>
        </w:rPr>
        <w:t>Green Bank Telescope (GBT), WV…..…</w:t>
      </w:r>
      <w:r>
        <w:rPr>
          <w:color w:val="000000"/>
        </w:rPr>
        <w:t>..</w:t>
      </w:r>
      <w:r>
        <w:rPr>
          <w:color w:val="000000"/>
        </w:rPr>
        <w:tab/>
      </w:r>
      <w:r w:rsidRPr="00C34DDB">
        <w:rPr>
          <w:color w:val="000000"/>
        </w:rPr>
        <w:t xml:space="preserve">38° 25' 59" </w:t>
      </w:r>
      <w:r>
        <w:rPr>
          <w:color w:val="000000"/>
        </w:rPr>
        <w:t xml:space="preserve">N, </w:t>
      </w:r>
      <w:r w:rsidRPr="00C34DDB">
        <w:rPr>
          <w:color w:val="000000"/>
        </w:rPr>
        <w:t>79° 50' 23"</w:t>
      </w:r>
      <w:r>
        <w:rPr>
          <w:color w:val="000000"/>
        </w:rPr>
        <w:t xml:space="preserve"> W</w:t>
      </w:r>
    </w:p>
    <w:p w:rsidR="005F6B64" w:rsidRPr="00C34DDB" w:rsidP="005F6B64" w14:paraId="09DDD6F4" w14:textId="77777777">
      <w:pPr>
        <w:ind w:left="720" w:firstLine="720"/>
        <w:rPr>
          <w:color w:val="000000"/>
        </w:rPr>
      </w:pPr>
      <w:r w:rsidRPr="00C34DDB">
        <w:rPr>
          <w:color w:val="000000"/>
        </w:rPr>
        <w:t>Very Large Array (VLA), Socorro, NM….</w:t>
      </w:r>
      <w:r>
        <w:rPr>
          <w:color w:val="000000"/>
        </w:rPr>
        <w:tab/>
      </w:r>
      <w:r w:rsidRPr="00C34DDB">
        <w:rPr>
          <w:color w:val="000000"/>
        </w:rPr>
        <w:t>34° 04' 44"</w:t>
      </w:r>
      <w:r>
        <w:rPr>
          <w:color w:val="000000"/>
        </w:rPr>
        <w:t xml:space="preserve"> N,</w:t>
      </w:r>
      <w:r w:rsidRPr="00C34DDB">
        <w:rPr>
          <w:color w:val="000000"/>
        </w:rPr>
        <w:t xml:space="preserve"> 107° 37' 06" </w:t>
      </w:r>
      <w:r>
        <w:rPr>
          <w:color w:val="000000"/>
        </w:rPr>
        <w:t>W</w:t>
      </w:r>
    </w:p>
    <w:p w:rsidR="005F6B64" w:rsidRPr="00C34DDB" w:rsidP="005F6B64" w14:paraId="1E8BF575" w14:textId="77777777">
      <w:pPr>
        <w:rPr>
          <w:color w:val="000000"/>
        </w:rPr>
      </w:pPr>
    </w:p>
    <w:p w:rsidR="005F6B64" w:rsidRPr="00C34DDB" w:rsidP="005F6B64" w14:paraId="7A54406C" w14:textId="77777777">
      <w:pPr>
        <w:ind w:left="720" w:firstLine="720"/>
        <w:rPr>
          <w:color w:val="000000"/>
        </w:rPr>
      </w:pPr>
      <w:r w:rsidRPr="00C34DDB">
        <w:rPr>
          <w:color w:val="000000"/>
        </w:rPr>
        <w:t>Very Long Baseline Array (VLBA) Stations:</w:t>
      </w:r>
    </w:p>
    <w:p w:rsidR="005F6B64" w:rsidRPr="00C34DDB" w:rsidP="005F6B64" w14:paraId="0D3874E9" w14:textId="77777777">
      <w:pPr>
        <w:ind w:left="1440" w:firstLine="720"/>
        <w:rPr>
          <w:color w:val="000000"/>
        </w:rPr>
      </w:pPr>
      <w:r w:rsidRPr="00C34DDB">
        <w:rPr>
          <w:color w:val="000000"/>
        </w:rPr>
        <w:t>Brewster, WA……………………</w:t>
      </w:r>
      <w:r>
        <w:rPr>
          <w:color w:val="000000"/>
        </w:rPr>
        <w:t>.</w:t>
      </w:r>
      <w:r w:rsidRPr="00C34DDB">
        <w:rPr>
          <w:color w:val="000000"/>
        </w:rPr>
        <w:tab/>
        <w:t>48</w:t>
      </w:r>
      <w:bookmarkStart w:id="13" w:name="_Hlk85198949"/>
      <w:r w:rsidRPr="00C34DDB">
        <w:rPr>
          <w:color w:val="000000"/>
        </w:rPr>
        <w:t>°</w:t>
      </w:r>
      <w:bookmarkEnd w:id="13"/>
      <w:r w:rsidRPr="00C34DDB">
        <w:rPr>
          <w:color w:val="000000"/>
        </w:rPr>
        <w:t xml:space="preserve"> 07' 52"</w:t>
      </w:r>
      <w:r>
        <w:rPr>
          <w:color w:val="000000"/>
        </w:rPr>
        <w:t xml:space="preserve"> N,</w:t>
      </w:r>
      <w:r w:rsidRPr="00C34DDB">
        <w:rPr>
          <w:color w:val="000000"/>
        </w:rPr>
        <w:t xml:space="preserve"> 119° 41' 00" </w:t>
      </w:r>
      <w:r>
        <w:rPr>
          <w:color w:val="000000"/>
        </w:rPr>
        <w:t>W</w:t>
      </w:r>
    </w:p>
    <w:p w:rsidR="005F6B64" w:rsidRPr="00C34DDB" w:rsidP="005F6B64" w14:paraId="49E9C3EB" w14:textId="77777777">
      <w:pPr>
        <w:ind w:left="1440" w:firstLine="720"/>
        <w:rPr>
          <w:color w:val="000000"/>
        </w:rPr>
      </w:pPr>
      <w:r w:rsidRPr="00C34DDB">
        <w:rPr>
          <w:color w:val="000000"/>
        </w:rPr>
        <w:t>Fort Davis, TX……………………</w:t>
      </w:r>
      <w:r w:rsidRPr="00C34DDB">
        <w:rPr>
          <w:color w:val="000000"/>
        </w:rPr>
        <w:tab/>
        <w:t>30° 38' 06"</w:t>
      </w:r>
      <w:r>
        <w:rPr>
          <w:color w:val="000000"/>
        </w:rPr>
        <w:t xml:space="preserve"> N,</w:t>
      </w:r>
      <w:r w:rsidRPr="00C34DDB">
        <w:rPr>
          <w:color w:val="000000"/>
        </w:rPr>
        <w:t xml:space="preserve"> 103° 56' 41"</w:t>
      </w:r>
      <w:r>
        <w:rPr>
          <w:color w:val="000000"/>
        </w:rPr>
        <w:t xml:space="preserve"> W</w:t>
      </w:r>
    </w:p>
    <w:p w:rsidR="005F6B64" w:rsidRPr="00C34DDB" w:rsidP="005F6B64" w14:paraId="280DEDD5" w14:textId="77777777">
      <w:pPr>
        <w:ind w:left="1440" w:firstLine="720"/>
        <w:rPr>
          <w:color w:val="000000"/>
        </w:rPr>
      </w:pPr>
      <w:r w:rsidRPr="00C34DDB">
        <w:rPr>
          <w:color w:val="000000"/>
        </w:rPr>
        <w:t>Hancock, NH……………………</w:t>
      </w:r>
      <w:r>
        <w:rPr>
          <w:color w:val="000000"/>
        </w:rPr>
        <w:t>..</w:t>
      </w:r>
      <w:r w:rsidRPr="00C34DDB">
        <w:rPr>
          <w:color w:val="000000"/>
        </w:rPr>
        <w:tab/>
        <w:t>42° 56' 01"</w:t>
      </w:r>
      <w:r>
        <w:rPr>
          <w:color w:val="000000"/>
        </w:rPr>
        <w:t xml:space="preserve"> N,</w:t>
      </w:r>
      <w:r w:rsidRPr="00C34DDB">
        <w:rPr>
          <w:color w:val="000000"/>
        </w:rPr>
        <w:t xml:space="preserve"> 71° 59' 12" </w:t>
      </w:r>
      <w:r>
        <w:rPr>
          <w:color w:val="000000"/>
        </w:rPr>
        <w:t>W</w:t>
      </w:r>
    </w:p>
    <w:p w:rsidR="005F6B64" w:rsidRPr="00C34DDB" w:rsidP="005F6B64" w14:paraId="3969C797" w14:textId="77777777">
      <w:pPr>
        <w:ind w:left="1440" w:firstLine="720"/>
        <w:rPr>
          <w:color w:val="000000"/>
        </w:rPr>
      </w:pPr>
      <w:r w:rsidRPr="00C34DDB">
        <w:rPr>
          <w:color w:val="000000"/>
        </w:rPr>
        <w:t>Kitt Peak, AZ……………………</w:t>
      </w:r>
      <w:r>
        <w:rPr>
          <w:color w:val="000000"/>
        </w:rPr>
        <w:t>..</w:t>
      </w:r>
      <w:r w:rsidRPr="00C34DDB">
        <w:rPr>
          <w:color w:val="000000"/>
        </w:rPr>
        <w:tab/>
        <w:t>31° 57' 23"</w:t>
      </w:r>
      <w:r>
        <w:rPr>
          <w:color w:val="000000"/>
        </w:rPr>
        <w:t xml:space="preserve"> N,</w:t>
      </w:r>
      <w:r w:rsidRPr="00C34DDB">
        <w:rPr>
          <w:color w:val="000000"/>
        </w:rPr>
        <w:t xml:space="preserve"> 111° 36' 45" </w:t>
      </w:r>
      <w:r>
        <w:rPr>
          <w:color w:val="000000"/>
        </w:rPr>
        <w:t>W</w:t>
      </w:r>
    </w:p>
    <w:p w:rsidR="005F6B64" w:rsidRPr="00C34DDB" w:rsidP="005F6B64" w14:paraId="2A1AC313" w14:textId="77777777">
      <w:pPr>
        <w:ind w:left="1440" w:firstLine="720"/>
        <w:rPr>
          <w:color w:val="000000"/>
        </w:rPr>
      </w:pPr>
      <w:r w:rsidRPr="00C34DDB">
        <w:rPr>
          <w:color w:val="000000"/>
        </w:rPr>
        <w:t>Los Alamos, NM…………………</w:t>
      </w:r>
      <w:r>
        <w:rPr>
          <w:color w:val="000000"/>
        </w:rPr>
        <w:t>.</w:t>
      </w:r>
      <w:r w:rsidRPr="00C34DDB">
        <w:rPr>
          <w:color w:val="000000"/>
        </w:rPr>
        <w:tab/>
        <w:t>35° 46' 30"</w:t>
      </w:r>
      <w:r>
        <w:rPr>
          <w:color w:val="000000"/>
        </w:rPr>
        <w:t xml:space="preserve"> N,</w:t>
      </w:r>
      <w:r w:rsidRPr="00C34DDB">
        <w:rPr>
          <w:color w:val="000000"/>
        </w:rPr>
        <w:t xml:space="preserve"> 106° 14' 44" </w:t>
      </w:r>
      <w:r>
        <w:rPr>
          <w:color w:val="000000"/>
        </w:rPr>
        <w:t>W</w:t>
      </w:r>
    </w:p>
    <w:p w:rsidR="005F6B64" w:rsidRPr="00C34DDB" w:rsidP="005F6B64" w14:paraId="5FBA73DC" w14:textId="77777777">
      <w:pPr>
        <w:ind w:left="1440" w:firstLine="720"/>
        <w:rPr>
          <w:color w:val="000000"/>
        </w:rPr>
      </w:pPr>
      <w:r w:rsidRPr="00C34DDB">
        <w:rPr>
          <w:color w:val="000000"/>
        </w:rPr>
        <w:t>Mauna Kea, HI…………….……</w:t>
      </w:r>
      <w:r>
        <w:rPr>
          <w:color w:val="000000"/>
        </w:rPr>
        <w:t>…</w:t>
      </w:r>
      <w:r w:rsidRPr="00C34DDB">
        <w:rPr>
          <w:color w:val="000000"/>
        </w:rPr>
        <w:tab/>
        <w:t>19° 48' 05"</w:t>
      </w:r>
      <w:r>
        <w:rPr>
          <w:color w:val="000000"/>
        </w:rPr>
        <w:t xml:space="preserve"> N,</w:t>
      </w:r>
      <w:r w:rsidRPr="00C34DDB">
        <w:rPr>
          <w:color w:val="000000"/>
        </w:rPr>
        <w:t xml:space="preserve"> 155° 27' 20" </w:t>
      </w:r>
      <w:r>
        <w:rPr>
          <w:color w:val="000000"/>
        </w:rPr>
        <w:t>W</w:t>
      </w:r>
    </w:p>
    <w:p w:rsidR="005F6B64" w:rsidRPr="00C34DDB" w:rsidP="005F6B64" w14:paraId="0EFBB576" w14:textId="77777777">
      <w:pPr>
        <w:ind w:left="1440" w:firstLine="720"/>
        <w:rPr>
          <w:color w:val="000000"/>
        </w:rPr>
      </w:pPr>
      <w:r w:rsidRPr="00C34DDB">
        <w:rPr>
          <w:color w:val="000000"/>
        </w:rPr>
        <w:t>North Liberty, IA…………………</w:t>
      </w:r>
      <w:r>
        <w:rPr>
          <w:color w:val="000000"/>
        </w:rPr>
        <w:t>.</w:t>
      </w:r>
      <w:r w:rsidRPr="00C34DDB">
        <w:rPr>
          <w:color w:val="000000"/>
        </w:rPr>
        <w:tab/>
        <w:t>41° 46' 17"</w:t>
      </w:r>
      <w:r>
        <w:rPr>
          <w:color w:val="000000"/>
        </w:rPr>
        <w:t xml:space="preserve"> N, </w:t>
      </w:r>
      <w:r w:rsidRPr="00C34DDB">
        <w:rPr>
          <w:color w:val="000000"/>
        </w:rPr>
        <w:t>91° 34' 27</w:t>
      </w:r>
      <w:bookmarkStart w:id="14" w:name="_Hlk85199047"/>
      <w:r w:rsidRPr="00C34DDB">
        <w:rPr>
          <w:color w:val="000000"/>
        </w:rPr>
        <w:t>"</w:t>
      </w:r>
      <w:bookmarkEnd w:id="14"/>
      <w:r w:rsidRPr="00C34DDB">
        <w:rPr>
          <w:color w:val="000000"/>
        </w:rPr>
        <w:t xml:space="preserve"> </w:t>
      </w:r>
      <w:r>
        <w:rPr>
          <w:color w:val="000000"/>
        </w:rPr>
        <w:t>W</w:t>
      </w:r>
    </w:p>
    <w:p w:rsidR="005F6B64" w:rsidRPr="00C34DDB" w:rsidP="005F6B64" w14:paraId="696D30FA" w14:textId="77777777">
      <w:pPr>
        <w:ind w:left="1440" w:firstLine="720"/>
        <w:rPr>
          <w:color w:val="000000"/>
        </w:rPr>
      </w:pPr>
      <w:r w:rsidRPr="00C34DDB">
        <w:rPr>
          <w:color w:val="000000"/>
        </w:rPr>
        <w:t>Owens Valley, CA………………</w:t>
      </w:r>
      <w:r>
        <w:rPr>
          <w:color w:val="000000"/>
        </w:rPr>
        <w:t>…</w:t>
      </w:r>
      <w:r w:rsidRPr="00C34DDB">
        <w:rPr>
          <w:color w:val="000000"/>
        </w:rPr>
        <w:tab/>
        <w:t xml:space="preserve">37° 13' 54" </w:t>
      </w:r>
      <w:r>
        <w:rPr>
          <w:color w:val="000000"/>
        </w:rPr>
        <w:t xml:space="preserve">N, </w:t>
      </w:r>
      <w:r w:rsidRPr="00C34DDB">
        <w:rPr>
          <w:color w:val="000000"/>
        </w:rPr>
        <w:t xml:space="preserve">118° 16' 37" </w:t>
      </w:r>
      <w:r>
        <w:rPr>
          <w:color w:val="000000"/>
        </w:rPr>
        <w:t xml:space="preserve">W </w:t>
      </w:r>
    </w:p>
    <w:p w:rsidR="005F6B64" w:rsidRPr="00C34DDB" w:rsidP="005F6B64" w14:paraId="1CFCE11B" w14:textId="77777777">
      <w:pPr>
        <w:ind w:left="1440" w:firstLine="720"/>
        <w:rPr>
          <w:color w:val="000000"/>
        </w:rPr>
      </w:pPr>
      <w:r w:rsidRPr="00C34DDB">
        <w:rPr>
          <w:color w:val="000000"/>
        </w:rPr>
        <w:t>Pie Town, NM</w:t>
      </w:r>
      <w:r>
        <w:rPr>
          <w:color w:val="000000"/>
        </w:rPr>
        <w:t>……………………..</w:t>
      </w:r>
      <w:r w:rsidRPr="00C34DDB">
        <w:rPr>
          <w:color w:val="000000"/>
        </w:rPr>
        <w:tab/>
        <w:t>34° 18' 04"</w:t>
      </w:r>
      <w:r>
        <w:rPr>
          <w:color w:val="000000"/>
        </w:rPr>
        <w:t xml:space="preserve"> N,</w:t>
      </w:r>
      <w:r w:rsidRPr="00C34DDB">
        <w:rPr>
          <w:color w:val="000000"/>
        </w:rPr>
        <w:t xml:space="preserve"> 108° 07' 09" </w:t>
      </w:r>
      <w:r>
        <w:rPr>
          <w:color w:val="000000"/>
        </w:rPr>
        <w:t xml:space="preserve">W </w:t>
      </w:r>
    </w:p>
    <w:p w:rsidR="005F6B64" w:rsidP="005F6B64" w14:paraId="2C548D12" w14:textId="77777777">
      <w:pPr>
        <w:ind w:left="1440" w:firstLine="720"/>
        <w:rPr>
          <w:color w:val="000000"/>
        </w:rPr>
      </w:pPr>
      <w:r w:rsidRPr="00C34DDB">
        <w:rPr>
          <w:color w:val="000000"/>
        </w:rPr>
        <w:t>St. Croix, VI………………………</w:t>
      </w:r>
      <w:r>
        <w:rPr>
          <w:color w:val="000000"/>
        </w:rPr>
        <w:t>.</w:t>
      </w:r>
      <w:r w:rsidRPr="00C34DDB">
        <w:rPr>
          <w:color w:val="000000"/>
        </w:rPr>
        <w:tab/>
        <w:t>17° 45' 24"</w:t>
      </w:r>
      <w:r>
        <w:rPr>
          <w:color w:val="000000"/>
        </w:rPr>
        <w:t xml:space="preserve"> N,</w:t>
      </w:r>
      <w:r w:rsidRPr="00C34DDB">
        <w:rPr>
          <w:color w:val="000000"/>
        </w:rPr>
        <w:t xml:space="preserve"> 64° 35' 01" </w:t>
      </w:r>
      <w:r>
        <w:rPr>
          <w:color w:val="000000"/>
        </w:rPr>
        <w:t xml:space="preserve">W </w:t>
      </w:r>
    </w:p>
    <w:p w:rsidR="00996512" w:rsidP="005F6B64" w14:paraId="42B4B139" w14:textId="77777777">
      <w:pPr>
        <w:ind w:left="1440" w:firstLine="720"/>
        <w:rPr>
          <w:color w:val="000000"/>
        </w:rPr>
      </w:pPr>
    </w:p>
    <w:p w:rsidR="00996512" w:rsidRPr="00C34DDB" w:rsidP="00996512" w14:paraId="28FFAEB3" w14:textId="77777777">
      <w:pPr>
        <w:ind w:left="720"/>
        <w:rPr>
          <w:color w:val="000000"/>
        </w:rPr>
      </w:pPr>
      <w:r w:rsidRPr="00C34DDB">
        <w:rPr>
          <w:color w:val="000000"/>
        </w:rPr>
        <w:t xml:space="preserve">Coordination is required for </w:t>
      </w:r>
      <w:r w:rsidR="00386F24">
        <w:rPr>
          <w:color w:val="000000"/>
        </w:rPr>
        <w:t xml:space="preserve">outdoor </w:t>
      </w:r>
      <w:r w:rsidRPr="00C34DDB">
        <w:rPr>
          <w:color w:val="000000"/>
        </w:rPr>
        <w:t xml:space="preserve">operations </w:t>
      </w:r>
      <w:r w:rsidR="00386F24">
        <w:rPr>
          <w:color w:val="000000"/>
        </w:rPr>
        <w:t>within 20 km</w:t>
      </w:r>
      <w:r w:rsidRPr="00C34DDB" w:rsidR="00386F24">
        <w:rPr>
          <w:color w:val="000000"/>
        </w:rPr>
        <w:t xml:space="preserve"> </w:t>
      </w:r>
      <w:r w:rsidR="00386F24">
        <w:rPr>
          <w:color w:val="000000"/>
        </w:rPr>
        <w:t xml:space="preserve">of </w:t>
      </w:r>
      <w:r w:rsidRPr="00C34DDB">
        <w:rPr>
          <w:color w:val="000000"/>
        </w:rPr>
        <w:t xml:space="preserve">the above referenced sites. The following points of contact must be notified for coordination (please cc </w:t>
      </w:r>
      <w:hyperlink r:id="rId5" w:history="1">
        <w:r w:rsidRPr="00C34DDB">
          <w:rPr>
            <w:rStyle w:val="Hyperlink"/>
          </w:rPr>
          <w:t>esm@nsf.gov</w:t>
        </w:r>
      </w:hyperlink>
      <w:r w:rsidRPr="00C34DDB">
        <w:rPr>
          <w:color w:val="000000"/>
        </w:rPr>
        <w:t>):</w:t>
      </w:r>
    </w:p>
    <w:p w:rsidR="00996512" w:rsidRPr="00C34DDB" w:rsidP="00996512" w14:paraId="73DDDE71" w14:textId="77777777">
      <w:pPr>
        <w:rPr>
          <w:color w:val="000000"/>
        </w:rPr>
      </w:pPr>
    </w:p>
    <w:p w:rsidR="00996512" w:rsidRPr="00C34DDB" w:rsidP="00996512" w14:paraId="21AB97F4" w14:textId="77777777">
      <w:pPr>
        <w:ind w:firstLine="720"/>
        <w:rPr>
          <w:color w:val="000000"/>
        </w:rPr>
      </w:pPr>
      <w:r w:rsidRPr="00C34DDB">
        <w:rPr>
          <w:color w:val="000000"/>
        </w:rPr>
        <w:t>VLA/VLBA:</w:t>
      </w:r>
    </w:p>
    <w:p w:rsidR="00996512" w:rsidRPr="00C34DDB" w:rsidP="00996512" w14:paraId="4EF12BB4" w14:textId="77777777">
      <w:pPr>
        <w:ind w:firstLine="720"/>
        <w:rPr>
          <w:color w:val="000000"/>
        </w:rPr>
      </w:pPr>
      <w:r w:rsidRPr="00C34DDB">
        <w:rPr>
          <w:color w:val="000000"/>
        </w:rPr>
        <w:t xml:space="preserve">Dan </w:t>
      </w:r>
      <w:r w:rsidR="00EE72A7">
        <w:rPr>
          <w:color w:val="000000"/>
        </w:rPr>
        <w:t>“</w:t>
      </w:r>
      <w:r w:rsidRPr="00C34DDB">
        <w:rPr>
          <w:color w:val="000000"/>
        </w:rPr>
        <w:t>Mert</w:t>
      </w:r>
      <w:r w:rsidR="00EE72A7">
        <w:rPr>
          <w:color w:val="000000"/>
        </w:rPr>
        <w:t>”</w:t>
      </w:r>
      <w:r w:rsidRPr="00C34DDB">
        <w:rPr>
          <w:color w:val="000000"/>
        </w:rPr>
        <w:t xml:space="preserve"> Mertely </w:t>
      </w:r>
    </w:p>
    <w:p w:rsidR="00996512" w:rsidRPr="00C34DDB" w:rsidP="00996512" w14:paraId="15267DD9" w14:textId="77777777">
      <w:pPr>
        <w:ind w:firstLine="720"/>
        <w:rPr>
          <w:color w:val="000000"/>
        </w:rPr>
      </w:pPr>
      <w:hyperlink r:id="rId6" w:history="1">
        <w:r w:rsidRPr="00C34DDB">
          <w:rPr>
            <w:rStyle w:val="Hyperlink"/>
          </w:rPr>
          <w:t>nrao-rfi@nrao.edu</w:t>
        </w:r>
      </w:hyperlink>
    </w:p>
    <w:p w:rsidR="00996512" w:rsidRPr="00C34DDB" w:rsidP="00996512" w14:paraId="00B69F10" w14:textId="77777777">
      <w:pPr>
        <w:ind w:firstLine="720"/>
        <w:rPr>
          <w:color w:val="000000"/>
        </w:rPr>
      </w:pPr>
      <w:r w:rsidRPr="00C34DDB">
        <w:rPr>
          <w:color w:val="000000"/>
        </w:rPr>
        <w:t>phone:  (575) 835-7128</w:t>
      </w:r>
    </w:p>
    <w:p w:rsidR="00996512" w:rsidRPr="00C34DDB" w:rsidP="00996512" w14:paraId="7900E93F" w14:textId="77777777">
      <w:pPr>
        <w:rPr>
          <w:color w:val="000000"/>
        </w:rPr>
      </w:pPr>
    </w:p>
    <w:p w:rsidR="00996512" w:rsidRPr="00C34DDB" w:rsidP="00996512" w14:paraId="33011E2F" w14:textId="77777777">
      <w:pPr>
        <w:ind w:firstLine="720"/>
        <w:rPr>
          <w:color w:val="000000"/>
        </w:rPr>
      </w:pPr>
      <w:r w:rsidRPr="00C34DDB">
        <w:rPr>
          <w:color w:val="000000"/>
        </w:rPr>
        <w:t>Arecibo:</w:t>
      </w:r>
      <w:r w:rsidRPr="00C34DDB">
        <w:rPr>
          <w:color w:val="595959"/>
        </w:rPr>
        <w:t>  </w:t>
      </w:r>
    </w:p>
    <w:p w:rsidR="00996512" w:rsidRPr="00C34DDB" w:rsidP="00996512" w14:paraId="4CEFBFAC" w14:textId="77777777">
      <w:pPr>
        <w:ind w:firstLine="720"/>
        <w:rPr>
          <w:color w:val="595959"/>
        </w:rPr>
      </w:pPr>
      <w:r w:rsidRPr="00C34DDB">
        <w:t xml:space="preserve">Angel Vazquez </w:t>
      </w:r>
    </w:p>
    <w:p w:rsidR="00996512" w:rsidRPr="00C34DDB" w:rsidP="00996512" w14:paraId="24991815" w14:textId="77777777">
      <w:pPr>
        <w:ind w:firstLine="720"/>
        <w:rPr>
          <w:color w:val="595959"/>
        </w:rPr>
      </w:pPr>
      <w:hyperlink r:id="rId7" w:history="1">
        <w:r w:rsidRPr="00C34DDB">
          <w:rPr>
            <w:rStyle w:val="Hyperlink"/>
          </w:rPr>
          <w:t>angel@naic.edu</w:t>
        </w:r>
      </w:hyperlink>
    </w:p>
    <w:p w:rsidR="00996512" w:rsidRPr="00C34DDB" w:rsidP="00996512" w14:paraId="203D9501" w14:textId="77777777">
      <w:pPr>
        <w:ind w:firstLine="720"/>
        <w:rPr>
          <w:color w:val="595959"/>
        </w:rPr>
      </w:pPr>
      <w:r w:rsidRPr="00C34DDB">
        <w:t xml:space="preserve">phone: (787) 878-2612 ext.304 </w:t>
      </w:r>
    </w:p>
    <w:p w:rsidR="00996512" w:rsidRPr="00C34DDB" w:rsidP="00996512" w14:paraId="758A03C1" w14:textId="77777777">
      <w:pPr>
        <w:rPr>
          <w:color w:val="000000"/>
        </w:rPr>
      </w:pPr>
    </w:p>
    <w:p w:rsidR="00996512" w:rsidRPr="00C34DDB" w:rsidP="00996512" w14:paraId="4ABEEC63" w14:textId="77777777">
      <w:pPr>
        <w:ind w:left="720"/>
        <w:rPr>
          <w:color w:val="000000"/>
        </w:rPr>
      </w:pPr>
      <w:r w:rsidRPr="00C34DDB">
        <w:rPr>
          <w:color w:val="000000"/>
        </w:rPr>
        <w:t>Coordination is required for any operations within the National Radio Quiet Zone</w:t>
      </w:r>
      <w:r w:rsidR="00CF4095">
        <w:rPr>
          <w:color w:val="000000"/>
        </w:rPr>
        <w:t xml:space="preserve"> (NRQZ)</w:t>
      </w:r>
      <w:r w:rsidRPr="00C34DDB">
        <w:rPr>
          <w:color w:val="000000"/>
        </w:rPr>
        <w:t xml:space="preserve">. The NRQZ </w:t>
      </w:r>
      <w:r w:rsidR="00AD36E8">
        <w:rPr>
          <w:color w:val="000000"/>
        </w:rPr>
        <w:t xml:space="preserve">and GBT </w:t>
      </w:r>
      <w:r w:rsidRPr="00C34DDB">
        <w:rPr>
          <w:color w:val="000000"/>
        </w:rPr>
        <w:t>PoC is:</w:t>
      </w:r>
    </w:p>
    <w:p w:rsidR="00996512" w:rsidRPr="00C34DDB" w:rsidP="00996512" w14:paraId="197F73C0" w14:textId="77777777">
      <w:pPr>
        <w:rPr>
          <w:color w:val="000000"/>
        </w:rPr>
      </w:pPr>
    </w:p>
    <w:p w:rsidR="00996512" w:rsidRPr="00C34DDB" w:rsidP="00996512" w14:paraId="498841CD" w14:textId="77777777">
      <w:pPr>
        <w:ind w:firstLine="720"/>
        <w:rPr>
          <w:color w:val="000000"/>
        </w:rPr>
      </w:pPr>
      <w:r w:rsidRPr="00C34DDB">
        <w:rPr>
          <w:color w:val="000000"/>
        </w:rPr>
        <w:t xml:space="preserve">Paulette Woody </w:t>
      </w:r>
    </w:p>
    <w:p w:rsidR="00996512" w:rsidRPr="00C34DDB" w:rsidP="00996512" w14:paraId="0B512008" w14:textId="77777777">
      <w:pPr>
        <w:ind w:firstLine="720"/>
        <w:rPr>
          <w:color w:val="000000"/>
        </w:rPr>
      </w:pPr>
      <w:hyperlink r:id="rId8" w:history="1">
        <w:r w:rsidRPr="00C34DDB">
          <w:rPr>
            <w:rStyle w:val="Hyperlink"/>
          </w:rPr>
          <w:t>nrqz@gb.nrao.edu</w:t>
        </w:r>
      </w:hyperlink>
    </w:p>
    <w:p w:rsidR="00996512" w:rsidP="00996512" w14:paraId="42467C1E" w14:textId="77777777">
      <w:pPr>
        <w:ind w:firstLine="720"/>
        <w:rPr>
          <w:color w:val="000000"/>
        </w:rPr>
      </w:pPr>
      <w:r w:rsidRPr="00C34DDB">
        <w:rPr>
          <w:color w:val="000000"/>
        </w:rPr>
        <w:t>Phone:  (304) 456-2107 (normal); (615) 796-6395 (Google voice) or 304-456-9951 (H)</w:t>
      </w:r>
    </w:p>
    <w:p w:rsidR="00996512" w:rsidRPr="00C34DDB" w:rsidP="00996512" w14:paraId="251460FE" w14:textId="77777777">
      <w:pPr>
        <w:ind w:firstLine="720"/>
        <w:rPr>
          <w:color w:val="000000"/>
        </w:rPr>
      </w:pPr>
    </w:p>
    <w:p w:rsidR="00996512" w:rsidRPr="00C34DDB" w:rsidP="00996512" w14:paraId="19D9BECD" w14:textId="77777777">
      <w:pPr>
        <w:ind w:left="720"/>
        <w:rPr>
          <w:color w:val="000000"/>
        </w:rPr>
      </w:pPr>
      <w:r>
        <w:rPr>
          <w:color w:val="000000"/>
        </w:rPr>
        <w:t>N</w:t>
      </w:r>
      <w:r w:rsidRPr="00C34DDB">
        <w:rPr>
          <w:color w:val="000000"/>
        </w:rPr>
        <w:t xml:space="preserve">otification to </w:t>
      </w:r>
      <w:hyperlink r:id="rId5" w:history="1">
        <w:r w:rsidRPr="00C34DDB">
          <w:rPr>
            <w:rStyle w:val="Hyperlink"/>
          </w:rPr>
          <w:t>esm@nsf.gov</w:t>
        </w:r>
      </w:hyperlink>
      <w:r w:rsidRPr="00C34DDB">
        <w:rPr>
          <w:color w:val="000000"/>
        </w:rPr>
        <w:t xml:space="preserve"> and the VLA/VLBA point of contact </w:t>
      </w:r>
      <w:r>
        <w:rPr>
          <w:color w:val="000000"/>
        </w:rPr>
        <w:t xml:space="preserve">is required for any </w:t>
      </w:r>
      <w:r w:rsidRPr="00C34DDB">
        <w:rPr>
          <w:color w:val="000000"/>
        </w:rPr>
        <w:t>operation/deployment within the geographic area bounded by:</w:t>
      </w:r>
    </w:p>
    <w:p w:rsidR="00996512" w:rsidRPr="00C34DDB" w:rsidP="00996512" w14:paraId="51797FBC" w14:textId="77777777">
      <w:pPr>
        <w:rPr>
          <w:color w:val="000000"/>
        </w:rPr>
      </w:pPr>
    </w:p>
    <w:p w:rsidR="00996512" w:rsidRPr="00C34DDB" w:rsidP="00996512" w14:paraId="3D263127" w14:textId="77777777">
      <w:pPr>
        <w:ind w:firstLine="720"/>
        <w:rPr>
          <w:color w:val="000000"/>
        </w:rPr>
      </w:pPr>
      <w:r w:rsidRPr="00C34DDB">
        <w:rPr>
          <w:color w:val="000000"/>
        </w:rPr>
        <w:t>31.367224°</w:t>
      </w:r>
      <w:r>
        <w:rPr>
          <w:color w:val="000000"/>
        </w:rPr>
        <w:t xml:space="preserve"> </w:t>
      </w:r>
      <w:r w:rsidRPr="00C34DDB">
        <w:rPr>
          <w:color w:val="000000"/>
        </w:rPr>
        <w:t>N, 109.031505°</w:t>
      </w:r>
      <w:r>
        <w:rPr>
          <w:color w:val="000000"/>
        </w:rPr>
        <w:t xml:space="preserve"> </w:t>
      </w:r>
      <w:r w:rsidRPr="00C34DDB">
        <w:rPr>
          <w:color w:val="000000"/>
        </w:rPr>
        <w:t>W</w:t>
      </w:r>
    </w:p>
    <w:p w:rsidR="00996512" w:rsidRPr="00C34DDB" w:rsidP="00996512" w14:paraId="7D38878C" w14:textId="77777777">
      <w:pPr>
        <w:ind w:firstLine="720"/>
        <w:rPr>
          <w:color w:val="000000"/>
        </w:rPr>
      </w:pPr>
      <w:r w:rsidRPr="00C34DDB">
        <w:rPr>
          <w:color w:val="000000"/>
        </w:rPr>
        <w:t>31.367224°</w:t>
      </w:r>
      <w:r>
        <w:rPr>
          <w:color w:val="000000"/>
        </w:rPr>
        <w:t xml:space="preserve"> </w:t>
      </w:r>
      <w:r w:rsidRPr="00C34DDB">
        <w:rPr>
          <w:color w:val="000000"/>
        </w:rPr>
        <w:t>N, 103.077521°</w:t>
      </w:r>
      <w:r>
        <w:rPr>
          <w:color w:val="000000"/>
        </w:rPr>
        <w:t xml:space="preserve"> </w:t>
      </w:r>
      <w:r w:rsidRPr="00C34DDB">
        <w:rPr>
          <w:color w:val="000000"/>
        </w:rPr>
        <w:t>W</w:t>
      </w:r>
    </w:p>
    <w:p w:rsidR="00996512" w:rsidRPr="00C34DDB" w:rsidP="00996512" w14:paraId="7CB4F2A7" w14:textId="77777777">
      <w:pPr>
        <w:ind w:firstLine="720"/>
        <w:rPr>
          <w:color w:val="000000"/>
        </w:rPr>
      </w:pPr>
      <w:r w:rsidRPr="00C34DDB">
        <w:rPr>
          <w:color w:val="000000"/>
        </w:rPr>
        <w:t>34.386150°</w:t>
      </w:r>
      <w:r>
        <w:rPr>
          <w:color w:val="000000"/>
        </w:rPr>
        <w:t xml:space="preserve"> </w:t>
      </w:r>
      <w:r w:rsidRPr="00C34DDB">
        <w:rPr>
          <w:color w:val="000000"/>
        </w:rPr>
        <w:t>N, 103.077521°</w:t>
      </w:r>
      <w:r>
        <w:rPr>
          <w:color w:val="000000"/>
        </w:rPr>
        <w:t xml:space="preserve"> </w:t>
      </w:r>
      <w:r w:rsidRPr="00C34DDB">
        <w:rPr>
          <w:color w:val="000000"/>
        </w:rPr>
        <w:t>W</w:t>
      </w:r>
    </w:p>
    <w:p w:rsidR="00996512" w:rsidRPr="00C34DDB" w:rsidP="00996512" w14:paraId="44CDE6FB" w14:textId="77777777">
      <w:pPr>
        <w:ind w:firstLine="720"/>
        <w:rPr>
          <w:color w:val="000000"/>
        </w:rPr>
      </w:pPr>
      <w:r w:rsidRPr="00C34DDB">
        <w:rPr>
          <w:color w:val="000000"/>
        </w:rPr>
        <w:t>34.386150°</w:t>
      </w:r>
      <w:r>
        <w:rPr>
          <w:color w:val="000000"/>
        </w:rPr>
        <w:t xml:space="preserve"> </w:t>
      </w:r>
      <w:r w:rsidRPr="00C34DDB">
        <w:rPr>
          <w:color w:val="000000"/>
        </w:rPr>
        <w:t>N, 109.031505°</w:t>
      </w:r>
      <w:r>
        <w:rPr>
          <w:color w:val="000000"/>
        </w:rPr>
        <w:t xml:space="preserve"> </w:t>
      </w:r>
      <w:r w:rsidRPr="00C34DDB">
        <w:rPr>
          <w:color w:val="000000"/>
        </w:rPr>
        <w:t>W</w:t>
      </w:r>
    </w:p>
    <w:p w:rsidR="00996512" w:rsidRPr="00C34DDB" w:rsidP="00996512" w14:paraId="2A22FDD5" w14:textId="77777777">
      <w:pPr>
        <w:rPr>
          <w:color w:val="000000"/>
        </w:rPr>
      </w:pPr>
    </w:p>
    <w:p w:rsidR="00460A6B" w:rsidP="00EE72A7" w14:paraId="1B709545" w14:textId="77777777">
      <w:pPr>
        <w:ind w:left="720"/>
        <w:rPr>
          <w:color w:val="000000"/>
        </w:rPr>
      </w:pPr>
      <w:r w:rsidRPr="00C34DDB">
        <w:rPr>
          <w:color w:val="000000"/>
        </w:rPr>
        <w:t xml:space="preserve">Except for within the city limits of Las Cruces, Alamogordo, Roswell, and Carlsbad in NM, and </w:t>
      </w:r>
      <w:r w:rsidRPr="00C34DDB">
        <w:rPr>
          <w:color w:val="000000"/>
        </w:rPr>
        <w:t>El Paso, TX.</w:t>
      </w:r>
      <w:r>
        <w:rPr>
          <w:color w:val="000000"/>
        </w:rPr>
        <w:t xml:space="preserve"> </w:t>
      </w:r>
      <w:r w:rsidRPr="00C34DDB">
        <w:rPr>
          <w:color w:val="000000"/>
        </w:rPr>
        <w:t xml:space="preserve"> This would assist radio astronomy operations. NSF may request coordination of operations in the future, as the VLA does make use of the frequency range involved, and such coordination may assist with telescope scheduling.</w:t>
      </w:r>
    </w:p>
    <w:p w:rsidR="00EE72A7" w:rsidRPr="00EE72A7" w:rsidP="00EE72A7" w14:paraId="491B3715" w14:textId="77777777">
      <w:pPr>
        <w:ind w:left="720"/>
        <w:rPr>
          <w:color w:val="000000"/>
        </w:rPr>
      </w:pPr>
    </w:p>
    <w:p w:rsidR="00944F23" w:rsidRPr="00EE72A7" w:rsidP="00EE72A7" w14:paraId="341CF141" w14:textId="77777777">
      <w:pPr>
        <w:pStyle w:val="ParaNum"/>
        <w:numPr>
          <w:ilvl w:val="0"/>
          <w:numId w:val="7"/>
        </w:numPr>
        <w:rPr>
          <w:szCs w:val="22"/>
        </w:rPr>
      </w:pPr>
      <w:r>
        <w:rPr>
          <w:color w:val="000000"/>
        </w:rPr>
        <w:t>Outdoor d</w:t>
      </w:r>
      <w:r w:rsidRPr="00C34DDB">
        <w:rPr>
          <w:color w:val="000000"/>
        </w:rPr>
        <w:t xml:space="preserve">eployment </w:t>
      </w:r>
      <w:r w:rsidRPr="00C34DDB" w:rsidR="00996512">
        <w:rPr>
          <w:color w:val="000000"/>
        </w:rPr>
        <w:t xml:space="preserve">shall be avoided </w:t>
      </w:r>
      <w:r w:rsidRPr="00C34DDB" w:rsidR="00996512">
        <w:rPr>
          <w:bCs/>
          <w:color w:val="000000"/>
        </w:rPr>
        <w:t>within</w:t>
      </w:r>
      <w:r w:rsidRPr="00C34DDB" w:rsidR="00996512">
        <w:rPr>
          <w:b/>
          <w:bCs/>
          <w:color w:val="000000"/>
        </w:rPr>
        <w:t xml:space="preserve"> </w:t>
      </w:r>
      <w:r w:rsidRPr="00C34DDB" w:rsidR="00996512">
        <w:rPr>
          <w:bCs/>
          <w:color w:val="000000"/>
        </w:rPr>
        <w:t xml:space="preserve">10 km of the sites listed </w:t>
      </w:r>
      <w:r w:rsidR="00996512">
        <w:rPr>
          <w:bCs/>
          <w:color w:val="000000"/>
        </w:rPr>
        <w:t>in Table 1</w:t>
      </w:r>
      <w:r w:rsidRPr="00C34DDB" w:rsidR="00996512">
        <w:rPr>
          <w:bCs/>
          <w:color w:val="000000"/>
        </w:rPr>
        <w:t>:</w:t>
      </w:r>
    </w:p>
    <w:p w:rsidR="00996512" w:rsidRPr="00996512" w:rsidP="00996512" w14:paraId="55600F2C" w14:textId="77777777">
      <w:pPr>
        <w:spacing w:before="120"/>
        <w:ind w:left="446"/>
        <w:jc w:val="center"/>
        <w:rPr>
          <w:b/>
          <w:szCs w:val="22"/>
          <w:u w:val="single"/>
        </w:rPr>
      </w:pPr>
      <w:r w:rsidRPr="004B1C37">
        <w:rPr>
          <w:b/>
          <w:u w:val="single"/>
        </w:rPr>
        <w:t>Table 1</w:t>
      </w:r>
      <w:r w:rsidRPr="004B1C37">
        <w:rPr>
          <w:b/>
        </w:rPr>
        <w:t>. Exclusion Zone Sites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5"/>
        <w:gridCol w:w="2700"/>
        <w:gridCol w:w="2790"/>
      </w:tblGrid>
      <w:tr w14:paraId="508DD09B" w14:textId="77777777" w:rsidTr="001D0B7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jc w:val="center"/>
        </w:trPr>
        <w:tc>
          <w:tcPr>
            <w:tcW w:w="2875" w:type="dxa"/>
            <w:tcBorders>
              <w:top w:val="single" w:sz="4" w:space="0" w:color="auto"/>
              <w:left w:val="single" w:sz="4" w:space="0" w:color="auto"/>
              <w:bottom w:val="single" w:sz="4" w:space="0" w:color="auto"/>
              <w:right w:val="single" w:sz="4" w:space="0" w:color="auto"/>
            </w:tcBorders>
            <w:shd w:val="clear" w:color="auto" w:fill="D9D9D9"/>
            <w:hideMark/>
          </w:tcPr>
          <w:p w:rsidR="00996512" w:rsidRPr="00FB2BC9" w:rsidP="001D0B7D" w14:paraId="6132EC8A" w14:textId="77777777">
            <w:pPr>
              <w:spacing w:before="80" w:after="80"/>
              <w:jc w:val="center"/>
              <w:rPr>
                <w:rFonts w:eastAsia="Calibri"/>
                <w:b/>
                <w:szCs w:val="22"/>
              </w:rPr>
            </w:pPr>
            <w:r w:rsidRPr="00FB2BC9">
              <w:rPr>
                <w:rFonts w:eastAsia="Calibri"/>
                <w:b/>
                <w:szCs w:val="22"/>
              </w:rPr>
              <w:t>Location</w:t>
            </w: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rsidR="00996512" w:rsidRPr="00FB2BC9" w:rsidP="001D0B7D" w14:paraId="79A95700" w14:textId="77777777">
            <w:pPr>
              <w:spacing w:before="80" w:after="80"/>
              <w:rPr>
                <w:rFonts w:eastAsia="Calibri"/>
                <w:b/>
                <w:szCs w:val="22"/>
              </w:rPr>
            </w:pPr>
            <w:r w:rsidRPr="00FB2BC9">
              <w:rPr>
                <w:rFonts w:eastAsia="Calibri"/>
                <w:b/>
                <w:szCs w:val="22"/>
              </w:rPr>
              <w:t>Latitude (dd mm ss)</w:t>
            </w:r>
          </w:p>
        </w:tc>
        <w:tc>
          <w:tcPr>
            <w:tcW w:w="2790" w:type="dxa"/>
            <w:tcBorders>
              <w:top w:val="single" w:sz="4" w:space="0" w:color="auto"/>
              <w:left w:val="single" w:sz="4" w:space="0" w:color="auto"/>
              <w:bottom w:val="single" w:sz="4" w:space="0" w:color="auto"/>
              <w:right w:val="single" w:sz="4" w:space="0" w:color="auto"/>
            </w:tcBorders>
            <w:shd w:val="clear" w:color="auto" w:fill="D9D9D9"/>
            <w:hideMark/>
          </w:tcPr>
          <w:p w:rsidR="00996512" w:rsidRPr="00FB2BC9" w:rsidP="001D0B7D" w14:paraId="707B9847" w14:textId="77777777">
            <w:pPr>
              <w:spacing w:before="80" w:after="80"/>
              <w:rPr>
                <w:rFonts w:eastAsia="Calibri"/>
                <w:b/>
                <w:szCs w:val="22"/>
              </w:rPr>
            </w:pPr>
            <w:r w:rsidRPr="00FB2BC9">
              <w:rPr>
                <w:rFonts w:eastAsia="Calibri"/>
                <w:b/>
                <w:szCs w:val="22"/>
              </w:rPr>
              <w:t>Longitude (ddd mm ss)</w:t>
            </w:r>
          </w:p>
        </w:tc>
      </w:tr>
      <w:tr w14:paraId="72DAB2CF" w14:textId="77777777" w:rsidTr="001D0B7D">
        <w:tblPrEx>
          <w:tblW w:w="0" w:type="auto"/>
          <w:jc w:val="center"/>
          <w:tblLook w:val="04A0"/>
        </w:tblPrEx>
        <w:trPr>
          <w:jc w:val="center"/>
        </w:trPr>
        <w:tc>
          <w:tcPr>
            <w:tcW w:w="2875"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6B88AB0A" w14:textId="77777777">
            <w:pPr>
              <w:spacing w:before="40" w:after="40"/>
              <w:rPr>
                <w:rFonts w:eastAsia="Calibri"/>
                <w:szCs w:val="22"/>
              </w:rPr>
            </w:pPr>
            <w:r w:rsidRPr="00FB2BC9">
              <w:rPr>
                <w:rFonts w:eastAsia="Calibri"/>
                <w:szCs w:val="22"/>
              </w:rPr>
              <w:t>AK, Anchorage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75168B93" w14:textId="77777777">
            <w:pPr>
              <w:spacing w:before="40" w:after="40"/>
              <w:jc w:val="center"/>
              <w:rPr>
                <w:rFonts w:eastAsia="Calibri"/>
                <w:szCs w:val="22"/>
              </w:rPr>
            </w:pPr>
            <w:r w:rsidRPr="00FB2BC9">
              <w:rPr>
                <w:color w:val="000000"/>
                <w:szCs w:val="22"/>
              </w:rPr>
              <w:t>61 09 24 N</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7CF58ACC" w14:textId="77777777">
            <w:pPr>
              <w:spacing w:before="40" w:after="40"/>
              <w:jc w:val="center"/>
              <w:rPr>
                <w:rFonts w:eastAsia="Calibri"/>
                <w:szCs w:val="22"/>
              </w:rPr>
            </w:pPr>
            <w:r w:rsidRPr="00FB2BC9">
              <w:rPr>
                <w:color w:val="000000"/>
                <w:szCs w:val="22"/>
              </w:rPr>
              <w:t xml:space="preserve"> 149 59 07 W</w:t>
            </w:r>
          </w:p>
        </w:tc>
      </w:tr>
      <w:tr w14:paraId="026F9AE1" w14:textId="77777777" w:rsidTr="001D0B7D">
        <w:tblPrEx>
          <w:tblW w:w="0" w:type="auto"/>
          <w:jc w:val="center"/>
          <w:tblLook w:val="04A0"/>
        </w:tblPrEx>
        <w:trPr>
          <w:jc w:val="center"/>
        </w:trPr>
        <w:tc>
          <w:tcPr>
            <w:tcW w:w="2875"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4B0AB565" w14:textId="77777777">
            <w:pPr>
              <w:spacing w:before="40" w:after="40"/>
              <w:rPr>
                <w:rFonts w:eastAsia="Calibri"/>
                <w:szCs w:val="22"/>
              </w:rPr>
            </w:pPr>
            <w:r w:rsidRPr="00FB2BC9">
              <w:rPr>
                <w:rFonts w:eastAsia="Calibri"/>
                <w:szCs w:val="22"/>
              </w:rPr>
              <w:t>AK, Fairbanks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74DDC9D1" w14:textId="77777777">
            <w:pPr>
              <w:spacing w:before="40" w:after="40"/>
              <w:jc w:val="center"/>
              <w:rPr>
                <w:rFonts w:eastAsia="Calibri"/>
                <w:szCs w:val="22"/>
              </w:rPr>
            </w:pPr>
            <w:r w:rsidRPr="00FB2BC9">
              <w:rPr>
                <w:rFonts w:eastAsia="Calibri"/>
                <w:color w:val="000000"/>
                <w:szCs w:val="22"/>
              </w:rPr>
              <w:t xml:space="preserve"> 64 51 32 N</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7B9446DE" w14:textId="77777777">
            <w:pPr>
              <w:spacing w:before="40" w:after="40"/>
              <w:jc w:val="center"/>
              <w:rPr>
                <w:rFonts w:eastAsia="Calibri"/>
                <w:szCs w:val="22"/>
              </w:rPr>
            </w:pPr>
            <w:r w:rsidRPr="00FB2BC9">
              <w:rPr>
                <w:rFonts w:eastAsia="Calibri"/>
                <w:color w:val="000000"/>
                <w:szCs w:val="22"/>
              </w:rPr>
              <w:t xml:space="preserve"> 147 51 04 W</w:t>
            </w:r>
          </w:p>
        </w:tc>
      </w:tr>
      <w:tr w14:paraId="046C9B19" w14:textId="77777777" w:rsidTr="001D0B7D">
        <w:tblPrEx>
          <w:tblW w:w="0" w:type="auto"/>
          <w:jc w:val="center"/>
          <w:tblLook w:val="04A0"/>
        </w:tblPrEx>
        <w:trPr>
          <w:jc w:val="center"/>
        </w:trPr>
        <w:tc>
          <w:tcPr>
            <w:tcW w:w="2875"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0E955054" w14:textId="77777777">
            <w:pPr>
              <w:spacing w:before="40" w:after="40"/>
              <w:rPr>
                <w:rFonts w:eastAsia="Calibri"/>
                <w:szCs w:val="22"/>
              </w:rPr>
            </w:pPr>
            <w:r w:rsidRPr="00FB2BC9">
              <w:rPr>
                <w:rFonts w:eastAsia="Calibri"/>
                <w:szCs w:val="22"/>
              </w:rPr>
              <w:t>AK, U of AK</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11376EE7" w14:textId="77777777">
            <w:pPr>
              <w:spacing w:before="40" w:after="40"/>
              <w:jc w:val="center"/>
              <w:rPr>
                <w:rFonts w:eastAsia="Calibri"/>
                <w:szCs w:val="22"/>
              </w:rPr>
            </w:pPr>
            <w:r w:rsidRPr="00FB2BC9">
              <w:rPr>
                <w:rFonts w:eastAsia="Calibri"/>
                <w:szCs w:val="22"/>
              </w:rPr>
              <w:t>64 51 37 N</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16A649DF" w14:textId="77777777">
            <w:pPr>
              <w:spacing w:before="40" w:after="40"/>
              <w:jc w:val="center"/>
              <w:rPr>
                <w:rFonts w:eastAsia="Calibri"/>
                <w:szCs w:val="22"/>
              </w:rPr>
            </w:pPr>
            <w:r w:rsidRPr="00FB2BC9">
              <w:rPr>
                <w:rFonts w:eastAsia="Calibri"/>
                <w:szCs w:val="22"/>
              </w:rPr>
              <w:t>147 50 50 W</w:t>
            </w:r>
          </w:p>
        </w:tc>
      </w:tr>
      <w:tr w14:paraId="728ED96B" w14:textId="77777777" w:rsidTr="001D0B7D">
        <w:tblPrEx>
          <w:tblW w:w="0" w:type="auto"/>
          <w:jc w:val="center"/>
          <w:tblLook w:val="04A0"/>
        </w:tblPrEx>
        <w:trPr>
          <w:jc w:val="center"/>
        </w:trPr>
        <w:tc>
          <w:tcPr>
            <w:tcW w:w="2875"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5586D291" w14:textId="77777777">
            <w:pPr>
              <w:spacing w:before="40" w:after="40"/>
              <w:rPr>
                <w:rFonts w:eastAsia="Calibri"/>
                <w:szCs w:val="22"/>
              </w:rPr>
            </w:pPr>
            <w:r w:rsidRPr="00FB2BC9">
              <w:rPr>
                <w:rFonts w:eastAsia="Calibri"/>
                <w:szCs w:val="22"/>
              </w:rPr>
              <w:t>AK, North Pole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3048DF44" w14:textId="77777777">
            <w:pPr>
              <w:spacing w:before="40" w:after="40"/>
              <w:jc w:val="center"/>
              <w:rPr>
                <w:rFonts w:eastAsia="Calibri"/>
                <w:szCs w:val="22"/>
              </w:rPr>
            </w:pPr>
            <w:r w:rsidRPr="00FB2BC9">
              <w:rPr>
                <w:rFonts w:eastAsia="Calibri"/>
                <w:szCs w:val="22"/>
              </w:rPr>
              <w:t>64 48 18 N</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76A9FE54" w14:textId="77777777">
            <w:pPr>
              <w:spacing w:before="40" w:after="40"/>
              <w:jc w:val="center"/>
              <w:rPr>
                <w:rFonts w:eastAsia="Calibri"/>
                <w:szCs w:val="22"/>
              </w:rPr>
            </w:pPr>
            <w:r w:rsidRPr="00FB2BC9">
              <w:rPr>
                <w:rFonts w:eastAsia="Calibri"/>
                <w:szCs w:val="22"/>
              </w:rPr>
              <w:t>147 30 00 W</w:t>
            </w:r>
          </w:p>
        </w:tc>
      </w:tr>
      <w:tr w14:paraId="22B51EA6" w14:textId="77777777" w:rsidTr="001D0B7D">
        <w:tblPrEx>
          <w:tblW w:w="0" w:type="auto"/>
          <w:jc w:val="center"/>
          <w:tblLook w:val="04A0"/>
        </w:tblPrEx>
        <w:trPr>
          <w:jc w:val="center"/>
        </w:trPr>
        <w:tc>
          <w:tcPr>
            <w:tcW w:w="2875"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6D37D647" w14:textId="77777777">
            <w:pPr>
              <w:spacing w:before="40" w:after="40"/>
              <w:rPr>
                <w:rFonts w:eastAsia="Calibri"/>
                <w:szCs w:val="22"/>
              </w:rPr>
            </w:pPr>
            <w:r w:rsidRPr="00FB2BC9">
              <w:rPr>
                <w:rFonts w:eastAsia="Calibri"/>
                <w:szCs w:val="22"/>
              </w:rPr>
              <w:t>AK, North Pole West AS4</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12245E1A" w14:textId="77777777">
            <w:pPr>
              <w:spacing w:before="40" w:after="40"/>
              <w:jc w:val="center"/>
              <w:rPr>
                <w:rFonts w:eastAsia="Calibri"/>
                <w:szCs w:val="22"/>
              </w:rPr>
            </w:pPr>
            <w:r w:rsidRPr="00FB2BC9">
              <w:rPr>
                <w:rFonts w:eastAsia="Calibri"/>
                <w:szCs w:val="22"/>
              </w:rPr>
              <w:t>64 47 37 N</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183ACC1C" w14:textId="77777777">
            <w:pPr>
              <w:spacing w:before="40" w:after="40"/>
              <w:jc w:val="center"/>
              <w:rPr>
                <w:rFonts w:eastAsia="Calibri"/>
                <w:szCs w:val="22"/>
              </w:rPr>
            </w:pPr>
            <w:r w:rsidRPr="00FB2BC9">
              <w:rPr>
                <w:rFonts w:eastAsia="Calibri"/>
                <w:szCs w:val="22"/>
              </w:rPr>
              <w:t>147 32 18 W</w:t>
            </w:r>
          </w:p>
        </w:tc>
      </w:tr>
      <w:tr w14:paraId="66AA0505" w14:textId="77777777" w:rsidTr="001D0B7D">
        <w:tblPrEx>
          <w:tblW w:w="0" w:type="auto"/>
          <w:jc w:val="center"/>
          <w:tblLook w:val="04A0"/>
        </w:tblPrEx>
        <w:trPr>
          <w:jc w:val="center"/>
        </w:trPr>
        <w:tc>
          <w:tcPr>
            <w:tcW w:w="2875"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19657CEE" w14:textId="77777777">
            <w:pPr>
              <w:spacing w:before="40" w:after="40"/>
              <w:rPr>
                <w:rFonts w:eastAsia="Calibri"/>
                <w:szCs w:val="22"/>
              </w:rPr>
            </w:pPr>
            <w:r w:rsidRPr="00FB2BC9">
              <w:rPr>
                <w:rFonts w:eastAsia="Calibri"/>
                <w:szCs w:val="22"/>
              </w:rPr>
              <w:t>AK, North Pole West AS5</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657679E5" w14:textId="77777777">
            <w:pPr>
              <w:spacing w:before="40" w:after="40"/>
              <w:jc w:val="center"/>
              <w:rPr>
                <w:rFonts w:eastAsia="Calibri"/>
                <w:szCs w:val="22"/>
              </w:rPr>
            </w:pPr>
            <w:r w:rsidRPr="00FB2BC9">
              <w:rPr>
                <w:rFonts w:eastAsia="Calibri"/>
                <w:szCs w:val="22"/>
              </w:rPr>
              <w:t>64 47 42 N</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0D2F3251" w14:textId="77777777">
            <w:pPr>
              <w:spacing w:before="40" w:after="40"/>
              <w:jc w:val="center"/>
              <w:rPr>
                <w:rFonts w:eastAsia="Calibri"/>
                <w:szCs w:val="22"/>
              </w:rPr>
            </w:pPr>
            <w:r w:rsidRPr="00FB2BC9">
              <w:rPr>
                <w:rFonts w:eastAsia="Calibri"/>
                <w:szCs w:val="22"/>
              </w:rPr>
              <w:t>147 32 18 W</w:t>
            </w:r>
          </w:p>
        </w:tc>
      </w:tr>
      <w:tr w14:paraId="7C6A4194" w14:textId="77777777" w:rsidTr="001D0B7D">
        <w:tblPrEx>
          <w:tblW w:w="0" w:type="auto"/>
          <w:jc w:val="center"/>
          <w:tblLook w:val="04A0"/>
        </w:tblPrEx>
        <w:trPr>
          <w:jc w:val="center"/>
        </w:trPr>
        <w:tc>
          <w:tcPr>
            <w:tcW w:w="2875"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238F887B" w14:textId="77777777">
            <w:pPr>
              <w:spacing w:before="40" w:after="40"/>
              <w:rPr>
                <w:rFonts w:eastAsia="Calibri"/>
                <w:szCs w:val="22"/>
              </w:rPr>
            </w:pPr>
            <w:r w:rsidRPr="00FB2BC9">
              <w:rPr>
                <w:rFonts w:eastAsia="Calibri"/>
                <w:szCs w:val="22"/>
              </w:rPr>
              <w:t>AK, Poker Flat</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54738D3B" w14:textId="77777777">
            <w:pPr>
              <w:spacing w:before="40" w:after="40"/>
              <w:jc w:val="center"/>
              <w:rPr>
                <w:rFonts w:eastAsia="Calibri"/>
                <w:szCs w:val="22"/>
              </w:rPr>
            </w:pPr>
            <w:r w:rsidRPr="00FB2BC9">
              <w:rPr>
                <w:rFonts w:eastAsia="Calibri"/>
                <w:szCs w:val="22"/>
              </w:rPr>
              <w:t>65 07 00 N</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6FFDF343" w14:textId="77777777">
            <w:pPr>
              <w:spacing w:before="40" w:after="40"/>
              <w:jc w:val="center"/>
              <w:rPr>
                <w:rFonts w:eastAsia="Calibri"/>
                <w:szCs w:val="22"/>
              </w:rPr>
            </w:pPr>
            <w:r w:rsidRPr="00FB2BC9">
              <w:rPr>
                <w:rFonts w:eastAsia="Calibri"/>
                <w:szCs w:val="22"/>
              </w:rPr>
              <w:t>147 27 35 W</w:t>
            </w:r>
          </w:p>
        </w:tc>
      </w:tr>
      <w:tr w14:paraId="69DBA6E0" w14:textId="77777777" w:rsidTr="001D0B7D">
        <w:tblPrEx>
          <w:tblW w:w="0" w:type="auto"/>
          <w:jc w:val="center"/>
          <w:tblLook w:val="04A0"/>
        </w:tblPrEx>
        <w:trPr>
          <w:jc w:val="center"/>
        </w:trPr>
        <w:tc>
          <w:tcPr>
            <w:tcW w:w="2875"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1362CEDE" w14:textId="77777777">
            <w:pPr>
              <w:spacing w:before="40" w:after="40"/>
              <w:rPr>
                <w:rFonts w:eastAsia="Calibri"/>
                <w:szCs w:val="22"/>
              </w:rPr>
            </w:pPr>
            <w:r w:rsidRPr="00FB2BC9">
              <w:rPr>
                <w:rFonts w:eastAsia="Calibri"/>
                <w:szCs w:val="22"/>
              </w:rPr>
              <w:t>CA, Goldstone (DSS-14)</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50A6D71D" w14:textId="77777777">
            <w:pPr>
              <w:spacing w:before="40" w:after="40"/>
              <w:jc w:val="center"/>
              <w:rPr>
                <w:rFonts w:eastAsia="Calibri"/>
                <w:szCs w:val="22"/>
              </w:rPr>
            </w:pPr>
            <w:r w:rsidRPr="00FB2BC9">
              <w:rPr>
                <w:rFonts w:eastAsia="Calibri"/>
                <w:szCs w:val="22"/>
              </w:rPr>
              <w:t>35 25 33 N</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2B9763C8" w14:textId="77777777">
            <w:pPr>
              <w:spacing w:before="40" w:after="40"/>
              <w:jc w:val="center"/>
              <w:rPr>
                <w:rFonts w:eastAsia="Calibri"/>
                <w:szCs w:val="22"/>
              </w:rPr>
            </w:pPr>
            <w:r w:rsidRPr="00FB2BC9">
              <w:rPr>
                <w:rFonts w:eastAsia="Calibri"/>
                <w:szCs w:val="22"/>
              </w:rPr>
              <w:t>116 53 19 W</w:t>
            </w:r>
          </w:p>
        </w:tc>
      </w:tr>
      <w:tr w14:paraId="5BF13BE7" w14:textId="77777777" w:rsidTr="001D0B7D">
        <w:tblPrEx>
          <w:tblW w:w="0" w:type="auto"/>
          <w:jc w:val="center"/>
          <w:tblLook w:val="04A0"/>
        </w:tblPrEx>
        <w:trPr>
          <w:jc w:val="center"/>
        </w:trPr>
        <w:tc>
          <w:tcPr>
            <w:tcW w:w="2875"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2A9DDA8F" w14:textId="77777777">
            <w:pPr>
              <w:spacing w:before="40" w:after="40"/>
              <w:rPr>
                <w:rFonts w:eastAsia="Calibri"/>
                <w:szCs w:val="22"/>
              </w:rPr>
            </w:pPr>
            <w:r w:rsidRPr="00FB2BC9">
              <w:rPr>
                <w:rFonts w:eastAsia="Calibri"/>
                <w:szCs w:val="22"/>
              </w:rPr>
              <w:t>CA, Goldstone (DSS-24)</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04D66B1B" w14:textId="77777777">
            <w:pPr>
              <w:spacing w:before="40" w:after="40"/>
              <w:jc w:val="center"/>
              <w:rPr>
                <w:rFonts w:eastAsia="Calibri"/>
                <w:szCs w:val="22"/>
              </w:rPr>
            </w:pPr>
            <w:r w:rsidRPr="00FB2BC9">
              <w:rPr>
                <w:rFonts w:eastAsia="Calibri"/>
                <w:szCs w:val="22"/>
              </w:rPr>
              <w:t>35 20 24 N</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30D7A567" w14:textId="77777777">
            <w:pPr>
              <w:spacing w:before="40" w:after="40"/>
              <w:jc w:val="center"/>
              <w:rPr>
                <w:rFonts w:eastAsia="Calibri"/>
                <w:szCs w:val="22"/>
              </w:rPr>
            </w:pPr>
            <w:r w:rsidRPr="00FB2BC9">
              <w:rPr>
                <w:rFonts w:eastAsia="Calibri"/>
                <w:szCs w:val="22"/>
              </w:rPr>
              <w:t>116 52 29 W</w:t>
            </w:r>
          </w:p>
        </w:tc>
      </w:tr>
      <w:tr w14:paraId="69C7EEB2" w14:textId="77777777" w:rsidTr="001D0B7D">
        <w:tblPrEx>
          <w:tblW w:w="0" w:type="auto"/>
          <w:jc w:val="center"/>
          <w:tblLook w:val="04A0"/>
        </w:tblPrEx>
        <w:trPr>
          <w:jc w:val="center"/>
        </w:trPr>
        <w:tc>
          <w:tcPr>
            <w:tcW w:w="2875"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509404CD" w14:textId="77777777">
            <w:pPr>
              <w:spacing w:before="40" w:after="40"/>
              <w:rPr>
                <w:rFonts w:eastAsia="Calibri"/>
                <w:szCs w:val="22"/>
              </w:rPr>
            </w:pPr>
            <w:r w:rsidRPr="00FB2BC9">
              <w:rPr>
                <w:rFonts w:eastAsia="Calibri"/>
                <w:szCs w:val="22"/>
              </w:rPr>
              <w:t>CA, Goldstone (DSS-25)</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59891E4A" w14:textId="77777777">
            <w:pPr>
              <w:spacing w:before="40" w:after="40"/>
              <w:jc w:val="center"/>
              <w:rPr>
                <w:rFonts w:eastAsia="Calibri"/>
                <w:szCs w:val="22"/>
              </w:rPr>
            </w:pPr>
            <w:r w:rsidRPr="00FB2BC9">
              <w:rPr>
                <w:rFonts w:eastAsia="Calibri"/>
                <w:szCs w:val="22"/>
              </w:rPr>
              <w:t>35 20 15 N</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7C5BD359" w14:textId="77777777">
            <w:pPr>
              <w:spacing w:before="40" w:after="40"/>
              <w:jc w:val="center"/>
              <w:rPr>
                <w:rFonts w:eastAsia="Calibri"/>
                <w:szCs w:val="22"/>
              </w:rPr>
            </w:pPr>
            <w:r w:rsidRPr="00FB2BC9">
              <w:rPr>
                <w:rFonts w:eastAsia="Calibri"/>
                <w:szCs w:val="22"/>
              </w:rPr>
              <w:t>116 52 31 W</w:t>
            </w:r>
          </w:p>
        </w:tc>
      </w:tr>
      <w:tr w14:paraId="242227B0" w14:textId="77777777" w:rsidTr="001D0B7D">
        <w:tblPrEx>
          <w:tblW w:w="0" w:type="auto"/>
          <w:jc w:val="center"/>
          <w:tblLook w:val="04A0"/>
        </w:tblPrEx>
        <w:trPr>
          <w:jc w:val="center"/>
        </w:trPr>
        <w:tc>
          <w:tcPr>
            <w:tcW w:w="2875"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361D1C20" w14:textId="77777777">
            <w:pPr>
              <w:spacing w:before="40" w:after="40"/>
              <w:rPr>
                <w:rFonts w:eastAsia="Calibri"/>
                <w:szCs w:val="22"/>
              </w:rPr>
            </w:pPr>
            <w:r w:rsidRPr="00FB2BC9">
              <w:rPr>
                <w:rFonts w:eastAsia="Calibri"/>
                <w:szCs w:val="22"/>
              </w:rPr>
              <w:t>CA, Goldstone (DSS-26)</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15CCBBF6" w14:textId="77777777">
            <w:pPr>
              <w:spacing w:before="40" w:after="40"/>
              <w:jc w:val="center"/>
              <w:rPr>
                <w:rFonts w:eastAsia="Calibri"/>
                <w:szCs w:val="22"/>
              </w:rPr>
            </w:pPr>
            <w:r w:rsidRPr="00FB2BC9">
              <w:rPr>
                <w:rFonts w:eastAsia="Calibri"/>
                <w:szCs w:val="22"/>
              </w:rPr>
              <w:t>35 20 09 N</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6A539904" w14:textId="77777777">
            <w:pPr>
              <w:spacing w:before="40" w:after="40"/>
              <w:jc w:val="center"/>
              <w:rPr>
                <w:rFonts w:eastAsia="Calibri"/>
                <w:szCs w:val="22"/>
              </w:rPr>
            </w:pPr>
            <w:r w:rsidRPr="00FB2BC9">
              <w:rPr>
                <w:rFonts w:eastAsia="Calibri"/>
                <w:szCs w:val="22"/>
              </w:rPr>
              <w:t>116 52 23 W</w:t>
            </w:r>
          </w:p>
        </w:tc>
      </w:tr>
      <w:tr w14:paraId="6193C09C" w14:textId="77777777" w:rsidTr="001D0B7D">
        <w:tblPrEx>
          <w:tblW w:w="0" w:type="auto"/>
          <w:jc w:val="center"/>
          <w:tblLook w:val="04A0"/>
        </w:tblPrEx>
        <w:trPr>
          <w:jc w:val="center"/>
        </w:trPr>
        <w:tc>
          <w:tcPr>
            <w:tcW w:w="2875"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4D5960BB" w14:textId="77777777">
            <w:pPr>
              <w:spacing w:before="40" w:after="40"/>
              <w:rPr>
                <w:rFonts w:eastAsia="Calibri"/>
                <w:szCs w:val="22"/>
              </w:rPr>
            </w:pPr>
            <w:r w:rsidRPr="00FB2BC9">
              <w:rPr>
                <w:rFonts w:eastAsia="Calibri"/>
                <w:szCs w:val="22"/>
              </w:rPr>
              <w:t>HI, South Point</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78E0BEF2" w14:textId="77777777">
            <w:pPr>
              <w:spacing w:before="40" w:after="40"/>
              <w:jc w:val="center"/>
              <w:rPr>
                <w:rFonts w:eastAsia="Calibri"/>
                <w:szCs w:val="22"/>
              </w:rPr>
            </w:pPr>
            <w:r w:rsidRPr="00FB2BC9">
              <w:rPr>
                <w:rFonts w:eastAsia="Calibri"/>
                <w:szCs w:val="22"/>
              </w:rPr>
              <w:t>19 00 50 N</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610A4206" w14:textId="77777777">
            <w:pPr>
              <w:spacing w:before="40" w:after="40"/>
              <w:jc w:val="center"/>
              <w:rPr>
                <w:rFonts w:eastAsia="Calibri"/>
                <w:szCs w:val="22"/>
              </w:rPr>
            </w:pPr>
            <w:r w:rsidRPr="00FB2BC9">
              <w:rPr>
                <w:rFonts w:eastAsia="Calibri"/>
                <w:szCs w:val="22"/>
              </w:rPr>
              <w:t>155 39 47 W</w:t>
            </w:r>
          </w:p>
        </w:tc>
      </w:tr>
      <w:tr w14:paraId="3C34181F" w14:textId="77777777" w:rsidTr="001D0B7D">
        <w:tblPrEx>
          <w:tblW w:w="0" w:type="auto"/>
          <w:jc w:val="center"/>
          <w:tblLook w:val="04A0"/>
        </w:tblPrEx>
        <w:trPr>
          <w:jc w:val="center"/>
        </w:trPr>
        <w:tc>
          <w:tcPr>
            <w:tcW w:w="2875"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7C51181B" w14:textId="77777777">
            <w:pPr>
              <w:spacing w:before="40" w:after="40"/>
              <w:rPr>
                <w:rFonts w:eastAsia="Calibri"/>
                <w:szCs w:val="22"/>
              </w:rPr>
            </w:pPr>
            <w:r w:rsidRPr="00FB2BC9">
              <w:rPr>
                <w:rFonts w:eastAsia="Calibri"/>
                <w:szCs w:val="22"/>
              </w:rPr>
              <w:t>SD, Sioux Falls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4E16B22D" w14:textId="77777777">
            <w:pPr>
              <w:spacing w:before="40" w:after="40"/>
              <w:jc w:val="center"/>
              <w:rPr>
                <w:rFonts w:eastAsia="Calibri"/>
                <w:szCs w:val="22"/>
              </w:rPr>
            </w:pPr>
            <w:r w:rsidRPr="00FB2BC9">
              <w:rPr>
                <w:rFonts w:eastAsia="Calibri"/>
                <w:szCs w:val="22"/>
              </w:rPr>
              <w:t>43 44 10 N</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57BE579D" w14:textId="77777777">
            <w:pPr>
              <w:spacing w:before="40" w:after="40"/>
              <w:jc w:val="center"/>
              <w:rPr>
                <w:rFonts w:eastAsia="Calibri"/>
                <w:szCs w:val="22"/>
              </w:rPr>
            </w:pPr>
            <w:r w:rsidRPr="00FB2BC9">
              <w:rPr>
                <w:rFonts w:eastAsia="Calibri"/>
                <w:szCs w:val="22"/>
              </w:rPr>
              <w:t>096 37 21W</w:t>
            </w:r>
          </w:p>
        </w:tc>
      </w:tr>
      <w:tr w14:paraId="5FF93AAF" w14:textId="77777777" w:rsidTr="001D0B7D">
        <w:tblPrEx>
          <w:tblW w:w="0" w:type="auto"/>
          <w:jc w:val="center"/>
          <w:tblLook w:val="04A0"/>
        </w:tblPrEx>
        <w:trPr>
          <w:jc w:val="center"/>
        </w:trPr>
        <w:tc>
          <w:tcPr>
            <w:tcW w:w="2875"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358E414B" w14:textId="77777777">
            <w:pPr>
              <w:spacing w:before="40" w:after="40"/>
              <w:rPr>
                <w:rFonts w:eastAsia="Calibri"/>
                <w:szCs w:val="22"/>
              </w:rPr>
            </w:pPr>
            <w:r w:rsidRPr="00FB2BC9">
              <w:rPr>
                <w:rFonts w:eastAsia="Calibri"/>
                <w:szCs w:val="22"/>
              </w:rPr>
              <w:t>VA, Wallops Island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2D6BA088" w14:textId="77777777">
            <w:pPr>
              <w:spacing w:before="40" w:after="40"/>
              <w:jc w:val="center"/>
              <w:rPr>
                <w:rFonts w:eastAsia="Calibri"/>
                <w:szCs w:val="22"/>
              </w:rPr>
            </w:pPr>
            <w:r w:rsidRPr="00FB2BC9">
              <w:rPr>
                <w:rFonts w:eastAsia="Calibri"/>
                <w:szCs w:val="22"/>
              </w:rPr>
              <w:t>37 55 28 N</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14FA436C" w14:textId="77777777">
            <w:pPr>
              <w:spacing w:before="40" w:after="40"/>
              <w:jc w:val="center"/>
              <w:rPr>
                <w:rFonts w:eastAsia="Calibri"/>
                <w:szCs w:val="22"/>
              </w:rPr>
            </w:pPr>
            <w:r w:rsidRPr="00FB2BC9">
              <w:rPr>
                <w:rFonts w:eastAsia="Calibri"/>
                <w:szCs w:val="22"/>
              </w:rPr>
              <w:t>075 28 35 W</w:t>
            </w:r>
          </w:p>
        </w:tc>
      </w:tr>
      <w:tr w14:paraId="38F555D3" w14:textId="77777777" w:rsidTr="001D0B7D">
        <w:tblPrEx>
          <w:tblW w:w="0" w:type="auto"/>
          <w:jc w:val="center"/>
          <w:tblLook w:val="04A0"/>
        </w:tblPrEx>
        <w:trPr>
          <w:jc w:val="center"/>
        </w:trPr>
        <w:tc>
          <w:tcPr>
            <w:tcW w:w="2875"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774D2B1B" w14:textId="77777777">
            <w:pPr>
              <w:spacing w:before="40" w:after="40"/>
              <w:rPr>
                <w:rFonts w:eastAsia="Calibri"/>
                <w:szCs w:val="22"/>
              </w:rPr>
            </w:pPr>
            <w:r w:rsidRPr="00FB2BC9">
              <w:rPr>
                <w:rFonts w:eastAsia="Calibri"/>
                <w:szCs w:val="22"/>
              </w:rPr>
              <w:t>VA Wallops Island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667B9B59" w14:textId="77777777">
            <w:pPr>
              <w:spacing w:before="40" w:after="40"/>
              <w:jc w:val="center"/>
              <w:rPr>
                <w:rFonts w:eastAsia="Calibri"/>
                <w:szCs w:val="22"/>
              </w:rPr>
            </w:pPr>
            <w:r w:rsidRPr="00FB2BC9">
              <w:rPr>
                <w:rFonts w:eastAsia="Calibri"/>
                <w:szCs w:val="22"/>
              </w:rPr>
              <w:t>37 55 35 N</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996512" w:rsidRPr="00FB2BC9" w:rsidP="001D0B7D" w14:paraId="2F039EF1" w14:textId="77777777">
            <w:pPr>
              <w:spacing w:before="40" w:after="40"/>
              <w:jc w:val="center"/>
              <w:rPr>
                <w:rFonts w:eastAsia="Calibri"/>
                <w:szCs w:val="22"/>
              </w:rPr>
            </w:pPr>
            <w:r w:rsidRPr="00FB2BC9">
              <w:rPr>
                <w:rFonts w:eastAsia="Calibri"/>
                <w:szCs w:val="22"/>
              </w:rPr>
              <w:t>075 28 32 W</w:t>
            </w:r>
          </w:p>
        </w:tc>
      </w:tr>
    </w:tbl>
    <w:p w:rsidR="009C270C" w:rsidP="00A425A1" w14:paraId="36EA4410" w14:textId="77777777">
      <w:pPr>
        <w:widowControl/>
        <w:ind w:firstLine="720"/>
        <w:rPr>
          <w:rFonts w:eastAsia="Calibri"/>
          <w:snapToGrid/>
          <w:kern w:val="0"/>
          <w:szCs w:val="22"/>
        </w:rPr>
      </w:pPr>
    </w:p>
    <w:p w:rsidR="00A425A1" w:rsidRPr="003B645F" w:rsidP="00A30BF7" w14:paraId="5441ED6E" w14:textId="77777777">
      <w:pPr>
        <w:widowControl/>
        <w:ind w:firstLine="720"/>
        <w:rPr>
          <w:rFonts w:eastAsia="Calibri"/>
          <w:snapToGrid/>
          <w:kern w:val="0"/>
          <w:szCs w:val="22"/>
        </w:rPr>
      </w:pPr>
      <w:r w:rsidRPr="003B645F">
        <w:rPr>
          <w:rFonts w:eastAsia="Calibri"/>
          <w:snapToGrid/>
          <w:kern w:val="0"/>
          <w:szCs w:val="22"/>
        </w:rPr>
        <w:t xml:space="preserve">The </w:t>
      </w:r>
      <w:r w:rsidR="00386F24">
        <w:rPr>
          <w:rFonts w:eastAsia="Calibri"/>
          <w:snapToGrid/>
          <w:kern w:val="0"/>
          <w:szCs w:val="22"/>
        </w:rPr>
        <w:t xml:space="preserve">outdoor deployment </w:t>
      </w:r>
      <w:r w:rsidRPr="003B645F">
        <w:rPr>
          <w:rFonts w:eastAsia="Calibri"/>
          <w:snapToGrid/>
          <w:kern w:val="0"/>
          <w:szCs w:val="22"/>
        </w:rPr>
        <w:t>Coordination Zone Sites that should be subject to a 1.2 km coordination zone are identified in Table 2.</w:t>
      </w:r>
    </w:p>
    <w:p w:rsidR="00A425A1" w:rsidRPr="003B645F" w:rsidP="00A425A1" w14:paraId="003E8A14" w14:textId="77777777">
      <w:pPr>
        <w:widowControl/>
        <w:spacing w:before="120"/>
        <w:ind w:left="540"/>
        <w:jc w:val="center"/>
        <w:rPr>
          <w:rFonts w:eastAsia="Calibri"/>
          <w:b/>
          <w:snapToGrid/>
          <w:kern w:val="0"/>
          <w:szCs w:val="22"/>
        </w:rPr>
      </w:pPr>
      <w:r w:rsidRPr="003B645F">
        <w:rPr>
          <w:rFonts w:eastAsia="Calibri"/>
          <w:b/>
          <w:snapToGrid/>
          <w:kern w:val="0"/>
          <w:szCs w:val="22"/>
          <w:u w:val="single"/>
        </w:rPr>
        <w:t>Table 2</w:t>
      </w:r>
      <w:r w:rsidRPr="003B645F">
        <w:rPr>
          <w:rFonts w:eastAsia="Calibri"/>
          <w:b/>
          <w:snapToGrid/>
          <w:kern w:val="0"/>
          <w:szCs w:val="22"/>
        </w:rPr>
        <w:t>. Coordination Zone Sites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5"/>
        <w:gridCol w:w="2790"/>
        <w:gridCol w:w="2700"/>
      </w:tblGrid>
      <w:tr w14:paraId="58DE406A" w14:textId="77777777" w:rsidTr="001D0B7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jc w:val="center"/>
        </w:trPr>
        <w:tc>
          <w:tcPr>
            <w:tcW w:w="2785" w:type="dxa"/>
            <w:tcBorders>
              <w:top w:val="single" w:sz="4" w:space="0" w:color="auto"/>
              <w:left w:val="single" w:sz="4" w:space="0" w:color="auto"/>
              <w:bottom w:val="single" w:sz="4" w:space="0" w:color="auto"/>
              <w:right w:val="single" w:sz="4" w:space="0" w:color="auto"/>
            </w:tcBorders>
            <w:shd w:val="clear" w:color="auto" w:fill="D9D9D9"/>
            <w:hideMark/>
          </w:tcPr>
          <w:p w:rsidR="00A425A1" w:rsidRPr="00FB2BC9" w:rsidP="001D0B7D" w14:paraId="7A43D111" w14:textId="77777777">
            <w:pPr>
              <w:widowControl/>
              <w:spacing w:before="80" w:after="80"/>
              <w:jc w:val="center"/>
              <w:rPr>
                <w:rFonts w:eastAsia="Calibri"/>
                <w:b/>
                <w:snapToGrid/>
                <w:kern w:val="0"/>
                <w:szCs w:val="22"/>
              </w:rPr>
            </w:pPr>
            <w:r w:rsidRPr="00FB2BC9">
              <w:rPr>
                <w:rFonts w:eastAsia="Calibri"/>
                <w:b/>
                <w:snapToGrid/>
                <w:kern w:val="0"/>
                <w:szCs w:val="22"/>
              </w:rPr>
              <w:t>Location</w:t>
            </w:r>
          </w:p>
        </w:tc>
        <w:tc>
          <w:tcPr>
            <w:tcW w:w="2790" w:type="dxa"/>
            <w:tcBorders>
              <w:top w:val="single" w:sz="4" w:space="0" w:color="auto"/>
              <w:left w:val="single" w:sz="4" w:space="0" w:color="auto"/>
              <w:bottom w:val="single" w:sz="4" w:space="0" w:color="auto"/>
              <w:right w:val="single" w:sz="4" w:space="0" w:color="auto"/>
            </w:tcBorders>
            <w:shd w:val="clear" w:color="auto" w:fill="D9D9D9"/>
            <w:hideMark/>
          </w:tcPr>
          <w:p w:rsidR="00A425A1" w:rsidRPr="00FB2BC9" w:rsidP="001D0B7D" w14:paraId="16B87509" w14:textId="77777777">
            <w:pPr>
              <w:widowControl/>
              <w:spacing w:before="80" w:after="80"/>
              <w:rPr>
                <w:rFonts w:eastAsia="Calibri"/>
                <w:b/>
                <w:snapToGrid/>
                <w:kern w:val="0"/>
                <w:szCs w:val="22"/>
              </w:rPr>
            </w:pPr>
            <w:r w:rsidRPr="00FB2BC9">
              <w:rPr>
                <w:rFonts w:eastAsia="Calibri"/>
                <w:b/>
                <w:snapToGrid/>
                <w:kern w:val="0"/>
                <w:szCs w:val="22"/>
              </w:rPr>
              <w:t>Latitude (dd mm ss)</w:t>
            </w: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rsidR="00A425A1" w:rsidRPr="00FB2BC9" w:rsidP="001D0B7D" w14:paraId="3D6EA5DF" w14:textId="77777777">
            <w:pPr>
              <w:widowControl/>
              <w:spacing w:before="80" w:after="80"/>
              <w:rPr>
                <w:rFonts w:eastAsia="Calibri"/>
                <w:b/>
                <w:snapToGrid/>
                <w:kern w:val="0"/>
                <w:szCs w:val="22"/>
              </w:rPr>
            </w:pPr>
            <w:r w:rsidRPr="00FB2BC9">
              <w:rPr>
                <w:rFonts w:eastAsia="Calibri"/>
                <w:b/>
                <w:snapToGrid/>
                <w:kern w:val="0"/>
                <w:szCs w:val="22"/>
              </w:rPr>
              <w:t>Longitude (ddd mm ss)</w:t>
            </w:r>
          </w:p>
        </w:tc>
      </w:tr>
      <w:tr w14:paraId="543F9AB4" w14:textId="77777777" w:rsidTr="001D0B7D">
        <w:tblPrEx>
          <w:tblW w:w="0" w:type="auto"/>
          <w:jc w:val="center"/>
          <w:tblLook w:val="04A0"/>
        </w:tblPrEx>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615A0BA1" w14:textId="77777777">
            <w:pPr>
              <w:widowControl/>
              <w:spacing w:before="40" w:after="40"/>
              <w:rPr>
                <w:rFonts w:eastAsia="Calibri"/>
                <w:snapToGrid/>
                <w:kern w:val="0"/>
                <w:szCs w:val="22"/>
              </w:rPr>
            </w:pPr>
            <w:r w:rsidRPr="00FB2BC9">
              <w:rPr>
                <w:rFonts w:eastAsia="Calibri"/>
                <w:snapToGrid/>
                <w:kern w:val="0"/>
                <w:szCs w:val="22"/>
              </w:rPr>
              <w:t>CA, La Jolla</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567D199F" w14:textId="77777777">
            <w:pPr>
              <w:widowControl/>
              <w:spacing w:before="40" w:after="40"/>
              <w:jc w:val="center"/>
              <w:rPr>
                <w:rFonts w:eastAsia="Calibri"/>
                <w:snapToGrid/>
                <w:kern w:val="0"/>
                <w:szCs w:val="22"/>
              </w:rPr>
            </w:pPr>
            <w:r w:rsidRPr="00FB2BC9">
              <w:rPr>
                <w:rFonts w:eastAsia="Calibri"/>
                <w:snapToGrid/>
                <w:kern w:val="0"/>
                <w:szCs w:val="22"/>
              </w:rPr>
              <w:t>32 52 11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184CC573" w14:textId="77777777">
            <w:pPr>
              <w:widowControl/>
              <w:spacing w:before="40" w:after="40"/>
              <w:jc w:val="center"/>
              <w:rPr>
                <w:rFonts w:eastAsia="Calibri"/>
                <w:snapToGrid/>
                <w:kern w:val="0"/>
                <w:szCs w:val="22"/>
              </w:rPr>
            </w:pPr>
            <w:r w:rsidRPr="00FB2BC9">
              <w:rPr>
                <w:rFonts w:eastAsia="Calibri"/>
                <w:snapToGrid/>
                <w:kern w:val="0"/>
                <w:szCs w:val="22"/>
              </w:rPr>
              <w:t>117 15 07 W</w:t>
            </w:r>
          </w:p>
        </w:tc>
      </w:tr>
      <w:tr w14:paraId="592F2405" w14:textId="77777777" w:rsidTr="001D0B7D">
        <w:tblPrEx>
          <w:tblW w:w="0" w:type="auto"/>
          <w:jc w:val="center"/>
          <w:tblLook w:val="04A0"/>
        </w:tblPrEx>
        <w:trPr>
          <w:trHeight w:val="107"/>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271EC1A3" w14:textId="77777777">
            <w:pPr>
              <w:widowControl/>
              <w:spacing w:before="40" w:after="40"/>
              <w:rPr>
                <w:rFonts w:eastAsia="Calibri"/>
                <w:snapToGrid/>
                <w:kern w:val="0"/>
                <w:szCs w:val="22"/>
              </w:rPr>
            </w:pPr>
            <w:r w:rsidRPr="00FB2BC9">
              <w:rPr>
                <w:rFonts w:eastAsia="Calibri"/>
                <w:snapToGrid/>
                <w:kern w:val="0"/>
                <w:szCs w:val="22"/>
              </w:rPr>
              <w:t>CA, Orange</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61F74050" w14:textId="77777777">
            <w:pPr>
              <w:widowControl/>
              <w:spacing w:before="40" w:after="40"/>
              <w:jc w:val="center"/>
              <w:rPr>
                <w:rFonts w:eastAsia="Calibri"/>
                <w:snapToGrid/>
                <w:kern w:val="0"/>
                <w:szCs w:val="22"/>
              </w:rPr>
            </w:pPr>
            <w:r w:rsidRPr="00FB2BC9">
              <w:rPr>
                <w:rFonts w:eastAsia="Calibri"/>
                <w:snapToGrid/>
                <w:kern w:val="0"/>
                <w:szCs w:val="22"/>
              </w:rPr>
              <w:t>33 47 38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656B1C72" w14:textId="77777777">
            <w:pPr>
              <w:widowControl/>
              <w:spacing w:before="40" w:after="40"/>
              <w:jc w:val="center"/>
              <w:rPr>
                <w:rFonts w:eastAsia="Calibri"/>
                <w:snapToGrid/>
                <w:kern w:val="0"/>
                <w:szCs w:val="22"/>
              </w:rPr>
            </w:pPr>
            <w:r w:rsidRPr="00FB2BC9">
              <w:rPr>
                <w:rFonts w:eastAsia="Calibri"/>
                <w:snapToGrid/>
                <w:kern w:val="0"/>
                <w:szCs w:val="22"/>
              </w:rPr>
              <w:t>117 51 00 W</w:t>
            </w:r>
          </w:p>
        </w:tc>
      </w:tr>
      <w:tr w14:paraId="0BE32F71" w14:textId="77777777" w:rsidTr="001D0B7D">
        <w:tblPrEx>
          <w:tblW w:w="0" w:type="auto"/>
          <w:jc w:val="center"/>
          <w:tblLook w:val="04A0"/>
        </w:tblPrEx>
        <w:trPr>
          <w:trHeight w:val="107"/>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0085AF28" w14:textId="77777777">
            <w:pPr>
              <w:widowControl/>
              <w:spacing w:before="40" w:after="40"/>
              <w:rPr>
                <w:rFonts w:eastAsia="Calibri"/>
                <w:snapToGrid/>
                <w:kern w:val="0"/>
                <w:szCs w:val="22"/>
              </w:rPr>
            </w:pPr>
            <w:r w:rsidRPr="00FB2BC9">
              <w:rPr>
                <w:rFonts w:eastAsia="Calibri"/>
                <w:snapToGrid/>
                <w:kern w:val="0"/>
                <w:szCs w:val="22"/>
              </w:rPr>
              <w:t>CA, Pasadena</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239D551E" w14:textId="77777777">
            <w:pPr>
              <w:widowControl/>
              <w:spacing w:before="40" w:after="40"/>
              <w:jc w:val="center"/>
              <w:rPr>
                <w:rFonts w:eastAsia="Calibri"/>
                <w:snapToGrid/>
                <w:kern w:val="0"/>
                <w:szCs w:val="22"/>
              </w:rPr>
            </w:pPr>
            <w:r w:rsidRPr="00FB2BC9">
              <w:rPr>
                <w:rFonts w:eastAsia="Calibri"/>
                <w:snapToGrid/>
                <w:kern w:val="0"/>
                <w:szCs w:val="22"/>
              </w:rPr>
              <w:t>34 12 06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65D73398" w14:textId="77777777">
            <w:pPr>
              <w:widowControl/>
              <w:spacing w:before="40" w:after="40"/>
              <w:jc w:val="center"/>
              <w:rPr>
                <w:rFonts w:eastAsia="Calibri"/>
                <w:snapToGrid/>
                <w:kern w:val="0"/>
                <w:szCs w:val="22"/>
              </w:rPr>
            </w:pPr>
            <w:r w:rsidRPr="00FB2BC9">
              <w:rPr>
                <w:rFonts w:eastAsia="Calibri"/>
                <w:snapToGrid/>
                <w:kern w:val="0"/>
                <w:szCs w:val="22"/>
              </w:rPr>
              <w:t>118 10 27 W</w:t>
            </w:r>
          </w:p>
        </w:tc>
      </w:tr>
      <w:tr w14:paraId="7682C1B0" w14:textId="77777777" w:rsidTr="001D0B7D">
        <w:tblPrEx>
          <w:tblW w:w="0" w:type="auto"/>
          <w:jc w:val="center"/>
          <w:tblLook w:val="04A0"/>
        </w:tblPrEx>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259FBC59" w14:textId="77777777">
            <w:pPr>
              <w:widowControl/>
              <w:spacing w:before="40" w:after="40"/>
              <w:rPr>
                <w:rFonts w:eastAsia="Calibri"/>
                <w:snapToGrid/>
                <w:kern w:val="0"/>
                <w:szCs w:val="22"/>
              </w:rPr>
            </w:pPr>
            <w:r w:rsidRPr="00FB2BC9">
              <w:rPr>
                <w:rFonts w:eastAsia="Calibri"/>
                <w:snapToGrid/>
                <w:kern w:val="0"/>
                <w:szCs w:val="22"/>
              </w:rPr>
              <w:t>CA, Poway</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7C0961F1" w14:textId="77777777">
            <w:pPr>
              <w:widowControl/>
              <w:spacing w:before="40" w:after="40"/>
              <w:jc w:val="center"/>
              <w:rPr>
                <w:rFonts w:eastAsia="Calibri"/>
                <w:snapToGrid/>
                <w:kern w:val="0"/>
                <w:szCs w:val="22"/>
              </w:rPr>
            </w:pPr>
            <w:r w:rsidRPr="00FB2BC9">
              <w:rPr>
                <w:rFonts w:eastAsia="Calibri"/>
                <w:snapToGrid/>
                <w:kern w:val="0"/>
                <w:szCs w:val="22"/>
              </w:rPr>
              <w:t>32 56 18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0EFF62EC" w14:textId="77777777">
            <w:pPr>
              <w:widowControl/>
              <w:spacing w:before="40" w:after="40"/>
              <w:jc w:val="center"/>
              <w:rPr>
                <w:rFonts w:eastAsia="Calibri"/>
                <w:snapToGrid/>
                <w:kern w:val="0"/>
                <w:szCs w:val="22"/>
              </w:rPr>
            </w:pPr>
            <w:r w:rsidRPr="00FB2BC9">
              <w:rPr>
                <w:rFonts w:eastAsia="Calibri"/>
                <w:snapToGrid/>
                <w:kern w:val="0"/>
                <w:szCs w:val="22"/>
              </w:rPr>
              <w:t>117 02 42 W</w:t>
            </w:r>
          </w:p>
        </w:tc>
      </w:tr>
      <w:tr w14:paraId="26AE0644" w14:textId="77777777" w:rsidTr="001D0B7D">
        <w:tblPrEx>
          <w:tblW w:w="0" w:type="auto"/>
          <w:jc w:val="center"/>
          <w:tblLook w:val="04A0"/>
        </w:tblPrEx>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114D617F" w14:textId="77777777">
            <w:pPr>
              <w:widowControl/>
              <w:spacing w:before="40" w:after="40"/>
              <w:rPr>
                <w:rFonts w:eastAsia="Calibri"/>
                <w:snapToGrid/>
                <w:kern w:val="0"/>
                <w:szCs w:val="22"/>
              </w:rPr>
            </w:pPr>
            <w:r w:rsidRPr="00FB2BC9">
              <w:rPr>
                <w:rFonts w:eastAsia="Calibri"/>
                <w:snapToGrid/>
                <w:kern w:val="0"/>
                <w:szCs w:val="22"/>
              </w:rPr>
              <w:t>DE, Newark</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60A1EF9F" w14:textId="77777777">
            <w:pPr>
              <w:widowControl/>
              <w:spacing w:before="40" w:after="40"/>
              <w:jc w:val="center"/>
              <w:rPr>
                <w:rFonts w:eastAsia="Calibri"/>
                <w:snapToGrid/>
                <w:kern w:val="0"/>
                <w:szCs w:val="22"/>
              </w:rPr>
            </w:pPr>
            <w:r w:rsidRPr="00FB2BC9">
              <w:rPr>
                <w:rFonts w:eastAsia="Calibri"/>
                <w:snapToGrid/>
                <w:kern w:val="0"/>
                <w:szCs w:val="22"/>
              </w:rPr>
              <w:t>39 41 01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3F72803A" w14:textId="77777777">
            <w:pPr>
              <w:widowControl/>
              <w:spacing w:before="40" w:after="40"/>
              <w:jc w:val="center"/>
              <w:rPr>
                <w:rFonts w:eastAsia="Calibri"/>
                <w:snapToGrid/>
                <w:kern w:val="0"/>
                <w:szCs w:val="22"/>
              </w:rPr>
            </w:pPr>
            <w:r w:rsidRPr="00FB2BC9">
              <w:rPr>
                <w:rFonts w:eastAsia="Calibri"/>
                <w:snapToGrid/>
                <w:kern w:val="0"/>
                <w:szCs w:val="22"/>
              </w:rPr>
              <w:t>075 45 18 W</w:t>
            </w:r>
          </w:p>
        </w:tc>
      </w:tr>
      <w:tr w14:paraId="497DACEA" w14:textId="77777777" w:rsidTr="001D0B7D">
        <w:tblPrEx>
          <w:tblW w:w="0" w:type="auto"/>
          <w:jc w:val="center"/>
          <w:tblLook w:val="04A0"/>
        </w:tblPrEx>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7D332655" w14:textId="77777777">
            <w:pPr>
              <w:widowControl/>
              <w:spacing w:before="40" w:after="40"/>
              <w:rPr>
                <w:rFonts w:eastAsia="Calibri"/>
                <w:snapToGrid/>
                <w:kern w:val="0"/>
                <w:szCs w:val="22"/>
              </w:rPr>
            </w:pPr>
            <w:r w:rsidRPr="00FB2BC9">
              <w:rPr>
                <w:rFonts w:eastAsia="Calibri"/>
                <w:snapToGrid/>
                <w:kern w:val="0"/>
                <w:szCs w:val="22"/>
              </w:rPr>
              <w:t>FL, St. Petersburg</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2E527D98" w14:textId="77777777">
            <w:pPr>
              <w:widowControl/>
              <w:spacing w:before="40" w:after="40"/>
              <w:jc w:val="center"/>
              <w:rPr>
                <w:rFonts w:eastAsia="Calibri"/>
                <w:snapToGrid/>
                <w:kern w:val="0"/>
                <w:szCs w:val="22"/>
              </w:rPr>
            </w:pPr>
            <w:r w:rsidRPr="00FB2BC9">
              <w:rPr>
                <w:rFonts w:eastAsia="Calibri"/>
                <w:snapToGrid/>
                <w:kern w:val="0"/>
                <w:szCs w:val="22"/>
              </w:rPr>
              <w:t>27 45 36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2DA90DA8" w14:textId="77777777">
            <w:pPr>
              <w:widowControl/>
              <w:spacing w:before="40" w:after="40"/>
              <w:jc w:val="center"/>
              <w:rPr>
                <w:rFonts w:eastAsia="Calibri"/>
                <w:snapToGrid/>
                <w:kern w:val="0"/>
                <w:szCs w:val="22"/>
              </w:rPr>
            </w:pPr>
            <w:r w:rsidRPr="00FB2BC9">
              <w:rPr>
                <w:rFonts w:eastAsia="Calibri"/>
                <w:snapToGrid/>
                <w:kern w:val="0"/>
                <w:szCs w:val="22"/>
              </w:rPr>
              <w:t>082 37 55 W</w:t>
            </w:r>
          </w:p>
        </w:tc>
      </w:tr>
      <w:tr w14:paraId="7E9BD466" w14:textId="77777777" w:rsidTr="001D0B7D">
        <w:tblPrEx>
          <w:tblW w:w="0" w:type="auto"/>
          <w:jc w:val="center"/>
          <w:tblLook w:val="04A0"/>
        </w:tblPrEx>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755F6066" w14:textId="77777777">
            <w:pPr>
              <w:widowControl/>
              <w:spacing w:before="40" w:after="40"/>
              <w:rPr>
                <w:rFonts w:eastAsia="Calibri"/>
                <w:snapToGrid/>
                <w:kern w:val="0"/>
                <w:szCs w:val="22"/>
              </w:rPr>
            </w:pPr>
            <w:r w:rsidRPr="00FB2BC9">
              <w:rPr>
                <w:rFonts w:eastAsia="Calibri"/>
                <w:snapToGrid/>
                <w:kern w:val="0"/>
                <w:szCs w:val="22"/>
              </w:rPr>
              <w:t>FL, Tallahassee</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67022FA0" w14:textId="77777777">
            <w:pPr>
              <w:widowControl/>
              <w:spacing w:before="40" w:after="40"/>
              <w:jc w:val="center"/>
              <w:rPr>
                <w:rFonts w:eastAsia="Calibri"/>
                <w:snapToGrid/>
                <w:kern w:val="0"/>
                <w:szCs w:val="22"/>
              </w:rPr>
            </w:pPr>
            <w:r w:rsidRPr="00FB2BC9">
              <w:rPr>
                <w:rFonts w:eastAsia="Calibri"/>
                <w:snapToGrid/>
                <w:kern w:val="0"/>
                <w:szCs w:val="22"/>
              </w:rPr>
              <w:t>30 23 10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59E9EFA8" w14:textId="77777777">
            <w:pPr>
              <w:widowControl/>
              <w:spacing w:before="40" w:after="40"/>
              <w:jc w:val="center"/>
              <w:rPr>
                <w:rFonts w:eastAsia="Calibri"/>
                <w:snapToGrid/>
                <w:kern w:val="0"/>
                <w:szCs w:val="22"/>
              </w:rPr>
            </w:pPr>
            <w:r w:rsidRPr="00FB2BC9">
              <w:rPr>
                <w:rFonts w:eastAsia="Calibri"/>
                <w:snapToGrid/>
                <w:kern w:val="0"/>
                <w:szCs w:val="22"/>
              </w:rPr>
              <w:t>084 13 53 W</w:t>
            </w:r>
          </w:p>
        </w:tc>
      </w:tr>
      <w:tr w14:paraId="5002E6B6" w14:textId="77777777" w:rsidTr="001D0B7D">
        <w:tblPrEx>
          <w:tblW w:w="0" w:type="auto"/>
          <w:jc w:val="center"/>
          <w:tblLook w:val="04A0"/>
        </w:tblPrEx>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3B303B20" w14:textId="77777777">
            <w:pPr>
              <w:widowControl/>
              <w:spacing w:before="40" w:after="40"/>
              <w:rPr>
                <w:rFonts w:eastAsia="Calibri"/>
                <w:snapToGrid/>
                <w:kern w:val="0"/>
                <w:szCs w:val="22"/>
              </w:rPr>
            </w:pPr>
            <w:r w:rsidRPr="00FB2BC9">
              <w:rPr>
                <w:rFonts w:eastAsia="Calibri"/>
                <w:snapToGrid/>
                <w:kern w:val="0"/>
                <w:szCs w:val="22"/>
              </w:rPr>
              <w:t>HI, Honolulu</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44590E05" w14:textId="77777777">
            <w:pPr>
              <w:widowControl/>
              <w:spacing w:before="40" w:after="40"/>
              <w:jc w:val="center"/>
              <w:rPr>
                <w:rFonts w:eastAsia="Calibri"/>
                <w:snapToGrid/>
                <w:kern w:val="0"/>
                <w:szCs w:val="22"/>
              </w:rPr>
            </w:pPr>
            <w:r w:rsidRPr="00FB2BC9">
              <w:rPr>
                <w:rFonts w:eastAsia="Calibri"/>
                <w:snapToGrid/>
                <w:kern w:val="0"/>
                <w:szCs w:val="22"/>
              </w:rPr>
              <w:t>21 17 54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277BB607" w14:textId="77777777">
            <w:pPr>
              <w:widowControl/>
              <w:spacing w:before="40" w:after="40"/>
              <w:jc w:val="center"/>
              <w:rPr>
                <w:rFonts w:eastAsia="Calibri"/>
                <w:snapToGrid/>
                <w:kern w:val="0"/>
                <w:szCs w:val="22"/>
              </w:rPr>
            </w:pPr>
            <w:r w:rsidRPr="00FB2BC9">
              <w:rPr>
                <w:rFonts w:eastAsia="Calibri"/>
                <w:snapToGrid/>
                <w:kern w:val="0"/>
                <w:szCs w:val="22"/>
              </w:rPr>
              <w:t>157 48 59 W</w:t>
            </w:r>
          </w:p>
        </w:tc>
      </w:tr>
      <w:tr w14:paraId="56012A95" w14:textId="77777777" w:rsidTr="001D0B7D">
        <w:tblPrEx>
          <w:tblW w:w="0" w:type="auto"/>
          <w:jc w:val="center"/>
          <w:tblLook w:val="04A0"/>
        </w:tblPrEx>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1A59A87D" w14:textId="77777777">
            <w:pPr>
              <w:widowControl/>
              <w:spacing w:before="40" w:after="40"/>
              <w:rPr>
                <w:rFonts w:eastAsia="Calibri"/>
                <w:snapToGrid/>
                <w:kern w:val="0"/>
                <w:szCs w:val="22"/>
              </w:rPr>
            </w:pPr>
            <w:r w:rsidRPr="00FB2BC9">
              <w:rPr>
                <w:rFonts w:eastAsia="Calibri"/>
                <w:snapToGrid/>
                <w:kern w:val="0"/>
                <w:szCs w:val="22"/>
              </w:rPr>
              <w:t>IN, Indianapolis</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7CA18B1D" w14:textId="77777777">
            <w:pPr>
              <w:widowControl/>
              <w:spacing w:before="40" w:after="40"/>
              <w:jc w:val="center"/>
              <w:rPr>
                <w:rFonts w:eastAsia="Calibri"/>
                <w:snapToGrid/>
                <w:kern w:val="0"/>
                <w:szCs w:val="22"/>
              </w:rPr>
            </w:pPr>
            <w:r w:rsidRPr="00FB2BC9">
              <w:rPr>
                <w:rFonts w:eastAsia="Calibri"/>
                <w:snapToGrid/>
                <w:kern w:val="0"/>
                <w:szCs w:val="22"/>
              </w:rPr>
              <w:t>39 47 42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5C62D138" w14:textId="77777777">
            <w:pPr>
              <w:widowControl/>
              <w:spacing w:before="40" w:after="40"/>
              <w:jc w:val="center"/>
              <w:rPr>
                <w:rFonts w:eastAsia="Calibri"/>
                <w:snapToGrid/>
                <w:kern w:val="0"/>
                <w:szCs w:val="22"/>
              </w:rPr>
            </w:pPr>
            <w:r w:rsidRPr="00FB2BC9">
              <w:rPr>
                <w:rFonts w:eastAsia="Calibri"/>
                <w:snapToGrid/>
                <w:kern w:val="0"/>
                <w:szCs w:val="22"/>
              </w:rPr>
              <w:t>086 03 43 W</w:t>
            </w:r>
          </w:p>
        </w:tc>
      </w:tr>
      <w:tr w14:paraId="0001BE1F" w14:textId="77777777" w:rsidTr="001D0B7D">
        <w:tblPrEx>
          <w:tblW w:w="0" w:type="auto"/>
          <w:jc w:val="center"/>
          <w:tblLook w:val="04A0"/>
        </w:tblPrEx>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05CB7CC9" w14:textId="77777777">
            <w:pPr>
              <w:widowControl/>
              <w:spacing w:before="40" w:after="40"/>
              <w:rPr>
                <w:rFonts w:eastAsia="Calibri"/>
                <w:snapToGrid/>
                <w:kern w:val="0"/>
                <w:szCs w:val="22"/>
              </w:rPr>
            </w:pPr>
            <w:r w:rsidRPr="00FB2BC9">
              <w:rPr>
                <w:rFonts w:eastAsia="Calibri"/>
                <w:snapToGrid/>
                <w:kern w:val="0"/>
                <w:szCs w:val="22"/>
              </w:rPr>
              <w:t>IN, Lafayette</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6A7ED8A6" w14:textId="77777777">
            <w:pPr>
              <w:widowControl/>
              <w:spacing w:before="40" w:after="40"/>
              <w:jc w:val="center"/>
              <w:rPr>
                <w:rFonts w:eastAsia="Calibri"/>
                <w:snapToGrid/>
                <w:kern w:val="0"/>
                <w:szCs w:val="22"/>
              </w:rPr>
            </w:pPr>
            <w:r w:rsidRPr="00FB2BC9">
              <w:rPr>
                <w:rFonts w:eastAsia="Calibri"/>
                <w:snapToGrid/>
                <w:kern w:val="0"/>
                <w:szCs w:val="22"/>
              </w:rPr>
              <w:t>40 25 48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1F4A49E6" w14:textId="77777777">
            <w:pPr>
              <w:widowControl/>
              <w:spacing w:before="40" w:after="40"/>
              <w:jc w:val="center"/>
              <w:rPr>
                <w:rFonts w:eastAsia="Calibri"/>
                <w:snapToGrid/>
                <w:kern w:val="0"/>
                <w:szCs w:val="22"/>
              </w:rPr>
            </w:pPr>
            <w:r w:rsidRPr="00FB2BC9">
              <w:rPr>
                <w:rFonts w:eastAsia="Calibri"/>
                <w:snapToGrid/>
                <w:kern w:val="0"/>
                <w:szCs w:val="22"/>
              </w:rPr>
              <w:t>086 54 54 W</w:t>
            </w:r>
          </w:p>
        </w:tc>
      </w:tr>
      <w:tr w14:paraId="74BA2EAC" w14:textId="77777777" w:rsidTr="001D0B7D">
        <w:tblPrEx>
          <w:tblW w:w="0" w:type="auto"/>
          <w:jc w:val="center"/>
          <w:tblLook w:val="04A0"/>
        </w:tblPrEx>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5DE75C43" w14:textId="77777777">
            <w:pPr>
              <w:widowControl/>
              <w:spacing w:before="40" w:after="40"/>
              <w:rPr>
                <w:rFonts w:eastAsia="Calibri"/>
                <w:snapToGrid/>
                <w:kern w:val="0"/>
                <w:szCs w:val="22"/>
              </w:rPr>
            </w:pPr>
            <w:r w:rsidRPr="00FB2BC9">
              <w:rPr>
                <w:rFonts w:eastAsia="Calibri"/>
                <w:snapToGrid/>
                <w:kern w:val="0"/>
                <w:szCs w:val="22"/>
              </w:rPr>
              <w:t>KY, Morehead</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0FCB6E9B" w14:textId="77777777">
            <w:pPr>
              <w:widowControl/>
              <w:spacing w:before="40" w:after="40"/>
              <w:jc w:val="center"/>
              <w:rPr>
                <w:rFonts w:eastAsia="Calibri"/>
                <w:snapToGrid/>
                <w:kern w:val="0"/>
                <w:szCs w:val="22"/>
              </w:rPr>
            </w:pPr>
            <w:r w:rsidRPr="00FB2BC9">
              <w:rPr>
                <w:rFonts w:eastAsia="Calibri"/>
                <w:snapToGrid/>
                <w:kern w:val="0"/>
                <w:szCs w:val="22"/>
              </w:rPr>
              <w:t>38 11 31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0A5EDFBE" w14:textId="77777777">
            <w:pPr>
              <w:widowControl/>
              <w:spacing w:before="40" w:after="40"/>
              <w:jc w:val="center"/>
              <w:rPr>
                <w:rFonts w:eastAsia="Calibri"/>
                <w:snapToGrid/>
                <w:kern w:val="0"/>
                <w:szCs w:val="22"/>
              </w:rPr>
            </w:pPr>
            <w:r w:rsidRPr="00FB2BC9">
              <w:rPr>
                <w:rFonts w:eastAsia="Calibri"/>
                <w:snapToGrid/>
                <w:kern w:val="0"/>
                <w:szCs w:val="22"/>
              </w:rPr>
              <w:t>083 26 20 W</w:t>
            </w:r>
          </w:p>
        </w:tc>
      </w:tr>
      <w:tr w14:paraId="2ACEBF08" w14:textId="77777777" w:rsidTr="001D0B7D">
        <w:tblPrEx>
          <w:tblW w:w="0" w:type="auto"/>
          <w:jc w:val="center"/>
          <w:tblLook w:val="04A0"/>
        </w:tblPrEx>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259D7499" w14:textId="77777777">
            <w:pPr>
              <w:widowControl/>
              <w:spacing w:before="40" w:after="40"/>
              <w:rPr>
                <w:rFonts w:eastAsia="Calibri"/>
                <w:snapToGrid/>
                <w:kern w:val="0"/>
                <w:szCs w:val="22"/>
              </w:rPr>
            </w:pPr>
            <w:r w:rsidRPr="00FB2BC9">
              <w:rPr>
                <w:rFonts w:eastAsia="Calibri"/>
                <w:snapToGrid/>
                <w:kern w:val="0"/>
                <w:szCs w:val="22"/>
              </w:rPr>
              <w:t>LA, Baton Rouge</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248ECBA7" w14:textId="77777777">
            <w:pPr>
              <w:widowControl/>
              <w:spacing w:before="40" w:after="40"/>
              <w:jc w:val="center"/>
              <w:rPr>
                <w:rFonts w:eastAsia="Calibri"/>
                <w:snapToGrid/>
                <w:kern w:val="0"/>
                <w:szCs w:val="22"/>
              </w:rPr>
            </w:pPr>
            <w:r w:rsidRPr="00FB2BC9">
              <w:rPr>
                <w:rFonts w:eastAsia="Calibri"/>
                <w:snapToGrid/>
                <w:kern w:val="0"/>
                <w:szCs w:val="22"/>
              </w:rPr>
              <w:t>30 24 43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152796BE" w14:textId="77777777">
            <w:pPr>
              <w:widowControl/>
              <w:spacing w:before="40" w:after="40"/>
              <w:jc w:val="center"/>
              <w:rPr>
                <w:rFonts w:eastAsia="Calibri"/>
                <w:snapToGrid/>
                <w:kern w:val="0"/>
                <w:szCs w:val="22"/>
              </w:rPr>
            </w:pPr>
            <w:r w:rsidRPr="00FB2BC9">
              <w:rPr>
                <w:rFonts w:eastAsia="Calibri"/>
                <w:snapToGrid/>
                <w:kern w:val="0"/>
                <w:szCs w:val="22"/>
              </w:rPr>
              <w:t>091 10 44 W</w:t>
            </w:r>
          </w:p>
        </w:tc>
      </w:tr>
      <w:tr w14:paraId="61CD844D" w14:textId="77777777" w:rsidTr="001D0B7D">
        <w:tblPrEx>
          <w:tblW w:w="0" w:type="auto"/>
          <w:jc w:val="center"/>
          <w:tblLook w:val="04A0"/>
        </w:tblPrEx>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58835EBC" w14:textId="77777777">
            <w:pPr>
              <w:widowControl/>
              <w:spacing w:before="40" w:after="40"/>
              <w:rPr>
                <w:rFonts w:eastAsia="Calibri"/>
                <w:snapToGrid/>
                <w:kern w:val="0"/>
                <w:szCs w:val="22"/>
              </w:rPr>
            </w:pPr>
            <w:r w:rsidRPr="00FB2BC9">
              <w:rPr>
                <w:rFonts w:eastAsia="Calibri"/>
                <w:snapToGrid/>
                <w:kern w:val="0"/>
                <w:szCs w:val="22"/>
              </w:rPr>
              <w:t>MD, Greenbelt</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42D6416A" w14:textId="77777777">
            <w:pPr>
              <w:widowControl/>
              <w:spacing w:before="40" w:after="40"/>
              <w:jc w:val="center"/>
              <w:rPr>
                <w:rFonts w:eastAsia="Calibri"/>
                <w:snapToGrid/>
                <w:kern w:val="0"/>
                <w:szCs w:val="22"/>
              </w:rPr>
            </w:pPr>
            <w:r w:rsidRPr="00FB2BC9">
              <w:rPr>
                <w:rFonts w:eastAsia="Calibri"/>
                <w:snapToGrid/>
                <w:kern w:val="0"/>
                <w:szCs w:val="22"/>
              </w:rPr>
              <w:t>38 59 57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309867A9" w14:textId="77777777">
            <w:pPr>
              <w:widowControl/>
              <w:spacing w:before="40" w:after="40"/>
              <w:jc w:val="center"/>
              <w:rPr>
                <w:rFonts w:eastAsia="Calibri"/>
                <w:snapToGrid/>
                <w:kern w:val="0"/>
                <w:szCs w:val="22"/>
              </w:rPr>
            </w:pPr>
            <w:r w:rsidRPr="00FB2BC9">
              <w:rPr>
                <w:rFonts w:eastAsia="Calibri"/>
                <w:snapToGrid/>
                <w:kern w:val="0"/>
                <w:szCs w:val="22"/>
              </w:rPr>
              <w:t>076 51 18 W</w:t>
            </w:r>
          </w:p>
        </w:tc>
      </w:tr>
      <w:tr w14:paraId="13CDF388" w14:textId="77777777" w:rsidTr="001D0B7D">
        <w:tblPrEx>
          <w:tblW w:w="0" w:type="auto"/>
          <w:jc w:val="center"/>
          <w:tblLook w:val="04A0"/>
        </w:tblPrEx>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245969DF" w14:textId="77777777">
            <w:pPr>
              <w:widowControl/>
              <w:spacing w:before="40" w:after="40"/>
              <w:rPr>
                <w:rFonts w:eastAsia="Calibri"/>
                <w:snapToGrid/>
                <w:kern w:val="0"/>
                <w:szCs w:val="22"/>
              </w:rPr>
            </w:pPr>
            <w:r w:rsidRPr="00FB2BC9">
              <w:rPr>
                <w:rFonts w:eastAsia="Calibri"/>
                <w:snapToGrid/>
                <w:kern w:val="0"/>
                <w:szCs w:val="22"/>
              </w:rPr>
              <w:t>MD, Lanham</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153F5912" w14:textId="77777777">
            <w:pPr>
              <w:widowControl/>
              <w:spacing w:before="40" w:after="40"/>
              <w:jc w:val="center"/>
              <w:rPr>
                <w:rFonts w:eastAsia="Calibri"/>
                <w:snapToGrid/>
                <w:kern w:val="0"/>
                <w:szCs w:val="22"/>
              </w:rPr>
            </w:pPr>
            <w:r w:rsidRPr="00FB2BC9">
              <w:rPr>
                <w:rFonts w:eastAsia="Calibri"/>
                <w:snapToGrid/>
                <w:kern w:val="0"/>
                <w:szCs w:val="22"/>
              </w:rPr>
              <w:t>38 57 40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3A48BED6" w14:textId="77777777">
            <w:pPr>
              <w:widowControl/>
              <w:spacing w:before="40" w:after="40"/>
              <w:jc w:val="center"/>
              <w:rPr>
                <w:rFonts w:eastAsia="Calibri"/>
                <w:snapToGrid/>
                <w:kern w:val="0"/>
                <w:szCs w:val="22"/>
              </w:rPr>
            </w:pPr>
            <w:r w:rsidRPr="00FB2BC9">
              <w:rPr>
                <w:rFonts w:eastAsia="Calibri"/>
                <w:snapToGrid/>
                <w:kern w:val="0"/>
                <w:szCs w:val="22"/>
              </w:rPr>
              <w:t>076 50 24 W</w:t>
            </w:r>
          </w:p>
        </w:tc>
      </w:tr>
      <w:tr w14:paraId="491F5BF0" w14:textId="77777777" w:rsidTr="001D0B7D">
        <w:tblPrEx>
          <w:tblW w:w="0" w:type="auto"/>
          <w:jc w:val="center"/>
          <w:tblLook w:val="04A0"/>
        </w:tblPrEx>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5F046F70" w14:textId="77777777">
            <w:pPr>
              <w:widowControl/>
              <w:spacing w:before="40" w:after="40"/>
              <w:rPr>
                <w:rFonts w:eastAsia="Calibri"/>
                <w:snapToGrid/>
                <w:kern w:val="0"/>
                <w:szCs w:val="22"/>
              </w:rPr>
            </w:pPr>
            <w:r w:rsidRPr="00FB2BC9">
              <w:rPr>
                <w:rFonts w:eastAsia="Calibri"/>
                <w:snapToGrid/>
                <w:kern w:val="0"/>
                <w:szCs w:val="22"/>
              </w:rPr>
              <w:t>MD, Suitland</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4833FD05" w14:textId="77777777">
            <w:pPr>
              <w:widowControl/>
              <w:spacing w:before="40" w:after="40"/>
              <w:jc w:val="center"/>
              <w:rPr>
                <w:rFonts w:eastAsia="Calibri"/>
                <w:snapToGrid/>
                <w:kern w:val="0"/>
                <w:szCs w:val="22"/>
              </w:rPr>
            </w:pPr>
            <w:r w:rsidRPr="00FB2BC9">
              <w:rPr>
                <w:rFonts w:eastAsia="Calibri"/>
                <w:snapToGrid/>
                <w:kern w:val="0"/>
                <w:szCs w:val="22"/>
              </w:rPr>
              <w:t>38 51 07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0D7E80C9" w14:textId="77777777">
            <w:pPr>
              <w:widowControl/>
              <w:spacing w:before="40" w:after="40"/>
              <w:jc w:val="center"/>
              <w:rPr>
                <w:rFonts w:eastAsia="Calibri"/>
                <w:snapToGrid/>
                <w:kern w:val="0"/>
                <w:szCs w:val="22"/>
              </w:rPr>
            </w:pPr>
            <w:r w:rsidRPr="00FB2BC9">
              <w:rPr>
                <w:rFonts w:eastAsia="Calibri"/>
                <w:snapToGrid/>
                <w:kern w:val="0"/>
                <w:szCs w:val="22"/>
              </w:rPr>
              <w:t>076 56 31 W</w:t>
            </w:r>
          </w:p>
        </w:tc>
      </w:tr>
      <w:tr w14:paraId="27A1C1E0" w14:textId="77777777" w:rsidTr="001D0B7D">
        <w:tblPrEx>
          <w:tblW w:w="0" w:type="auto"/>
          <w:jc w:val="center"/>
          <w:tblLook w:val="04A0"/>
        </w:tblPrEx>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5316D383" w14:textId="77777777">
            <w:pPr>
              <w:widowControl/>
              <w:spacing w:before="40" w:after="40"/>
              <w:rPr>
                <w:rFonts w:eastAsia="Calibri"/>
                <w:snapToGrid/>
                <w:kern w:val="0"/>
                <w:szCs w:val="22"/>
              </w:rPr>
            </w:pPr>
            <w:r w:rsidRPr="00FB2BC9">
              <w:rPr>
                <w:rFonts w:eastAsia="Calibri"/>
                <w:snapToGrid/>
                <w:kern w:val="0"/>
                <w:szCs w:val="22"/>
              </w:rPr>
              <w:t>MI, Peach Mountain</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2DBD33D0" w14:textId="77777777">
            <w:pPr>
              <w:widowControl/>
              <w:spacing w:before="40" w:after="40"/>
              <w:jc w:val="center"/>
              <w:rPr>
                <w:rFonts w:eastAsia="Calibri"/>
                <w:snapToGrid/>
                <w:kern w:val="0"/>
                <w:szCs w:val="22"/>
              </w:rPr>
            </w:pPr>
            <w:r w:rsidRPr="00FB2BC9">
              <w:rPr>
                <w:rFonts w:eastAsia="Calibri"/>
                <w:snapToGrid/>
                <w:kern w:val="0"/>
                <w:szCs w:val="22"/>
              </w:rPr>
              <w:t>42 23 56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4E7989A1" w14:textId="77777777">
            <w:pPr>
              <w:widowControl/>
              <w:spacing w:before="40" w:after="40"/>
              <w:jc w:val="center"/>
              <w:rPr>
                <w:rFonts w:eastAsia="Calibri"/>
                <w:snapToGrid/>
                <w:kern w:val="0"/>
                <w:szCs w:val="22"/>
              </w:rPr>
            </w:pPr>
            <w:r w:rsidRPr="00FB2BC9">
              <w:rPr>
                <w:rFonts w:eastAsia="Calibri"/>
                <w:snapToGrid/>
                <w:kern w:val="0"/>
                <w:szCs w:val="22"/>
              </w:rPr>
              <w:t>083 56 08 W</w:t>
            </w:r>
          </w:p>
        </w:tc>
      </w:tr>
      <w:tr w14:paraId="6538E8D2" w14:textId="77777777" w:rsidTr="001D0B7D">
        <w:tblPrEx>
          <w:tblW w:w="0" w:type="auto"/>
          <w:jc w:val="center"/>
          <w:tblLook w:val="04A0"/>
        </w:tblPrEx>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039786CB" w14:textId="77777777">
            <w:pPr>
              <w:widowControl/>
              <w:spacing w:before="40" w:after="40"/>
              <w:rPr>
                <w:rFonts w:eastAsia="Calibri"/>
                <w:snapToGrid/>
                <w:kern w:val="0"/>
                <w:szCs w:val="22"/>
              </w:rPr>
            </w:pPr>
            <w:r w:rsidRPr="00FB2BC9">
              <w:rPr>
                <w:rFonts w:eastAsia="Calibri"/>
                <w:snapToGrid/>
                <w:kern w:val="0"/>
                <w:szCs w:val="22"/>
              </w:rPr>
              <w:t>MS, Stennis Space Center</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671ADA1C" w14:textId="77777777">
            <w:pPr>
              <w:widowControl/>
              <w:spacing w:before="40" w:after="40"/>
              <w:jc w:val="center"/>
              <w:rPr>
                <w:rFonts w:eastAsia="Calibri"/>
                <w:snapToGrid/>
                <w:kern w:val="0"/>
                <w:szCs w:val="22"/>
              </w:rPr>
            </w:pPr>
            <w:r w:rsidRPr="00FB2BC9">
              <w:rPr>
                <w:rFonts w:eastAsia="Calibri"/>
                <w:snapToGrid/>
                <w:kern w:val="0"/>
                <w:szCs w:val="22"/>
              </w:rPr>
              <w:t>30 22 05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0C2E3F23" w14:textId="77777777">
            <w:pPr>
              <w:widowControl/>
              <w:spacing w:before="40" w:after="40"/>
              <w:jc w:val="center"/>
              <w:rPr>
                <w:rFonts w:eastAsia="Calibri"/>
                <w:snapToGrid/>
                <w:kern w:val="0"/>
                <w:szCs w:val="22"/>
              </w:rPr>
            </w:pPr>
            <w:r w:rsidRPr="00FB2BC9">
              <w:rPr>
                <w:rFonts w:eastAsia="Calibri"/>
                <w:snapToGrid/>
                <w:kern w:val="0"/>
                <w:szCs w:val="22"/>
              </w:rPr>
              <w:t>089 37 01 W</w:t>
            </w:r>
          </w:p>
        </w:tc>
      </w:tr>
      <w:tr w14:paraId="40BD7D61" w14:textId="77777777" w:rsidTr="001D0B7D">
        <w:tblPrEx>
          <w:tblW w:w="0" w:type="auto"/>
          <w:jc w:val="center"/>
          <w:tblLook w:val="04A0"/>
        </w:tblPrEx>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5348A897" w14:textId="77777777">
            <w:pPr>
              <w:widowControl/>
              <w:spacing w:before="40" w:after="40"/>
              <w:rPr>
                <w:rFonts w:eastAsia="Calibri"/>
                <w:snapToGrid/>
                <w:kern w:val="0"/>
                <w:szCs w:val="22"/>
              </w:rPr>
            </w:pPr>
            <w:r w:rsidRPr="00FB2BC9">
              <w:rPr>
                <w:rFonts w:eastAsia="Calibri"/>
                <w:snapToGrid/>
                <w:kern w:val="0"/>
                <w:szCs w:val="22"/>
              </w:rPr>
              <w:t>MT, Missoula</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25787CB4" w14:textId="77777777">
            <w:pPr>
              <w:widowControl/>
              <w:spacing w:before="40" w:after="40"/>
              <w:jc w:val="center"/>
              <w:rPr>
                <w:rFonts w:eastAsia="Calibri"/>
                <w:snapToGrid/>
                <w:kern w:val="0"/>
                <w:szCs w:val="22"/>
              </w:rPr>
            </w:pPr>
            <w:r w:rsidRPr="00FB2BC9">
              <w:rPr>
                <w:rFonts w:eastAsia="Calibri"/>
                <w:snapToGrid/>
                <w:kern w:val="0"/>
                <w:szCs w:val="22"/>
              </w:rPr>
              <w:t>46 55 34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1A54C2AF" w14:textId="77777777">
            <w:pPr>
              <w:widowControl/>
              <w:spacing w:before="40" w:after="40"/>
              <w:jc w:val="center"/>
              <w:rPr>
                <w:rFonts w:eastAsia="Calibri"/>
                <w:snapToGrid/>
                <w:kern w:val="0"/>
                <w:szCs w:val="22"/>
              </w:rPr>
            </w:pPr>
            <w:r w:rsidRPr="00FB2BC9">
              <w:rPr>
                <w:rFonts w:eastAsia="Calibri"/>
                <w:snapToGrid/>
                <w:kern w:val="0"/>
                <w:szCs w:val="22"/>
              </w:rPr>
              <w:t>114 05 35 W</w:t>
            </w:r>
          </w:p>
        </w:tc>
      </w:tr>
      <w:tr w14:paraId="06C65F47" w14:textId="77777777" w:rsidTr="001D0B7D">
        <w:tblPrEx>
          <w:tblW w:w="0" w:type="auto"/>
          <w:jc w:val="center"/>
          <w:tblLook w:val="04A0"/>
        </w:tblPrEx>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407FC8DB" w14:textId="77777777">
            <w:pPr>
              <w:widowControl/>
              <w:spacing w:before="40" w:after="40"/>
              <w:rPr>
                <w:rFonts w:eastAsia="Calibri"/>
                <w:snapToGrid/>
                <w:kern w:val="0"/>
                <w:szCs w:val="22"/>
              </w:rPr>
            </w:pPr>
            <w:r w:rsidRPr="00FB2BC9">
              <w:rPr>
                <w:rFonts w:eastAsia="Calibri"/>
                <w:snapToGrid/>
                <w:kern w:val="0"/>
                <w:szCs w:val="22"/>
              </w:rPr>
              <w:t>NJ, New Brunswick</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01495281" w14:textId="77777777">
            <w:pPr>
              <w:widowControl/>
              <w:spacing w:before="40" w:after="40"/>
              <w:jc w:val="center"/>
              <w:rPr>
                <w:rFonts w:eastAsia="Calibri"/>
                <w:snapToGrid/>
                <w:kern w:val="0"/>
                <w:szCs w:val="22"/>
              </w:rPr>
            </w:pPr>
            <w:r w:rsidRPr="00FB2BC9">
              <w:rPr>
                <w:rFonts w:eastAsia="Calibri"/>
                <w:snapToGrid/>
                <w:kern w:val="0"/>
                <w:szCs w:val="22"/>
              </w:rPr>
              <w:t>40 28 48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74EEC347" w14:textId="77777777">
            <w:pPr>
              <w:widowControl/>
              <w:spacing w:before="40" w:after="40"/>
              <w:jc w:val="center"/>
              <w:rPr>
                <w:rFonts w:eastAsia="Calibri"/>
                <w:snapToGrid/>
                <w:kern w:val="0"/>
                <w:szCs w:val="22"/>
              </w:rPr>
            </w:pPr>
            <w:r w:rsidRPr="00FB2BC9">
              <w:rPr>
                <w:rFonts w:eastAsia="Calibri"/>
                <w:snapToGrid/>
                <w:kern w:val="0"/>
                <w:szCs w:val="22"/>
              </w:rPr>
              <w:t>074 26 13 W</w:t>
            </w:r>
          </w:p>
        </w:tc>
      </w:tr>
      <w:tr w14:paraId="35F8B1C9" w14:textId="77777777" w:rsidTr="001D0B7D">
        <w:tblPrEx>
          <w:tblW w:w="0" w:type="auto"/>
          <w:jc w:val="center"/>
          <w:tblLook w:val="04A0"/>
        </w:tblPrEx>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0341D5C7" w14:textId="77777777">
            <w:pPr>
              <w:widowControl/>
              <w:spacing w:before="40" w:after="40"/>
              <w:rPr>
                <w:rFonts w:eastAsia="Calibri"/>
                <w:snapToGrid/>
                <w:kern w:val="0"/>
                <w:szCs w:val="22"/>
              </w:rPr>
            </w:pPr>
            <w:r w:rsidRPr="00FB2BC9">
              <w:rPr>
                <w:rFonts w:eastAsia="Calibri"/>
                <w:snapToGrid/>
                <w:kern w:val="0"/>
                <w:szCs w:val="22"/>
              </w:rPr>
              <w:t>NM, Albuquerque</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0FB2E280" w14:textId="77777777">
            <w:pPr>
              <w:widowControl/>
              <w:spacing w:before="40" w:after="40"/>
              <w:jc w:val="center"/>
              <w:rPr>
                <w:rFonts w:eastAsia="Calibri"/>
                <w:snapToGrid/>
                <w:kern w:val="0"/>
                <w:szCs w:val="22"/>
              </w:rPr>
            </w:pPr>
            <w:r w:rsidRPr="00FB2BC9">
              <w:rPr>
                <w:rFonts w:eastAsia="Calibri"/>
                <w:snapToGrid/>
                <w:kern w:val="0"/>
                <w:szCs w:val="22"/>
              </w:rPr>
              <w:t>35 05 02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5CA80C9C" w14:textId="77777777">
            <w:pPr>
              <w:widowControl/>
              <w:spacing w:before="40" w:after="40"/>
              <w:jc w:val="center"/>
              <w:rPr>
                <w:rFonts w:eastAsia="Calibri"/>
                <w:snapToGrid/>
                <w:kern w:val="0"/>
                <w:szCs w:val="22"/>
              </w:rPr>
            </w:pPr>
            <w:r w:rsidRPr="00FB2BC9">
              <w:rPr>
                <w:rFonts w:eastAsia="Calibri"/>
                <w:snapToGrid/>
                <w:kern w:val="0"/>
                <w:szCs w:val="22"/>
              </w:rPr>
              <w:t>106 37 16 W</w:t>
            </w:r>
          </w:p>
        </w:tc>
      </w:tr>
      <w:tr w14:paraId="7B681EF5" w14:textId="77777777" w:rsidTr="001D0B7D">
        <w:tblPrEx>
          <w:tblW w:w="0" w:type="auto"/>
          <w:jc w:val="center"/>
          <w:tblLook w:val="04A0"/>
        </w:tblPrEx>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20C94230" w14:textId="77777777">
            <w:pPr>
              <w:widowControl/>
              <w:spacing w:before="40" w:after="40"/>
              <w:rPr>
                <w:rFonts w:eastAsia="Calibri"/>
                <w:snapToGrid/>
                <w:kern w:val="0"/>
                <w:szCs w:val="22"/>
              </w:rPr>
            </w:pPr>
            <w:r w:rsidRPr="00FB2BC9">
              <w:rPr>
                <w:rFonts w:eastAsia="Calibri"/>
                <w:snapToGrid/>
                <w:kern w:val="0"/>
                <w:szCs w:val="22"/>
              </w:rPr>
              <w:t>NY, New York</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63FD00EE" w14:textId="77777777">
            <w:pPr>
              <w:widowControl/>
              <w:spacing w:before="40" w:after="40"/>
              <w:jc w:val="center"/>
              <w:rPr>
                <w:rFonts w:eastAsia="Calibri"/>
                <w:snapToGrid/>
                <w:kern w:val="0"/>
                <w:szCs w:val="22"/>
              </w:rPr>
            </w:pPr>
            <w:r w:rsidRPr="00FB2BC9">
              <w:rPr>
                <w:rFonts w:eastAsia="Calibri"/>
                <w:snapToGrid/>
                <w:kern w:val="0"/>
                <w:szCs w:val="22"/>
              </w:rPr>
              <w:t>40 49 12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7C198DF6" w14:textId="77777777">
            <w:pPr>
              <w:widowControl/>
              <w:spacing w:before="40" w:after="40"/>
              <w:jc w:val="center"/>
              <w:rPr>
                <w:rFonts w:eastAsia="Calibri"/>
                <w:snapToGrid/>
                <w:kern w:val="0"/>
                <w:szCs w:val="22"/>
              </w:rPr>
            </w:pPr>
            <w:r w:rsidRPr="00FB2BC9">
              <w:rPr>
                <w:rFonts w:eastAsia="Calibri"/>
                <w:snapToGrid/>
                <w:kern w:val="0"/>
                <w:szCs w:val="22"/>
              </w:rPr>
              <w:t>073 57 00 W</w:t>
            </w:r>
          </w:p>
        </w:tc>
      </w:tr>
      <w:tr w14:paraId="64946D51" w14:textId="77777777" w:rsidTr="001D0B7D">
        <w:tblPrEx>
          <w:tblW w:w="0" w:type="auto"/>
          <w:jc w:val="center"/>
          <w:tblLook w:val="04A0"/>
        </w:tblPrEx>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6478A24D" w14:textId="77777777">
            <w:pPr>
              <w:widowControl/>
              <w:spacing w:before="40" w:after="40"/>
              <w:rPr>
                <w:rFonts w:eastAsia="Calibri"/>
                <w:snapToGrid/>
                <w:kern w:val="0"/>
                <w:szCs w:val="22"/>
              </w:rPr>
            </w:pPr>
            <w:r w:rsidRPr="00FB2BC9">
              <w:rPr>
                <w:rFonts w:eastAsia="Calibri"/>
                <w:snapToGrid/>
                <w:kern w:val="0"/>
                <w:szCs w:val="22"/>
              </w:rPr>
              <w:t>OR, Corvallis</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02F74336" w14:textId="77777777">
            <w:pPr>
              <w:widowControl/>
              <w:spacing w:before="40" w:after="40"/>
              <w:jc w:val="center"/>
              <w:rPr>
                <w:rFonts w:eastAsia="Calibri"/>
                <w:snapToGrid/>
                <w:kern w:val="0"/>
                <w:szCs w:val="22"/>
              </w:rPr>
            </w:pPr>
            <w:r w:rsidRPr="00FB2BC9">
              <w:rPr>
                <w:rFonts w:eastAsia="Calibri"/>
                <w:snapToGrid/>
                <w:kern w:val="0"/>
                <w:szCs w:val="22"/>
              </w:rPr>
              <w:t>44 34 04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62DA1CEC" w14:textId="77777777">
            <w:pPr>
              <w:widowControl/>
              <w:spacing w:before="40" w:after="40"/>
              <w:jc w:val="center"/>
              <w:rPr>
                <w:rFonts w:eastAsia="Calibri"/>
                <w:snapToGrid/>
                <w:kern w:val="0"/>
                <w:szCs w:val="22"/>
              </w:rPr>
            </w:pPr>
            <w:r w:rsidRPr="00FB2BC9">
              <w:rPr>
                <w:rFonts w:eastAsia="Calibri"/>
                <w:snapToGrid/>
                <w:kern w:val="0"/>
                <w:szCs w:val="22"/>
              </w:rPr>
              <w:t>123 16 39 W</w:t>
            </w:r>
          </w:p>
        </w:tc>
      </w:tr>
      <w:tr w14:paraId="479B4AEE" w14:textId="77777777" w:rsidTr="001D0B7D">
        <w:tblPrEx>
          <w:tblW w:w="0" w:type="auto"/>
          <w:jc w:val="center"/>
          <w:tblLook w:val="04A0"/>
        </w:tblPrEx>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2D329644" w14:textId="77777777">
            <w:pPr>
              <w:widowControl/>
              <w:spacing w:before="40" w:after="40"/>
              <w:rPr>
                <w:rFonts w:eastAsia="Calibri"/>
                <w:snapToGrid/>
                <w:kern w:val="0"/>
                <w:szCs w:val="22"/>
              </w:rPr>
            </w:pPr>
            <w:r w:rsidRPr="00FB2BC9">
              <w:rPr>
                <w:rFonts w:eastAsia="Calibri"/>
                <w:snapToGrid/>
                <w:kern w:val="0"/>
                <w:szCs w:val="22"/>
              </w:rPr>
              <w:t>TX, Austin</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08BB8061" w14:textId="77777777">
            <w:pPr>
              <w:widowControl/>
              <w:spacing w:before="40" w:after="40"/>
              <w:jc w:val="center"/>
              <w:rPr>
                <w:rFonts w:eastAsia="Calibri"/>
                <w:snapToGrid/>
                <w:kern w:val="0"/>
                <w:szCs w:val="22"/>
              </w:rPr>
            </w:pPr>
            <w:r w:rsidRPr="00FB2BC9">
              <w:rPr>
                <w:rFonts w:eastAsia="Calibri"/>
                <w:snapToGrid/>
                <w:kern w:val="0"/>
                <w:szCs w:val="22"/>
              </w:rPr>
              <w:t>30 23 42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1C38BC44" w14:textId="77777777">
            <w:pPr>
              <w:widowControl/>
              <w:spacing w:before="40" w:after="40"/>
              <w:jc w:val="center"/>
              <w:rPr>
                <w:rFonts w:eastAsia="Calibri"/>
                <w:snapToGrid/>
                <w:kern w:val="0"/>
                <w:szCs w:val="22"/>
              </w:rPr>
            </w:pPr>
            <w:r w:rsidRPr="00FB2BC9">
              <w:rPr>
                <w:rFonts w:eastAsia="Calibri"/>
                <w:snapToGrid/>
                <w:kern w:val="0"/>
                <w:szCs w:val="22"/>
              </w:rPr>
              <w:t>097 44 06 W</w:t>
            </w:r>
          </w:p>
        </w:tc>
      </w:tr>
      <w:tr w14:paraId="31757CFC" w14:textId="77777777" w:rsidTr="001D0B7D">
        <w:tblPrEx>
          <w:tblW w:w="0" w:type="auto"/>
          <w:jc w:val="center"/>
          <w:tblLook w:val="04A0"/>
        </w:tblPrEx>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2B965837" w14:textId="77777777">
            <w:pPr>
              <w:widowControl/>
              <w:spacing w:before="40" w:after="40"/>
              <w:rPr>
                <w:rFonts w:eastAsia="Calibri"/>
                <w:snapToGrid/>
                <w:kern w:val="0"/>
                <w:szCs w:val="22"/>
              </w:rPr>
            </w:pPr>
            <w:r w:rsidRPr="00FB2BC9">
              <w:rPr>
                <w:rFonts w:eastAsia="Calibri"/>
                <w:snapToGrid/>
                <w:kern w:val="0"/>
                <w:szCs w:val="22"/>
              </w:rPr>
              <w:t>TX, Irving</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41C301F5" w14:textId="77777777">
            <w:pPr>
              <w:widowControl/>
              <w:spacing w:before="40" w:after="40"/>
              <w:jc w:val="center"/>
              <w:rPr>
                <w:rFonts w:eastAsia="Calibri"/>
                <w:snapToGrid/>
                <w:kern w:val="0"/>
                <w:szCs w:val="22"/>
              </w:rPr>
            </w:pPr>
            <w:r w:rsidRPr="00FB2BC9">
              <w:rPr>
                <w:rFonts w:eastAsia="Calibri"/>
                <w:snapToGrid/>
                <w:kern w:val="0"/>
                <w:szCs w:val="22"/>
              </w:rPr>
              <w:t>32 52 41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712EF4E2" w14:textId="77777777">
            <w:pPr>
              <w:widowControl/>
              <w:spacing w:before="40" w:after="40"/>
              <w:jc w:val="center"/>
              <w:rPr>
                <w:rFonts w:eastAsia="Calibri"/>
                <w:snapToGrid/>
                <w:kern w:val="0"/>
                <w:szCs w:val="22"/>
              </w:rPr>
            </w:pPr>
            <w:r w:rsidRPr="00FB2BC9">
              <w:rPr>
                <w:rFonts w:eastAsia="Calibri"/>
                <w:snapToGrid/>
                <w:kern w:val="0"/>
                <w:szCs w:val="22"/>
              </w:rPr>
              <w:t>096 59 53 W</w:t>
            </w:r>
          </w:p>
        </w:tc>
      </w:tr>
      <w:tr w14:paraId="32D56E2F" w14:textId="77777777" w:rsidTr="001D0B7D">
        <w:tblPrEx>
          <w:tblW w:w="0" w:type="auto"/>
          <w:jc w:val="center"/>
          <w:tblLook w:val="04A0"/>
        </w:tblPrEx>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0348A532" w14:textId="77777777">
            <w:pPr>
              <w:widowControl/>
              <w:spacing w:before="40" w:after="40"/>
              <w:rPr>
                <w:rFonts w:eastAsia="Calibri"/>
                <w:snapToGrid/>
                <w:kern w:val="0"/>
                <w:szCs w:val="22"/>
              </w:rPr>
            </w:pPr>
            <w:r w:rsidRPr="00FB2BC9">
              <w:rPr>
                <w:rFonts w:eastAsia="Calibri"/>
                <w:snapToGrid/>
                <w:kern w:val="0"/>
                <w:szCs w:val="22"/>
              </w:rPr>
              <w:t>UT, Salt Lake City</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14F613E2" w14:textId="77777777">
            <w:pPr>
              <w:widowControl/>
              <w:spacing w:before="40" w:after="40"/>
              <w:jc w:val="center"/>
              <w:rPr>
                <w:rFonts w:eastAsia="Calibri"/>
                <w:snapToGrid/>
                <w:kern w:val="0"/>
                <w:szCs w:val="22"/>
              </w:rPr>
            </w:pPr>
            <w:r w:rsidRPr="00FB2BC9">
              <w:rPr>
                <w:rFonts w:eastAsia="Calibri"/>
                <w:snapToGrid/>
                <w:kern w:val="0"/>
                <w:szCs w:val="22"/>
              </w:rPr>
              <w:t>40 46 00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3F6578BB" w14:textId="77777777">
            <w:pPr>
              <w:widowControl/>
              <w:spacing w:before="40" w:after="40"/>
              <w:jc w:val="center"/>
              <w:rPr>
                <w:rFonts w:eastAsia="Calibri"/>
                <w:snapToGrid/>
                <w:kern w:val="0"/>
                <w:szCs w:val="22"/>
              </w:rPr>
            </w:pPr>
            <w:r w:rsidRPr="00FB2BC9">
              <w:rPr>
                <w:rFonts w:eastAsia="Calibri"/>
                <w:snapToGrid/>
                <w:kern w:val="0"/>
                <w:szCs w:val="22"/>
              </w:rPr>
              <w:t>111 53 13 W</w:t>
            </w:r>
          </w:p>
        </w:tc>
      </w:tr>
      <w:tr w14:paraId="1F20121E" w14:textId="77777777" w:rsidTr="001D0B7D">
        <w:tblPrEx>
          <w:tblW w:w="0" w:type="auto"/>
          <w:jc w:val="center"/>
          <w:tblLook w:val="04A0"/>
        </w:tblPrEx>
        <w:trPr>
          <w:jc w:val="center"/>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40F0C928" w14:textId="77777777">
            <w:pPr>
              <w:widowControl/>
              <w:spacing w:before="40" w:after="40"/>
              <w:rPr>
                <w:rFonts w:eastAsia="Calibri"/>
                <w:snapToGrid/>
                <w:kern w:val="0"/>
                <w:szCs w:val="22"/>
              </w:rPr>
            </w:pPr>
            <w:r w:rsidRPr="00FB2BC9">
              <w:rPr>
                <w:rFonts w:eastAsia="Calibri"/>
                <w:snapToGrid/>
                <w:kern w:val="0"/>
                <w:szCs w:val="22"/>
              </w:rPr>
              <w:t>WI, Madison</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7061D354" w14:textId="77777777">
            <w:pPr>
              <w:widowControl/>
              <w:spacing w:before="40" w:after="40"/>
              <w:jc w:val="center"/>
              <w:rPr>
                <w:rFonts w:eastAsia="Calibri"/>
                <w:snapToGrid/>
                <w:kern w:val="0"/>
                <w:szCs w:val="22"/>
              </w:rPr>
            </w:pPr>
            <w:r w:rsidRPr="00FB2BC9">
              <w:rPr>
                <w:rFonts w:eastAsia="Calibri"/>
                <w:snapToGrid/>
                <w:kern w:val="0"/>
                <w:szCs w:val="22"/>
              </w:rPr>
              <w:t>43 04 15 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425A1" w:rsidRPr="00FB2BC9" w:rsidP="001D0B7D" w14:paraId="73F52883" w14:textId="77777777">
            <w:pPr>
              <w:widowControl/>
              <w:spacing w:before="40" w:after="40"/>
              <w:jc w:val="center"/>
              <w:rPr>
                <w:rFonts w:eastAsia="Calibri"/>
                <w:snapToGrid/>
                <w:kern w:val="0"/>
                <w:szCs w:val="22"/>
              </w:rPr>
            </w:pPr>
            <w:r w:rsidRPr="00FB2BC9">
              <w:rPr>
                <w:rFonts w:eastAsia="Calibri"/>
                <w:snapToGrid/>
                <w:kern w:val="0"/>
                <w:szCs w:val="22"/>
              </w:rPr>
              <w:t>089 24 24 W</w:t>
            </w:r>
          </w:p>
        </w:tc>
      </w:tr>
    </w:tbl>
    <w:p w:rsidR="00A425A1" w:rsidP="00A30BF7" w14:paraId="2C63CB5D" w14:textId="77777777">
      <w:pPr>
        <w:pStyle w:val="ParaNum"/>
        <w:numPr>
          <w:ilvl w:val="0"/>
          <w:numId w:val="0"/>
        </w:numPr>
        <w:rPr>
          <w:szCs w:val="22"/>
        </w:rPr>
      </w:pPr>
    </w:p>
    <w:p w:rsidR="00A425A1" w:rsidRPr="003B645F" w:rsidP="00A30BF7" w14:paraId="0B7D66AF" w14:textId="77777777">
      <w:pPr>
        <w:pStyle w:val="ParaNum"/>
        <w:numPr>
          <w:ilvl w:val="0"/>
          <w:numId w:val="0"/>
        </w:numPr>
        <w:ind w:left="720"/>
        <w:rPr>
          <w:szCs w:val="22"/>
        </w:rPr>
      </w:pPr>
      <w:r w:rsidRPr="00A425A1">
        <w:rPr>
          <w:szCs w:val="22"/>
        </w:rPr>
        <w:t>The point of contact for coordination is Bryan Rhodes NASA, Frequency Assignment Program Manager bryan.a.rhodes@nasa.gov</w:t>
      </w:r>
      <w:r w:rsidR="00EE72A7">
        <w:rPr>
          <w:szCs w:val="22"/>
        </w:rPr>
        <w:t>.</w:t>
      </w:r>
    </w:p>
    <w:p w:rsidR="00996512" w:rsidRPr="003B645F" w:rsidP="005B59CB" w14:paraId="64D90E61" w14:textId="77777777">
      <w:pPr>
        <w:pStyle w:val="ParaNum"/>
        <w:numPr>
          <w:ilvl w:val="0"/>
          <w:numId w:val="7"/>
        </w:numPr>
        <w:rPr>
          <w:szCs w:val="22"/>
        </w:rPr>
      </w:pPr>
      <w:r w:rsidRPr="00A425A1">
        <w:rPr>
          <w:szCs w:val="22"/>
        </w:rPr>
        <w:t>This waiver and its conditions shall apply only to the UWB devices described herein and are not to be considered to apply generally to any other UWB operations where further analysis would be necessary to assess the potential for impact to other authorized users</w:t>
      </w:r>
      <w:r w:rsidR="00EE72A7">
        <w:rPr>
          <w:szCs w:val="22"/>
        </w:rPr>
        <w:t>.</w:t>
      </w:r>
    </w:p>
    <w:p w:rsidR="00A425A1" w:rsidRPr="00EE72A7" w:rsidP="00EE72A7" w14:paraId="76099207" w14:textId="77777777">
      <w:pPr>
        <w:pStyle w:val="ParaNum"/>
        <w:numPr>
          <w:ilvl w:val="0"/>
          <w:numId w:val="7"/>
        </w:numPr>
        <w:rPr>
          <w:szCs w:val="22"/>
        </w:rPr>
      </w:pPr>
      <w:r w:rsidRPr="00A425A1">
        <w:rPr>
          <w:szCs w:val="22"/>
        </w:rPr>
        <w:t>A copy of this Order shall be provided with the application for certification of the device.</w:t>
      </w:r>
      <w:bookmarkEnd w:id="11"/>
    </w:p>
    <w:p w:rsidR="00C16280" w:rsidRPr="0034623C" w:rsidP="00C16280" w14:paraId="6833FADF" w14:textId="77777777">
      <w:pPr>
        <w:pStyle w:val="Heading1"/>
        <w:spacing w:after="220"/>
        <w:jc w:val="both"/>
        <w:rPr>
          <w:bCs/>
        </w:rPr>
      </w:pPr>
      <w:r w:rsidRPr="0034623C">
        <w:t>O</w:t>
      </w:r>
      <w:r w:rsidRPr="0034623C">
        <w:rPr>
          <w:bCs/>
        </w:rPr>
        <w:t xml:space="preserve">RDERING </w:t>
      </w:r>
      <w:r w:rsidRPr="0034623C">
        <w:t>CLAUSES</w:t>
      </w:r>
    </w:p>
    <w:p w:rsidR="00EE72A7" w:rsidRPr="00EE72A7" w:rsidP="00EE72A7" w14:paraId="2D2C1F3F" w14:textId="77777777">
      <w:pPr>
        <w:pStyle w:val="ParaNum"/>
        <w:rPr>
          <w:szCs w:val="22"/>
        </w:rPr>
      </w:pPr>
      <w:r w:rsidRPr="0034623C">
        <w:t xml:space="preserve">Accordingly, pursuant to authority delegated in Sections 0.31 and 0.241 of the Commission's rules, 47 CFR §§ 0.31, 0.241, and Section 1.3 of the Commission's rules, 47 CFR § 1.3, IT IS ORDERED that the Request for Waiver filed by </w:t>
      </w:r>
      <w:r w:rsidRPr="0034623C" w:rsidR="00A2256A">
        <w:t>Liberty Defense Holdings, Ltd</w:t>
      </w:r>
      <w:r w:rsidRPr="0034623C">
        <w:t xml:space="preserve">. on </w:t>
      </w:r>
      <w:r w:rsidRPr="0034623C" w:rsidR="00A2256A">
        <w:t>May 8</w:t>
      </w:r>
      <w:r w:rsidRPr="0034623C">
        <w:t>, 201</w:t>
      </w:r>
      <w:r w:rsidRPr="0034623C" w:rsidR="00A2256A">
        <w:t>9</w:t>
      </w:r>
      <w:r w:rsidRPr="0034623C">
        <w:t xml:space="preserve"> IS GRANTED consistent with the terms of this Order.  This action is taken pursuant to Sections 4(i), 302, 303(e), and 303(r) of the Communications Act of 1934, as amended, 47 U.S.C. Sections 154(i), 302, 303(e), and 303(r).  This action is effective upon release of this Order.</w:t>
      </w:r>
    </w:p>
    <w:p w:rsidR="00C16280" w:rsidRPr="0034623C" w:rsidP="00C16280" w14:paraId="10B76C63" w14:textId="77777777">
      <w:pPr>
        <w:pStyle w:val="ParaNum"/>
      </w:pPr>
      <w:r w:rsidRPr="0034623C">
        <w:t>IT IS FURTHER ORDERED that, if no applications for review are timely filed, this proceeding SHALL BE TERMINATED and the docket CLOSED.</w:t>
      </w:r>
    </w:p>
    <w:p w:rsidR="00C16280" w:rsidRPr="0034623C" w:rsidP="00C16280" w14:paraId="67C5C3CA" w14:textId="77777777">
      <w:pPr>
        <w:pStyle w:val="StyleParaNumLeft"/>
        <w:tabs>
          <w:tab w:val="left" w:pos="720"/>
          <w:tab w:val="clear" w:pos="1080"/>
          <w:tab w:val="clear" w:pos="1440"/>
          <w:tab w:val="clear" w:pos="1800"/>
        </w:tabs>
        <w:ind w:left="360"/>
        <w:rPr>
          <w:szCs w:val="22"/>
        </w:rPr>
      </w:pPr>
    </w:p>
    <w:p w:rsidR="00C16280" w:rsidRPr="0034623C" w:rsidP="00C16280" w14:paraId="28F51492" w14:textId="77777777">
      <w:pPr>
        <w:pStyle w:val="Style3"/>
        <w:ind w:firstLine="0"/>
      </w:pPr>
      <w:r w:rsidRPr="0034623C">
        <w:tab/>
      </w:r>
      <w:r w:rsidRPr="0034623C">
        <w:tab/>
      </w:r>
      <w:r w:rsidRPr="0034623C">
        <w:tab/>
      </w:r>
      <w:r w:rsidRPr="0034623C">
        <w:tab/>
      </w:r>
      <w:r w:rsidRPr="0034623C">
        <w:tab/>
        <w:t>FEDERAL COMMUNICATIONS COMMISSION</w:t>
      </w:r>
    </w:p>
    <w:p w:rsidR="00C16280" w:rsidRPr="0034623C" w:rsidP="00C16280" w14:paraId="5D22E600" w14:textId="77777777">
      <w:pPr>
        <w:pStyle w:val="Style3"/>
        <w:ind w:firstLine="0"/>
      </w:pPr>
    </w:p>
    <w:p w:rsidR="00C16280" w:rsidRPr="0034623C" w:rsidP="00C16280" w14:paraId="1EDE7A59" w14:textId="77777777">
      <w:pPr>
        <w:pStyle w:val="Style3"/>
        <w:ind w:firstLine="0"/>
      </w:pPr>
    </w:p>
    <w:p w:rsidR="00C16280" w:rsidRPr="0034623C" w:rsidP="00C16280" w14:paraId="580874D5" w14:textId="77777777">
      <w:r w:rsidRPr="0034623C">
        <w:tab/>
      </w:r>
      <w:r w:rsidRPr="0034623C">
        <w:tab/>
      </w:r>
      <w:r w:rsidRPr="0034623C">
        <w:tab/>
      </w:r>
      <w:r w:rsidRPr="0034623C">
        <w:tab/>
      </w:r>
      <w:r w:rsidRPr="0034623C">
        <w:tab/>
      </w:r>
      <w:r w:rsidRPr="0034623C" w:rsidR="00A63A38">
        <w:t>Ron</w:t>
      </w:r>
      <w:r w:rsidR="00B74512">
        <w:t>ald T.</w:t>
      </w:r>
      <w:r w:rsidRPr="0034623C" w:rsidR="00A63A38">
        <w:t xml:space="preserve"> R</w:t>
      </w:r>
      <w:r w:rsidR="007A5C8D">
        <w:t>e</w:t>
      </w:r>
      <w:r w:rsidRPr="0034623C" w:rsidR="00A63A38">
        <w:t>pasi</w:t>
      </w:r>
      <w:r w:rsidRPr="0034623C">
        <w:t xml:space="preserve"> </w:t>
      </w:r>
    </w:p>
    <w:p w:rsidR="008C08EE" w:rsidP="00C16280" w14:paraId="5776FAAD" w14:textId="77777777">
      <w:pPr>
        <w:ind w:left="2880" w:firstLine="720"/>
      </w:pPr>
      <w:r>
        <w:t>Acting Chief</w:t>
      </w:r>
    </w:p>
    <w:p w:rsidR="00C16280" w:rsidRPr="00AD567E" w:rsidP="00C16280" w14:paraId="0A7B9CE3" w14:textId="77777777">
      <w:pPr>
        <w:ind w:left="2880" w:firstLine="720"/>
      </w:pPr>
      <w:r w:rsidRPr="0034623C">
        <w:t>Office of Engineering and Technology</w:t>
      </w:r>
    </w:p>
    <w:p w:rsidR="00412FC5" w:rsidP="00C16280" w14:paraId="433E625E" w14:textId="77777777"/>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EA1" w:rsidP="0055614C" w14:paraId="01182019" w14:textId="77777777">
    <w:pPr>
      <w:pStyle w:val="Footer"/>
      <w:framePr w:wrap="around" w:vAnchor="text" w:hAnchor="margin" w:xAlign="center" w:y="1"/>
    </w:pPr>
    <w:r>
      <w:fldChar w:fldCharType="begin"/>
    </w:r>
    <w:r>
      <w:instrText xml:space="preserve">PAGE  </w:instrText>
    </w:r>
    <w:r>
      <w:fldChar w:fldCharType="separate"/>
    </w:r>
    <w:r>
      <w:fldChar w:fldCharType="end"/>
    </w:r>
  </w:p>
  <w:p w:rsidR="00331EA1" w14:paraId="15941F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EA1" w14:paraId="53CAE2D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331EA1" w14:paraId="296D6F8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EA1" w14:paraId="4C7F19A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403D" w14:paraId="4B5088F0" w14:textId="77777777">
      <w:r>
        <w:separator/>
      </w:r>
    </w:p>
  </w:footnote>
  <w:footnote w:type="continuationSeparator" w:id="1">
    <w:p w:rsidR="007C403D" w:rsidP="00C721AC" w14:paraId="4AD9E30C" w14:textId="77777777">
      <w:pPr>
        <w:spacing w:before="120"/>
        <w:rPr>
          <w:sz w:val="20"/>
        </w:rPr>
      </w:pPr>
      <w:r>
        <w:rPr>
          <w:sz w:val="20"/>
        </w:rPr>
        <w:t xml:space="preserve">(Continued from previous page)  </w:t>
      </w:r>
      <w:r>
        <w:rPr>
          <w:sz w:val="20"/>
        </w:rPr>
        <w:separator/>
      </w:r>
    </w:p>
  </w:footnote>
  <w:footnote w:type="continuationNotice" w:id="2">
    <w:p w:rsidR="007C403D" w:rsidP="00C721AC" w14:paraId="1DF0D9F5" w14:textId="77777777">
      <w:pPr>
        <w:jc w:val="right"/>
        <w:rPr>
          <w:sz w:val="20"/>
        </w:rPr>
      </w:pPr>
      <w:r>
        <w:rPr>
          <w:sz w:val="20"/>
        </w:rPr>
        <w:t>(continued….)</w:t>
      </w:r>
    </w:p>
  </w:footnote>
  <w:footnote w:id="3">
    <w:p w:rsidR="00331EA1" w14:paraId="2FBCA2A3" w14:textId="77777777">
      <w:pPr>
        <w:pStyle w:val="FootnoteText"/>
      </w:pPr>
      <w:r>
        <w:rPr>
          <w:rStyle w:val="FootnoteReference"/>
        </w:rPr>
        <w:footnoteRef/>
      </w:r>
      <w:r>
        <w:t xml:space="preserve"> Liberty Defense Holdings, Ltd. Request for Waiver, </w:t>
      </w:r>
      <w:r w:rsidR="00E45349">
        <w:t>ET Docket No. 19-217 (</w:t>
      </w:r>
      <w:r>
        <w:t>filed May 8, 2019</w:t>
      </w:r>
      <w:r w:rsidR="00E45349">
        <w:t>)</w:t>
      </w:r>
      <w:r>
        <w:t xml:space="preserve"> (Liberty Waiver Request).</w:t>
      </w:r>
    </w:p>
  </w:footnote>
  <w:footnote w:id="4">
    <w:p w:rsidR="00331EA1" w14:paraId="72B80780" w14:textId="77777777">
      <w:pPr>
        <w:pStyle w:val="FootnoteText"/>
      </w:pPr>
      <w:r>
        <w:rPr>
          <w:rStyle w:val="FootnoteReference"/>
        </w:rPr>
        <w:footnoteRef/>
      </w:r>
      <w:r>
        <w:t xml:space="preserve"> </w:t>
      </w:r>
      <w:r>
        <w:rPr>
          <w:i/>
          <w:iCs/>
        </w:rPr>
        <w:t>Id.</w:t>
      </w:r>
      <w:r>
        <w:t xml:space="preserve"> at 5</w:t>
      </w:r>
      <w:r>
        <w:rPr>
          <w:i/>
          <w:iCs/>
        </w:rPr>
        <w:t>.</w:t>
      </w:r>
    </w:p>
  </w:footnote>
  <w:footnote w:id="5">
    <w:p w:rsidR="00331EA1" w:rsidP="003B57D7" w14:paraId="1904B3DC" w14:textId="77777777">
      <w:pPr>
        <w:pStyle w:val="FootnoteText"/>
      </w:pPr>
      <w:r>
        <w:rPr>
          <w:rStyle w:val="FootnoteReference"/>
        </w:rPr>
        <w:footnoteRef/>
      </w:r>
      <w:r>
        <w:t xml:space="preserve"> </w:t>
      </w:r>
      <w:r w:rsidRPr="004D6536">
        <w:rPr>
          <w:color w:val="000000"/>
        </w:rPr>
        <w:t xml:space="preserve">47 </w:t>
      </w:r>
      <w:r w:rsidR="0003208D">
        <w:rPr>
          <w:color w:val="000000"/>
        </w:rPr>
        <w:t>CFR</w:t>
      </w:r>
      <w:r w:rsidRPr="004D6536">
        <w:rPr>
          <w:color w:val="000000"/>
        </w:rPr>
        <w:t xml:space="preserve"> </w:t>
      </w:r>
      <w:r w:rsidRPr="004D6536">
        <w:rPr>
          <w:color w:val="000000"/>
          <w:spacing w:val="-2"/>
        </w:rPr>
        <w:t>§§ 15.</w:t>
      </w:r>
      <w:r>
        <w:rPr>
          <w:color w:val="000000"/>
          <w:spacing w:val="-2"/>
        </w:rPr>
        <w:t>501</w:t>
      </w:r>
      <w:r>
        <w:rPr>
          <w:color w:val="000000"/>
          <w:spacing w:val="-2"/>
        </w:rPr>
        <w:noBreakHyphen/>
        <w:t>15.525.</w:t>
      </w:r>
    </w:p>
  </w:footnote>
  <w:footnote w:id="6">
    <w:p w:rsidR="00331EA1" w:rsidRPr="004D6536" w:rsidP="003B57D7" w14:paraId="6474CA39" w14:textId="77777777">
      <w:pPr>
        <w:pStyle w:val="FootnoteText"/>
        <w:rPr>
          <w:color w:val="000000"/>
        </w:rPr>
      </w:pPr>
      <w:r w:rsidRPr="004D6536">
        <w:rPr>
          <w:rStyle w:val="FootnoteReference"/>
          <w:color w:val="000000"/>
        </w:rPr>
        <w:footnoteRef/>
      </w:r>
      <w:r w:rsidRPr="004D6536">
        <w:rPr>
          <w:color w:val="000000"/>
        </w:rPr>
        <w:t xml:space="preserve"> </w:t>
      </w:r>
      <w:r w:rsidRPr="00E72EE2">
        <w:rPr>
          <w:i/>
          <w:iCs/>
          <w:color w:val="000000"/>
        </w:rPr>
        <w:t xml:space="preserve">See </w:t>
      </w:r>
      <w:r w:rsidRPr="00E72EE2">
        <w:rPr>
          <w:i/>
          <w:color w:val="000000"/>
        </w:rPr>
        <w:t>Revision of Part 15 of the Commission’s</w:t>
      </w:r>
      <w:r w:rsidRPr="00CA15EB">
        <w:rPr>
          <w:i/>
          <w:color w:val="000000"/>
        </w:rPr>
        <w:t xml:space="preserve"> Rules Regarding Ultra-Wideband Transmission Systems</w:t>
      </w:r>
      <w:r w:rsidRPr="004D6536">
        <w:rPr>
          <w:color w:val="000000"/>
        </w:rPr>
        <w:t xml:space="preserve">, ET Docket No. </w:t>
      </w:r>
      <w:r w:rsidRPr="0034623C">
        <w:rPr>
          <w:color w:val="000000"/>
        </w:rPr>
        <w:t xml:space="preserve">98-153, </w:t>
      </w:r>
      <w:r w:rsidR="00272940">
        <w:rPr>
          <w:color w:val="000000"/>
        </w:rPr>
        <w:t xml:space="preserve">Order, </w:t>
      </w:r>
      <w:r w:rsidRPr="0034623C">
        <w:rPr>
          <w:color w:val="000000"/>
        </w:rPr>
        <w:t>17 FCC Rcd 13522 (2002).</w:t>
      </w:r>
    </w:p>
  </w:footnote>
  <w:footnote w:id="7">
    <w:p w:rsidR="00331EA1" w:rsidP="003B57D7" w14:paraId="6F7EDB99" w14:textId="77777777">
      <w:pPr>
        <w:pStyle w:val="FootnoteText"/>
      </w:pPr>
      <w:r>
        <w:rPr>
          <w:rStyle w:val="FootnoteReference"/>
        </w:rPr>
        <w:footnoteRef/>
      </w:r>
      <w:r>
        <w:t xml:space="preserve"> </w:t>
      </w:r>
      <w:r>
        <w:t>47 CFR §§ 15.503(d), 15.31(c), and 15.521(d), respectively.</w:t>
      </w:r>
    </w:p>
  </w:footnote>
  <w:footnote w:id="8">
    <w:p w:rsidR="00331EA1" w:rsidP="003B57D7" w14:paraId="70BB7630" w14:textId="77777777">
      <w:pPr>
        <w:pStyle w:val="FootnoteText"/>
      </w:pPr>
      <w:r>
        <w:rPr>
          <w:rStyle w:val="FootnoteReference"/>
        </w:rPr>
        <w:footnoteRef/>
      </w:r>
      <w:r>
        <w:t xml:space="preserve"> </w:t>
      </w:r>
      <w:r w:rsidRPr="0034623C">
        <w:rPr>
          <w:i/>
          <w:iCs/>
        </w:rPr>
        <w:t>See</w:t>
      </w:r>
      <w:r>
        <w:t xml:space="preserve"> Letter from Aman Bhardwaj, President, Liberty Defense Holdings to Marlene H. Dortch, Secretary, Federal Communications Commission, </w:t>
      </w:r>
      <w:r w:rsidR="00E45349">
        <w:t xml:space="preserve">ET Docket No. </w:t>
      </w:r>
      <w:r w:rsidR="003B3FFF">
        <w:t>19-217</w:t>
      </w:r>
      <w:r w:rsidR="00E45349">
        <w:t xml:space="preserve"> (filed </w:t>
      </w:r>
      <w:r>
        <w:t>Oct. 2, 2019</w:t>
      </w:r>
      <w:r w:rsidR="00E45349">
        <w:t>)</w:t>
      </w:r>
      <w:r w:rsidR="0031034D">
        <w:t xml:space="preserve"> </w:t>
      </w:r>
      <w:r>
        <w:t xml:space="preserve"> (</w:t>
      </w:r>
      <w:bookmarkStart w:id="6" w:name="_Hlk49411088"/>
      <w:r>
        <w:t xml:space="preserve">defining “private security personnel” </w:t>
      </w:r>
      <w:bookmarkStart w:id="7" w:name="_Hlk46498775"/>
      <w:r w:rsidRPr="00940E3E">
        <w:t>to mean individuals and organizations (other than public law enforcement personnel and agencies) that primarily are engaged in the detection of crime and threats to people and property at sites at which people aggregate, including providers of (i) proprietary or contractual guard and screening services, (ii) electronic security systems integration and management services, and (iii) security consulting services</w:t>
      </w:r>
      <w:bookmarkEnd w:id="7"/>
      <w:r w:rsidRPr="00940E3E">
        <w:t>).</w:t>
      </w:r>
      <w:r>
        <w:t xml:space="preserve"> </w:t>
      </w:r>
      <w:bookmarkEnd w:id="6"/>
    </w:p>
  </w:footnote>
  <w:footnote w:id="9">
    <w:p w:rsidR="00331EA1" w:rsidRPr="008A1E09" w:rsidP="003B57D7" w14:paraId="62B20825" w14:textId="77777777">
      <w:pPr>
        <w:pStyle w:val="FootnoteText"/>
        <w:rPr>
          <w:color w:val="000000"/>
        </w:rPr>
      </w:pPr>
      <w:r>
        <w:rPr>
          <w:rStyle w:val="FootnoteReference"/>
        </w:rPr>
        <w:footnoteRef/>
      </w:r>
      <w:r>
        <w:rPr>
          <w:color w:val="000000"/>
        </w:rPr>
        <w:t xml:space="preserve"> </w:t>
      </w:r>
      <w:r w:rsidRPr="004D6536">
        <w:rPr>
          <w:color w:val="000000"/>
        </w:rPr>
        <w:t xml:space="preserve">47 </w:t>
      </w:r>
      <w:r w:rsidR="0003208D">
        <w:rPr>
          <w:color w:val="000000"/>
        </w:rPr>
        <w:t>CFR</w:t>
      </w:r>
      <w:r w:rsidRPr="004D6536">
        <w:rPr>
          <w:color w:val="000000"/>
        </w:rPr>
        <w:t xml:space="preserve"> § 15.5</w:t>
      </w:r>
      <w:r>
        <w:rPr>
          <w:color w:val="000000"/>
        </w:rPr>
        <w:t xml:space="preserve">11(b) </w:t>
      </w:r>
      <w:r w:rsidR="00451B3E">
        <w:rPr>
          <w:color w:val="000000"/>
        </w:rPr>
        <w:t>introductory text,</w:t>
      </w:r>
      <w:r>
        <w:rPr>
          <w:color w:val="000000"/>
        </w:rPr>
        <w:t xml:space="preserve"> (b)(</w:t>
      </w:r>
      <w:r w:rsidR="008A1E09">
        <w:rPr>
          <w:color w:val="000000"/>
        </w:rPr>
        <w:t>2</w:t>
      </w:r>
      <w:r>
        <w:rPr>
          <w:color w:val="000000"/>
        </w:rPr>
        <w:t>), and (f)</w:t>
      </w:r>
      <w:r w:rsidRPr="004D6536">
        <w:rPr>
          <w:color w:val="000000"/>
        </w:rPr>
        <w:t>.</w:t>
      </w:r>
      <w:r w:rsidR="008A1E09">
        <w:t xml:space="preserve">  </w:t>
      </w:r>
      <w:r w:rsidR="008A1E09">
        <w:rPr>
          <w:color w:val="000000"/>
        </w:rPr>
        <w:t>The specific Federal Government coordination procedures, detailed in Section 15.525, require users to disclose operational areas and other information to the Commission’s Office of Engineering and Technology, which coordinates with the Federal government through the National Telecommunications and Information Administration (NTIA).</w:t>
      </w:r>
    </w:p>
  </w:footnote>
  <w:footnote w:id="10">
    <w:p w:rsidR="00331EA1" w:rsidRPr="00455C44" w14:paraId="62EF6541" w14:textId="77777777">
      <w:pPr>
        <w:pStyle w:val="FootnoteText"/>
      </w:pPr>
      <w:r>
        <w:rPr>
          <w:rStyle w:val="FootnoteReference"/>
        </w:rPr>
        <w:footnoteRef/>
      </w:r>
      <w:r>
        <w:t xml:space="preserve"> </w:t>
      </w:r>
      <w:r>
        <w:rPr>
          <w:i/>
          <w:iCs/>
          <w:snapToGrid w:val="0"/>
        </w:rPr>
        <w:t>Office of Engineering and Technology Seeks Comment on Liberty Defense Holdings, LTD. Request for Waiver of Certain Part 15 Ultra-Wideband (UWB) Rule</w:t>
      </w:r>
      <w:r w:rsidRPr="00455C44">
        <w:rPr>
          <w:snapToGrid w:val="0"/>
        </w:rPr>
        <w:t>s, Public Notice</w:t>
      </w:r>
      <w:r>
        <w:rPr>
          <w:snapToGrid w:val="0"/>
        </w:rPr>
        <w:t xml:space="preserve">, DA 19-706 (OET 2019); </w:t>
      </w:r>
      <w:r>
        <w:rPr>
          <w:i/>
          <w:iCs/>
          <w:snapToGrid w:val="0"/>
        </w:rPr>
        <w:t xml:space="preserve">Office of Engineering and Technology Extends Comment Cycle Deadlines on Liberty Defense Holdings, LTD. Request for Waiver of Certain Part 15 Ultra-Wideband (UWB) Rules, </w:t>
      </w:r>
      <w:r>
        <w:rPr>
          <w:snapToGrid w:val="0"/>
        </w:rPr>
        <w:t>Public Notice, DA 19-217 (OET 2019).</w:t>
      </w:r>
    </w:p>
  </w:footnote>
  <w:footnote w:id="11">
    <w:p w:rsidR="00331EA1" w14:paraId="150C6B72" w14:textId="77777777">
      <w:pPr>
        <w:pStyle w:val="FootnoteText"/>
      </w:pPr>
      <w:r>
        <w:rPr>
          <w:rStyle w:val="FootnoteReference"/>
        </w:rPr>
        <w:footnoteRef/>
      </w:r>
      <w:r>
        <w:t xml:space="preserve"> </w:t>
      </w:r>
      <w:r>
        <w:t>Letter from Mary L. Brown, Cisco, and Chuck Lukaszewski, Hewlett Packard, to Marlene H. Dortch, Secretary, Federal Communications Commission, in various dockets including ET Docket No. 19-217,</w:t>
      </w:r>
      <w:r w:rsidR="001A7AC2">
        <w:t xml:space="preserve"> </w:t>
      </w:r>
      <w:r w:rsidR="00E45349">
        <w:t xml:space="preserve">(filed </w:t>
      </w:r>
      <w:r>
        <w:t>Nov. 13, 2019</w:t>
      </w:r>
      <w:r w:rsidR="00E45349">
        <w:t>)</w:t>
      </w:r>
      <w:r w:rsidR="006E08FB">
        <w:t xml:space="preserve"> (Cisco/HPE UWB Letter).</w:t>
      </w:r>
    </w:p>
  </w:footnote>
  <w:footnote w:id="12">
    <w:p w:rsidR="00331EA1" w:rsidP="002C3C69" w14:paraId="1882BF6C" w14:textId="77777777">
      <w:pPr>
        <w:pStyle w:val="FootnoteText"/>
      </w:pPr>
      <w:r>
        <w:rPr>
          <w:rStyle w:val="FootnoteReference"/>
        </w:rPr>
        <w:footnoteRef/>
      </w:r>
      <w:r>
        <w:t xml:space="preserve"> </w:t>
      </w:r>
      <w:hyperlink r:id="rId1" w:tgtFrame="_top" w:history="1">
        <w:r>
          <w:t>47 CFR § 1.3</w:t>
        </w:r>
      </w:hyperlink>
      <w:r>
        <w:t xml:space="preserve">. </w:t>
      </w:r>
      <w:r>
        <w:rPr>
          <w:i/>
          <w:iCs/>
        </w:rPr>
        <w:t>See also</w:t>
      </w:r>
      <w:r>
        <w:rPr>
          <w:iCs/>
        </w:rPr>
        <w:t xml:space="preserve"> </w:t>
      </w:r>
      <w:hyperlink r:id="rId2" w:tgtFrame="_top" w:history="1">
        <w:r>
          <w:rPr>
            <w:i/>
            <w:iCs/>
          </w:rPr>
          <w:t>ICO Global Communications (Holdings) Limited v. FCC</w:t>
        </w:r>
        <w:r>
          <w:t>, 428 F.3d 264 (D.C. Cir. 2005)</w:t>
        </w:r>
      </w:hyperlink>
      <w:r>
        <w:t xml:space="preserve">; </w:t>
      </w:r>
      <w:hyperlink r:id="rId3" w:tgtFrame="_top" w:history="1">
        <w:r>
          <w:rPr>
            <w:i/>
            <w:iCs/>
          </w:rPr>
          <w:t>Northeast Cellular Telephone Co. v. FCC</w:t>
        </w:r>
        <w:r>
          <w:t>, 897 F.2d 1164 (D.C. Cir. 1990)</w:t>
        </w:r>
      </w:hyperlink>
      <w:r>
        <w:t xml:space="preserve">; </w:t>
      </w:r>
      <w:hyperlink r:id="rId4" w:tgtFrame="_top" w:history="1">
        <w:r>
          <w:rPr>
            <w:i/>
            <w:iCs/>
          </w:rPr>
          <w:t>WAIT Radio v. FCC</w:t>
        </w:r>
        <w:r>
          <w:t>, 418 F.2d 1153 (D.C. Cir. 1969)</w:t>
        </w:r>
      </w:hyperlink>
      <w:r>
        <w:t>.</w:t>
      </w:r>
    </w:p>
  </w:footnote>
  <w:footnote w:id="13">
    <w:p w:rsidR="00331EA1" w:rsidP="002C3C69" w14:paraId="6AF63EE4" w14:textId="77777777">
      <w:pPr>
        <w:pStyle w:val="FootnoteText"/>
      </w:pPr>
      <w:r>
        <w:rPr>
          <w:rStyle w:val="FootnoteReference"/>
        </w:rPr>
        <w:footnoteRef/>
      </w:r>
      <w:r>
        <w:t xml:space="preserve"> </w:t>
      </w:r>
      <w:r>
        <w:rPr>
          <w:i/>
        </w:rPr>
        <w:t>Northeast Cellular</w:t>
      </w:r>
      <w:r>
        <w:t xml:space="preserve">, 897 F.2d at 1166; </w:t>
      </w:r>
      <w:r>
        <w:rPr>
          <w:i/>
        </w:rPr>
        <w:t>see also</w:t>
      </w:r>
      <w:r>
        <w:t xml:space="preserve"> </w:t>
      </w:r>
      <w:hyperlink r:id="rId5" w:tgtFrame="_top" w:history="1">
        <w:r>
          <w:rPr>
            <w:i/>
          </w:rPr>
          <w:t>ICO Global Communications</w:t>
        </w:r>
        <w:r>
          <w:t>, 428 F.</w:t>
        </w:r>
        <w:r>
          <w:t>3</w:t>
        </w:r>
        <w:r>
          <w:t>d at 269</w:t>
        </w:r>
      </w:hyperlink>
      <w:r>
        <w:t xml:space="preserve"> (quoting </w:t>
      </w:r>
      <w:r>
        <w:rPr>
          <w:i/>
        </w:rPr>
        <w:t>Northeast Cellular</w:t>
      </w:r>
      <w:r>
        <w:t xml:space="preserve">); </w:t>
      </w:r>
      <w:hyperlink r:id="rId6" w:tgtFrame="_top" w:history="1">
        <w:r>
          <w:rPr>
            <w:i/>
          </w:rPr>
          <w:t>WAIT Radio</w:t>
        </w:r>
        <w:r>
          <w:t>, 418 F.2d at 1157-59</w:t>
        </w:r>
      </w:hyperlink>
      <w:r>
        <w:t>.</w:t>
      </w:r>
    </w:p>
  </w:footnote>
  <w:footnote w:id="14">
    <w:p w:rsidR="00331EA1" w:rsidP="002C3C69" w14:paraId="03D79490" w14:textId="77777777">
      <w:pPr>
        <w:pStyle w:val="FootnoteText"/>
      </w:pPr>
      <w:r>
        <w:rPr>
          <w:rStyle w:val="FootnoteReference"/>
        </w:rPr>
        <w:footnoteRef/>
      </w:r>
      <w:r>
        <w:t xml:space="preserve"> </w:t>
      </w:r>
      <w:r w:rsidRPr="00865BAF">
        <w:rPr>
          <w:i/>
        </w:rPr>
        <w:t>See, e.g.</w:t>
      </w:r>
      <w:r w:rsidRPr="00865BAF">
        <w:t xml:space="preserve">, </w:t>
      </w:r>
      <w:hyperlink r:id="rId6" w:tgtFrame="_top" w:history="1">
        <w:r w:rsidRPr="00865BAF">
          <w:rPr>
            <w:i/>
          </w:rPr>
          <w:t>WAIT Radio</w:t>
        </w:r>
        <w:r w:rsidRPr="00865BAF">
          <w:t>, 418 F.2d at 1157</w:t>
        </w:r>
      </w:hyperlink>
      <w:r w:rsidRPr="00865BAF">
        <w:t xml:space="preserve"> (stating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w:t>
      </w:r>
      <w:r w:rsidRPr="00865BAF">
        <w:rPr>
          <w:i/>
        </w:rPr>
        <w:t>Northeast Cellular</w:t>
      </w:r>
      <w:r w:rsidRPr="00865BAF">
        <w:t>, 897 F.2d at 1166 (stating that in granting a waiver, an agency must explain why deviation from the general rule better serves the public interest than would strict adherence to the rule).</w:t>
      </w:r>
    </w:p>
  </w:footnote>
  <w:footnote w:id="15">
    <w:p w:rsidR="00331EA1" w:rsidP="00E440D5" w14:paraId="006B02CD" w14:textId="77777777">
      <w:pPr>
        <w:pStyle w:val="FootnoteText"/>
      </w:pPr>
      <w:r>
        <w:rPr>
          <w:rStyle w:val="FootnoteReference"/>
        </w:rPr>
        <w:footnoteRef/>
      </w:r>
      <w:r>
        <w:t xml:space="preserve"> </w:t>
      </w:r>
      <w:r w:rsidRPr="00B7678C">
        <w:rPr>
          <w:i/>
          <w:color w:val="000000"/>
        </w:rPr>
        <w:t>Revision of Part 15 of the Commission's Rules Regarding Ultra-Wideband Transmission Systems</w:t>
      </w:r>
      <w:r w:rsidRPr="004D6536">
        <w:rPr>
          <w:color w:val="000000"/>
        </w:rPr>
        <w:t>, ET Docket No. 98-153,</w:t>
      </w:r>
      <w:r w:rsidRPr="00272940" w:rsidR="00272940">
        <w:t xml:space="preserve"> </w:t>
      </w:r>
      <w:r w:rsidRPr="00272940" w:rsidR="00272940">
        <w:rPr>
          <w:color w:val="000000"/>
        </w:rPr>
        <w:t>First Report and Order,</w:t>
      </w:r>
      <w:r w:rsidRPr="004D6536">
        <w:rPr>
          <w:color w:val="000000"/>
        </w:rPr>
        <w:t xml:space="preserve"> 17 FCC Rcd </w:t>
      </w:r>
      <w:r>
        <w:rPr>
          <w:color w:val="000000"/>
        </w:rPr>
        <w:t>7435</w:t>
      </w:r>
      <w:r w:rsidRPr="004D6536">
        <w:rPr>
          <w:color w:val="000000"/>
        </w:rPr>
        <w:t xml:space="preserve"> (2002)</w:t>
      </w:r>
      <w:r w:rsidRPr="002643C0">
        <w:rPr>
          <w:iCs/>
          <w:color w:val="000000"/>
        </w:rPr>
        <w:t xml:space="preserve"> </w:t>
      </w:r>
      <w:r w:rsidRPr="004D6536">
        <w:rPr>
          <w:iCs/>
          <w:color w:val="000000"/>
        </w:rPr>
        <w:t>(</w:t>
      </w:r>
      <w:r w:rsidRPr="004D6536">
        <w:rPr>
          <w:i/>
          <w:iCs/>
          <w:color w:val="000000"/>
        </w:rPr>
        <w:t>UWB First R&amp;O</w:t>
      </w:r>
      <w:r w:rsidRPr="004D6536">
        <w:rPr>
          <w:iCs/>
          <w:color w:val="000000"/>
        </w:rPr>
        <w:t>)</w:t>
      </w:r>
      <w:r>
        <w:rPr>
          <w:color w:val="000000"/>
        </w:rPr>
        <w:t xml:space="preserve">; </w:t>
      </w:r>
      <w:r>
        <w:rPr>
          <w:i/>
          <w:color w:val="000000"/>
        </w:rPr>
        <w:t>see also</w:t>
      </w:r>
      <w:r>
        <w:rPr>
          <w:color w:val="000000"/>
        </w:rPr>
        <w:t xml:space="preserve">, </w:t>
      </w:r>
      <w:r w:rsidRPr="004D6536">
        <w:rPr>
          <w:color w:val="000000"/>
        </w:rPr>
        <w:t xml:space="preserve">47 </w:t>
      </w:r>
      <w:r w:rsidR="0003208D">
        <w:rPr>
          <w:color w:val="000000"/>
        </w:rPr>
        <w:t>CFR</w:t>
      </w:r>
      <w:r w:rsidRPr="004D6536">
        <w:rPr>
          <w:color w:val="000000"/>
        </w:rPr>
        <w:t xml:space="preserve"> </w:t>
      </w:r>
      <w:r w:rsidRPr="004D6536">
        <w:rPr>
          <w:color w:val="000000"/>
          <w:spacing w:val="-2"/>
        </w:rPr>
        <w:t>§§ 15.</w:t>
      </w:r>
      <w:r>
        <w:rPr>
          <w:color w:val="000000"/>
          <w:spacing w:val="-2"/>
        </w:rPr>
        <w:t>501</w:t>
      </w:r>
      <w:r>
        <w:rPr>
          <w:color w:val="000000"/>
          <w:spacing w:val="-2"/>
        </w:rPr>
        <w:noBreakHyphen/>
        <w:t>15.525.</w:t>
      </w:r>
    </w:p>
  </w:footnote>
  <w:footnote w:id="16">
    <w:p w:rsidR="00331EA1" w14:paraId="24572593" w14:textId="77777777">
      <w:pPr>
        <w:pStyle w:val="FootnoteText"/>
      </w:pPr>
      <w:r>
        <w:rPr>
          <w:rStyle w:val="FootnoteReference"/>
        </w:rPr>
        <w:footnoteRef/>
      </w:r>
      <w:r>
        <w:t xml:space="preserve"> </w:t>
      </w:r>
      <w:r>
        <w:t xml:space="preserve">47 </w:t>
      </w:r>
      <w:r w:rsidR="0003208D">
        <w:t>CFR</w:t>
      </w:r>
      <w:r>
        <w:t xml:space="preserve"> §15.503(d).</w:t>
      </w:r>
    </w:p>
  </w:footnote>
  <w:footnote w:id="17">
    <w:p w:rsidR="00716608" w:rsidP="00716608" w14:paraId="3E494D99" w14:textId="77777777">
      <w:pPr>
        <w:pStyle w:val="FootnoteText"/>
      </w:pPr>
      <w:r>
        <w:rPr>
          <w:rStyle w:val="FootnoteReference"/>
        </w:rPr>
        <w:footnoteRef/>
      </w:r>
      <w:r>
        <w:t xml:space="preserve"> </w:t>
      </w:r>
      <w:r>
        <w:t>Liberty Waiver Request at 6.</w:t>
      </w:r>
    </w:p>
  </w:footnote>
  <w:footnote w:id="18">
    <w:p w:rsidR="00331EA1" w14:paraId="1D32B9B8" w14:textId="77777777">
      <w:pPr>
        <w:pStyle w:val="FootnoteText"/>
      </w:pPr>
      <w:r>
        <w:rPr>
          <w:rStyle w:val="FootnoteReference"/>
        </w:rPr>
        <w:footnoteRef/>
      </w:r>
      <w:r w:rsidR="00716608">
        <w:t xml:space="preserve"> </w:t>
      </w:r>
      <w:r w:rsidR="00716608">
        <w:rPr>
          <w:i/>
          <w:iCs/>
        </w:rPr>
        <w:t>Id</w:t>
      </w:r>
      <w:r>
        <w:t>.</w:t>
      </w:r>
    </w:p>
  </w:footnote>
  <w:footnote w:id="19">
    <w:p w:rsidR="00331EA1" w:rsidP="00424926" w14:paraId="3E0B7C72" w14:textId="77777777">
      <w:pPr>
        <w:pStyle w:val="FootnoteText"/>
      </w:pPr>
      <w:r>
        <w:rPr>
          <w:rStyle w:val="FootnoteReference"/>
        </w:rPr>
        <w:footnoteRef/>
      </w:r>
      <w:r>
        <w:t xml:space="preserve"> </w:t>
      </w:r>
      <w:r>
        <w:t>Stepped and swept frequency devices like Liberty’s have a difficult time meeting the rule’s technical specifications because the large bandwidth is achieved by stepping or sweeping a narrow signal through the broader frequency range, and therefore won’t be instantaneously wide enough to meet the rules’ specific requirements.</w:t>
      </w:r>
    </w:p>
  </w:footnote>
  <w:footnote w:id="20">
    <w:p w:rsidR="00331EA1" w:rsidRPr="00EC42DA" w:rsidP="00424926" w14:paraId="59B1E885" w14:textId="77777777">
      <w:pPr>
        <w:pStyle w:val="FootnoteText"/>
      </w:pPr>
      <w:r>
        <w:rPr>
          <w:rStyle w:val="FootnoteReference"/>
        </w:rPr>
        <w:footnoteRef/>
      </w:r>
      <w:r>
        <w:t xml:space="preserve"> </w:t>
      </w:r>
      <w:r>
        <w:rPr>
          <w:i/>
        </w:rPr>
        <w:t>See</w:t>
      </w:r>
      <w:r>
        <w:t xml:space="preserve"> </w:t>
      </w:r>
      <w:r w:rsidRPr="004D6536">
        <w:rPr>
          <w:i/>
          <w:iCs/>
          <w:color w:val="000000"/>
        </w:rPr>
        <w:t>UWB First R&amp;O</w:t>
      </w:r>
      <w:r>
        <w:t xml:space="preserve">, 17 FCC Rcd at </w:t>
      </w:r>
      <w:r w:rsidRPr="00EC42DA">
        <w:t>7437-7440, 7450, 7476 and 7494</w:t>
      </w:r>
      <w:r>
        <w:t>.</w:t>
      </w:r>
    </w:p>
  </w:footnote>
  <w:footnote w:id="21">
    <w:p w:rsidR="00331EA1" w14:paraId="19321E9F" w14:textId="77777777">
      <w:pPr>
        <w:pStyle w:val="FootnoteText"/>
      </w:pPr>
      <w:r>
        <w:rPr>
          <w:rStyle w:val="FootnoteReference"/>
        </w:rPr>
        <w:footnoteRef/>
      </w:r>
      <w:r>
        <w:t xml:space="preserve"> </w:t>
      </w:r>
      <w:r w:rsidRPr="0034623C">
        <w:t xml:space="preserve">47 </w:t>
      </w:r>
      <w:r w:rsidR="0003208D">
        <w:t>CFR</w:t>
      </w:r>
      <w:r w:rsidRPr="0034623C">
        <w:t xml:space="preserve"> §15.31(c)</w:t>
      </w:r>
      <w:r>
        <w:t>.</w:t>
      </w:r>
    </w:p>
  </w:footnote>
  <w:footnote w:id="22">
    <w:p w:rsidR="00331EA1" w14:paraId="32CD673F" w14:textId="77777777">
      <w:pPr>
        <w:pStyle w:val="FootnoteText"/>
      </w:pPr>
      <w:r>
        <w:rPr>
          <w:rStyle w:val="FootnoteReference"/>
        </w:rPr>
        <w:footnoteRef/>
      </w:r>
      <w:r>
        <w:t xml:space="preserve"> </w:t>
      </w:r>
      <w:r w:rsidRPr="0034623C">
        <w:t xml:space="preserve">47 </w:t>
      </w:r>
      <w:r w:rsidR="0003208D">
        <w:t>CFR</w:t>
      </w:r>
      <w:r w:rsidRPr="0034623C">
        <w:t xml:space="preserve"> §15.521(d)</w:t>
      </w:r>
      <w:r>
        <w:t>.</w:t>
      </w:r>
    </w:p>
  </w:footnote>
  <w:footnote w:id="23">
    <w:p w:rsidR="00331EA1" w:rsidRPr="005C2320" w:rsidP="00424926" w14:paraId="0CFE992E" w14:textId="77777777">
      <w:pPr>
        <w:pStyle w:val="FootnoteText"/>
      </w:pPr>
      <w:r>
        <w:rPr>
          <w:rStyle w:val="FootnoteReference"/>
        </w:rPr>
        <w:footnoteRef/>
      </w:r>
      <w:r>
        <w:t xml:space="preserve"> </w:t>
      </w:r>
      <w:r w:rsidRPr="0034623C">
        <w:t xml:space="preserve">Liberty </w:t>
      </w:r>
      <w:r w:rsidRPr="008A4C01">
        <w:t xml:space="preserve">Waiver </w:t>
      </w:r>
      <w:r w:rsidR="00E45349">
        <w:t xml:space="preserve">Request </w:t>
      </w:r>
      <w:r w:rsidRPr="008A4C01">
        <w:t xml:space="preserve">at </w:t>
      </w:r>
      <w:r w:rsidRPr="0034623C">
        <w:t>8-9</w:t>
      </w:r>
      <w:r>
        <w:t xml:space="preserve"> </w:t>
      </w:r>
      <w:r w:rsidRPr="008A4C01">
        <w:t>(</w:t>
      </w:r>
      <w:r w:rsidRPr="00B06FA2">
        <w:t>citing waiver requests by the Multi-band OFDM Alliance Special Interest Group, Curtiss-Wright Controls</w:t>
      </w:r>
      <w:r w:rsidR="00666269">
        <w:t>,</w:t>
      </w:r>
      <w:r w:rsidRPr="00B06FA2">
        <w:t xml:space="preserve"> and</w:t>
      </w:r>
      <w:r w:rsidRPr="00B06FA2">
        <w:rPr>
          <w:color w:val="000000"/>
        </w:rPr>
        <w:t xml:space="preserve"> </w:t>
      </w:r>
      <w:r w:rsidRPr="00B06FA2">
        <w:t>Kyma Medical Technologies Ltd.)</w:t>
      </w:r>
      <w:r>
        <w:rPr>
          <w:i/>
          <w:iCs/>
        </w:rPr>
        <w:t>.</w:t>
      </w:r>
    </w:p>
  </w:footnote>
  <w:footnote w:id="24">
    <w:p w:rsidR="00331EA1" w14:paraId="1E474385" w14:textId="77777777">
      <w:pPr>
        <w:pStyle w:val="FootnoteText"/>
      </w:pPr>
      <w:r>
        <w:rPr>
          <w:rStyle w:val="FootnoteReference"/>
        </w:rPr>
        <w:footnoteRef/>
      </w:r>
      <w:r>
        <w:t xml:space="preserve"> </w:t>
      </w:r>
      <w:r w:rsidRPr="00B06FA2">
        <w:rPr>
          <w:i/>
          <w:iCs/>
        </w:rPr>
        <w:t>Id</w:t>
      </w:r>
      <w:r>
        <w:t>. at 15.</w:t>
      </w:r>
    </w:p>
  </w:footnote>
  <w:footnote w:id="25">
    <w:p w:rsidR="00666269" w:rsidP="00666269" w14:paraId="2EF5F592" w14:textId="77777777">
      <w:pPr>
        <w:pStyle w:val="FootnoteText"/>
      </w:pPr>
      <w:r>
        <w:rPr>
          <w:rStyle w:val="FootnoteReference"/>
        </w:rPr>
        <w:footnoteRef/>
      </w:r>
      <w:r>
        <w:t xml:space="preserve"> </w:t>
      </w:r>
      <w:r>
        <w:rPr>
          <w:i/>
        </w:rPr>
        <w:t xml:space="preserve">See, e.g., </w:t>
      </w:r>
      <w:r>
        <w:rPr>
          <w:i/>
          <w:snapToGrid w:val="0"/>
        </w:rPr>
        <w:t>Petition for Waiver of the Part 15 UWB Regulations Filed by the Multi-band OFDM Alliance Special Interest Group</w:t>
      </w:r>
      <w:r>
        <w:rPr>
          <w:snapToGrid w:val="0"/>
        </w:rPr>
        <w:t>, ET Docket No. 04-352, Order, 20 FCC Rcd 5528 (2005) (MBOA-SIG Waiver Order)</w:t>
      </w:r>
      <w:r>
        <w:t>.</w:t>
      </w:r>
    </w:p>
  </w:footnote>
  <w:footnote w:id="26">
    <w:p w:rsidR="00331EA1" w:rsidP="00424926" w14:paraId="2CDABAFB" w14:textId="77777777">
      <w:pPr>
        <w:pStyle w:val="FootnoteText"/>
      </w:pPr>
      <w:r>
        <w:rPr>
          <w:rStyle w:val="FootnoteReference"/>
        </w:rPr>
        <w:footnoteRef/>
      </w:r>
      <w:r>
        <w:t xml:space="preserve"> </w:t>
      </w:r>
      <w:r w:rsidR="00666269">
        <w:rPr>
          <w:i/>
        </w:rPr>
        <w:t>Id.</w:t>
      </w:r>
      <w:r w:rsidR="00EE72A7">
        <w:rPr>
          <w:iCs/>
        </w:rPr>
        <w:t>, 20 FCC Rcd</w:t>
      </w:r>
      <w:r>
        <w:rPr>
          <w:snapToGrid w:val="0"/>
        </w:rPr>
        <w:t xml:space="preserve"> at 5535</w:t>
      </w:r>
      <w:r>
        <w:t>.</w:t>
      </w:r>
    </w:p>
  </w:footnote>
  <w:footnote w:id="27">
    <w:p w:rsidR="00331EA1" w:rsidP="00424926" w14:paraId="5E43F9F6" w14:textId="77777777">
      <w:pPr>
        <w:pStyle w:val="FootnoteText"/>
      </w:pPr>
      <w:r>
        <w:rPr>
          <w:rStyle w:val="FootnoteReference"/>
        </w:rPr>
        <w:footnoteRef/>
      </w:r>
      <w:r>
        <w:t xml:space="preserve"> </w:t>
      </w:r>
      <w:r>
        <w:rPr>
          <w:i/>
        </w:rPr>
        <w:t>Id</w:t>
      </w:r>
      <w:r>
        <w:t>.</w:t>
      </w:r>
      <w:r w:rsidR="00EE72A7">
        <w:t xml:space="preserve">, </w:t>
      </w:r>
      <w:r w:rsidR="00EE72A7">
        <w:rPr>
          <w:iCs/>
        </w:rPr>
        <w:t>20 FCC Rcd</w:t>
      </w:r>
      <w:r w:rsidR="003B3FFF">
        <w:t xml:space="preserve"> </w:t>
      </w:r>
      <w:r>
        <w:t xml:space="preserve">at 5534. </w:t>
      </w:r>
    </w:p>
  </w:footnote>
  <w:footnote w:id="28">
    <w:p w:rsidR="00331EA1" w:rsidP="00424926" w14:paraId="70D936D8" w14:textId="77777777">
      <w:pPr>
        <w:pStyle w:val="FootnoteText"/>
      </w:pPr>
      <w:r>
        <w:rPr>
          <w:rStyle w:val="FootnoteReference"/>
        </w:rPr>
        <w:footnoteRef/>
      </w:r>
      <w:r>
        <w:t xml:space="preserve"> </w:t>
      </w:r>
      <w:r w:rsidRPr="002338D0">
        <w:rPr>
          <w:i/>
        </w:rPr>
        <w:t>See</w:t>
      </w:r>
      <w:r>
        <w:rPr>
          <w:i/>
        </w:rPr>
        <w:t xml:space="preserve"> </w:t>
      </w:r>
      <w:r>
        <w:rPr>
          <w:i/>
          <w:snapToGrid w:val="0"/>
        </w:rPr>
        <w:t>Curtiss-Wright Controls Inc. Request for Waiver of Part 15 of the Commission’s Rules Applicable to Ultra-Wideband Devices</w:t>
      </w:r>
      <w:r>
        <w:rPr>
          <w:snapToGrid w:val="0"/>
        </w:rPr>
        <w:t xml:space="preserve">, </w:t>
      </w:r>
      <w:r w:rsidR="00272940">
        <w:rPr>
          <w:snapToGrid w:val="0"/>
        </w:rPr>
        <w:t xml:space="preserve">ET Docket No. 10-167, </w:t>
      </w:r>
      <w:r>
        <w:rPr>
          <w:snapToGrid w:val="0"/>
        </w:rPr>
        <w:t xml:space="preserve">Order, 27 FCC Rcd </w:t>
      </w:r>
      <w:r>
        <w:rPr>
          <w:snapToGrid w:val="0"/>
          <w:color w:val="000000"/>
        </w:rPr>
        <w:t xml:space="preserve">234 at 242 </w:t>
      </w:r>
      <w:r>
        <w:rPr>
          <w:snapToGrid w:val="0"/>
        </w:rPr>
        <w:t>(OET 2012)</w:t>
      </w:r>
      <w:r w:rsidR="00A27B25">
        <w:rPr>
          <w:snapToGrid w:val="0"/>
        </w:rPr>
        <w:t xml:space="preserve"> (CWCI Waiver Order)</w:t>
      </w:r>
      <w:r>
        <w:t xml:space="preserve">.  </w:t>
      </w:r>
      <w:r w:rsidRPr="002338D0">
        <w:rPr>
          <w:i/>
        </w:rPr>
        <w:t>See also</w:t>
      </w:r>
      <w:r>
        <w:t xml:space="preserve"> MBOA-SIG Waiver</w:t>
      </w:r>
      <w:r w:rsidR="00A27B25">
        <w:t xml:space="preserve"> Order</w:t>
      </w:r>
      <w:r>
        <w:t>, 20 FCC Rcd at 5531-5536.</w:t>
      </w:r>
    </w:p>
  </w:footnote>
  <w:footnote w:id="29">
    <w:p w:rsidR="00331EA1" w:rsidP="00424926" w14:paraId="5819EC8F" w14:textId="77777777">
      <w:pPr>
        <w:pStyle w:val="FootnoteText"/>
      </w:pPr>
      <w:r>
        <w:rPr>
          <w:rStyle w:val="FootnoteReference"/>
        </w:rPr>
        <w:footnoteRef/>
      </w:r>
      <w:r>
        <w:t xml:space="preserve"> </w:t>
      </w:r>
      <w:r>
        <w:t xml:space="preserve">Our reliance on the MBOA-SIG Waiver </w:t>
      </w:r>
      <w:r w:rsidR="00A27B25">
        <w:t xml:space="preserve">Order </w:t>
      </w:r>
      <w:r>
        <w:t>and the CWCI Waiver</w:t>
      </w:r>
      <w:r w:rsidR="00A27B25">
        <w:t xml:space="preserve"> Order </w:t>
      </w:r>
      <w:r>
        <w:t xml:space="preserve">in this instance only </w:t>
      </w:r>
      <w:r w:rsidR="003B3FFF">
        <w:t xml:space="preserve">relates </w:t>
      </w:r>
      <w:r>
        <w:t>to the measurement procedure</w:t>
      </w:r>
      <w:r w:rsidR="003B3FFF">
        <w:t>s</w:t>
      </w:r>
      <w:r>
        <w:t xml:space="preserve"> in Section 15.521(d).  </w:t>
      </w:r>
    </w:p>
  </w:footnote>
  <w:footnote w:id="30">
    <w:p w:rsidR="00331EA1" w:rsidP="00C03B81" w14:paraId="75951FF5" w14:textId="77777777">
      <w:pPr>
        <w:pStyle w:val="FootnoteText"/>
      </w:pPr>
      <w:r>
        <w:rPr>
          <w:rStyle w:val="FootnoteReference"/>
        </w:rPr>
        <w:footnoteRef/>
      </w:r>
      <w:r>
        <w:t xml:space="preserve"> </w:t>
      </w:r>
      <w:r>
        <w:t>47 </w:t>
      </w:r>
      <w:r w:rsidR="0003208D">
        <w:t>CFR</w:t>
      </w:r>
      <w:r>
        <w:t xml:space="preserve"> §15.511(b)</w:t>
      </w:r>
      <w:r w:rsidR="00176DC6">
        <w:t xml:space="preserve"> </w:t>
      </w:r>
      <w:r w:rsidR="00431598">
        <w:t xml:space="preserve">introductory text </w:t>
      </w:r>
      <w:r>
        <w:t xml:space="preserve">and (b)(2).  </w:t>
      </w:r>
    </w:p>
  </w:footnote>
  <w:footnote w:id="31">
    <w:p w:rsidR="00331EA1" w:rsidRPr="0034623C" w:rsidP="00C03B81" w14:paraId="74F7FD6D" w14:textId="77777777">
      <w:pPr>
        <w:pStyle w:val="FootnoteText"/>
        <w:rPr>
          <w:color w:val="000000"/>
        </w:rPr>
      </w:pPr>
      <w:r w:rsidRPr="004D6536">
        <w:rPr>
          <w:rStyle w:val="FootnoteReference"/>
          <w:color w:val="000000"/>
        </w:rPr>
        <w:footnoteRef/>
      </w:r>
      <w:r w:rsidRPr="004D6536">
        <w:rPr>
          <w:color w:val="000000"/>
        </w:rPr>
        <w:t xml:space="preserve"> </w:t>
      </w:r>
      <w:r w:rsidRPr="004D6536">
        <w:rPr>
          <w:i/>
          <w:iCs/>
          <w:color w:val="000000"/>
        </w:rPr>
        <w:t>UWB First R&amp;</w:t>
      </w:r>
      <w:r w:rsidRPr="00215797">
        <w:rPr>
          <w:i/>
          <w:iCs/>
          <w:color w:val="000000"/>
        </w:rPr>
        <w:t>O</w:t>
      </w:r>
      <w:r w:rsidRPr="00215797">
        <w:rPr>
          <w:iCs/>
          <w:color w:val="000000"/>
        </w:rPr>
        <w:t>,</w:t>
      </w:r>
      <w:r w:rsidRPr="00215797">
        <w:rPr>
          <w:i/>
          <w:iCs/>
          <w:color w:val="000000"/>
        </w:rPr>
        <w:t xml:space="preserve"> </w:t>
      </w:r>
      <w:r w:rsidRPr="0034623C">
        <w:rPr>
          <w:color w:val="000000"/>
        </w:rPr>
        <w:t xml:space="preserve">17 FCC Rcd </w:t>
      </w:r>
      <w:r>
        <w:rPr>
          <w:color w:val="000000"/>
        </w:rPr>
        <w:t>at</w:t>
      </w:r>
      <w:r w:rsidRPr="0034623C">
        <w:rPr>
          <w:color w:val="000000"/>
        </w:rPr>
        <w:t xml:space="preserve"> </w:t>
      </w:r>
      <w:r w:rsidRPr="00E86191">
        <w:rPr>
          <w:color w:val="000000"/>
        </w:rPr>
        <w:t>7499-</w:t>
      </w:r>
      <w:r w:rsidRPr="008A1E09" w:rsidR="00B86DF5">
        <w:rPr>
          <w:color w:val="000000"/>
        </w:rPr>
        <w:t>7504</w:t>
      </w:r>
      <w:r w:rsidRPr="00E86191">
        <w:rPr>
          <w:color w:val="000000"/>
        </w:rPr>
        <w:t>, paras</w:t>
      </w:r>
      <w:r w:rsidRPr="0034623C">
        <w:rPr>
          <w:color w:val="000000"/>
        </w:rPr>
        <w:t>. 185-201 (2002).</w:t>
      </w:r>
      <w:r w:rsidRPr="00215797">
        <w:rPr>
          <w:color w:val="000000"/>
        </w:rPr>
        <w:t xml:space="preserve">  Private security firms </w:t>
      </w:r>
      <w:r w:rsidRPr="00215797">
        <w:rPr>
          <w:color w:val="000000"/>
          <w:szCs w:val="22"/>
        </w:rPr>
        <w:t xml:space="preserve">did not request to be </w:t>
      </w:r>
      <w:r w:rsidRPr="0034623C">
        <w:rPr>
          <w:color w:val="000000"/>
          <w:szCs w:val="22"/>
        </w:rPr>
        <w:t xml:space="preserve">included in the original list of permissible uses during the </w:t>
      </w:r>
      <w:r w:rsidRPr="00176DC6">
        <w:rPr>
          <w:color w:val="000000"/>
          <w:szCs w:val="22"/>
        </w:rPr>
        <w:t>rulemaking</w:t>
      </w:r>
      <w:r w:rsidRPr="00176DC6" w:rsidR="00664A7E">
        <w:rPr>
          <w:color w:val="000000"/>
          <w:szCs w:val="22"/>
        </w:rPr>
        <w:t xml:space="preserve"> and the Commission did not </w:t>
      </w:r>
      <w:r w:rsidRPr="00176DC6" w:rsidR="00640C83">
        <w:rPr>
          <w:color w:val="000000"/>
          <w:szCs w:val="22"/>
        </w:rPr>
        <w:t>discuss private security</w:t>
      </w:r>
      <w:r w:rsidRPr="00176DC6" w:rsidR="00664A7E">
        <w:rPr>
          <w:color w:val="000000"/>
          <w:szCs w:val="22"/>
        </w:rPr>
        <w:t xml:space="preserve"> </w:t>
      </w:r>
      <w:r w:rsidRPr="00176DC6" w:rsidR="00640C83">
        <w:rPr>
          <w:color w:val="000000"/>
          <w:szCs w:val="22"/>
        </w:rPr>
        <w:t xml:space="preserve">firm </w:t>
      </w:r>
      <w:r w:rsidRPr="00176DC6" w:rsidR="00664A7E">
        <w:rPr>
          <w:color w:val="000000"/>
          <w:szCs w:val="22"/>
        </w:rPr>
        <w:t>users in its decisio</w:t>
      </w:r>
      <w:r w:rsidRPr="00176DC6" w:rsidR="00BA748C">
        <w:rPr>
          <w:color w:val="000000"/>
          <w:szCs w:val="22"/>
        </w:rPr>
        <w:t>n</w:t>
      </w:r>
      <w:r w:rsidRPr="00176DC6" w:rsidR="00640C83">
        <w:rPr>
          <w:color w:val="000000"/>
          <w:szCs w:val="22"/>
        </w:rPr>
        <w:t>.</w:t>
      </w:r>
    </w:p>
  </w:footnote>
  <w:footnote w:id="32">
    <w:p w:rsidR="00331EA1" w:rsidP="00C03B81" w14:paraId="68C22F83" w14:textId="77777777">
      <w:pPr>
        <w:pStyle w:val="FootnoteText"/>
      </w:pPr>
      <w:r>
        <w:rPr>
          <w:rStyle w:val="FootnoteReference"/>
        </w:rPr>
        <w:footnoteRef/>
      </w:r>
      <w:r>
        <w:t xml:space="preserve"> </w:t>
      </w:r>
      <w:r w:rsidRPr="004D6536">
        <w:rPr>
          <w:color w:val="000000"/>
        </w:rPr>
        <w:t xml:space="preserve">47 </w:t>
      </w:r>
      <w:r w:rsidR="0003208D">
        <w:rPr>
          <w:color w:val="000000"/>
        </w:rPr>
        <w:t>CFR</w:t>
      </w:r>
      <w:r w:rsidRPr="004D6536">
        <w:rPr>
          <w:color w:val="000000"/>
        </w:rPr>
        <w:t xml:space="preserve"> §</w:t>
      </w:r>
      <w:r w:rsidRPr="00215797">
        <w:rPr>
          <w:color w:val="000000"/>
          <w:szCs w:val="22"/>
        </w:rPr>
        <w:t>15.511(</w:t>
      </w:r>
      <w:r>
        <w:rPr>
          <w:color w:val="000000"/>
          <w:szCs w:val="22"/>
        </w:rPr>
        <w:t>f).</w:t>
      </w:r>
      <w:r w:rsidR="00640C83">
        <w:rPr>
          <w:color w:val="000000"/>
          <w:szCs w:val="22"/>
        </w:rPr>
        <w:t xml:space="preserve"> </w:t>
      </w:r>
    </w:p>
  </w:footnote>
  <w:footnote w:id="33">
    <w:p w:rsidR="00331EA1" w:rsidP="00C03B81" w14:paraId="7CA5AA99" w14:textId="77777777">
      <w:pPr>
        <w:pStyle w:val="FootnoteText"/>
      </w:pPr>
      <w:r>
        <w:rPr>
          <w:rStyle w:val="FootnoteReference"/>
        </w:rPr>
        <w:footnoteRef/>
      </w:r>
      <w:r>
        <w:t xml:space="preserve"> </w:t>
      </w:r>
      <w:r>
        <w:t>Liberty Waiver Request at 10.</w:t>
      </w:r>
    </w:p>
  </w:footnote>
  <w:footnote w:id="34">
    <w:p w:rsidR="00331EA1" w:rsidP="00C03B81" w14:paraId="7A8EB301" w14:textId="77777777">
      <w:pPr>
        <w:pStyle w:val="FootnoteText"/>
      </w:pPr>
      <w:r>
        <w:rPr>
          <w:rStyle w:val="FootnoteReference"/>
        </w:rPr>
        <w:footnoteRef/>
      </w:r>
      <w:r>
        <w:t xml:space="preserve"> </w:t>
      </w:r>
      <w:r w:rsidRPr="00A735D3">
        <w:rPr>
          <w:i/>
          <w:iCs/>
        </w:rPr>
        <w:t>Id.</w:t>
      </w:r>
      <w:r>
        <w:t xml:space="preserve"> at 10-11. </w:t>
      </w:r>
    </w:p>
  </w:footnote>
  <w:footnote w:id="35">
    <w:p w:rsidR="00331EA1" w:rsidP="00C03B81" w14:paraId="4F761E48" w14:textId="77777777">
      <w:pPr>
        <w:pStyle w:val="FootnoteText"/>
      </w:pPr>
      <w:r>
        <w:rPr>
          <w:rStyle w:val="FootnoteReference"/>
        </w:rPr>
        <w:footnoteRef/>
      </w:r>
      <w:r>
        <w:t xml:space="preserve"> </w:t>
      </w:r>
      <w:r w:rsidRPr="001840DE">
        <w:rPr>
          <w:i/>
        </w:rPr>
        <w:t>See Headsight, Inc. Request for waiver of Part 15 of the Commission’s Rules Applicable to Ultra-Wide Band Devices</w:t>
      </w:r>
      <w:r>
        <w:t xml:space="preserve">, </w:t>
      </w:r>
      <w:r w:rsidR="00AF40DD">
        <w:t xml:space="preserve">ET Docket No. 16-44, </w:t>
      </w:r>
      <w:r>
        <w:t>Order, 32 FCC Rcd 1511 at 1514 (OET 2017)</w:t>
      </w:r>
      <w:r w:rsidR="00046DCB">
        <w:t xml:space="preserve"> (allowing use of a UWB device mounted on farming machinery </w:t>
      </w:r>
      <w:r w:rsidR="007E77A5">
        <w:t>operated in fields that are located in rural or predominantly agricultural areas by parties eligible for licensing under the Part 90 rules)</w:t>
      </w:r>
      <w:r>
        <w:t>.</w:t>
      </w:r>
    </w:p>
  </w:footnote>
  <w:footnote w:id="36">
    <w:p w:rsidR="00765D12" w:rsidP="00765D12" w14:paraId="01747FCF" w14:textId="77777777">
      <w:pPr>
        <w:pStyle w:val="FootnoteText"/>
      </w:pPr>
      <w:r>
        <w:rPr>
          <w:rStyle w:val="FootnoteReference"/>
        </w:rPr>
        <w:footnoteRef/>
      </w:r>
      <w:r>
        <w:t xml:space="preserve"> </w:t>
      </w:r>
      <w:r w:rsidRPr="00C6169E">
        <w:rPr>
          <w:i/>
          <w:iCs/>
        </w:rPr>
        <w:t>See supra</w:t>
      </w:r>
      <w:r>
        <w:t xml:space="preserve"> note 6.</w:t>
      </w:r>
    </w:p>
  </w:footnote>
  <w:footnote w:id="37">
    <w:p w:rsidR="00331EA1" w:rsidP="005F7298" w14:paraId="6D57DEE5" w14:textId="77777777">
      <w:pPr>
        <w:pStyle w:val="FootnoteText"/>
      </w:pPr>
      <w:r>
        <w:rPr>
          <w:rStyle w:val="FootnoteReference"/>
        </w:rPr>
        <w:footnoteRef/>
      </w:r>
      <w:r>
        <w:t xml:space="preserve"> </w:t>
      </w:r>
      <w:r>
        <w:t xml:space="preserve">This matches the deployment numbers that Liberty has endorsed in the record.  </w:t>
      </w:r>
      <w:r>
        <w:rPr>
          <w:i/>
          <w:iCs/>
        </w:rPr>
        <w:t xml:space="preserve">See </w:t>
      </w:r>
      <w:r>
        <w:t xml:space="preserve">Letter from Aman Bhardwaj, President, Liberty Defense Holdings to Marlene H. Dortch, Secretary, Federal Communications Commission, </w:t>
      </w:r>
      <w:r w:rsidR="003B3FFF">
        <w:t>ET Docket No. 19-217</w:t>
      </w:r>
      <w:r w:rsidR="00272940">
        <w:t xml:space="preserve"> </w:t>
      </w:r>
      <w:r w:rsidR="003B3FFF">
        <w:t xml:space="preserve">(filed </w:t>
      </w:r>
      <w:r>
        <w:t>Apr</w:t>
      </w:r>
      <w:r w:rsidR="003B3FFF">
        <w:t>.</w:t>
      </w:r>
      <w:r>
        <w:t xml:space="preserve"> 24, 2020</w:t>
      </w:r>
      <w:r w:rsidR="003B3FFF">
        <w:t>)</w:t>
      </w:r>
      <w:r>
        <w:t>.</w:t>
      </w:r>
    </w:p>
  </w:footnote>
  <w:footnote w:id="38">
    <w:p w:rsidR="00331EA1" w:rsidP="005F7298" w14:paraId="5F0EE7F5" w14:textId="77777777">
      <w:pPr>
        <w:pStyle w:val="FootnoteText"/>
      </w:pPr>
      <w:r>
        <w:rPr>
          <w:rStyle w:val="FootnoteReference"/>
        </w:rPr>
        <w:footnoteRef/>
      </w:r>
      <w:r>
        <w:t xml:space="preserve"> </w:t>
      </w:r>
      <w:r>
        <w:t>Liberty must</w:t>
      </w:r>
      <w:r w:rsidR="00765D12">
        <w:t xml:space="preserve"> file</w:t>
      </w:r>
      <w:r>
        <w:t xml:space="preserve"> </w:t>
      </w:r>
      <w:r w:rsidR="00DE38A4">
        <w:t xml:space="preserve">a modification of its waiver </w:t>
      </w:r>
      <w:r>
        <w:t>to deploy more than 600 devices or to extend the deployment period beyond three years.</w:t>
      </w:r>
    </w:p>
  </w:footnote>
  <w:footnote w:id="39">
    <w:p w:rsidR="00BA480E" w14:paraId="59E5959E" w14:textId="77777777">
      <w:pPr>
        <w:pStyle w:val="FootnoteText"/>
      </w:pPr>
      <w:r>
        <w:rPr>
          <w:rStyle w:val="FootnoteReference"/>
        </w:rPr>
        <w:footnoteRef/>
      </w:r>
      <w:r>
        <w:t xml:space="preserve"> </w:t>
      </w:r>
      <w:r w:rsidRPr="003B645F" w:rsidR="00896832">
        <w:rPr>
          <w:i/>
          <w:iCs/>
        </w:rPr>
        <w:t>See</w:t>
      </w:r>
      <w:r w:rsidR="00896832">
        <w:t xml:space="preserve"> Liberty </w:t>
      </w:r>
      <w:r w:rsidRPr="003B645F" w:rsidR="00896832">
        <w:rPr>
          <w:i/>
          <w:iCs/>
        </w:rPr>
        <w:t>Ex Parte</w:t>
      </w:r>
      <w:r w:rsidR="00896832">
        <w:t xml:space="preserve"> Notice filed September 11, </w:t>
      </w:r>
      <w:r w:rsidR="00BE0B36">
        <w:t>2019,</w:t>
      </w:r>
      <w:r w:rsidR="00F71389">
        <w:t xml:space="preserve"> at 2</w:t>
      </w:r>
      <w:r w:rsidR="00896832">
        <w:t>.</w:t>
      </w:r>
    </w:p>
  </w:footnote>
  <w:footnote w:id="40">
    <w:p w:rsidR="00B73782" w:rsidP="005B59CB" w14:paraId="57A9B2A7" w14:textId="77777777">
      <w:pPr>
        <w:spacing w:after="120"/>
      </w:pPr>
      <w:r>
        <w:rPr>
          <w:rStyle w:val="FootnoteReference"/>
        </w:rPr>
        <w:footnoteRef/>
      </w:r>
      <w:r>
        <w:t xml:space="preserve"> </w:t>
      </w:r>
      <w:r w:rsidRPr="008748E4">
        <w:rPr>
          <w:i/>
          <w:iCs/>
          <w:snapToGrid/>
          <w:kern w:val="0"/>
          <w:sz w:val="20"/>
        </w:rPr>
        <w:t>See Kyma Medical Technologies Ltd. Request for Waiver of Part 15 of the Commission’s Rules Applicable to Ultra-Wideband Devices</w:t>
      </w:r>
      <w:r w:rsidRPr="008748E4">
        <w:rPr>
          <w:sz w:val="20"/>
        </w:rPr>
        <w:t>,</w:t>
      </w:r>
      <w:r w:rsidR="00272940">
        <w:rPr>
          <w:sz w:val="20"/>
        </w:rPr>
        <w:t xml:space="preserve"> ET Docket No. 15-119, Order,</w:t>
      </w:r>
      <w:r w:rsidRPr="008748E4">
        <w:rPr>
          <w:sz w:val="20"/>
        </w:rPr>
        <w:t xml:space="preserve"> 31 FCC Rcd 9705</w:t>
      </w:r>
      <w:r>
        <w:rPr>
          <w:sz w:val="20"/>
        </w:rPr>
        <w:t>,</w:t>
      </w:r>
      <w:r w:rsidRPr="008748E4">
        <w:rPr>
          <w:sz w:val="20"/>
        </w:rPr>
        <w:t xml:space="preserve"> 97</w:t>
      </w:r>
      <w:r w:rsidR="000B680C">
        <w:rPr>
          <w:sz w:val="20"/>
        </w:rPr>
        <w:t>1</w:t>
      </w:r>
      <w:r w:rsidRPr="008748E4">
        <w:rPr>
          <w:sz w:val="20"/>
        </w:rPr>
        <w:t>0 (OET 2016).</w:t>
      </w:r>
    </w:p>
  </w:footnote>
  <w:footnote w:id="41">
    <w:p w:rsidR="002C270F" w14:paraId="24378BDC" w14:textId="77777777">
      <w:pPr>
        <w:pStyle w:val="FootnoteText"/>
      </w:pPr>
      <w:r>
        <w:rPr>
          <w:rStyle w:val="FootnoteReference"/>
        </w:rPr>
        <w:footnoteRef/>
      </w:r>
      <w:r>
        <w:t xml:space="preserve"> </w:t>
      </w:r>
      <w:r w:rsidRPr="003B645F" w:rsidR="00046531">
        <w:rPr>
          <w:i/>
          <w:iCs/>
        </w:rPr>
        <w:t>See</w:t>
      </w:r>
      <w:r w:rsidR="00046531">
        <w:t xml:space="preserve"> Liberty </w:t>
      </w:r>
      <w:r w:rsidRPr="003B645F" w:rsidR="00046531">
        <w:rPr>
          <w:i/>
          <w:iCs/>
        </w:rPr>
        <w:t>Ex Parte</w:t>
      </w:r>
      <w:r w:rsidR="00046531">
        <w:t xml:space="preserve"> filed December 7, 2021.</w:t>
      </w:r>
    </w:p>
  </w:footnote>
  <w:footnote w:id="42">
    <w:p w:rsidR="004C4C30" w:rsidP="004C4C30" w14:paraId="01FD2C93" w14:textId="77777777">
      <w:pPr>
        <w:pStyle w:val="FootnoteText"/>
      </w:pPr>
      <w:r>
        <w:rPr>
          <w:rStyle w:val="FootnoteReference"/>
        </w:rPr>
        <w:footnoteRef/>
      </w:r>
      <w:r>
        <w:t xml:space="preserve"> </w:t>
      </w:r>
      <w:r w:rsidRPr="001840DE">
        <w:rPr>
          <w:i/>
          <w:iCs/>
        </w:rPr>
        <w:t>See</w:t>
      </w:r>
      <w:r>
        <w:t xml:space="preserve"> </w:t>
      </w:r>
      <w:r w:rsidRPr="001840DE">
        <w:rPr>
          <w:i/>
          <w:iCs/>
        </w:rPr>
        <w:t>L-3 Communications Security and Detections Systems, Inc. Request for Waiver of Sections 15.31(c), 15.35(b) and 15.205(a) of the Commission’s Rules to Permit the Deployment of Security Screening Portal Devices that Operate in the 20-40 GHz Range</w:t>
      </w:r>
      <w:r>
        <w:t xml:space="preserve">, </w:t>
      </w:r>
      <w:r w:rsidRPr="004D6536">
        <w:rPr>
          <w:color w:val="000000"/>
        </w:rPr>
        <w:t xml:space="preserve">ET Docket No. </w:t>
      </w:r>
      <w:r>
        <w:rPr>
          <w:color w:val="000000"/>
        </w:rPr>
        <w:t>16</w:t>
      </w:r>
      <w:r w:rsidRPr="004D6536">
        <w:rPr>
          <w:color w:val="000000"/>
        </w:rPr>
        <w:t>-</w:t>
      </w:r>
      <w:r>
        <w:rPr>
          <w:color w:val="000000"/>
        </w:rPr>
        <w:t>45</w:t>
      </w:r>
      <w:r w:rsidRPr="004D6536">
        <w:rPr>
          <w:color w:val="000000"/>
        </w:rPr>
        <w:t>,</w:t>
      </w:r>
      <w:r w:rsidRPr="00272940" w:rsidR="00272940">
        <w:t xml:space="preserve"> </w:t>
      </w:r>
      <w:r w:rsidRPr="00272940" w:rsidR="00272940">
        <w:rPr>
          <w:color w:val="000000"/>
        </w:rPr>
        <w:t>Order</w:t>
      </w:r>
      <w:r w:rsidR="00272940">
        <w:rPr>
          <w:color w:val="000000"/>
        </w:rPr>
        <w:t>,</w:t>
      </w:r>
      <w:r w:rsidRPr="004D6536">
        <w:rPr>
          <w:color w:val="000000"/>
        </w:rPr>
        <w:t xml:space="preserve"> </w:t>
      </w:r>
      <w:r>
        <w:rPr>
          <w:color w:val="000000"/>
        </w:rPr>
        <w:t>31</w:t>
      </w:r>
      <w:r w:rsidRPr="004D6536">
        <w:rPr>
          <w:color w:val="000000"/>
        </w:rPr>
        <w:t xml:space="preserve"> FCC Rcd </w:t>
      </w:r>
      <w:r>
        <w:rPr>
          <w:color w:val="000000"/>
        </w:rPr>
        <w:t>12310</w:t>
      </w:r>
      <w:r w:rsidRPr="004D6536">
        <w:rPr>
          <w:color w:val="000000"/>
        </w:rPr>
        <w:t xml:space="preserve"> (</w:t>
      </w:r>
      <w:r w:rsidR="00C9026B">
        <w:rPr>
          <w:color w:val="000000"/>
        </w:rPr>
        <w:t xml:space="preserve">OET </w:t>
      </w:r>
      <w:r w:rsidRPr="004D6536">
        <w:rPr>
          <w:color w:val="000000"/>
        </w:rPr>
        <w:t>20</w:t>
      </w:r>
      <w:r>
        <w:rPr>
          <w:color w:val="000000"/>
        </w:rPr>
        <w:t>16</w:t>
      </w:r>
      <w:r w:rsidRPr="004D6536">
        <w:rPr>
          <w:color w:val="000000"/>
        </w:rPr>
        <w:t>)</w:t>
      </w:r>
      <w:r>
        <w:rPr>
          <w:color w:val="000000"/>
        </w:rPr>
        <w:t xml:space="preserve"> (mandat</w:t>
      </w:r>
      <w:r w:rsidR="00EE72A7">
        <w:rPr>
          <w:color w:val="000000"/>
        </w:rPr>
        <w:t>ing</w:t>
      </w:r>
      <w:r>
        <w:rPr>
          <w:color w:val="000000"/>
        </w:rPr>
        <w:t xml:space="preserve"> </w:t>
      </w:r>
      <w:r w:rsidR="00EE72A7">
        <w:rPr>
          <w:color w:val="000000"/>
        </w:rPr>
        <w:t xml:space="preserve">a </w:t>
      </w:r>
      <w:r>
        <w:t xml:space="preserve">similar detailed recordkeeping requirement as a condition to granting a waiver). </w:t>
      </w:r>
    </w:p>
  </w:footnote>
  <w:footnote w:id="43">
    <w:p w:rsidR="00331EA1" w:rsidP="00C03B81" w14:paraId="68A3B8F9" w14:textId="77777777">
      <w:pPr>
        <w:pStyle w:val="FootnoteText"/>
      </w:pPr>
      <w:r>
        <w:rPr>
          <w:rStyle w:val="FootnoteReference"/>
        </w:rPr>
        <w:footnoteRef/>
      </w:r>
      <w:r>
        <w:t xml:space="preserve"> </w:t>
      </w:r>
      <w:r w:rsidRPr="0034623C">
        <w:rPr>
          <w:i/>
          <w:iCs/>
        </w:rPr>
        <w:t>See</w:t>
      </w:r>
      <w:r>
        <w:t xml:space="preserve"> Liberty Waiver Request at Exhibit A.</w:t>
      </w:r>
    </w:p>
  </w:footnote>
  <w:footnote w:id="44">
    <w:p w:rsidR="00C63C5D" w:rsidRPr="004D6536" w:rsidP="00C63C5D" w14:paraId="6BFC23CA" w14:textId="77777777">
      <w:pPr>
        <w:pStyle w:val="FootnoteText"/>
        <w:rPr>
          <w:color w:val="000000"/>
        </w:rPr>
      </w:pPr>
      <w:r w:rsidRPr="004D6536">
        <w:rPr>
          <w:rStyle w:val="FootnoteReference"/>
          <w:color w:val="000000"/>
        </w:rPr>
        <w:footnoteRef/>
      </w:r>
      <w:r w:rsidRPr="004D6536">
        <w:rPr>
          <w:color w:val="000000"/>
        </w:rPr>
        <w:t xml:space="preserve"> </w:t>
      </w:r>
      <w:r>
        <w:rPr>
          <w:i/>
          <w:iCs/>
          <w:color w:val="000000"/>
        </w:rPr>
        <w:t xml:space="preserve">See </w:t>
      </w:r>
      <w:r w:rsidRPr="004D6536">
        <w:rPr>
          <w:i/>
          <w:iCs/>
          <w:color w:val="000000"/>
        </w:rPr>
        <w:t>UWB First R&amp;O</w:t>
      </w:r>
      <w:r w:rsidRPr="004D6536">
        <w:rPr>
          <w:iCs/>
          <w:color w:val="000000"/>
        </w:rPr>
        <w:t>,</w:t>
      </w:r>
      <w:r w:rsidRPr="004D6536">
        <w:rPr>
          <w:i/>
          <w:iCs/>
          <w:color w:val="000000"/>
        </w:rPr>
        <w:t xml:space="preserve"> </w:t>
      </w:r>
      <w:r w:rsidRPr="004D6536">
        <w:rPr>
          <w:color w:val="000000"/>
        </w:rPr>
        <w:t>17 FCC Rcd 7435, 7437</w:t>
      </w:r>
      <w:r w:rsidR="00272940">
        <w:rPr>
          <w:color w:val="000000"/>
        </w:rPr>
        <w:t>,</w:t>
      </w:r>
      <w:r w:rsidRPr="004D6536">
        <w:rPr>
          <w:color w:val="000000"/>
        </w:rPr>
        <w:t xml:space="preserve"> para. 1 (stating that “we are concerned, however, that the standards we are adopting may be overprotective and could unnecessarily constrain the development of UWB technology”).</w:t>
      </w:r>
    </w:p>
  </w:footnote>
  <w:footnote w:id="45">
    <w:p w:rsidR="00C63C5D" w:rsidP="00C63C5D" w14:paraId="42F5EC7A" w14:textId="77777777">
      <w:pPr>
        <w:pStyle w:val="FootnoteText"/>
      </w:pPr>
      <w:r>
        <w:rPr>
          <w:rStyle w:val="FootnoteReference"/>
        </w:rPr>
        <w:footnoteRef/>
      </w:r>
      <w:r>
        <w:t xml:space="preserve"> </w:t>
      </w:r>
      <w:r>
        <w:rPr>
          <w:i/>
          <w:iCs/>
        </w:rPr>
        <w:t>See</w:t>
      </w:r>
      <w:r>
        <w:t xml:space="preserve"> Cisco/HPE UWB Letter</w:t>
      </w:r>
      <w:r w:rsidR="006E08FB">
        <w:t xml:space="preserve">, </w:t>
      </w:r>
      <w:r w:rsidRPr="008748E4" w:rsidR="006E08FB">
        <w:rPr>
          <w:i/>
          <w:iCs/>
        </w:rPr>
        <w:t>supra</w:t>
      </w:r>
      <w:r w:rsidR="006E08FB">
        <w:t xml:space="preserve"> note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EA1" w:rsidP="00810B6F" w14:paraId="231FD972" w14:textId="1E3E745B">
    <w:pPr>
      <w:pStyle w:val="Header"/>
      <w:rPr>
        <w:b w:val="0"/>
      </w:rPr>
    </w:pPr>
    <w:r>
      <w:tab/>
    </w:r>
    <w:r>
      <w:t>Federal Communications Commission</w:t>
    </w:r>
    <w:r>
      <w:tab/>
      <w:t xml:space="preserve">DA </w:t>
    </w:r>
    <w:r w:rsidR="00DC6F2C">
      <w:t>2</w:t>
    </w:r>
    <w:r w:rsidR="00C43BAA">
      <w:t>2</w:t>
    </w:r>
    <w:r>
      <w:t>-</w:t>
    </w:r>
    <w:r w:rsidR="00033427">
      <w:t>133</w:t>
    </w:r>
  </w:p>
  <w:p w:rsidR="00331EA1" w14:paraId="17E5AF4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w10:wrap anchorx="margin"/>
        </v:rect>
      </w:pict>
    </w:r>
  </w:p>
  <w:p w:rsidR="00331EA1" w14:paraId="6181E77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EA1" w:rsidP="00810B6F" w14:paraId="05A4D144" w14:textId="5D029AD4">
    <w:pPr>
      <w:pStyle w:val="Header"/>
      <w:rPr>
        <w:spacing w:val="-2"/>
      </w:rPr>
    </w:pPr>
    <w:r>
      <w:rPr>
        <w:noProof/>
      </w:rPr>
      <w:pict>
        <v:rect id="Rectangle 3" o:spid="_x0000_s2050" style="width:468pt;height:0.95pt;margin-top:12.65pt;margin-left:0.6pt;mso-position-horizontal-relative:margin;position:absolute;visibility:visible;z-index:-251657216" o:allowincell="f" fillcolor="black" stroked="f">
          <w10:wrap anchorx="margin"/>
        </v:rect>
      </w:pict>
    </w:r>
    <w:r>
      <w:tab/>
    </w:r>
    <w:r>
      <w:t>Federal Communications Commission</w:t>
    </w:r>
    <w:r>
      <w:tab/>
    </w:r>
    <w:r>
      <w:rPr>
        <w:spacing w:val="-2"/>
      </w:rPr>
      <w:t xml:space="preserve">DA </w:t>
    </w:r>
    <w:r w:rsidR="00BE0B36">
      <w:rPr>
        <w:spacing w:val="-2"/>
      </w:rPr>
      <w:t>2</w:t>
    </w:r>
    <w:r w:rsidR="00C43BAA">
      <w:rPr>
        <w:spacing w:val="-2"/>
      </w:rPr>
      <w:t>2</w:t>
    </w:r>
    <w:r>
      <w:rPr>
        <w:spacing w:val="-2"/>
      </w:rPr>
      <w:t>-</w:t>
    </w:r>
    <w:r w:rsidR="00033427">
      <w:rPr>
        <w:spacing w:val="-2"/>
      </w:rPr>
      <w:t>133</w:t>
    </w:r>
  </w:p>
  <w:p w:rsidR="00331EA1" w:rsidP="00810B6F" w14:paraId="1EFCBE39" w14:textId="77777777">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13738B"/>
    <w:multiLevelType w:val="hybridMultilevel"/>
    <w:tmpl w:val="6CCC51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C0764D3"/>
    <w:multiLevelType w:val="hybridMultilevel"/>
    <w:tmpl w:val="91E4741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9">
    <w:nsid w:val="61182925"/>
    <w:multiLevelType w:val="singleLevel"/>
    <w:tmpl w:val="F780AC4E"/>
    <w:lvl w:ilvl="0">
      <w:start w:val="1"/>
      <w:numFmt w:val="decimal"/>
      <w:pStyle w:val="ParaNum"/>
      <w:lvlText w:val="%1."/>
      <w:lvlJc w:val="left"/>
      <w:pPr>
        <w:tabs>
          <w:tab w:val="num" w:pos="1080"/>
        </w:tabs>
        <w:ind w:left="0" w:firstLine="720"/>
      </w:pPr>
      <w:rPr>
        <w:rFonts w:hint="default"/>
      </w:rPr>
    </w:lvl>
  </w:abstractNum>
  <w:num w:numId="1">
    <w:abstractNumId w:val="3"/>
  </w:num>
  <w:num w:numId="2">
    <w:abstractNumId w:val="9"/>
  </w:num>
  <w:num w:numId="3">
    <w:abstractNumId w:val="5"/>
  </w:num>
  <w:num w:numId="4">
    <w:abstractNumId w:val="7"/>
  </w:num>
  <w:num w:numId="5">
    <w:abstractNumId w:val="4"/>
  </w:num>
  <w:num w:numId="6">
    <w:abstractNumId w:val="1"/>
  </w:num>
  <w:num w:numId="7">
    <w:abstractNumId w:val="2"/>
  </w:num>
  <w:num w:numId="8">
    <w:abstractNumId w:val="6"/>
  </w:num>
  <w:num w:numId="9">
    <w:abstractNumId w:val="8"/>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D9"/>
    <w:rsid w:val="00002D59"/>
    <w:rsid w:val="00002D9B"/>
    <w:rsid w:val="00005620"/>
    <w:rsid w:val="00005B3E"/>
    <w:rsid w:val="00021B12"/>
    <w:rsid w:val="00021E32"/>
    <w:rsid w:val="000243DF"/>
    <w:rsid w:val="0003208D"/>
    <w:rsid w:val="00033427"/>
    <w:rsid w:val="00033487"/>
    <w:rsid w:val="00036039"/>
    <w:rsid w:val="00037F90"/>
    <w:rsid w:val="00040B8F"/>
    <w:rsid w:val="000414B4"/>
    <w:rsid w:val="00043A6F"/>
    <w:rsid w:val="00046531"/>
    <w:rsid w:val="00046DCB"/>
    <w:rsid w:val="00046EE9"/>
    <w:rsid w:val="0004729A"/>
    <w:rsid w:val="0005287A"/>
    <w:rsid w:val="0005320E"/>
    <w:rsid w:val="0005609E"/>
    <w:rsid w:val="00062F2B"/>
    <w:rsid w:val="00066A10"/>
    <w:rsid w:val="000875BF"/>
    <w:rsid w:val="00087F16"/>
    <w:rsid w:val="00090CA0"/>
    <w:rsid w:val="00094047"/>
    <w:rsid w:val="000962B2"/>
    <w:rsid w:val="00096D8C"/>
    <w:rsid w:val="000A2F20"/>
    <w:rsid w:val="000B680C"/>
    <w:rsid w:val="000C0B65"/>
    <w:rsid w:val="000C6C76"/>
    <w:rsid w:val="000D41F7"/>
    <w:rsid w:val="000E05FE"/>
    <w:rsid w:val="000E3D42"/>
    <w:rsid w:val="000E4534"/>
    <w:rsid w:val="000E5027"/>
    <w:rsid w:val="000F50D9"/>
    <w:rsid w:val="000F6AEF"/>
    <w:rsid w:val="00101250"/>
    <w:rsid w:val="0010583F"/>
    <w:rsid w:val="00112139"/>
    <w:rsid w:val="00122BD5"/>
    <w:rsid w:val="0013058C"/>
    <w:rsid w:val="001327B8"/>
    <w:rsid w:val="00132A8D"/>
    <w:rsid w:val="00133F79"/>
    <w:rsid w:val="001437D3"/>
    <w:rsid w:val="00145913"/>
    <w:rsid w:val="001510F1"/>
    <w:rsid w:val="00151A40"/>
    <w:rsid w:val="00161589"/>
    <w:rsid w:val="00176DC6"/>
    <w:rsid w:val="0018184D"/>
    <w:rsid w:val="0018260D"/>
    <w:rsid w:val="001840DE"/>
    <w:rsid w:val="00184DB8"/>
    <w:rsid w:val="00192F14"/>
    <w:rsid w:val="00194A66"/>
    <w:rsid w:val="001A4486"/>
    <w:rsid w:val="001A5822"/>
    <w:rsid w:val="001A736D"/>
    <w:rsid w:val="001A7AC2"/>
    <w:rsid w:val="001A7E25"/>
    <w:rsid w:val="001B1123"/>
    <w:rsid w:val="001B51F8"/>
    <w:rsid w:val="001C0D9D"/>
    <w:rsid w:val="001C29EF"/>
    <w:rsid w:val="001C338E"/>
    <w:rsid w:val="001C3758"/>
    <w:rsid w:val="001D0B7D"/>
    <w:rsid w:val="001D6BCF"/>
    <w:rsid w:val="001E01CA"/>
    <w:rsid w:val="001E3BCD"/>
    <w:rsid w:val="001E6377"/>
    <w:rsid w:val="001E7CC9"/>
    <w:rsid w:val="001F19A7"/>
    <w:rsid w:val="001F43CA"/>
    <w:rsid w:val="00203F86"/>
    <w:rsid w:val="00215797"/>
    <w:rsid w:val="002225FD"/>
    <w:rsid w:val="00223FBE"/>
    <w:rsid w:val="002338D0"/>
    <w:rsid w:val="00244B72"/>
    <w:rsid w:val="00247C88"/>
    <w:rsid w:val="002528E2"/>
    <w:rsid w:val="00256446"/>
    <w:rsid w:val="002643C0"/>
    <w:rsid w:val="00264457"/>
    <w:rsid w:val="00267877"/>
    <w:rsid w:val="00267EF2"/>
    <w:rsid w:val="00272940"/>
    <w:rsid w:val="00275CF5"/>
    <w:rsid w:val="00275FC6"/>
    <w:rsid w:val="0027648F"/>
    <w:rsid w:val="0028301F"/>
    <w:rsid w:val="00285017"/>
    <w:rsid w:val="00294E84"/>
    <w:rsid w:val="002953F3"/>
    <w:rsid w:val="00295D29"/>
    <w:rsid w:val="002A249F"/>
    <w:rsid w:val="002A2D2E"/>
    <w:rsid w:val="002C00E8"/>
    <w:rsid w:val="002C270F"/>
    <w:rsid w:val="002C3C69"/>
    <w:rsid w:val="002C77AE"/>
    <w:rsid w:val="002E0416"/>
    <w:rsid w:val="002E257C"/>
    <w:rsid w:val="002E29A2"/>
    <w:rsid w:val="002F3BEB"/>
    <w:rsid w:val="002F3F5F"/>
    <w:rsid w:val="002F7469"/>
    <w:rsid w:val="00302C67"/>
    <w:rsid w:val="00303D10"/>
    <w:rsid w:val="0030430B"/>
    <w:rsid w:val="0031034D"/>
    <w:rsid w:val="00314744"/>
    <w:rsid w:val="00320B0A"/>
    <w:rsid w:val="003221A6"/>
    <w:rsid w:val="0032224F"/>
    <w:rsid w:val="00324797"/>
    <w:rsid w:val="003254F9"/>
    <w:rsid w:val="00326014"/>
    <w:rsid w:val="00326AB6"/>
    <w:rsid w:val="00326E56"/>
    <w:rsid w:val="00331EA1"/>
    <w:rsid w:val="00341D66"/>
    <w:rsid w:val="00343749"/>
    <w:rsid w:val="00345940"/>
    <w:rsid w:val="00345A12"/>
    <w:rsid w:val="0034623C"/>
    <w:rsid w:val="00353E4E"/>
    <w:rsid w:val="003600DE"/>
    <w:rsid w:val="00363A14"/>
    <w:rsid w:val="003660ED"/>
    <w:rsid w:val="00367F84"/>
    <w:rsid w:val="00373065"/>
    <w:rsid w:val="00376D36"/>
    <w:rsid w:val="00383E33"/>
    <w:rsid w:val="00384EB4"/>
    <w:rsid w:val="00386F24"/>
    <w:rsid w:val="003913E4"/>
    <w:rsid w:val="00392D28"/>
    <w:rsid w:val="00392E34"/>
    <w:rsid w:val="00393A7A"/>
    <w:rsid w:val="003A709F"/>
    <w:rsid w:val="003B0550"/>
    <w:rsid w:val="003B1D05"/>
    <w:rsid w:val="003B3FFF"/>
    <w:rsid w:val="003B4387"/>
    <w:rsid w:val="003B57D7"/>
    <w:rsid w:val="003B6329"/>
    <w:rsid w:val="003B645F"/>
    <w:rsid w:val="003B679B"/>
    <w:rsid w:val="003B694F"/>
    <w:rsid w:val="003C172A"/>
    <w:rsid w:val="003C1C23"/>
    <w:rsid w:val="003C21DF"/>
    <w:rsid w:val="003D6309"/>
    <w:rsid w:val="003D75CB"/>
    <w:rsid w:val="003E3E28"/>
    <w:rsid w:val="003E5739"/>
    <w:rsid w:val="003F171C"/>
    <w:rsid w:val="003F1C1B"/>
    <w:rsid w:val="003F452C"/>
    <w:rsid w:val="00400CEE"/>
    <w:rsid w:val="004105AF"/>
    <w:rsid w:val="00412FC5"/>
    <w:rsid w:val="00422276"/>
    <w:rsid w:val="004242F1"/>
    <w:rsid w:val="00424926"/>
    <w:rsid w:val="00431598"/>
    <w:rsid w:val="004403BC"/>
    <w:rsid w:val="00441575"/>
    <w:rsid w:val="00445448"/>
    <w:rsid w:val="00445A00"/>
    <w:rsid w:val="00451B0F"/>
    <w:rsid w:val="00451B3E"/>
    <w:rsid w:val="0045558B"/>
    <w:rsid w:val="00455C44"/>
    <w:rsid w:val="00455FAB"/>
    <w:rsid w:val="00456E8F"/>
    <w:rsid w:val="00457CDA"/>
    <w:rsid w:val="00460A6B"/>
    <w:rsid w:val="00465BC1"/>
    <w:rsid w:val="004673C4"/>
    <w:rsid w:val="004674FA"/>
    <w:rsid w:val="00472386"/>
    <w:rsid w:val="00472AE0"/>
    <w:rsid w:val="00472ED8"/>
    <w:rsid w:val="0048658B"/>
    <w:rsid w:val="004A0D49"/>
    <w:rsid w:val="004A38F5"/>
    <w:rsid w:val="004A4DF3"/>
    <w:rsid w:val="004B1C37"/>
    <w:rsid w:val="004C2EE3"/>
    <w:rsid w:val="004C475A"/>
    <w:rsid w:val="004C4C30"/>
    <w:rsid w:val="004D2273"/>
    <w:rsid w:val="004D2F1A"/>
    <w:rsid w:val="004D568B"/>
    <w:rsid w:val="004D6536"/>
    <w:rsid w:val="004D78DB"/>
    <w:rsid w:val="004E4A22"/>
    <w:rsid w:val="004F4316"/>
    <w:rsid w:val="004F4C7E"/>
    <w:rsid w:val="00500E89"/>
    <w:rsid w:val="00502641"/>
    <w:rsid w:val="00511968"/>
    <w:rsid w:val="00512FD0"/>
    <w:rsid w:val="00513209"/>
    <w:rsid w:val="00514C5B"/>
    <w:rsid w:val="00516F4E"/>
    <w:rsid w:val="0052093F"/>
    <w:rsid w:val="00522453"/>
    <w:rsid w:val="00523127"/>
    <w:rsid w:val="005232AD"/>
    <w:rsid w:val="005241B0"/>
    <w:rsid w:val="0052751C"/>
    <w:rsid w:val="00541CBB"/>
    <w:rsid w:val="00542A03"/>
    <w:rsid w:val="00544674"/>
    <w:rsid w:val="0054563B"/>
    <w:rsid w:val="00550B84"/>
    <w:rsid w:val="0055614C"/>
    <w:rsid w:val="00556801"/>
    <w:rsid w:val="00560EFB"/>
    <w:rsid w:val="00566D06"/>
    <w:rsid w:val="00577837"/>
    <w:rsid w:val="00581B1D"/>
    <w:rsid w:val="005823E4"/>
    <w:rsid w:val="00594233"/>
    <w:rsid w:val="00595697"/>
    <w:rsid w:val="005A20BC"/>
    <w:rsid w:val="005A6095"/>
    <w:rsid w:val="005A74D4"/>
    <w:rsid w:val="005B59CB"/>
    <w:rsid w:val="005B6E32"/>
    <w:rsid w:val="005C04BB"/>
    <w:rsid w:val="005C22FD"/>
    <w:rsid w:val="005C2320"/>
    <w:rsid w:val="005C3698"/>
    <w:rsid w:val="005C429A"/>
    <w:rsid w:val="005D1B14"/>
    <w:rsid w:val="005E0ED9"/>
    <w:rsid w:val="005E14C2"/>
    <w:rsid w:val="005E29E4"/>
    <w:rsid w:val="005E2D66"/>
    <w:rsid w:val="005E3B51"/>
    <w:rsid w:val="005E60EA"/>
    <w:rsid w:val="005F0742"/>
    <w:rsid w:val="005F5C6A"/>
    <w:rsid w:val="005F5E9E"/>
    <w:rsid w:val="005F6B64"/>
    <w:rsid w:val="005F7298"/>
    <w:rsid w:val="00601426"/>
    <w:rsid w:val="00605ABD"/>
    <w:rsid w:val="00607BA5"/>
    <w:rsid w:val="00610DBB"/>
    <w:rsid w:val="0061180A"/>
    <w:rsid w:val="006171EE"/>
    <w:rsid w:val="00624039"/>
    <w:rsid w:val="0062519A"/>
    <w:rsid w:val="00626EB6"/>
    <w:rsid w:val="00632D90"/>
    <w:rsid w:val="00634256"/>
    <w:rsid w:val="00640C83"/>
    <w:rsid w:val="00642E78"/>
    <w:rsid w:val="00652F26"/>
    <w:rsid w:val="006542BB"/>
    <w:rsid w:val="00655D03"/>
    <w:rsid w:val="0065642F"/>
    <w:rsid w:val="00657E94"/>
    <w:rsid w:val="006644B8"/>
    <w:rsid w:val="00664A7E"/>
    <w:rsid w:val="00666269"/>
    <w:rsid w:val="00667A8C"/>
    <w:rsid w:val="00673BA9"/>
    <w:rsid w:val="00683388"/>
    <w:rsid w:val="00683F84"/>
    <w:rsid w:val="00690EC8"/>
    <w:rsid w:val="006915E0"/>
    <w:rsid w:val="00693D44"/>
    <w:rsid w:val="00694D20"/>
    <w:rsid w:val="00697D0D"/>
    <w:rsid w:val="006A03DB"/>
    <w:rsid w:val="006A4B06"/>
    <w:rsid w:val="006A6A81"/>
    <w:rsid w:val="006A7139"/>
    <w:rsid w:val="006B55AD"/>
    <w:rsid w:val="006B6C89"/>
    <w:rsid w:val="006C661F"/>
    <w:rsid w:val="006E08FB"/>
    <w:rsid w:val="006E6FB2"/>
    <w:rsid w:val="006F7393"/>
    <w:rsid w:val="0070224F"/>
    <w:rsid w:val="00706520"/>
    <w:rsid w:val="007115F7"/>
    <w:rsid w:val="00716608"/>
    <w:rsid w:val="00720FE2"/>
    <w:rsid w:val="007268FA"/>
    <w:rsid w:val="007326CF"/>
    <w:rsid w:val="0073433A"/>
    <w:rsid w:val="00735E87"/>
    <w:rsid w:val="007437D4"/>
    <w:rsid w:val="00743843"/>
    <w:rsid w:val="00745897"/>
    <w:rsid w:val="00750EF3"/>
    <w:rsid w:val="0075138B"/>
    <w:rsid w:val="007522F1"/>
    <w:rsid w:val="00753FA6"/>
    <w:rsid w:val="00765D12"/>
    <w:rsid w:val="00771B2E"/>
    <w:rsid w:val="00773652"/>
    <w:rsid w:val="007812AE"/>
    <w:rsid w:val="00783119"/>
    <w:rsid w:val="00783D8E"/>
    <w:rsid w:val="00785689"/>
    <w:rsid w:val="00793100"/>
    <w:rsid w:val="00793153"/>
    <w:rsid w:val="00793AE4"/>
    <w:rsid w:val="00796520"/>
    <w:rsid w:val="00797165"/>
    <w:rsid w:val="0079754B"/>
    <w:rsid w:val="007A1E6D"/>
    <w:rsid w:val="007A5C8D"/>
    <w:rsid w:val="007B09E7"/>
    <w:rsid w:val="007B0EB2"/>
    <w:rsid w:val="007B7DBF"/>
    <w:rsid w:val="007C403D"/>
    <w:rsid w:val="007D1444"/>
    <w:rsid w:val="007D2EC5"/>
    <w:rsid w:val="007D4D7C"/>
    <w:rsid w:val="007E0B5C"/>
    <w:rsid w:val="007E6B14"/>
    <w:rsid w:val="007E77A5"/>
    <w:rsid w:val="00801AFD"/>
    <w:rsid w:val="008068AF"/>
    <w:rsid w:val="008072A4"/>
    <w:rsid w:val="00810B6F"/>
    <w:rsid w:val="00812C75"/>
    <w:rsid w:val="00813CC3"/>
    <w:rsid w:val="008151A2"/>
    <w:rsid w:val="008155CE"/>
    <w:rsid w:val="00822CE0"/>
    <w:rsid w:val="008248B3"/>
    <w:rsid w:val="0083080B"/>
    <w:rsid w:val="00833E3A"/>
    <w:rsid w:val="00834C79"/>
    <w:rsid w:val="00835924"/>
    <w:rsid w:val="00835A32"/>
    <w:rsid w:val="00841AB1"/>
    <w:rsid w:val="00843405"/>
    <w:rsid w:val="0084378A"/>
    <w:rsid w:val="00847EEA"/>
    <w:rsid w:val="00856A50"/>
    <w:rsid w:val="0086299E"/>
    <w:rsid w:val="00865BAF"/>
    <w:rsid w:val="008666C7"/>
    <w:rsid w:val="00871064"/>
    <w:rsid w:val="00872084"/>
    <w:rsid w:val="00872721"/>
    <w:rsid w:val="008748E4"/>
    <w:rsid w:val="00876810"/>
    <w:rsid w:val="00883E09"/>
    <w:rsid w:val="008851C4"/>
    <w:rsid w:val="008873BA"/>
    <w:rsid w:val="0088745A"/>
    <w:rsid w:val="00890976"/>
    <w:rsid w:val="00891E9C"/>
    <w:rsid w:val="008928A6"/>
    <w:rsid w:val="00896832"/>
    <w:rsid w:val="008A0301"/>
    <w:rsid w:val="008A1E09"/>
    <w:rsid w:val="008A4C01"/>
    <w:rsid w:val="008A6D3A"/>
    <w:rsid w:val="008B1702"/>
    <w:rsid w:val="008B522C"/>
    <w:rsid w:val="008B799A"/>
    <w:rsid w:val="008C08EE"/>
    <w:rsid w:val="008C68F1"/>
    <w:rsid w:val="008D0E97"/>
    <w:rsid w:val="008D38B0"/>
    <w:rsid w:val="008F0B11"/>
    <w:rsid w:val="008F243F"/>
    <w:rsid w:val="008F78F9"/>
    <w:rsid w:val="009026B2"/>
    <w:rsid w:val="00903785"/>
    <w:rsid w:val="00916674"/>
    <w:rsid w:val="0091781F"/>
    <w:rsid w:val="00921803"/>
    <w:rsid w:val="00924C02"/>
    <w:rsid w:val="00926224"/>
    <w:rsid w:val="00926503"/>
    <w:rsid w:val="0092712F"/>
    <w:rsid w:val="0093563D"/>
    <w:rsid w:val="00936592"/>
    <w:rsid w:val="00940E3E"/>
    <w:rsid w:val="00942CEC"/>
    <w:rsid w:val="00944F23"/>
    <w:rsid w:val="00955D8A"/>
    <w:rsid w:val="00957733"/>
    <w:rsid w:val="00965E6A"/>
    <w:rsid w:val="0096787D"/>
    <w:rsid w:val="00967FAA"/>
    <w:rsid w:val="009726D8"/>
    <w:rsid w:val="00974C38"/>
    <w:rsid w:val="00974EAD"/>
    <w:rsid w:val="00984E24"/>
    <w:rsid w:val="0099142A"/>
    <w:rsid w:val="00994FAB"/>
    <w:rsid w:val="0099643E"/>
    <w:rsid w:val="00996512"/>
    <w:rsid w:val="00996A3E"/>
    <w:rsid w:val="009A09EC"/>
    <w:rsid w:val="009B4932"/>
    <w:rsid w:val="009B55EE"/>
    <w:rsid w:val="009B5602"/>
    <w:rsid w:val="009C270C"/>
    <w:rsid w:val="009D0259"/>
    <w:rsid w:val="009D7308"/>
    <w:rsid w:val="009E0DF4"/>
    <w:rsid w:val="009E4131"/>
    <w:rsid w:val="009E4547"/>
    <w:rsid w:val="009F6360"/>
    <w:rsid w:val="009F76DB"/>
    <w:rsid w:val="00A00BE8"/>
    <w:rsid w:val="00A02077"/>
    <w:rsid w:val="00A035E9"/>
    <w:rsid w:val="00A044F7"/>
    <w:rsid w:val="00A12914"/>
    <w:rsid w:val="00A12BBE"/>
    <w:rsid w:val="00A16858"/>
    <w:rsid w:val="00A21A66"/>
    <w:rsid w:val="00A21D6C"/>
    <w:rsid w:val="00A2256A"/>
    <w:rsid w:val="00A27B25"/>
    <w:rsid w:val="00A30BF7"/>
    <w:rsid w:val="00A32C3B"/>
    <w:rsid w:val="00A33090"/>
    <w:rsid w:val="00A37B28"/>
    <w:rsid w:val="00A41DA9"/>
    <w:rsid w:val="00A425A1"/>
    <w:rsid w:val="00A43C7F"/>
    <w:rsid w:val="00A43EA6"/>
    <w:rsid w:val="00A45332"/>
    <w:rsid w:val="00A45B22"/>
    <w:rsid w:val="00A45F4F"/>
    <w:rsid w:val="00A47B47"/>
    <w:rsid w:val="00A5123D"/>
    <w:rsid w:val="00A600A9"/>
    <w:rsid w:val="00A60518"/>
    <w:rsid w:val="00A63A38"/>
    <w:rsid w:val="00A67948"/>
    <w:rsid w:val="00A70502"/>
    <w:rsid w:val="00A70553"/>
    <w:rsid w:val="00A735D3"/>
    <w:rsid w:val="00A777A8"/>
    <w:rsid w:val="00A779EF"/>
    <w:rsid w:val="00AA2A56"/>
    <w:rsid w:val="00AA2EAA"/>
    <w:rsid w:val="00AA55B7"/>
    <w:rsid w:val="00AA595D"/>
    <w:rsid w:val="00AA5B9E"/>
    <w:rsid w:val="00AB2407"/>
    <w:rsid w:val="00AB53DF"/>
    <w:rsid w:val="00AB6D44"/>
    <w:rsid w:val="00AD36E8"/>
    <w:rsid w:val="00AD415F"/>
    <w:rsid w:val="00AD567E"/>
    <w:rsid w:val="00AD6A56"/>
    <w:rsid w:val="00AE0A61"/>
    <w:rsid w:val="00AF40DD"/>
    <w:rsid w:val="00AF5352"/>
    <w:rsid w:val="00AF65C0"/>
    <w:rsid w:val="00AF6A6B"/>
    <w:rsid w:val="00B05CE4"/>
    <w:rsid w:val="00B06FA2"/>
    <w:rsid w:val="00B07E5C"/>
    <w:rsid w:val="00B17437"/>
    <w:rsid w:val="00B319E4"/>
    <w:rsid w:val="00B33759"/>
    <w:rsid w:val="00B354AB"/>
    <w:rsid w:val="00B41223"/>
    <w:rsid w:val="00B57851"/>
    <w:rsid w:val="00B63756"/>
    <w:rsid w:val="00B705F3"/>
    <w:rsid w:val="00B73782"/>
    <w:rsid w:val="00B73B86"/>
    <w:rsid w:val="00B74512"/>
    <w:rsid w:val="00B7678C"/>
    <w:rsid w:val="00B811F7"/>
    <w:rsid w:val="00B83316"/>
    <w:rsid w:val="00B86DF5"/>
    <w:rsid w:val="00B91835"/>
    <w:rsid w:val="00B92943"/>
    <w:rsid w:val="00BA1A40"/>
    <w:rsid w:val="00BA480E"/>
    <w:rsid w:val="00BA5DC6"/>
    <w:rsid w:val="00BA6196"/>
    <w:rsid w:val="00BA748C"/>
    <w:rsid w:val="00BA7644"/>
    <w:rsid w:val="00BA7BC6"/>
    <w:rsid w:val="00BB49CF"/>
    <w:rsid w:val="00BB7F78"/>
    <w:rsid w:val="00BC6D8C"/>
    <w:rsid w:val="00BD358F"/>
    <w:rsid w:val="00BD359B"/>
    <w:rsid w:val="00BE0B36"/>
    <w:rsid w:val="00BE6C3A"/>
    <w:rsid w:val="00BF2CCA"/>
    <w:rsid w:val="00BF2D66"/>
    <w:rsid w:val="00BF6DC8"/>
    <w:rsid w:val="00C0076C"/>
    <w:rsid w:val="00C036B8"/>
    <w:rsid w:val="00C03B81"/>
    <w:rsid w:val="00C16280"/>
    <w:rsid w:val="00C206A9"/>
    <w:rsid w:val="00C307BF"/>
    <w:rsid w:val="00C30F50"/>
    <w:rsid w:val="00C31CCD"/>
    <w:rsid w:val="00C34006"/>
    <w:rsid w:val="00C34DDB"/>
    <w:rsid w:val="00C367DC"/>
    <w:rsid w:val="00C36B4C"/>
    <w:rsid w:val="00C414CD"/>
    <w:rsid w:val="00C426B1"/>
    <w:rsid w:val="00C42C9A"/>
    <w:rsid w:val="00C43BAA"/>
    <w:rsid w:val="00C54CAD"/>
    <w:rsid w:val="00C60A8B"/>
    <w:rsid w:val="00C6169E"/>
    <w:rsid w:val="00C61971"/>
    <w:rsid w:val="00C63C5D"/>
    <w:rsid w:val="00C66160"/>
    <w:rsid w:val="00C721AC"/>
    <w:rsid w:val="00C76263"/>
    <w:rsid w:val="00C822AA"/>
    <w:rsid w:val="00C9026B"/>
    <w:rsid w:val="00C90D6A"/>
    <w:rsid w:val="00CA15EB"/>
    <w:rsid w:val="00CA247E"/>
    <w:rsid w:val="00CA3F4C"/>
    <w:rsid w:val="00CA6D21"/>
    <w:rsid w:val="00CB114E"/>
    <w:rsid w:val="00CB193B"/>
    <w:rsid w:val="00CB5B5B"/>
    <w:rsid w:val="00CC72B6"/>
    <w:rsid w:val="00CD24A1"/>
    <w:rsid w:val="00CD2B4D"/>
    <w:rsid w:val="00CD4A67"/>
    <w:rsid w:val="00CE01EF"/>
    <w:rsid w:val="00CE3067"/>
    <w:rsid w:val="00CE3AED"/>
    <w:rsid w:val="00CF4095"/>
    <w:rsid w:val="00CF43BF"/>
    <w:rsid w:val="00CF58DF"/>
    <w:rsid w:val="00CF5E90"/>
    <w:rsid w:val="00CF5EEA"/>
    <w:rsid w:val="00D0218D"/>
    <w:rsid w:val="00D03057"/>
    <w:rsid w:val="00D10472"/>
    <w:rsid w:val="00D1572B"/>
    <w:rsid w:val="00D16EB0"/>
    <w:rsid w:val="00D25FB5"/>
    <w:rsid w:val="00D44223"/>
    <w:rsid w:val="00D569BB"/>
    <w:rsid w:val="00D60746"/>
    <w:rsid w:val="00D62FAF"/>
    <w:rsid w:val="00D72DBE"/>
    <w:rsid w:val="00D77371"/>
    <w:rsid w:val="00D81304"/>
    <w:rsid w:val="00D81957"/>
    <w:rsid w:val="00D85FE6"/>
    <w:rsid w:val="00D92DDA"/>
    <w:rsid w:val="00D94390"/>
    <w:rsid w:val="00DA2529"/>
    <w:rsid w:val="00DA7A5C"/>
    <w:rsid w:val="00DB130A"/>
    <w:rsid w:val="00DB2EBB"/>
    <w:rsid w:val="00DB4DEC"/>
    <w:rsid w:val="00DB5F27"/>
    <w:rsid w:val="00DC10A1"/>
    <w:rsid w:val="00DC1561"/>
    <w:rsid w:val="00DC356B"/>
    <w:rsid w:val="00DC655F"/>
    <w:rsid w:val="00DC6F2C"/>
    <w:rsid w:val="00DC70B2"/>
    <w:rsid w:val="00DC76B1"/>
    <w:rsid w:val="00DD0B59"/>
    <w:rsid w:val="00DD5533"/>
    <w:rsid w:val="00DD6C31"/>
    <w:rsid w:val="00DD7475"/>
    <w:rsid w:val="00DD7EBD"/>
    <w:rsid w:val="00DE278D"/>
    <w:rsid w:val="00DE38A4"/>
    <w:rsid w:val="00DE5725"/>
    <w:rsid w:val="00DE67EC"/>
    <w:rsid w:val="00DE75A8"/>
    <w:rsid w:val="00DF0DEB"/>
    <w:rsid w:val="00DF5CD6"/>
    <w:rsid w:val="00DF62B6"/>
    <w:rsid w:val="00E07225"/>
    <w:rsid w:val="00E07D64"/>
    <w:rsid w:val="00E12AC7"/>
    <w:rsid w:val="00E16863"/>
    <w:rsid w:val="00E17301"/>
    <w:rsid w:val="00E33334"/>
    <w:rsid w:val="00E34ECB"/>
    <w:rsid w:val="00E373C4"/>
    <w:rsid w:val="00E406EB"/>
    <w:rsid w:val="00E440D5"/>
    <w:rsid w:val="00E45349"/>
    <w:rsid w:val="00E5409F"/>
    <w:rsid w:val="00E605A4"/>
    <w:rsid w:val="00E66D31"/>
    <w:rsid w:val="00E71AC8"/>
    <w:rsid w:val="00E72EE2"/>
    <w:rsid w:val="00E752E9"/>
    <w:rsid w:val="00E81D04"/>
    <w:rsid w:val="00E8318D"/>
    <w:rsid w:val="00E86191"/>
    <w:rsid w:val="00E86C88"/>
    <w:rsid w:val="00E90DDC"/>
    <w:rsid w:val="00E92279"/>
    <w:rsid w:val="00E93980"/>
    <w:rsid w:val="00E9436C"/>
    <w:rsid w:val="00EB634A"/>
    <w:rsid w:val="00EC0307"/>
    <w:rsid w:val="00EC4167"/>
    <w:rsid w:val="00EC42DA"/>
    <w:rsid w:val="00EC6756"/>
    <w:rsid w:val="00EE2D8A"/>
    <w:rsid w:val="00EE6488"/>
    <w:rsid w:val="00EE72A7"/>
    <w:rsid w:val="00EF2688"/>
    <w:rsid w:val="00EF4BC6"/>
    <w:rsid w:val="00EF73AC"/>
    <w:rsid w:val="00EF7E80"/>
    <w:rsid w:val="00F021FA"/>
    <w:rsid w:val="00F170DA"/>
    <w:rsid w:val="00F24E84"/>
    <w:rsid w:val="00F3354E"/>
    <w:rsid w:val="00F36660"/>
    <w:rsid w:val="00F41426"/>
    <w:rsid w:val="00F43B5F"/>
    <w:rsid w:val="00F50EF1"/>
    <w:rsid w:val="00F6081B"/>
    <w:rsid w:val="00F62E97"/>
    <w:rsid w:val="00F64209"/>
    <w:rsid w:val="00F661BD"/>
    <w:rsid w:val="00F67858"/>
    <w:rsid w:val="00F71389"/>
    <w:rsid w:val="00F71E41"/>
    <w:rsid w:val="00F82981"/>
    <w:rsid w:val="00F902C6"/>
    <w:rsid w:val="00F90695"/>
    <w:rsid w:val="00F907B5"/>
    <w:rsid w:val="00F93BF5"/>
    <w:rsid w:val="00FB2BC9"/>
    <w:rsid w:val="00FB369A"/>
    <w:rsid w:val="00FB3CA5"/>
    <w:rsid w:val="00FB5B24"/>
    <w:rsid w:val="00FB5C17"/>
    <w:rsid w:val="00FB7550"/>
    <w:rsid w:val="00FC2476"/>
    <w:rsid w:val="00FC59BE"/>
    <w:rsid w:val="00FC7729"/>
    <w:rsid w:val="00FD096B"/>
    <w:rsid w:val="00FD1319"/>
    <w:rsid w:val="00FD3FD4"/>
    <w:rsid w:val="00FE57EB"/>
    <w:rsid w:val="00FF71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4DAFF16"/>
  <w15:docId w15:val="{B9E234B6-6638-4D9F-886C-98C823F7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Footnote Text Char,Footnote Text Char Char2 Char,Footnote Text Char Char2 Char Char Char,Footnote Text Char1,Footnote Text Char1 Char2,Footnote Text Char1 Char2 Char Char,Footnote Text Char1 Char2 Char Char Char Char,f,fn,footnote text"/>
    <w:link w:val="FootnoteTextChar2"/>
    <w:uiPriority w:val="99"/>
    <w:rsid w:val="000E3D42"/>
    <w:pPr>
      <w:spacing w:after="120"/>
    </w:pPr>
  </w:style>
  <w:style w:type="character" w:styleId="FootnoteReference">
    <w:name w:val="footnote reference"/>
    <w:aliases w:val="Appel note de bas de p"/>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customStyle="1" w:styleId="Style3">
    <w:name w:val="Style3"/>
    <w:basedOn w:val="ParaNum"/>
    <w:rsid w:val="00C16280"/>
    <w:pPr>
      <w:numPr>
        <w:numId w:val="0"/>
      </w:numPr>
      <w:tabs>
        <w:tab w:val="left" w:pos="720"/>
        <w:tab w:val="left" w:pos="1440"/>
      </w:tabs>
      <w:spacing w:after="220"/>
      <w:ind w:firstLine="720"/>
    </w:pPr>
  </w:style>
  <w:style w:type="paragraph" w:customStyle="1" w:styleId="StyleParaNumLeft">
    <w:name w:val="Style ParaNum + Left"/>
    <w:basedOn w:val="ParaNum"/>
    <w:rsid w:val="00C16280"/>
    <w:pPr>
      <w:numPr>
        <w:numId w:val="0"/>
      </w:numPr>
      <w:tabs>
        <w:tab w:val="left" w:pos="1080"/>
        <w:tab w:val="left" w:pos="1440"/>
        <w:tab w:val="left" w:pos="1800"/>
      </w:tabs>
      <w:spacing w:after="220"/>
    </w:pPr>
  </w:style>
  <w:style w:type="character" w:customStyle="1" w:styleId="FootnoteTextChar2">
    <w:name w:val="Footnote Text Char2"/>
    <w:aliases w:val="Footnote Text Char Char,Footnote Text Char Char2 Char Char,Footnote Text Char Char2 Char Char Char Char,Footnote Text Char1 Char,Footnote Text Char1 Char2 Char,Footnote Text Char1 Char2 Char Char Char,fn Char,footnote text Char"/>
    <w:link w:val="FootnoteText"/>
    <w:uiPriority w:val="99"/>
    <w:rsid w:val="00C16280"/>
  </w:style>
  <w:style w:type="paragraph" w:styleId="BalloonText">
    <w:name w:val="Balloon Text"/>
    <w:basedOn w:val="Normal"/>
    <w:link w:val="BalloonTextChar"/>
    <w:uiPriority w:val="99"/>
    <w:rsid w:val="00F6081B"/>
    <w:rPr>
      <w:rFonts w:ascii="Segoe UI" w:hAnsi="Segoe UI" w:cs="Segoe UI"/>
      <w:sz w:val="18"/>
      <w:szCs w:val="18"/>
    </w:rPr>
  </w:style>
  <w:style w:type="character" w:customStyle="1" w:styleId="BalloonTextChar">
    <w:name w:val="Balloon Text Char"/>
    <w:link w:val="BalloonText"/>
    <w:uiPriority w:val="99"/>
    <w:rsid w:val="00F6081B"/>
    <w:rPr>
      <w:rFonts w:ascii="Segoe UI" w:hAnsi="Segoe UI" w:cs="Segoe UI"/>
      <w:snapToGrid w:val="0"/>
      <w:kern w:val="28"/>
      <w:sz w:val="18"/>
      <w:szCs w:val="18"/>
    </w:rPr>
  </w:style>
  <w:style w:type="character" w:styleId="CommentReference">
    <w:name w:val="annotation reference"/>
    <w:rsid w:val="00B74512"/>
    <w:rPr>
      <w:sz w:val="16"/>
      <w:szCs w:val="16"/>
    </w:rPr>
  </w:style>
  <w:style w:type="paragraph" w:styleId="CommentText">
    <w:name w:val="annotation text"/>
    <w:basedOn w:val="Normal"/>
    <w:link w:val="CommentTextChar"/>
    <w:rsid w:val="00B74512"/>
    <w:rPr>
      <w:sz w:val="20"/>
    </w:rPr>
  </w:style>
  <w:style w:type="character" w:customStyle="1" w:styleId="CommentTextChar">
    <w:name w:val="Comment Text Char"/>
    <w:link w:val="CommentText"/>
    <w:rsid w:val="00B74512"/>
    <w:rPr>
      <w:snapToGrid w:val="0"/>
      <w:kern w:val="28"/>
    </w:rPr>
  </w:style>
  <w:style w:type="paragraph" w:styleId="CommentSubject">
    <w:name w:val="annotation subject"/>
    <w:basedOn w:val="CommentText"/>
    <w:next w:val="CommentText"/>
    <w:link w:val="CommentSubjectChar"/>
    <w:rsid w:val="00B74512"/>
    <w:rPr>
      <w:b/>
      <w:bCs/>
    </w:rPr>
  </w:style>
  <w:style w:type="character" w:customStyle="1" w:styleId="CommentSubjectChar">
    <w:name w:val="Comment Subject Char"/>
    <w:link w:val="CommentSubject"/>
    <w:rsid w:val="00B74512"/>
    <w:rPr>
      <w:b/>
      <w:bCs/>
      <w:snapToGrid w:val="0"/>
      <w:kern w:val="28"/>
    </w:rPr>
  </w:style>
  <w:style w:type="paragraph" w:styleId="Revision">
    <w:name w:val="Revision"/>
    <w:hidden/>
    <w:uiPriority w:val="99"/>
    <w:semiHidden/>
    <w:rsid w:val="00465BC1"/>
    <w:rPr>
      <w:snapToGrid w:val="0"/>
      <w:kern w:val="28"/>
      <w:sz w:val="22"/>
    </w:rPr>
  </w:style>
  <w:style w:type="table" w:styleId="TableGrid">
    <w:name w:val="Table Grid"/>
    <w:basedOn w:val="TableNormal"/>
    <w:uiPriority w:val="59"/>
    <w:rsid w:val="0099651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425A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sm@nsf.gov" TargetMode="External" /><Relationship Id="rId6" Type="http://schemas.openxmlformats.org/officeDocument/2006/relationships/hyperlink" Target="mailto:nrao-rfi@nrao.edu" TargetMode="External" /><Relationship Id="rId7" Type="http://schemas.openxmlformats.org/officeDocument/2006/relationships/hyperlink" Target="mailto:angel@naic.edu" TargetMode="External" /><Relationship Id="rId8" Type="http://schemas.openxmlformats.org/officeDocument/2006/relationships/hyperlink" Target="mailto:nrqz@gb.nrao.edu"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eb2.westlaw.com/find/default.wl?tf=-1&amp;rs=WLW8.08&amp;fn=_top&amp;sv=Split&amp;tc=-1&amp;docname=47CFRS1.3&amp;ordoc=2011591254&amp;findtype=L&amp;db=1000547&amp;vr=2.0&amp;rp=%2ffind%2fdefault.wl&amp;mt=Westlaw" TargetMode="External" /><Relationship Id="rId2" Type="http://schemas.openxmlformats.org/officeDocument/2006/relationships/hyperlink" Target="https://web2.westlaw.com/find/default.wl?tf=-1&amp;rs=WLW8.08&amp;serialnum=2007579635&amp;fn=_top&amp;sv=Split&amp;tc=-1&amp;findtype=Y&amp;ordoc=2011591254&amp;db=506&amp;vr=2.0&amp;rp=%2ffind%2fdefault.wl&amp;mt=Westlaw" TargetMode="External" /><Relationship Id="rId3" Type="http://schemas.openxmlformats.org/officeDocument/2006/relationships/hyperlink" Target="https://web2.westlaw.com/find/default.wl?tf=-1&amp;rs=WLW8.08&amp;serialnum=1990047144&amp;fn=_top&amp;sv=Split&amp;tc=-1&amp;findtype=Y&amp;ordoc=2011591254&amp;db=350&amp;vr=2.0&amp;rp=%2ffind%2fdefault.wl&amp;mt=Westlaw" TargetMode="External" /><Relationship Id="rId4" Type="http://schemas.openxmlformats.org/officeDocument/2006/relationships/hyperlink" Target="https://web2.westlaw.com/find/default.wl?tf=-1&amp;rs=WLW8.08&amp;serialnum=1969121124&amp;fn=_top&amp;sv=Split&amp;tc=-1&amp;findtype=Y&amp;ordoc=2011591254&amp;db=350&amp;vr=2.0&amp;rp=%2ffind%2fdefault.wl&amp;mt=Westlaw" TargetMode="External" /><Relationship Id="rId5"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 /><Relationship Id="rId6"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