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rsidRPr="00EE241D" w14:paraId="477D8751" w14:textId="753CFBF9">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sidRPr="00EE241D">
        <w:rPr>
          <w:szCs w:val="22"/>
        </w:rPr>
        <w:t xml:space="preserve"> </w:t>
      </w:r>
    </w:p>
    <w:p w:rsidR="00F6162F" w:rsidRPr="00F6162F" w:rsidP="00F6162F" w14:paraId="505F46BF" w14:textId="12E8FF66">
      <w:pPr>
        <w:widowControl w:val="0"/>
        <w:jc w:val="right"/>
        <w:rPr>
          <w:b/>
          <w:snapToGrid w:val="0"/>
          <w:kern w:val="28"/>
        </w:rPr>
      </w:pPr>
      <w:r w:rsidRPr="00956E17">
        <w:rPr>
          <w:b/>
          <w:snapToGrid w:val="0"/>
          <w:kern w:val="28"/>
        </w:rPr>
        <w:t>DA 22-</w:t>
      </w:r>
      <w:r w:rsidRPr="00956E17" w:rsidR="00956E17">
        <w:rPr>
          <w:b/>
          <w:snapToGrid w:val="0"/>
          <w:kern w:val="28"/>
        </w:rPr>
        <w:t>1344</w:t>
      </w:r>
    </w:p>
    <w:p w:rsidR="00F6162F" w:rsidRPr="00F6162F" w:rsidP="00F6162F" w14:paraId="7229F469" w14:textId="51615D06">
      <w:pPr>
        <w:suppressAutoHyphens/>
        <w:spacing w:after="240"/>
        <w:jc w:val="right"/>
        <w:rPr>
          <w:b/>
          <w:snapToGrid w:val="0"/>
          <w:kern w:val="28"/>
        </w:rPr>
      </w:pPr>
      <w:r w:rsidRPr="00F6162F">
        <w:rPr>
          <w:b/>
          <w:snapToGrid w:val="0"/>
          <w:kern w:val="28"/>
        </w:rPr>
        <w:t xml:space="preserve">Released:  December </w:t>
      </w:r>
      <w:r w:rsidR="00D52DA6">
        <w:rPr>
          <w:b/>
          <w:snapToGrid w:val="0"/>
          <w:kern w:val="28"/>
        </w:rPr>
        <w:t>19</w:t>
      </w:r>
      <w:r w:rsidRPr="00F6162F">
        <w:rPr>
          <w:b/>
          <w:snapToGrid w:val="0"/>
          <w:kern w:val="28"/>
        </w:rPr>
        <w:t>, 2022</w:t>
      </w:r>
    </w:p>
    <w:p w:rsidR="00F6162F" w:rsidRPr="00F6162F" w:rsidP="00F6162F" w14:paraId="4E9256FB" w14:textId="77777777">
      <w:pPr>
        <w:widowControl w:val="0"/>
        <w:autoSpaceDE w:val="0"/>
        <w:autoSpaceDN w:val="0"/>
        <w:adjustRightInd w:val="0"/>
        <w:ind w:left="-180" w:right="90"/>
        <w:jc w:val="center"/>
        <w:rPr>
          <w:b/>
          <w:bCs/>
          <w:snapToGrid w:val="0"/>
          <w:kern w:val="28"/>
          <w:szCs w:val="22"/>
        </w:rPr>
      </w:pPr>
      <w:r w:rsidRPr="00F6162F">
        <w:rPr>
          <w:b/>
          <w:bCs/>
          <w:snapToGrid w:val="0"/>
          <w:kern w:val="28"/>
          <w:szCs w:val="22"/>
        </w:rPr>
        <w:t xml:space="preserve">DOMESTIC SECTION 214 APPLICATION FILED FOR THE TRANSFER OF CONTROL OF CERTAIN AUTHORIZATIONS OF POINT BROADBAND FIBER HOLDING, LLC </w:t>
      </w:r>
    </w:p>
    <w:p w:rsidR="00F6162F" w:rsidRPr="00F6162F" w:rsidP="00F6162F" w14:paraId="5F1FB851" w14:textId="77777777">
      <w:pPr>
        <w:widowControl w:val="0"/>
        <w:autoSpaceDE w:val="0"/>
        <w:autoSpaceDN w:val="0"/>
        <w:adjustRightInd w:val="0"/>
        <w:ind w:left="-180" w:right="90"/>
        <w:jc w:val="center"/>
        <w:rPr>
          <w:b/>
          <w:bCs/>
          <w:snapToGrid w:val="0"/>
          <w:kern w:val="28"/>
          <w:szCs w:val="22"/>
        </w:rPr>
      </w:pPr>
      <w:r w:rsidRPr="00F6162F">
        <w:rPr>
          <w:b/>
          <w:bCs/>
          <w:snapToGrid w:val="0"/>
          <w:kern w:val="28"/>
          <w:szCs w:val="22"/>
        </w:rPr>
        <w:t>TO R.M. GREENE, INC. AKA BEAM</w:t>
      </w:r>
    </w:p>
    <w:p w:rsidR="00F6162F" w:rsidRPr="00F6162F" w:rsidP="00F6162F" w14:paraId="5EEEF329" w14:textId="77777777">
      <w:pPr>
        <w:widowControl w:val="0"/>
        <w:autoSpaceDE w:val="0"/>
        <w:autoSpaceDN w:val="0"/>
        <w:adjustRightInd w:val="0"/>
        <w:rPr>
          <w:b/>
          <w:snapToGrid w:val="0"/>
          <w:kern w:val="28"/>
          <w:szCs w:val="22"/>
        </w:rPr>
      </w:pPr>
    </w:p>
    <w:p w:rsidR="00F6162F" w:rsidRPr="00F6162F" w:rsidP="00F6162F" w14:paraId="0FF34FC7" w14:textId="77777777">
      <w:pPr>
        <w:widowControl w:val="0"/>
        <w:autoSpaceDE w:val="0"/>
        <w:autoSpaceDN w:val="0"/>
        <w:adjustRightInd w:val="0"/>
        <w:jc w:val="center"/>
        <w:rPr>
          <w:b/>
          <w:snapToGrid w:val="0"/>
          <w:kern w:val="28"/>
          <w:szCs w:val="22"/>
        </w:rPr>
      </w:pPr>
      <w:r w:rsidRPr="00F6162F">
        <w:rPr>
          <w:b/>
          <w:snapToGrid w:val="0"/>
          <w:kern w:val="28"/>
          <w:szCs w:val="22"/>
        </w:rPr>
        <w:t>NON-STREAMLINED PLEADING CYCLE ESTABLISHED</w:t>
      </w:r>
    </w:p>
    <w:p w:rsidR="00F6162F" w:rsidRPr="00F6162F" w:rsidP="00F6162F" w14:paraId="04483DA5" w14:textId="77777777">
      <w:pPr>
        <w:widowControl w:val="0"/>
        <w:autoSpaceDE w:val="0"/>
        <w:autoSpaceDN w:val="0"/>
        <w:adjustRightInd w:val="0"/>
        <w:jc w:val="center"/>
        <w:rPr>
          <w:b/>
          <w:snapToGrid w:val="0"/>
          <w:kern w:val="28"/>
          <w:szCs w:val="22"/>
        </w:rPr>
      </w:pPr>
    </w:p>
    <w:p w:rsidR="00F6162F" w:rsidRPr="00F6162F" w:rsidP="00F6162F" w14:paraId="627186D5" w14:textId="77777777">
      <w:pPr>
        <w:widowControl w:val="0"/>
        <w:autoSpaceDE w:val="0"/>
        <w:autoSpaceDN w:val="0"/>
        <w:adjustRightInd w:val="0"/>
        <w:jc w:val="center"/>
        <w:rPr>
          <w:b/>
          <w:snapToGrid w:val="0"/>
          <w:kern w:val="28"/>
          <w:szCs w:val="22"/>
        </w:rPr>
      </w:pPr>
      <w:r w:rsidRPr="00F6162F">
        <w:rPr>
          <w:b/>
          <w:snapToGrid w:val="0"/>
          <w:kern w:val="28"/>
          <w:szCs w:val="22"/>
        </w:rPr>
        <w:t>WC Docket No. 22-344</w:t>
      </w:r>
    </w:p>
    <w:p w:rsidR="00F6162F" w:rsidRPr="00F6162F" w:rsidP="00F6162F" w14:paraId="384E7372" w14:textId="77777777">
      <w:pPr>
        <w:widowControl w:val="0"/>
        <w:autoSpaceDE w:val="0"/>
        <w:autoSpaceDN w:val="0"/>
        <w:adjustRightInd w:val="0"/>
        <w:jc w:val="center"/>
        <w:rPr>
          <w:b/>
          <w:snapToGrid w:val="0"/>
          <w:kern w:val="28"/>
          <w:szCs w:val="22"/>
        </w:rPr>
      </w:pPr>
    </w:p>
    <w:p w:rsidR="00F6162F" w:rsidRPr="00F6162F" w:rsidP="00F6162F" w14:paraId="34AF9CA1" w14:textId="77777777">
      <w:pPr>
        <w:widowControl w:val="0"/>
        <w:rPr>
          <w:b/>
          <w:szCs w:val="22"/>
        </w:rPr>
      </w:pPr>
      <w:r w:rsidRPr="00F6162F">
        <w:rPr>
          <w:b/>
          <w:szCs w:val="22"/>
        </w:rPr>
        <w:t xml:space="preserve">Comments Due:  January 3, 2023 </w:t>
      </w:r>
    </w:p>
    <w:p w:rsidR="00F6162F" w:rsidRPr="00F6162F" w:rsidP="00F6162F" w14:paraId="50189984" w14:textId="77777777">
      <w:pPr>
        <w:widowControl w:val="0"/>
        <w:rPr>
          <w:b/>
          <w:szCs w:val="22"/>
        </w:rPr>
      </w:pPr>
      <w:r w:rsidRPr="00F6162F">
        <w:rPr>
          <w:b/>
          <w:szCs w:val="22"/>
        </w:rPr>
        <w:t>Reply Comment Due:  January 10, 2023</w:t>
      </w:r>
    </w:p>
    <w:p w:rsidR="00F6162F" w:rsidRPr="00F6162F" w:rsidP="00F6162F" w14:paraId="5AC62C4D" w14:textId="77777777">
      <w:pPr>
        <w:widowControl w:val="0"/>
        <w:autoSpaceDE w:val="0"/>
        <w:autoSpaceDN w:val="0"/>
        <w:adjustRightInd w:val="0"/>
        <w:jc w:val="center"/>
        <w:rPr>
          <w:b/>
          <w:snapToGrid w:val="0"/>
          <w:kern w:val="28"/>
          <w:szCs w:val="22"/>
        </w:rPr>
      </w:pPr>
    </w:p>
    <w:p w:rsidR="00F6162F" w:rsidRPr="00F6162F" w:rsidP="00F6162F" w14:paraId="7F9E6D85" w14:textId="77777777">
      <w:pPr>
        <w:autoSpaceDE w:val="0"/>
        <w:autoSpaceDN w:val="0"/>
        <w:adjustRightInd w:val="0"/>
        <w:spacing w:after="120"/>
        <w:ind w:firstLine="720"/>
        <w:rPr>
          <w:szCs w:val="22"/>
        </w:rPr>
      </w:pPr>
      <w:r w:rsidRPr="00F6162F">
        <w:rPr>
          <w:szCs w:val="22"/>
        </w:rPr>
        <w:t>By this Public Notice, the Wireline Competition Bureau (Bureau) seeks comment from interested parties on an application filed by</w:t>
      </w:r>
      <w:bookmarkStart w:id="1" w:name="_Hlk87961388"/>
      <w:r w:rsidRPr="00F6162F">
        <w:rPr>
          <w:szCs w:val="22"/>
        </w:rPr>
        <w:t xml:space="preserve"> Point Broadband Fiber Holding, LLC (Point Broadband), and R.M. Greene, Inc. aka Beam (Beam) (collectively, Applicants)</w:t>
      </w:r>
      <w:bookmarkEnd w:id="1"/>
      <w:r w:rsidRPr="00F6162F">
        <w:rPr>
          <w:szCs w:val="22"/>
        </w:rPr>
        <w:t>, pursuant to section 214 of the Communications Act of 1934, as amended, and sections 63.03-04 of the Federal Communications Commission’s (Commission) rules,</w:t>
      </w:r>
      <w:r>
        <w:rPr>
          <w:szCs w:val="22"/>
          <w:vertAlign w:val="superscript"/>
        </w:rPr>
        <w:footnoteReference w:id="3"/>
      </w:r>
      <w:r w:rsidRPr="00F6162F">
        <w:rPr>
          <w:szCs w:val="22"/>
        </w:rPr>
        <w:t xml:space="preserve"> requesting consent for the partial transfer of Point Broadband’s domestic section 214 authorization, in conjunction with Point Broadband’s Rural Digital Opportunity Fund (RDOF) support obligations for certain of its designated census blocks in Alabama, in a single Study Area Code (259050) (Assigned Census Blocks).</w:t>
      </w:r>
      <w:r>
        <w:rPr>
          <w:snapToGrid w:val="0"/>
          <w:szCs w:val="22"/>
          <w:vertAlign w:val="superscript"/>
        </w:rPr>
        <w:footnoteReference w:id="4"/>
      </w:r>
    </w:p>
    <w:p w:rsidR="00F6162F" w:rsidRPr="00F6162F" w:rsidP="00F6162F" w14:paraId="7BDC8890" w14:textId="77777777">
      <w:pPr>
        <w:autoSpaceDE w:val="0"/>
        <w:autoSpaceDN w:val="0"/>
        <w:adjustRightInd w:val="0"/>
        <w:spacing w:after="120"/>
        <w:ind w:firstLine="720"/>
        <w:rPr>
          <w:szCs w:val="22"/>
        </w:rPr>
      </w:pPr>
      <w:r w:rsidRPr="00F6162F">
        <w:rPr>
          <w:szCs w:val="22"/>
        </w:rPr>
        <w:t xml:space="preserve">Point Broadband, a Delaware limited liability company, is indirectly owned by GTCR Fund XIII/B LP (68.4%) and GTCR Fund XIII/C LP (27.8%), both Delaware entities that are ultimately controlled by Mark M. Anderson, Craig A. </w:t>
      </w:r>
      <w:r w:rsidRPr="00F6162F">
        <w:rPr>
          <w:szCs w:val="22"/>
        </w:rPr>
        <w:t>Bondy</w:t>
      </w:r>
      <w:r w:rsidRPr="00F6162F">
        <w:rPr>
          <w:szCs w:val="22"/>
        </w:rPr>
        <w:t xml:space="preserve">, Aaron D. Cohen, Sean L. Cunningham, Benjamin J. </w:t>
      </w:r>
      <w:r w:rsidRPr="00F6162F">
        <w:rPr>
          <w:szCs w:val="22"/>
        </w:rPr>
        <w:t>Daverman</w:t>
      </w:r>
      <w:r w:rsidRPr="00F6162F">
        <w:rPr>
          <w:szCs w:val="22"/>
        </w:rPr>
        <w:t>, David A. Donnini, Dean S. Mihas, and Collin E. Roche., who are all U.S. citizens.</w:t>
      </w:r>
      <w:r>
        <w:rPr>
          <w:snapToGrid w:val="0"/>
          <w:szCs w:val="22"/>
          <w:vertAlign w:val="superscript"/>
        </w:rPr>
        <w:footnoteReference w:id="5"/>
      </w:r>
      <w:r w:rsidRPr="00F6162F">
        <w:rPr>
          <w:szCs w:val="22"/>
        </w:rPr>
        <w:t xml:space="preserve">  Point Broadband itself and thorough its wholly owned subsidiaries offers telecommunications services pursuant </w:t>
      </w:r>
      <w:r w:rsidRPr="00F6162F">
        <w:rPr>
          <w:szCs w:val="22"/>
        </w:rPr>
        <w:t>to section 214 authorizations in Tennessee and Virginia.</w:t>
      </w:r>
      <w:r>
        <w:rPr>
          <w:snapToGrid w:val="0"/>
          <w:szCs w:val="22"/>
          <w:vertAlign w:val="superscript"/>
        </w:rPr>
        <w:footnoteReference w:id="6"/>
      </w:r>
      <w:r w:rsidRPr="00F6162F">
        <w:rPr>
          <w:szCs w:val="22"/>
        </w:rPr>
        <w:t xml:space="preserve">  The companies also provide voice over Internet Protocol (VoIP) service in Alabama, Georgia, Maryland, Michigan, Ohio, and New York.</w:t>
      </w:r>
      <w:r>
        <w:rPr>
          <w:snapToGrid w:val="0"/>
          <w:szCs w:val="22"/>
          <w:vertAlign w:val="superscript"/>
        </w:rPr>
        <w:footnoteReference w:id="7"/>
      </w:r>
      <w:r w:rsidRPr="00F6162F">
        <w:rPr>
          <w:szCs w:val="22"/>
        </w:rPr>
        <w:t xml:space="preserve">  They offer symmetrical gigabit</w:t>
      </w:r>
      <w:r w:rsidRPr="00F6162F">
        <w:rPr>
          <w:rFonts w:ascii="CIDFont+F2" w:hAnsi="CIDFont+F2" w:cs="CIDFont+F2"/>
          <w:sz w:val="24"/>
          <w:szCs w:val="24"/>
        </w:rPr>
        <w:t xml:space="preserve"> </w:t>
      </w:r>
      <w:r w:rsidRPr="00F6162F">
        <w:rPr>
          <w:szCs w:val="22"/>
        </w:rPr>
        <w:t>broadband services to over 60,000 total subscribers.</w:t>
      </w:r>
      <w:r>
        <w:rPr>
          <w:snapToGrid w:val="0"/>
          <w:szCs w:val="22"/>
          <w:vertAlign w:val="superscript"/>
        </w:rPr>
        <w:footnoteReference w:id="8"/>
      </w:r>
      <w:r w:rsidRPr="00F6162F">
        <w:rPr>
          <w:szCs w:val="22"/>
        </w:rPr>
        <w:t xml:space="preserve">  Point Broadband does not provide local exchange service in the Assigned Census Blocks.</w:t>
      </w:r>
      <w:r>
        <w:rPr>
          <w:snapToGrid w:val="0"/>
          <w:szCs w:val="22"/>
          <w:vertAlign w:val="superscript"/>
        </w:rPr>
        <w:footnoteReference w:id="9"/>
      </w:r>
      <w:r w:rsidRPr="00F6162F">
        <w:rPr>
          <w:szCs w:val="22"/>
        </w:rPr>
        <w:t xml:space="preserve">  Point Broadband is an Eligible Telecommunications Carrier (ETC) for its RDOF census blocks in Alabama.</w:t>
      </w:r>
      <w:r>
        <w:rPr>
          <w:snapToGrid w:val="0"/>
          <w:szCs w:val="22"/>
          <w:vertAlign w:val="superscript"/>
        </w:rPr>
        <w:footnoteReference w:id="10"/>
      </w:r>
      <w:r w:rsidRPr="00F6162F">
        <w:rPr>
          <w:szCs w:val="22"/>
        </w:rPr>
        <w:t xml:space="preserve">  On September 15, 2021, the Bureau authorized Point Broadband to receive $51,040,733.50 in RDOF support for an estimated 21,818 locations in Alabama.</w:t>
      </w:r>
      <w:r>
        <w:rPr>
          <w:snapToGrid w:val="0"/>
          <w:szCs w:val="22"/>
          <w:vertAlign w:val="superscript"/>
        </w:rPr>
        <w:footnoteReference w:id="11"/>
      </w:r>
    </w:p>
    <w:p w:rsidR="00F6162F" w:rsidRPr="00F6162F" w:rsidP="00F6162F" w14:paraId="56700940" w14:textId="77777777">
      <w:pPr>
        <w:autoSpaceDE w:val="0"/>
        <w:autoSpaceDN w:val="0"/>
        <w:adjustRightInd w:val="0"/>
        <w:spacing w:after="120"/>
        <w:ind w:firstLine="720"/>
        <w:rPr>
          <w:szCs w:val="22"/>
        </w:rPr>
      </w:pPr>
      <w:r w:rsidRPr="00F6162F">
        <w:rPr>
          <w:szCs w:val="22"/>
        </w:rPr>
        <w:t xml:space="preserve">Beam, an Alabama corporation, is owned (49.8%) by Lynne G. </w:t>
      </w:r>
      <w:r w:rsidRPr="00F6162F">
        <w:rPr>
          <w:szCs w:val="22"/>
        </w:rPr>
        <w:t>Frakes</w:t>
      </w:r>
      <w:r w:rsidRPr="00F6162F">
        <w:rPr>
          <w:szCs w:val="22"/>
        </w:rPr>
        <w:t>, a U.S. Citizen, and Janie M. Greene Trust (Trust) (49.8%).</w:t>
      </w:r>
      <w:r>
        <w:rPr>
          <w:snapToGrid w:val="0"/>
          <w:szCs w:val="22"/>
          <w:vertAlign w:val="superscript"/>
        </w:rPr>
        <w:footnoteReference w:id="12"/>
      </w:r>
      <w:r w:rsidRPr="00F6162F">
        <w:rPr>
          <w:szCs w:val="22"/>
        </w:rPr>
        <w:t xml:space="preserve">  The sole trustee of the Trust is Lynne G. </w:t>
      </w:r>
      <w:r w:rsidRPr="00F6162F">
        <w:rPr>
          <w:szCs w:val="22"/>
        </w:rPr>
        <w:t>Frakes</w:t>
      </w:r>
      <w:r w:rsidRPr="00F6162F">
        <w:rPr>
          <w:szCs w:val="22"/>
        </w:rPr>
        <w:t>.</w:t>
      </w:r>
      <w:r>
        <w:rPr>
          <w:snapToGrid w:val="0"/>
          <w:szCs w:val="22"/>
          <w:vertAlign w:val="superscript"/>
        </w:rPr>
        <w:footnoteReference w:id="13"/>
      </w:r>
      <w:r w:rsidRPr="00F6162F">
        <w:rPr>
          <w:szCs w:val="22"/>
        </w:rPr>
        <w:t xml:space="preserve">  No other individual or entity holds 10% or more of Beam.</w:t>
      </w:r>
      <w:r>
        <w:rPr>
          <w:snapToGrid w:val="0"/>
          <w:szCs w:val="22"/>
          <w:vertAlign w:val="superscript"/>
        </w:rPr>
        <w:footnoteReference w:id="14"/>
      </w:r>
      <w:r w:rsidRPr="00F6162F">
        <w:rPr>
          <w:szCs w:val="22"/>
        </w:rPr>
        <w:t xml:space="preserve">  Beam provides cable, broadband, and VoIP services using a mix of fiber and coaxial cable.</w:t>
      </w:r>
      <w:r>
        <w:rPr>
          <w:snapToGrid w:val="0"/>
          <w:szCs w:val="22"/>
          <w:vertAlign w:val="superscript"/>
        </w:rPr>
        <w:footnoteReference w:id="15"/>
      </w:r>
      <w:r w:rsidRPr="00F6162F">
        <w:rPr>
          <w:szCs w:val="22"/>
        </w:rPr>
        <w:t xml:space="preserve">  Its plant covers approximately 1,500 miles, about 400 miles of which are fiber, serving five different franchise areas in Alabama, including Phenix City, Smiths Station, </w:t>
      </w:r>
      <w:r w:rsidRPr="00F6162F">
        <w:rPr>
          <w:szCs w:val="22"/>
        </w:rPr>
        <w:t>Hurtsboro</w:t>
      </w:r>
      <w:r w:rsidRPr="00F6162F">
        <w:rPr>
          <w:szCs w:val="22"/>
        </w:rPr>
        <w:t>, Russell County, and Lee County.</w:t>
      </w:r>
      <w:r>
        <w:rPr>
          <w:snapToGrid w:val="0"/>
          <w:szCs w:val="22"/>
          <w:vertAlign w:val="superscript"/>
        </w:rPr>
        <w:footnoteReference w:id="16"/>
      </w:r>
      <w:r w:rsidRPr="00F6162F">
        <w:rPr>
          <w:szCs w:val="22"/>
        </w:rPr>
        <w:t xml:space="preserve">  Combined, these areas total approximately 55,000 homes passed.</w:t>
      </w:r>
      <w:r>
        <w:rPr>
          <w:snapToGrid w:val="0"/>
          <w:szCs w:val="22"/>
          <w:vertAlign w:val="superscript"/>
        </w:rPr>
        <w:footnoteReference w:id="17"/>
      </w:r>
      <w:r w:rsidRPr="00F6162F">
        <w:rPr>
          <w:szCs w:val="22"/>
        </w:rPr>
        <w:t xml:space="preserve">  Beam is not currently a recipient of either Connect America Fund or RDOF support, and does not receive any other high-cost support from the Universal Service Fund.</w:t>
      </w:r>
      <w:r>
        <w:rPr>
          <w:snapToGrid w:val="0"/>
          <w:szCs w:val="22"/>
          <w:vertAlign w:val="superscript"/>
        </w:rPr>
        <w:footnoteReference w:id="18"/>
      </w:r>
      <w:r w:rsidRPr="00F6162F">
        <w:rPr>
          <w:szCs w:val="22"/>
        </w:rPr>
        <w:t xml:space="preserve">  On September 21, 2022, Beam filed a petition for designation as an ETC for the Assigned Census Blocks with the Commission.</w:t>
      </w:r>
      <w:r>
        <w:rPr>
          <w:snapToGrid w:val="0"/>
          <w:szCs w:val="22"/>
          <w:vertAlign w:val="superscript"/>
        </w:rPr>
        <w:footnoteReference w:id="19"/>
      </w:r>
    </w:p>
    <w:p w:rsidR="00F6162F" w:rsidRPr="00F6162F" w:rsidP="00F6162F" w14:paraId="231FCFB7" w14:textId="77777777">
      <w:pPr>
        <w:autoSpaceDE w:val="0"/>
        <w:autoSpaceDN w:val="0"/>
        <w:adjustRightInd w:val="0"/>
        <w:spacing w:after="120"/>
        <w:ind w:firstLine="720"/>
        <w:rPr>
          <w:szCs w:val="22"/>
        </w:rPr>
      </w:pPr>
      <w:r w:rsidRPr="00F6162F">
        <w:rPr>
          <w:szCs w:val="22"/>
        </w:rPr>
        <w:t>Pursuant to the terms of the proposed transaction, subject to grant of the Application and designation of Beam as an ETC, Beam would acquire the interests of and assume Point Broadband’s RDOF obligations in the Assigned Census Blocks.</w:t>
      </w:r>
      <w:r>
        <w:rPr>
          <w:snapToGrid w:val="0"/>
          <w:szCs w:val="22"/>
          <w:vertAlign w:val="superscript"/>
        </w:rPr>
        <w:footnoteReference w:id="20"/>
      </w:r>
      <w:r w:rsidRPr="00F6162F">
        <w:rPr>
          <w:szCs w:val="22"/>
        </w:rPr>
        <w:t xml:space="preserve">  For the Assigned Census Blocks, if approved, Beam would receive $892,797.21 in annual RDOF support for 3,420 locations.</w:t>
      </w:r>
      <w:r>
        <w:rPr>
          <w:snapToGrid w:val="0"/>
          <w:szCs w:val="22"/>
          <w:vertAlign w:val="superscript"/>
        </w:rPr>
        <w:footnoteReference w:id="21"/>
      </w:r>
      <w:r w:rsidRPr="00F6162F">
        <w:rPr>
          <w:szCs w:val="22"/>
        </w:rPr>
        <w:t xml:space="preserve">  Applicants state that after consummation of the transaction, Beam will undertake deployment of the RDOF-supported network and integrate such activities and operations into its own ongoing operations in Eastern Alabama.</w:t>
      </w:r>
      <w:r>
        <w:rPr>
          <w:snapToGrid w:val="0"/>
          <w:szCs w:val="22"/>
          <w:vertAlign w:val="superscript"/>
        </w:rPr>
        <w:footnoteReference w:id="22"/>
      </w:r>
    </w:p>
    <w:p w:rsidR="00F6162F" w:rsidRPr="00F6162F" w:rsidP="00F6162F" w14:paraId="167075CD" w14:textId="77777777">
      <w:pPr>
        <w:autoSpaceDE w:val="0"/>
        <w:autoSpaceDN w:val="0"/>
        <w:adjustRightInd w:val="0"/>
        <w:spacing w:after="120"/>
        <w:ind w:firstLine="720"/>
        <w:rPr>
          <w:kern w:val="28"/>
        </w:rPr>
      </w:pPr>
      <w:r w:rsidRPr="00F6162F">
        <w:rPr>
          <w:kern w:val="28"/>
        </w:rPr>
        <w:t>Applicants assert that a grant of the Application would serve the public interest, convenience, and necessity.</w:t>
      </w:r>
      <w:r>
        <w:rPr>
          <w:snapToGrid w:val="0"/>
          <w:kern w:val="28"/>
          <w:vertAlign w:val="superscript"/>
        </w:rPr>
        <w:footnoteReference w:id="23"/>
      </w:r>
      <w:r w:rsidRPr="00F6162F">
        <w:rPr>
          <w:kern w:val="28"/>
        </w:rPr>
        <w:t xml:space="preserve">  They state that Beam “has longstanding experience and expertise deploying broadband networks in the areas covered by the Assigned Census Blocks and is therefore uniquely situated to efficiently deploy RDOF-supported voice and broadband service in the Assigned Census Blocks.”</w:t>
      </w:r>
      <w:r>
        <w:rPr>
          <w:snapToGrid w:val="0"/>
          <w:kern w:val="28"/>
          <w:vertAlign w:val="superscript"/>
        </w:rPr>
        <w:footnoteReference w:id="24"/>
      </w:r>
      <w:r w:rsidRPr="00F6162F">
        <w:rPr>
          <w:kern w:val="28"/>
        </w:rPr>
        <w:t xml:space="preserve">  Applicants contend that “[b]</w:t>
      </w:r>
      <w:r w:rsidRPr="00F6162F">
        <w:rPr>
          <w:kern w:val="28"/>
        </w:rPr>
        <w:t>ecause</w:t>
      </w:r>
      <w:r w:rsidRPr="00F6162F">
        <w:rPr>
          <w:kern w:val="28"/>
        </w:rPr>
        <w:t xml:space="preserve"> Point Broadband’s RDOF areas are adjacent to or nearby Beam’s existing operations, Beam can achieve economies of scale and leverage its labor force, infrastructure, and operational capabilities to rapidly and cost-effectively build out the Assigned Census Blocks as it expands its broadband operations.”</w:t>
      </w:r>
      <w:r>
        <w:rPr>
          <w:snapToGrid w:val="0"/>
          <w:kern w:val="28"/>
          <w:vertAlign w:val="superscript"/>
        </w:rPr>
        <w:footnoteReference w:id="25"/>
      </w:r>
      <w:r w:rsidRPr="00F6162F">
        <w:rPr>
          <w:kern w:val="28"/>
        </w:rPr>
        <w:t xml:space="preserve">  They state that “the transaction will not result in any adverse alteration to the buildout plans Point Broadband submitted to the Commission for the Assigned Census Blocks as part of its long-form application,” and consumers will likely receive RDOF services more quickly.</w:t>
      </w:r>
      <w:r>
        <w:rPr>
          <w:snapToGrid w:val="0"/>
          <w:kern w:val="28"/>
          <w:vertAlign w:val="superscript"/>
        </w:rPr>
        <w:footnoteReference w:id="26"/>
      </w:r>
      <w:r w:rsidRPr="00F6162F">
        <w:rPr>
          <w:kern w:val="28"/>
        </w:rPr>
        <w:t xml:space="preserve">  For these reasons, Applicants argue that “[t]he transaction … will serve the public interest because it will not result in any harms to either company’s existing customers and will accelerate Beam’s ongoing efforts to expand broadband service to unserved and underserved rural areas of Eastern Alabama.”</w:t>
      </w:r>
      <w:r>
        <w:rPr>
          <w:snapToGrid w:val="0"/>
          <w:kern w:val="28"/>
          <w:vertAlign w:val="superscript"/>
        </w:rPr>
        <w:footnoteReference w:id="27"/>
      </w:r>
      <w:r w:rsidRPr="00F6162F">
        <w:rPr>
          <w:kern w:val="28"/>
        </w:rPr>
        <w:t xml:space="preserve">  Finally, Applicants represent that “Beam has both the necessary managerial and technical experience and requisite financial means to assume the responsibility of deploying RDOF-supported voice and broadband service in the Assigned Census Blocks it proposes to assume from Point Broadband.”</w:t>
      </w:r>
      <w:r>
        <w:rPr>
          <w:snapToGrid w:val="0"/>
          <w:kern w:val="28"/>
          <w:vertAlign w:val="superscript"/>
        </w:rPr>
        <w:footnoteReference w:id="28"/>
      </w:r>
    </w:p>
    <w:p w:rsidR="00F6162F" w:rsidRPr="00F6162F" w:rsidP="00F6162F" w14:paraId="7363F689" w14:textId="77777777">
      <w:pPr>
        <w:autoSpaceDE w:val="0"/>
        <w:autoSpaceDN w:val="0"/>
        <w:adjustRightInd w:val="0"/>
        <w:spacing w:after="120"/>
        <w:ind w:firstLine="720"/>
        <w:rPr>
          <w:kern w:val="28"/>
        </w:rPr>
      </w:pPr>
      <w:r w:rsidRPr="00F6162F">
        <w:rPr>
          <w:snapToGrid w:val="0"/>
          <w:color w:val="000000"/>
          <w:kern w:val="28"/>
          <w:szCs w:val="22"/>
        </w:rPr>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F6162F">
        <w:rPr>
          <w:bCs/>
          <w:snapToGrid w:val="0"/>
          <w:kern w:val="28"/>
          <w:szCs w:val="22"/>
        </w:rPr>
        <w:t>.</w:t>
      </w:r>
      <w:r>
        <w:rPr>
          <w:bCs/>
          <w:snapToGrid w:val="0"/>
          <w:kern w:val="28"/>
          <w:szCs w:val="22"/>
          <w:vertAlign w:val="superscript"/>
        </w:rPr>
        <w:footnoteReference w:id="29"/>
      </w:r>
    </w:p>
    <w:p w:rsidR="00F6162F" w:rsidRPr="00F6162F" w:rsidP="00F6162F" w14:paraId="5CF5E765" w14:textId="77777777">
      <w:pPr>
        <w:ind w:left="720"/>
        <w:rPr>
          <w:szCs w:val="22"/>
        </w:rPr>
      </w:pPr>
      <w:r w:rsidRPr="00F6162F">
        <w:rPr>
          <w:szCs w:val="22"/>
        </w:rPr>
        <w:t>Domestic Section 214 Application Filed for the Transfer of Control of Certain Authorizations of Point Broadband Fiber Holding, LLC To R.M. Greene, Inc. AKA Beam</w:t>
      </w:r>
    </w:p>
    <w:p w:rsidR="00F6162F" w:rsidRPr="00F6162F" w:rsidP="00F6162F" w14:paraId="60BAF0D2" w14:textId="77777777">
      <w:pPr>
        <w:ind w:left="720"/>
        <w:rPr>
          <w:szCs w:val="22"/>
        </w:rPr>
      </w:pPr>
      <w:r w:rsidRPr="00F6162F">
        <w:rPr>
          <w:szCs w:val="22"/>
        </w:rPr>
        <w:t>WC Docket No. 22-344 (filed Sept. 21, 2022).</w:t>
      </w:r>
    </w:p>
    <w:p w:rsidR="00F6162F" w:rsidRPr="00F6162F" w:rsidP="00F6162F" w14:paraId="7EB58E0A" w14:textId="77777777">
      <w:pPr>
        <w:autoSpaceDE w:val="0"/>
        <w:autoSpaceDN w:val="0"/>
        <w:adjustRightInd w:val="0"/>
        <w:rPr>
          <w:b/>
          <w:szCs w:val="22"/>
          <w:u w:val="single"/>
        </w:rPr>
      </w:pPr>
      <w:bookmarkStart w:id="3" w:name="_Hlk91058179"/>
    </w:p>
    <w:p w:rsidR="0023302B" w:rsidP="00F6162F" w14:paraId="1B0FAE47" w14:textId="77777777">
      <w:pPr>
        <w:autoSpaceDE w:val="0"/>
        <w:autoSpaceDN w:val="0"/>
        <w:adjustRightInd w:val="0"/>
        <w:rPr>
          <w:b/>
          <w:szCs w:val="22"/>
          <w:u w:val="single"/>
        </w:rPr>
      </w:pPr>
    </w:p>
    <w:p w:rsidR="00F6162F" w:rsidRPr="00F6162F" w:rsidP="00F6162F" w14:paraId="1617091A" w14:textId="0EB39960">
      <w:pPr>
        <w:autoSpaceDE w:val="0"/>
        <w:autoSpaceDN w:val="0"/>
        <w:adjustRightInd w:val="0"/>
        <w:rPr>
          <w:szCs w:val="22"/>
        </w:rPr>
      </w:pPr>
      <w:r w:rsidRPr="00F6162F">
        <w:rPr>
          <w:b/>
          <w:szCs w:val="22"/>
          <w:u w:val="single"/>
        </w:rPr>
        <w:t>GENERAL INFORMATION</w:t>
      </w:r>
    </w:p>
    <w:p w:rsidR="00F6162F" w:rsidRPr="00F6162F" w:rsidP="00F6162F" w14:paraId="0CC4DA7A" w14:textId="77777777">
      <w:pPr>
        <w:autoSpaceDE w:val="0"/>
        <w:autoSpaceDN w:val="0"/>
        <w:adjustRightInd w:val="0"/>
        <w:rPr>
          <w:szCs w:val="22"/>
        </w:rPr>
      </w:pPr>
    </w:p>
    <w:p w:rsidR="00F6162F" w:rsidRPr="00F6162F" w:rsidP="00F6162F" w14:paraId="76FE3E5A" w14:textId="77777777">
      <w:pPr>
        <w:autoSpaceDE w:val="0"/>
        <w:autoSpaceDN w:val="0"/>
        <w:adjustRightInd w:val="0"/>
        <w:spacing w:after="120"/>
        <w:ind w:firstLine="720"/>
        <w:rPr>
          <w:szCs w:val="22"/>
        </w:rPr>
      </w:pPr>
      <w:r w:rsidRPr="00F6162F">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F6162F" w:rsidRPr="00F6162F" w:rsidP="00F6162F" w14:paraId="12AB0034" w14:textId="77777777">
      <w:pPr>
        <w:autoSpaceDE w:val="0"/>
        <w:autoSpaceDN w:val="0"/>
        <w:adjustRightInd w:val="0"/>
        <w:spacing w:after="120"/>
        <w:ind w:firstLine="720"/>
        <w:rPr>
          <w:szCs w:val="22"/>
        </w:rPr>
      </w:pPr>
      <w:r w:rsidRPr="00F6162F">
        <w:rPr>
          <w:szCs w:val="22"/>
        </w:rPr>
        <w:t xml:space="preserve">Interested parties may file comments </w:t>
      </w:r>
      <w:r w:rsidRPr="00F6162F">
        <w:rPr>
          <w:b/>
          <w:szCs w:val="22"/>
        </w:rPr>
        <w:t>on or before January 3, 2023,</w:t>
      </w:r>
      <w:r w:rsidRPr="00F6162F">
        <w:rPr>
          <w:szCs w:val="22"/>
        </w:rPr>
        <w:t xml:space="preserve"> and reply comments </w:t>
      </w:r>
      <w:r w:rsidRPr="00F6162F">
        <w:rPr>
          <w:b/>
          <w:szCs w:val="22"/>
        </w:rPr>
        <w:t>on or before January 10, 2023.</w:t>
      </w:r>
      <w:r w:rsidRPr="00F6162F">
        <w:rPr>
          <w:szCs w:val="22"/>
        </w:rPr>
        <w:t xml:space="preserve">  Comments may be filed using the Commission’s Electronic Comment Filing System (ECFS) or by paper.  </w:t>
      </w:r>
    </w:p>
    <w:p w:rsidR="00F6162F" w:rsidRPr="00F6162F" w:rsidP="00F6162F" w14:paraId="453387F5" w14:textId="77777777">
      <w:pPr>
        <w:widowControl w:val="0"/>
        <w:numPr>
          <w:ilvl w:val="0"/>
          <w:numId w:val="20"/>
        </w:numPr>
        <w:autoSpaceDE w:val="0"/>
        <w:autoSpaceDN w:val="0"/>
        <w:adjustRightInd w:val="0"/>
        <w:spacing w:after="120"/>
        <w:rPr>
          <w:szCs w:val="22"/>
        </w:rPr>
      </w:pPr>
      <w:r w:rsidRPr="00F6162F">
        <w:rPr>
          <w:szCs w:val="22"/>
        </w:rPr>
        <w:t>Electronic Filers:  Comments may be filed electronically by accessing ECFS at </w:t>
      </w:r>
      <w:hyperlink r:id="rId8" w:history="1">
        <w:r w:rsidRPr="00F6162F">
          <w:rPr>
            <w:color w:val="0000FF"/>
            <w:szCs w:val="22"/>
            <w:u w:val="single"/>
          </w:rPr>
          <w:t>https://apps.fcc.gov/ecfs/</w:t>
        </w:r>
      </w:hyperlink>
      <w:r w:rsidRPr="00F6162F">
        <w:rPr>
          <w:szCs w:val="22"/>
        </w:rPr>
        <w:t>.</w:t>
      </w:r>
    </w:p>
    <w:p w:rsidR="00F6162F" w:rsidRPr="00F6162F" w:rsidP="00F6162F" w14:paraId="64F39D44" w14:textId="77777777">
      <w:pPr>
        <w:widowControl w:val="0"/>
        <w:numPr>
          <w:ilvl w:val="0"/>
          <w:numId w:val="21"/>
        </w:numPr>
        <w:autoSpaceDE w:val="0"/>
        <w:autoSpaceDN w:val="0"/>
        <w:adjustRightInd w:val="0"/>
        <w:spacing w:after="120"/>
        <w:rPr>
          <w:szCs w:val="22"/>
        </w:rPr>
      </w:pPr>
      <w:r w:rsidRPr="00F6162F">
        <w:rPr>
          <w:i/>
          <w:iCs/>
          <w:szCs w:val="22"/>
        </w:rPr>
        <w:t>Paper Filers</w:t>
      </w:r>
      <w:r w:rsidRPr="00F6162F">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6162F" w:rsidRPr="00F6162F" w:rsidP="00F6162F" w14:paraId="70E51CAE" w14:textId="77777777">
      <w:pPr>
        <w:widowControl w:val="0"/>
        <w:numPr>
          <w:ilvl w:val="1"/>
          <w:numId w:val="21"/>
        </w:numPr>
        <w:autoSpaceDE w:val="0"/>
        <w:autoSpaceDN w:val="0"/>
        <w:adjustRightInd w:val="0"/>
        <w:spacing w:after="120"/>
        <w:rPr>
          <w:szCs w:val="22"/>
        </w:rPr>
      </w:pPr>
      <w:r w:rsidRPr="00F6162F">
        <w:rPr>
          <w:szCs w:val="22"/>
        </w:rPr>
        <w:t>Filings can be sent by commercial overnight courier or by first-class or overnight U.S. Postal Service mail.</w:t>
      </w:r>
      <w:r>
        <w:rPr>
          <w:szCs w:val="22"/>
          <w:vertAlign w:val="superscript"/>
        </w:rPr>
        <w:footnoteReference w:id="30"/>
      </w:r>
      <w:r w:rsidRPr="00F6162F">
        <w:rPr>
          <w:szCs w:val="22"/>
        </w:rPr>
        <w:t xml:space="preserve">  All filings must be addressed to the Commission’s Secretary, Office of the Secretary, Federal Communications Commission.</w:t>
      </w:r>
    </w:p>
    <w:p w:rsidR="00F6162F" w:rsidRPr="00F6162F" w:rsidP="00F6162F" w14:paraId="208A3D64" w14:textId="77777777">
      <w:pPr>
        <w:widowControl w:val="0"/>
        <w:numPr>
          <w:ilvl w:val="1"/>
          <w:numId w:val="21"/>
        </w:numPr>
        <w:autoSpaceDE w:val="0"/>
        <w:autoSpaceDN w:val="0"/>
        <w:adjustRightInd w:val="0"/>
        <w:spacing w:after="120"/>
        <w:rPr>
          <w:szCs w:val="22"/>
        </w:rPr>
      </w:pPr>
      <w:r w:rsidRPr="00F6162F">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F6162F" w:rsidRPr="00F6162F" w:rsidP="00F6162F" w14:paraId="7261FAAB" w14:textId="77777777">
      <w:pPr>
        <w:autoSpaceDE w:val="0"/>
        <w:autoSpaceDN w:val="0"/>
        <w:adjustRightInd w:val="0"/>
        <w:spacing w:after="120"/>
        <w:ind w:firstLine="720"/>
        <w:rPr>
          <w:szCs w:val="22"/>
        </w:rPr>
      </w:pPr>
      <w:r w:rsidRPr="00F6162F">
        <w:rPr>
          <w:szCs w:val="22"/>
        </w:rPr>
        <w:t>People with Disabilities:  We ask that requests for accommodations be made as soon as possible in order to allow the agency to satisfy such requests whenever possible.  Send an email to </w:t>
      </w:r>
      <w:hyperlink r:id="rId9" w:tgtFrame="_blank" w:history="1">
        <w:r w:rsidRPr="00F6162F">
          <w:rPr>
            <w:color w:val="0000FF"/>
            <w:szCs w:val="22"/>
            <w:u w:val="single"/>
          </w:rPr>
          <w:t>fcc504@fcc.gov</w:t>
        </w:r>
      </w:hyperlink>
      <w:r w:rsidRPr="00F6162F">
        <w:rPr>
          <w:szCs w:val="22"/>
        </w:rPr>
        <w:t> or call the Consumer and Governmental Affairs Bureau at (202) 418-0530.</w:t>
      </w:r>
    </w:p>
    <w:p w:rsidR="00F6162F" w:rsidRPr="00F6162F" w:rsidP="00F6162F" w14:paraId="33DA6E0E" w14:textId="77777777">
      <w:pPr>
        <w:autoSpaceDE w:val="0"/>
        <w:autoSpaceDN w:val="0"/>
        <w:adjustRightInd w:val="0"/>
        <w:spacing w:after="120"/>
        <w:ind w:firstLine="720"/>
        <w:rPr>
          <w:b/>
          <w:szCs w:val="22"/>
        </w:rPr>
      </w:pPr>
      <w:r w:rsidRPr="00F6162F">
        <w:rPr>
          <w:b/>
          <w:szCs w:val="22"/>
        </w:rPr>
        <w:t>In addition, email one copy of each pleading to each of the following:</w:t>
      </w:r>
    </w:p>
    <w:p w:rsidR="00F6162F" w:rsidRPr="00F6162F" w:rsidP="00F6162F" w14:paraId="5DBCD358" w14:textId="77777777">
      <w:pPr>
        <w:widowControl w:val="0"/>
        <w:numPr>
          <w:ilvl w:val="0"/>
          <w:numId w:val="18"/>
        </w:numPr>
        <w:autoSpaceDE w:val="0"/>
        <w:autoSpaceDN w:val="0"/>
        <w:adjustRightInd w:val="0"/>
        <w:spacing w:after="120"/>
        <w:rPr>
          <w:szCs w:val="22"/>
        </w:rPr>
      </w:pPr>
      <w:r w:rsidRPr="00F6162F">
        <w:rPr>
          <w:szCs w:val="22"/>
        </w:rPr>
        <w:t xml:space="preserve">Myrva Charles, Competition Policy Division, Wireline Competition Bureau, </w:t>
      </w:r>
      <w:hyperlink r:id="rId10" w:history="1">
        <w:r w:rsidRPr="00F6162F">
          <w:rPr>
            <w:color w:val="0000FF"/>
            <w:szCs w:val="22"/>
            <w:u w:val="single"/>
          </w:rPr>
          <w:t>myrva.charles@fcc.gov</w:t>
        </w:r>
      </w:hyperlink>
      <w:r w:rsidRPr="00F6162F">
        <w:rPr>
          <w:szCs w:val="22"/>
        </w:rPr>
        <w:t>;</w:t>
      </w:r>
    </w:p>
    <w:p w:rsidR="00F6162F" w:rsidRPr="00F6162F" w:rsidP="00F6162F" w14:paraId="3004C304" w14:textId="77777777">
      <w:pPr>
        <w:widowControl w:val="0"/>
        <w:numPr>
          <w:ilvl w:val="0"/>
          <w:numId w:val="18"/>
        </w:numPr>
        <w:autoSpaceDE w:val="0"/>
        <w:autoSpaceDN w:val="0"/>
        <w:adjustRightInd w:val="0"/>
        <w:spacing w:after="120"/>
        <w:rPr>
          <w:szCs w:val="22"/>
        </w:rPr>
      </w:pPr>
      <w:r w:rsidRPr="00F6162F">
        <w:rPr>
          <w:szCs w:val="22"/>
        </w:rPr>
        <w:t xml:space="preserve">Christi Shewman, Competition Policy Division, Wireline Competition Bureau, </w:t>
      </w:r>
      <w:hyperlink r:id="rId11" w:history="1">
        <w:r w:rsidRPr="00F6162F">
          <w:rPr>
            <w:color w:val="0000FF"/>
            <w:szCs w:val="22"/>
            <w:u w:val="single"/>
          </w:rPr>
          <w:t>christi.shewman@fcc.gov</w:t>
        </w:r>
      </w:hyperlink>
      <w:r w:rsidRPr="00F6162F">
        <w:rPr>
          <w:szCs w:val="22"/>
        </w:rPr>
        <w:t>; and</w:t>
      </w:r>
    </w:p>
    <w:p w:rsidR="00F6162F" w:rsidRPr="00F6162F" w:rsidP="00F6162F" w14:paraId="41BA4772" w14:textId="77777777">
      <w:pPr>
        <w:widowControl w:val="0"/>
        <w:numPr>
          <w:ilvl w:val="0"/>
          <w:numId w:val="18"/>
        </w:numPr>
        <w:autoSpaceDE w:val="0"/>
        <w:autoSpaceDN w:val="0"/>
        <w:adjustRightInd w:val="0"/>
        <w:spacing w:after="120"/>
        <w:rPr>
          <w:szCs w:val="22"/>
        </w:rPr>
      </w:pPr>
      <w:r w:rsidRPr="00F6162F">
        <w:rPr>
          <w:szCs w:val="22"/>
        </w:rPr>
        <w:t xml:space="preserve">Jim Bird, Office of General Counsel, </w:t>
      </w:r>
      <w:hyperlink r:id="rId12" w:history="1">
        <w:r w:rsidRPr="00F6162F">
          <w:rPr>
            <w:color w:val="0000FF"/>
            <w:szCs w:val="22"/>
            <w:u w:val="single"/>
          </w:rPr>
          <w:t>jim.bird@fcc.gov</w:t>
        </w:r>
      </w:hyperlink>
      <w:r w:rsidRPr="00F6162F">
        <w:rPr>
          <w:szCs w:val="22"/>
        </w:rPr>
        <w:t>.</w:t>
      </w:r>
    </w:p>
    <w:p w:rsidR="00F6162F" w:rsidRPr="00F6162F" w:rsidP="00F6162F" w14:paraId="2253B5D6" w14:textId="77777777">
      <w:pPr>
        <w:autoSpaceDE w:val="0"/>
        <w:autoSpaceDN w:val="0"/>
        <w:adjustRightInd w:val="0"/>
        <w:spacing w:after="120"/>
        <w:ind w:firstLine="720"/>
        <w:rPr>
          <w:szCs w:val="22"/>
        </w:rPr>
      </w:pPr>
      <w:r w:rsidRPr="00F6162F">
        <w:rPr>
          <w:szCs w:val="22"/>
        </w:rPr>
        <w:t xml:space="preserve">The proceeding in this Public Notice shall be treated as a “permit-but-disclose” proceeding in accordance with the Commission’s </w:t>
      </w:r>
      <w:r w:rsidRPr="00F6162F">
        <w:rPr>
          <w:i/>
          <w:szCs w:val="22"/>
        </w:rPr>
        <w:t xml:space="preserve">ex </w:t>
      </w:r>
      <w:r w:rsidRPr="00F6162F">
        <w:rPr>
          <w:i/>
          <w:szCs w:val="22"/>
        </w:rPr>
        <w:t>parte</w:t>
      </w:r>
      <w:r w:rsidRPr="00F6162F">
        <w:rPr>
          <w:szCs w:val="22"/>
        </w:rPr>
        <w:t xml:space="preserve"> rules.  Persons making </w:t>
      </w:r>
      <w:r w:rsidRPr="00F6162F">
        <w:rPr>
          <w:i/>
          <w:szCs w:val="22"/>
        </w:rPr>
        <w:t xml:space="preserve">ex </w:t>
      </w:r>
      <w:r w:rsidRPr="00F6162F">
        <w:rPr>
          <w:i/>
          <w:szCs w:val="22"/>
        </w:rPr>
        <w:t>parte</w:t>
      </w:r>
      <w:r w:rsidRPr="00F6162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6162F">
        <w:rPr>
          <w:i/>
          <w:szCs w:val="22"/>
        </w:rPr>
        <w:t xml:space="preserve">ex </w:t>
      </w:r>
      <w:r w:rsidRPr="00F6162F">
        <w:rPr>
          <w:i/>
          <w:szCs w:val="22"/>
        </w:rPr>
        <w:t>parte</w:t>
      </w:r>
      <w:r w:rsidRPr="00F6162F">
        <w:rPr>
          <w:szCs w:val="22"/>
        </w:rPr>
        <w:t xml:space="preserve"> presentations are reminded that memoranda summarizing the presentation must (1) list all persons attending or otherwise participating in the meeting at which the </w:t>
      </w:r>
      <w:r w:rsidRPr="00F6162F">
        <w:rPr>
          <w:i/>
          <w:szCs w:val="22"/>
        </w:rPr>
        <w:t xml:space="preserve">ex </w:t>
      </w:r>
      <w:r w:rsidRPr="00F6162F">
        <w:rPr>
          <w:i/>
          <w:szCs w:val="22"/>
        </w:rPr>
        <w:t>parte</w:t>
      </w:r>
      <w:r w:rsidRPr="00F6162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6162F">
        <w:rPr>
          <w:i/>
          <w:szCs w:val="22"/>
        </w:rPr>
        <w:t xml:space="preserve">ex </w:t>
      </w:r>
      <w:r w:rsidRPr="00F6162F">
        <w:rPr>
          <w:i/>
          <w:szCs w:val="22"/>
        </w:rPr>
        <w:t>parte</w:t>
      </w:r>
      <w:r w:rsidRPr="00F6162F">
        <w:rPr>
          <w:szCs w:val="22"/>
        </w:rPr>
        <w:t xml:space="preserve"> </w:t>
      </w:r>
      <w:r w:rsidRPr="00F6162F">
        <w:rPr>
          <w:szCs w:val="22"/>
        </w:rPr>
        <w:t xml:space="preserve">meetings are deemed to be written </w:t>
      </w:r>
      <w:r w:rsidRPr="00F6162F">
        <w:rPr>
          <w:i/>
          <w:szCs w:val="22"/>
        </w:rPr>
        <w:t xml:space="preserve">ex </w:t>
      </w:r>
      <w:r w:rsidRPr="00F6162F">
        <w:rPr>
          <w:i/>
          <w:szCs w:val="22"/>
        </w:rPr>
        <w:t>parte</w:t>
      </w:r>
      <w:r w:rsidRPr="00F6162F">
        <w:rPr>
          <w:szCs w:val="22"/>
        </w:rPr>
        <w:t xml:space="preserve"> presentations and must be filed consistent with rule 1.1206(b).</w:t>
      </w:r>
      <w:r>
        <w:rPr>
          <w:snapToGrid w:val="0"/>
          <w:szCs w:val="22"/>
          <w:vertAlign w:val="superscript"/>
        </w:rPr>
        <w:footnoteReference w:id="31"/>
      </w:r>
      <w:r w:rsidRPr="00F6162F">
        <w:rPr>
          <w:szCs w:val="22"/>
        </w:rPr>
        <w:t xml:space="preserve">  Participants in this proceeding should familiarize themselves with the Commission’s </w:t>
      </w:r>
      <w:r w:rsidRPr="00F6162F">
        <w:rPr>
          <w:i/>
          <w:szCs w:val="22"/>
        </w:rPr>
        <w:t xml:space="preserve">ex </w:t>
      </w:r>
      <w:r w:rsidRPr="00F6162F">
        <w:rPr>
          <w:i/>
          <w:szCs w:val="22"/>
        </w:rPr>
        <w:t>parte</w:t>
      </w:r>
      <w:r w:rsidRPr="00F6162F">
        <w:rPr>
          <w:szCs w:val="22"/>
        </w:rPr>
        <w:t xml:space="preserve"> rules.</w:t>
      </w:r>
    </w:p>
    <w:p w:rsidR="00F6162F" w:rsidRPr="00F6162F" w:rsidP="00F6162F" w14:paraId="007388EB" w14:textId="77777777">
      <w:pPr>
        <w:autoSpaceDE w:val="0"/>
        <w:autoSpaceDN w:val="0"/>
        <w:adjustRightInd w:val="0"/>
        <w:spacing w:after="120"/>
        <w:ind w:firstLine="720"/>
        <w:rPr>
          <w:szCs w:val="22"/>
        </w:rPr>
      </w:pPr>
      <w:r w:rsidRPr="00F6162F">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32"/>
      </w:r>
      <w:r w:rsidRPr="00F6162F">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6162F" w:rsidRPr="00F6162F" w:rsidP="00F6162F" w14:paraId="6B585F5C" w14:textId="77777777">
      <w:pPr>
        <w:autoSpaceDE w:val="0"/>
        <w:autoSpaceDN w:val="0"/>
        <w:adjustRightInd w:val="0"/>
        <w:spacing w:after="120"/>
        <w:ind w:firstLine="720"/>
        <w:rPr>
          <w:szCs w:val="22"/>
        </w:rPr>
      </w:pPr>
      <w:r w:rsidRPr="00F6162F">
        <w:rPr>
          <w:szCs w:val="22"/>
        </w:rPr>
        <w:t>For further information, please contact Myrva Charles at (202) 418-1506 or Christi Shewman at (202) 418-0646, Wireline Competition Bureau.</w:t>
      </w:r>
    </w:p>
    <w:p w:rsidR="00F6162F" w:rsidRPr="00F6162F" w:rsidP="00F6162F" w14:paraId="384F2AE9" w14:textId="77777777">
      <w:pPr>
        <w:autoSpaceDE w:val="0"/>
        <w:autoSpaceDN w:val="0"/>
        <w:adjustRightInd w:val="0"/>
        <w:spacing w:after="120"/>
        <w:ind w:firstLine="720"/>
        <w:jc w:val="center"/>
        <w:rPr>
          <w:szCs w:val="22"/>
        </w:rPr>
      </w:pPr>
      <w:r w:rsidRPr="00F6162F">
        <w:rPr>
          <w:b/>
          <w:szCs w:val="22"/>
        </w:rPr>
        <w:t>-FCC-</w:t>
      </w:r>
    </w:p>
    <w:bookmarkEnd w:id="3"/>
    <w:p w:rsidR="00F6162F" w:rsidRPr="00F6162F" w:rsidP="00F6162F" w14:paraId="502DED9B" w14:textId="77777777">
      <w:pPr>
        <w:widowControl w:val="0"/>
        <w:spacing w:before="120" w:after="240"/>
        <w:rPr>
          <w:snapToGrid w:val="0"/>
          <w:kern w:val="28"/>
        </w:rPr>
      </w:pPr>
    </w:p>
    <w:p w:rsidR="00E7033D" w:rsidRPr="00EE241D" w:rsidP="00376464" w14:paraId="35BCFE9A" w14:textId="77777777">
      <w:pPr>
        <w:jc w:val="right"/>
        <w:rPr>
          <w:color w:val="000000"/>
          <w:szCs w:val="22"/>
        </w:rPr>
      </w:pPr>
    </w:p>
    <w:sectPr w:rsidSect="00F6162F">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3994B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62F">
      <w:rPr>
        <w:rStyle w:val="PageNumber"/>
        <w:noProof/>
      </w:rPr>
      <w:t>2</w:t>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8B37D66" w14:textId="77777777">
    <w:pPr>
      <w:pStyle w:val="Footer"/>
      <w:framePr w:wrap="around" w:vAnchor="text" w:hAnchor="margin" w:xAlign="center" w:y="1"/>
    </w:pPr>
    <w:r>
      <w:fldChar w:fldCharType="begin"/>
    </w:r>
    <w:r>
      <w:instrText xml:space="preserve">PAGE  </w:instrText>
    </w:r>
    <w:r w:rsidR="00956E17">
      <w:fldChar w:fldCharType="separate"/>
    </w:r>
    <w:r>
      <w:fldChar w:fldCharType="end"/>
    </w:r>
  </w:p>
  <w:p w:rsidR="00D43260" w14:paraId="48DEA09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69D9E8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7790EC3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2C50" w14:paraId="479FDB5B" w14:textId="77777777">
      <w:r>
        <w:separator/>
      </w:r>
    </w:p>
  </w:footnote>
  <w:footnote w:type="continuationSeparator" w:id="1">
    <w:p w:rsidR="00A72C50" w14:paraId="07F54D67" w14:textId="77777777">
      <w:r>
        <w:continuationSeparator/>
      </w:r>
    </w:p>
  </w:footnote>
  <w:footnote w:type="continuationNotice" w:id="2">
    <w:p w:rsidR="00A72C50" w14:paraId="6F899EFB" w14:textId="77777777"/>
  </w:footnote>
  <w:footnote w:id="3">
    <w:p w:rsidR="00F6162F" w:rsidRPr="0029468A" w:rsidP="00F6162F" w14:paraId="0D013FA9" w14:textId="77777777">
      <w:pPr>
        <w:pStyle w:val="FootnoteText"/>
        <w:rPr>
          <w:bCs/>
          <w:sz w:val="20"/>
        </w:rPr>
      </w:pPr>
      <w:r w:rsidRPr="00D354C2">
        <w:rPr>
          <w:rStyle w:val="FootnoteReference"/>
          <w:sz w:val="20"/>
        </w:rPr>
        <w:footnoteRef/>
      </w:r>
      <w:r w:rsidRPr="00D354C2">
        <w:t xml:space="preserve"> </w:t>
      </w:r>
      <w:r w:rsidRPr="0029468A">
        <w:rPr>
          <w:i/>
          <w:sz w:val="20"/>
        </w:rPr>
        <w:t>See</w:t>
      </w:r>
      <w:r w:rsidRPr="0029468A">
        <w:rPr>
          <w:sz w:val="20"/>
        </w:rPr>
        <w:t xml:space="preserve"> 47 U.S.C. § 214; 47 CFR §§ 63.03-04; Application of Point Broadband Fiber Holding, LLC and R.M. Greene, Inc. aka Beam for Partial Assignment of Domestic Section 214 Authorization, WC Docket No. 22-344 (filed Sept. 21, 2022) (Application).  Applicants filed supplements to the Application on December 6, 2022 and December 13, 2022.  Letter from K.C. Halm, Counsel for R.M. Greene, Inc. aka Beam, and Stephen Coran, Counsel for Point Broadband Fiber Holding, LLC, to Marlene H. Dortch, Secretary, FCC (filed Dec. 6, 2022) (First Supplement); Letter from Stephen Coran, Counsel for Point Broadband Fiber Holding, LLC, to Marlene H. Dortch, Secretary, FCC (filed Dec. 13, 2022) (Second Supplement).  Any action on this domestic section 214 application is without prejudice to Commission action on other pending applications.</w:t>
      </w:r>
    </w:p>
  </w:footnote>
  <w:footnote w:id="4">
    <w:p w:rsidR="00F6162F" w:rsidRPr="0029468A" w:rsidP="00F6162F" w14:paraId="03F3DC89"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See</w:t>
      </w:r>
      <w:r w:rsidRPr="0029468A">
        <w:rPr>
          <w:sz w:val="20"/>
        </w:rPr>
        <w:t xml:space="preserve"> Application at </w:t>
      </w:r>
      <w:r w:rsidRPr="0029468A">
        <w:rPr>
          <w:sz w:val="20"/>
        </w:rPr>
        <w:t>Exh</w:t>
      </w:r>
      <w:r w:rsidRPr="0029468A">
        <w:rPr>
          <w:sz w:val="20"/>
        </w:rPr>
        <w:t xml:space="preserve">. 1 (List of Assigned Census Blocks).  Applicants state that there are 21 eligible census blocks comprising 3,420 locations in Alabama that make up the Assigned Census Blocks.  </w:t>
      </w:r>
      <w:r w:rsidRPr="0029468A">
        <w:rPr>
          <w:i/>
          <w:iCs/>
          <w:sz w:val="20"/>
        </w:rPr>
        <w:t>Id.</w:t>
      </w:r>
    </w:p>
  </w:footnote>
  <w:footnote w:id="5">
    <w:p w:rsidR="00F6162F" w:rsidP="00F6162F" w14:paraId="3D6038B4" w14:textId="77777777">
      <w:pPr>
        <w:pStyle w:val="FootnoteText"/>
      </w:pPr>
      <w:r w:rsidRPr="0029468A">
        <w:rPr>
          <w:rStyle w:val="FootnoteReference"/>
          <w:sz w:val="20"/>
        </w:rPr>
        <w:footnoteRef/>
      </w:r>
      <w:r w:rsidRPr="0029468A">
        <w:rPr>
          <w:sz w:val="20"/>
        </w:rPr>
        <w:t xml:space="preserve"> Application at 12-13; Second Supplement at 1.</w:t>
      </w:r>
    </w:p>
  </w:footnote>
  <w:footnote w:id="6">
    <w:p w:rsidR="00F6162F" w:rsidRPr="0029468A" w:rsidP="00F6162F" w14:paraId="2F6C2F6D"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xml:space="preserve"> at 3.</w:t>
      </w:r>
    </w:p>
  </w:footnote>
  <w:footnote w:id="7">
    <w:p w:rsidR="00F6162F" w:rsidRPr="0029468A" w:rsidP="00F6162F" w14:paraId="646440DC"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p>
  </w:footnote>
  <w:footnote w:id="8">
    <w:p w:rsidR="00F6162F" w:rsidRPr="0029468A" w:rsidP="00F6162F" w14:paraId="75193713"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xml:space="preserve"> at 3-4.</w:t>
      </w:r>
    </w:p>
  </w:footnote>
  <w:footnote w:id="9">
    <w:p w:rsidR="00F6162F" w:rsidRPr="0029468A" w:rsidP="00F6162F" w14:paraId="6362B71B"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xml:space="preserve"> at 4.</w:t>
      </w:r>
    </w:p>
  </w:footnote>
  <w:footnote w:id="10">
    <w:p w:rsidR="00F6162F" w:rsidRPr="0029468A" w:rsidP="00F6162F" w14:paraId="5D177387" w14:textId="77777777">
      <w:pPr>
        <w:pStyle w:val="FootnoteText"/>
        <w:rPr>
          <w:sz w:val="20"/>
        </w:rPr>
      </w:pPr>
      <w:r w:rsidRPr="0029468A">
        <w:rPr>
          <w:rStyle w:val="FootnoteReference"/>
          <w:sz w:val="20"/>
        </w:rPr>
        <w:footnoteRef/>
      </w:r>
      <w:r w:rsidRPr="0029468A">
        <w:rPr>
          <w:sz w:val="20"/>
        </w:rPr>
        <w:t xml:space="preserve"> Application at 4; </w:t>
      </w:r>
      <w:r w:rsidRPr="0029468A">
        <w:rPr>
          <w:i/>
          <w:iCs/>
          <w:sz w:val="20"/>
        </w:rPr>
        <w:t>Telecommunications Carrier Eligible for Universal Service Support</w:t>
      </w:r>
      <w:r w:rsidRPr="0029468A">
        <w:rPr>
          <w:sz w:val="20"/>
        </w:rPr>
        <w:t xml:space="preserve">, WC Docket Nos. 09-197, 10-90, Order, 36 FCC </w:t>
      </w:r>
      <w:r w:rsidRPr="0029468A">
        <w:rPr>
          <w:sz w:val="20"/>
        </w:rPr>
        <w:t>Rcd</w:t>
      </w:r>
      <w:r w:rsidRPr="0029468A">
        <w:rPr>
          <w:sz w:val="20"/>
        </w:rPr>
        <w:t xml:space="preserve"> 9384 (WCB 2021) (designating Point Broadband as an ETC).</w:t>
      </w:r>
    </w:p>
  </w:footnote>
  <w:footnote w:id="11">
    <w:p w:rsidR="00F6162F" w:rsidRPr="0029468A" w:rsidP="00F6162F" w14:paraId="67B7F162" w14:textId="77777777">
      <w:pPr>
        <w:pStyle w:val="FootnoteText"/>
        <w:rPr>
          <w:sz w:val="20"/>
        </w:rPr>
      </w:pPr>
      <w:r w:rsidRPr="0029468A">
        <w:rPr>
          <w:rStyle w:val="FootnoteReference"/>
          <w:sz w:val="20"/>
        </w:rPr>
        <w:footnoteRef/>
      </w:r>
      <w:r w:rsidRPr="0029468A">
        <w:rPr>
          <w:sz w:val="20"/>
        </w:rPr>
        <w:t xml:space="preserve"> Application at 4.  </w:t>
      </w:r>
      <w:r w:rsidRPr="0029468A">
        <w:rPr>
          <w:i/>
          <w:iCs/>
          <w:sz w:val="20"/>
        </w:rPr>
        <w:t>See</w:t>
      </w:r>
      <w:r w:rsidRPr="0029468A">
        <w:rPr>
          <w:sz w:val="20"/>
        </w:rPr>
        <w:t xml:space="preserve"> </w:t>
      </w:r>
      <w:r w:rsidRPr="0029468A">
        <w:rPr>
          <w:i/>
          <w:iCs/>
          <w:sz w:val="20"/>
        </w:rPr>
        <w:t xml:space="preserve">Rural Digital Opportunity Fund Support Authorized for 466 Winning Bids, </w:t>
      </w:r>
      <w:r w:rsidRPr="0029468A">
        <w:rPr>
          <w:sz w:val="20"/>
        </w:rPr>
        <w:t xml:space="preserve">AU Docket No. 20-34, WC Docket Nos. 19-126 &amp; 10-90, Public Notice, 36 FCC </w:t>
      </w:r>
      <w:r w:rsidRPr="0029468A">
        <w:rPr>
          <w:sz w:val="20"/>
        </w:rPr>
        <w:t>Rcd</w:t>
      </w:r>
      <w:r w:rsidRPr="0029468A">
        <w:rPr>
          <w:sz w:val="20"/>
        </w:rPr>
        <w:t xml:space="preserve"> 13574, 13581 and Attach. A (WCB Sept. 15, 2021) (</w:t>
      </w:r>
      <w:r w:rsidRPr="0029468A">
        <w:rPr>
          <w:i/>
          <w:iCs/>
          <w:sz w:val="20"/>
        </w:rPr>
        <w:t>Authorization PN</w:t>
      </w:r>
      <w:r w:rsidRPr="0029468A">
        <w:rPr>
          <w:sz w:val="20"/>
        </w:rPr>
        <w:t xml:space="preserve">) (“ETCs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 The </w:t>
      </w:r>
      <w:r w:rsidRPr="0029468A">
        <w:rPr>
          <w:i/>
          <w:iCs/>
          <w:sz w:val="20"/>
        </w:rPr>
        <w:t>Authorization PN</w:t>
      </w:r>
      <w:r w:rsidRPr="0029468A">
        <w:rPr>
          <w:sz w:val="20"/>
        </w:rPr>
        <w:t xml:space="preserve"> also authorized Point Broadband to receive RDOF support for designated areas in Georgia, Michigan, New York, and Virginia.  </w:t>
      </w:r>
      <w:r w:rsidRPr="0029468A">
        <w:rPr>
          <w:i/>
          <w:iCs/>
          <w:sz w:val="20"/>
        </w:rPr>
        <w:t>Id</w:t>
      </w:r>
      <w:r w:rsidRPr="0029468A">
        <w:rPr>
          <w:sz w:val="20"/>
        </w:rPr>
        <w:t>. at Attach. A.</w:t>
      </w:r>
    </w:p>
  </w:footnote>
  <w:footnote w:id="12">
    <w:p w:rsidR="00F6162F" w:rsidRPr="0029468A" w:rsidP="00F6162F" w14:paraId="16B439A9" w14:textId="77777777">
      <w:pPr>
        <w:pStyle w:val="FootnoteText"/>
        <w:rPr>
          <w:sz w:val="20"/>
        </w:rPr>
      </w:pPr>
      <w:r w:rsidRPr="0029468A">
        <w:rPr>
          <w:rStyle w:val="FootnoteReference"/>
          <w:sz w:val="20"/>
        </w:rPr>
        <w:footnoteRef/>
      </w:r>
      <w:r w:rsidRPr="0029468A">
        <w:rPr>
          <w:sz w:val="20"/>
        </w:rPr>
        <w:t xml:space="preserve"> Application at 13-14.</w:t>
      </w:r>
    </w:p>
  </w:footnote>
  <w:footnote w:id="13">
    <w:p w:rsidR="00F6162F" w:rsidRPr="0029468A" w:rsidP="00F6162F" w14:paraId="1B14C1F1"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at 14.</w:t>
      </w:r>
    </w:p>
  </w:footnote>
  <w:footnote w:id="14">
    <w:p w:rsidR="00F6162F" w:rsidRPr="0029468A" w:rsidP="00F6162F" w14:paraId="06610136"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xml:space="preserve">. </w:t>
      </w:r>
    </w:p>
  </w:footnote>
  <w:footnote w:id="15">
    <w:p w:rsidR="00F6162F" w:rsidRPr="0029468A" w:rsidP="00F6162F" w14:paraId="5278331B"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at 4</w:t>
      </w:r>
    </w:p>
  </w:footnote>
  <w:footnote w:id="16">
    <w:p w:rsidR="00F6162F" w:rsidRPr="0029468A" w:rsidP="00F6162F" w14:paraId="684D7F61"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xml:space="preserve">. </w:t>
      </w:r>
    </w:p>
  </w:footnote>
  <w:footnote w:id="17">
    <w:p w:rsidR="00F6162F" w:rsidRPr="0029468A" w:rsidP="00F6162F" w14:paraId="001C8DA6"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w:t>
      </w:r>
    </w:p>
  </w:footnote>
  <w:footnote w:id="18">
    <w:p w:rsidR="00F6162F" w:rsidRPr="0029468A" w:rsidP="00F6162F" w14:paraId="6272D1E0" w14:textId="77777777">
      <w:pPr>
        <w:pStyle w:val="FootnoteText"/>
        <w:rPr>
          <w:sz w:val="20"/>
        </w:rPr>
      </w:pPr>
      <w:r w:rsidRPr="0029468A">
        <w:rPr>
          <w:rStyle w:val="FootnoteReference"/>
          <w:sz w:val="20"/>
        </w:rPr>
        <w:footnoteRef/>
      </w:r>
      <w:r w:rsidRPr="0029468A">
        <w:rPr>
          <w:sz w:val="20"/>
        </w:rPr>
        <w:t xml:space="preserve"> Application at 5.</w:t>
      </w:r>
    </w:p>
  </w:footnote>
  <w:footnote w:id="19">
    <w:p w:rsidR="00F6162F" w:rsidRPr="0029468A" w:rsidP="00F6162F" w14:paraId="69EA5D88" w14:textId="77777777">
      <w:pPr>
        <w:pStyle w:val="FootnoteText"/>
        <w:rPr>
          <w:sz w:val="20"/>
        </w:rPr>
      </w:pPr>
      <w:r w:rsidRPr="0029468A">
        <w:rPr>
          <w:rStyle w:val="FootnoteReference"/>
          <w:sz w:val="20"/>
        </w:rPr>
        <w:footnoteRef/>
      </w:r>
      <w:r w:rsidRPr="0029468A">
        <w:rPr>
          <w:sz w:val="20"/>
        </w:rPr>
        <w:t xml:space="preserve"> R.M. Greene, Inc. Petition for Designation as an Eligible Telecommunications Carrier, WC Docket No. 09-197 (filed Sept. 21, 2022); </w:t>
      </w:r>
      <w:r w:rsidRPr="0029468A">
        <w:rPr>
          <w:i/>
          <w:iCs/>
          <w:sz w:val="20"/>
        </w:rPr>
        <w:t>Wireline Competition Bureau Seeks Comment on R.M. Greene, Inc. aka Beam’s Rural Digital Opportunity Fund Petition for Designation as an Eligible Telecommunications Carrier</w:t>
      </w:r>
      <w:r w:rsidRPr="0029468A">
        <w:rPr>
          <w:sz w:val="20"/>
        </w:rPr>
        <w:t xml:space="preserve">, WC Docket No. 09-197, Public Notice, DA 22-1110 (rel. Oct. 20, 2022); </w:t>
      </w:r>
      <w:r w:rsidRPr="0029468A">
        <w:rPr>
          <w:i/>
          <w:iCs/>
          <w:sz w:val="20"/>
        </w:rPr>
        <w:t>see also</w:t>
      </w:r>
      <w:r w:rsidRPr="0029468A">
        <w:rPr>
          <w:sz w:val="20"/>
        </w:rPr>
        <w:t xml:space="preserve"> First Supplement.</w:t>
      </w:r>
    </w:p>
  </w:footnote>
  <w:footnote w:id="20">
    <w:p w:rsidR="00F6162F" w:rsidRPr="0029468A" w:rsidP="00F6162F" w14:paraId="5F132CDB" w14:textId="77777777">
      <w:pPr>
        <w:pStyle w:val="FootnoteText"/>
        <w:rPr>
          <w:sz w:val="20"/>
        </w:rPr>
      </w:pPr>
      <w:r w:rsidRPr="0029468A">
        <w:rPr>
          <w:rStyle w:val="FootnoteReference"/>
          <w:sz w:val="20"/>
        </w:rPr>
        <w:footnoteRef/>
      </w:r>
      <w:r w:rsidRPr="0029468A">
        <w:rPr>
          <w:sz w:val="20"/>
        </w:rPr>
        <w:t xml:space="preserve"> Application at 5-6.</w:t>
      </w:r>
    </w:p>
  </w:footnote>
  <w:footnote w:id="21">
    <w:p w:rsidR="00F6162F" w:rsidRPr="0029468A" w:rsidP="00F6162F" w14:paraId="7DACB076"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at 5.</w:t>
      </w:r>
    </w:p>
  </w:footnote>
  <w:footnote w:id="22">
    <w:p w:rsidR="00F6162F" w:rsidRPr="0029468A" w:rsidP="00F6162F" w14:paraId="64FA9614"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at 6.</w:t>
      </w:r>
    </w:p>
  </w:footnote>
  <w:footnote w:id="23">
    <w:p w:rsidR="00F6162F" w:rsidRPr="0029468A" w:rsidP="00F6162F" w14:paraId="7C5C56CD"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at 7.</w:t>
      </w:r>
    </w:p>
  </w:footnote>
  <w:footnote w:id="24">
    <w:p w:rsidR="00F6162F" w:rsidRPr="0029468A" w:rsidP="00F6162F" w14:paraId="7D7AF8FF"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at 7-8.</w:t>
      </w:r>
    </w:p>
  </w:footnote>
  <w:footnote w:id="25">
    <w:p w:rsidR="00F6162F" w:rsidRPr="0029468A" w:rsidP="00F6162F" w14:paraId="71AF38A8"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at 8.</w:t>
      </w:r>
    </w:p>
  </w:footnote>
  <w:footnote w:id="26">
    <w:p w:rsidR="00F6162F" w:rsidRPr="0029468A" w:rsidP="00F6162F" w14:paraId="6A1D8621" w14:textId="77777777">
      <w:pPr>
        <w:pStyle w:val="FootnoteText"/>
        <w:rPr>
          <w:sz w:val="20"/>
        </w:rPr>
      </w:pPr>
      <w:r w:rsidRPr="0029468A">
        <w:rPr>
          <w:rStyle w:val="FootnoteReference"/>
          <w:sz w:val="20"/>
        </w:rPr>
        <w:footnoteRef/>
      </w:r>
      <w:r w:rsidRPr="0029468A">
        <w:rPr>
          <w:sz w:val="20"/>
        </w:rPr>
        <w:t xml:space="preserve"> Application at 8-9.</w:t>
      </w:r>
    </w:p>
  </w:footnote>
  <w:footnote w:id="27">
    <w:p w:rsidR="00F6162F" w:rsidRPr="0029468A" w:rsidP="00F6162F" w14:paraId="09AF9EFF"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at 9.</w:t>
      </w:r>
    </w:p>
  </w:footnote>
  <w:footnote w:id="28">
    <w:p w:rsidR="00F6162F" w:rsidRPr="0029468A" w:rsidP="00F6162F" w14:paraId="31734B8B" w14:textId="77777777">
      <w:pPr>
        <w:pStyle w:val="FootnoteText"/>
        <w:rPr>
          <w:sz w:val="20"/>
        </w:rPr>
      </w:pPr>
      <w:r w:rsidRPr="0029468A">
        <w:rPr>
          <w:rStyle w:val="FootnoteReference"/>
          <w:sz w:val="20"/>
        </w:rPr>
        <w:footnoteRef/>
      </w:r>
      <w:r w:rsidRPr="0029468A">
        <w:rPr>
          <w:sz w:val="20"/>
        </w:rPr>
        <w:t xml:space="preserve"> </w:t>
      </w:r>
      <w:r w:rsidRPr="0029468A">
        <w:rPr>
          <w:i/>
          <w:iCs/>
          <w:sz w:val="20"/>
        </w:rPr>
        <w:t>Id</w:t>
      </w:r>
      <w:r w:rsidRPr="0029468A">
        <w:rPr>
          <w:sz w:val="20"/>
        </w:rPr>
        <w:t>. at 7.</w:t>
      </w:r>
    </w:p>
  </w:footnote>
  <w:footnote w:id="29">
    <w:p w:rsidR="00F6162F" w:rsidRPr="0029468A" w:rsidP="00F6162F" w14:paraId="5B5FA150" w14:textId="2CBE478F">
      <w:pPr>
        <w:pStyle w:val="FootnoteText"/>
        <w:rPr>
          <w:sz w:val="20"/>
        </w:rPr>
      </w:pPr>
      <w:r w:rsidRPr="0029468A">
        <w:rPr>
          <w:rStyle w:val="FootnoteReference"/>
          <w:sz w:val="20"/>
        </w:rPr>
        <w:footnoteRef/>
      </w:r>
      <w:r w:rsidRPr="0029468A">
        <w:rPr>
          <w:sz w:val="20"/>
        </w:rPr>
        <w:t xml:space="preserve"> </w:t>
      </w:r>
      <w:bookmarkStart w:id="2" w:name="_Hlk98844830"/>
      <w:r w:rsidRPr="0029468A">
        <w:rPr>
          <w:sz w:val="20"/>
        </w:rPr>
        <w:t>47 CFR § 63.03(c)(1)(v).</w:t>
      </w:r>
      <w:bookmarkEnd w:id="2"/>
    </w:p>
  </w:footnote>
  <w:footnote w:id="30">
    <w:p w:rsidR="00F6162F" w:rsidRPr="0029468A" w:rsidP="00F6162F" w14:paraId="7EBC57CB" w14:textId="77777777">
      <w:pPr>
        <w:pStyle w:val="FootnoteText"/>
        <w:rPr>
          <w:sz w:val="20"/>
          <w:u w:val="single"/>
        </w:rPr>
      </w:pPr>
      <w:r w:rsidRPr="0029468A">
        <w:rPr>
          <w:rStyle w:val="FootnoteReference"/>
          <w:sz w:val="20"/>
        </w:rPr>
        <w:footnoteRef/>
      </w:r>
      <w:r w:rsidRPr="0029468A">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29468A">
        <w:rPr>
          <w:rFonts w:eastAsia="Calibri"/>
          <w:i/>
          <w:iCs/>
          <w:sz w:val="20"/>
        </w:rPr>
        <w:t>See FCC Announces Closure of FCC Headquarters Open Window and Change in Hand-Delivery Policy</w:t>
      </w:r>
      <w:r w:rsidRPr="0029468A">
        <w:rPr>
          <w:rFonts w:eastAsia="Calibri"/>
          <w:sz w:val="20"/>
        </w:rPr>
        <w:t xml:space="preserve">, Public Notice, 35 FCC </w:t>
      </w:r>
      <w:r w:rsidRPr="0029468A">
        <w:rPr>
          <w:rFonts w:eastAsia="Calibri"/>
          <w:sz w:val="20"/>
        </w:rPr>
        <w:t>Rcd</w:t>
      </w:r>
      <w:r w:rsidRPr="0029468A">
        <w:rPr>
          <w:rFonts w:eastAsia="Calibri"/>
          <w:sz w:val="20"/>
        </w:rPr>
        <w:t xml:space="preserve"> 2788 (OS 2020).</w:t>
      </w:r>
    </w:p>
  </w:footnote>
  <w:footnote w:id="31">
    <w:p w:rsidR="00F6162F" w:rsidRPr="0029468A" w:rsidP="00F6162F" w14:paraId="1A810FDE" w14:textId="77777777">
      <w:pPr>
        <w:pStyle w:val="FootnoteText"/>
        <w:rPr>
          <w:sz w:val="20"/>
        </w:rPr>
      </w:pPr>
      <w:r w:rsidRPr="0029468A">
        <w:rPr>
          <w:rStyle w:val="FootnoteReference"/>
          <w:sz w:val="20"/>
        </w:rPr>
        <w:footnoteRef/>
      </w:r>
      <w:r w:rsidRPr="0029468A">
        <w:rPr>
          <w:sz w:val="20"/>
        </w:rPr>
        <w:t xml:space="preserve"> 47 CFR § 1.1206(b).</w:t>
      </w:r>
    </w:p>
  </w:footnote>
  <w:footnote w:id="32">
    <w:p w:rsidR="00F6162F" w:rsidRPr="0029468A" w:rsidP="00F6162F" w14:paraId="644A7AB5" w14:textId="77777777">
      <w:pPr>
        <w:pStyle w:val="FootnoteText"/>
        <w:rPr>
          <w:sz w:val="20"/>
        </w:rPr>
      </w:pPr>
      <w:r w:rsidRPr="0029468A">
        <w:rPr>
          <w:rStyle w:val="FootnoteReference"/>
          <w:sz w:val="20"/>
        </w:rPr>
        <w:footnoteRef/>
      </w:r>
      <w:r w:rsidRPr="0029468A">
        <w:rPr>
          <w:sz w:val="20"/>
        </w:rPr>
        <w:t xml:space="preserve"> </w:t>
      </w:r>
      <w:r w:rsidRPr="0029468A">
        <w:rPr>
          <w:i/>
          <w:sz w:val="20"/>
        </w:rPr>
        <w:t>See</w:t>
      </w:r>
      <w:r w:rsidRPr="0029468A">
        <w:rPr>
          <w:sz w:val="20"/>
        </w:rPr>
        <w:t xml:space="preserve"> </w:t>
      </w:r>
      <w:r w:rsidRPr="0029468A">
        <w:rPr>
          <w:i/>
          <w:iCs/>
          <w:sz w:val="20"/>
        </w:rPr>
        <w:t>id.</w:t>
      </w:r>
      <w:r w:rsidRPr="0029468A">
        <w:rPr>
          <w:sz w:val="20"/>
        </w:rPr>
        <w:t xml:space="preserve">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rsidP="00F6162F" w14:paraId="4EA2BCB9" w14:textId="49FBF3CB">
                <w:pPr>
                  <w:jc w:val="right"/>
                  <w:rPr>
                    <w:rFonts w:ascii="Arial" w:hAnsi="Arial"/>
                    <w:b/>
                    <w:sz w:val="16"/>
                  </w:rPr>
                </w:pPr>
                <w:r>
                  <w:rPr>
                    <w:rFonts w:ascii="Arial" w:hAnsi="Arial"/>
                    <w:b/>
                    <w:sz w:val="16"/>
                  </w:rPr>
                  <w:tab/>
                  <w:t xml:space="preserve">Internet: </w:t>
                </w:r>
                <w:bookmarkStart w:id="0" w:name="_Hlt233824"/>
                <w:hyperlink r:id="rId2" w:history="1">
                  <w:r w:rsidRPr="00B9699E" w:rsidR="00F6162F">
                    <w:rPr>
                      <w:rStyle w:val="Hyperlink"/>
                      <w:rFonts w:ascii="Arial" w:hAnsi="Arial"/>
                      <w:b/>
                      <w:sz w:val="16"/>
                    </w:rPr>
                    <w:t>h</w:t>
                  </w:r>
                  <w:bookmarkEnd w:id="0"/>
                  <w:r w:rsidRPr="00B9699E" w:rsidR="00F6162F">
                    <w:rPr>
                      <w:rStyle w:val="Hyperlink"/>
                      <w:rFonts w:ascii="Arial" w:hAnsi="Arial"/>
                      <w:b/>
                      <w:sz w:val="16"/>
                    </w:rPr>
                    <w:t>ttp://www.fcc.gov</w:t>
                  </w:r>
                </w:hyperlink>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852616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4D5D980" w14:textId="69A583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3" type="#_x0000_t75" style="width:468pt;height:114.75pt;mso-wrap-style:square;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236"/>
    <w:rsid w:val="00041C01"/>
    <w:rsid w:val="000534AC"/>
    <w:rsid w:val="00061A42"/>
    <w:rsid w:val="00066D12"/>
    <w:rsid w:val="00070D65"/>
    <w:rsid w:val="000735C8"/>
    <w:rsid w:val="0008381D"/>
    <w:rsid w:val="00087205"/>
    <w:rsid w:val="000B4EDD"/>
    <w:rsid w:val="000C6797"/>
    <w:rsid w:val="000D6B9C"/>
    <w:rsid w:val="000E063F"/>
    <w:rsid w:val="000F02F7"/>
    <w:rsid w:val="00101D0B"/>
    <w:rsid w:val="0013405D"/>
    <w:rsid w:val="0013645F"/>
    <w:rsid w:val="00140E74"/>
    <w:rsid w:val="001412C1"/>
    <w:rsid w:val="00141388"/>
    <w:rsid w:val="00145294"/>
    <w:rsid w:val="0015217F"/>
    <w:rsid w:val="001704BC"/>
    <w:rsid w:val="00186CBD"/>
    <w:rsid w:val="001A3813"/>
    <w:rsid w:val="001B69F9"/>
    <w:rsid w:val="001C4E34"/>
    <w:rsid w:val="001F1E04"/>
    <w:rsid w:val="001F6762"/>
    <w:rsid w:val="00213C6B"/>
    <w:rsid w:val="0022449B"/>
    <w:rsid w:val="0023302B"/>
    <w:rsid w:val="00253247"/>
    <w:rsid w:val="00262E65"/>
    <w:rsid w:val="002636F5"/>
    <w:rsid w:val="00285612"/>
    <w:rsid w:val="0029468A"/>
    <w:rsid w:val="002A13C1"/>
    <w:rsid w:val="002B16FA"/>
    <w:rsid w:val="002C203E"/>
    <w:rsid w:val="002C22F3"/>
    <w:rsid w:val="002C27F4"/>
    <w:rsid w:val="002C47F7"/>
    <w:rsid w:val="002D09E2"/>
    <w:rsid w:val="002D136F"/>
    <w:rsid w:val="002D6F61"/>
    <w:rsid w:val="002F6E56"/>
    <w:rsid w:val="0030157A"/>
    <w:rsid w:val="0030742E"/>
    <w:rsid w:val="003329F7"/>
    <w:rsid w:val="0033599C"/>
    <w:rsid w:val="00341218"/>
    <w:rsid w:val="00353CB5"/>
    <w:rsid w:val="00365194"/>
    <w:rsid w:val="00375518"/>
    <w:rsid w:val="00376464"/>
    <w:rsid w:val="00377D89"/>
    <w:rsid w:val="003855A0"/>
    <w:rsid w:val="003921C1"/>
    <w:rsid w:val="003945C4"/>
    <w:rsid w:val="00395A7A"/>
    <w:rsid w:val="003A18A0"/>
    <w:rsid w:val="003A443A"/>
    <w:rsid w:val="003A5255"/>
    <w:rsid w:val="003B5CEE"/>
    <w:rsid w:val="003B6121"/>
    <w:rsid w:val="003C70C6"/>
    <w:rsid w:val="003F0ECD"/>
    <w:rsid w:val="00401B71"/>
    <w:rsid w:val="004077D0"/>
    <w:rsid w:val="00412DA6"/>
    <w:rsid w:val="00414769"/>
    <w:rsid w:val="00426650"/>
    <w:rsid w:val="004331D7"/>
    <w:rsid w:val="00433D8C"/>
    <w:rsid w:val="00434C96"/>
    <w:rsid w:val="00460914"/>
    <w:rsid w:val="004609A4"/>
    <w:rsid w:val="00464E8A"/>
    <w:rsid w:val="004808FC"/>
    <w:rsid w:val="00480E4B"/>
    <w:rsid w:val="00482EB0"/>
    <w:rsid w:val="00487437"/>
    <w:rsid w:val="004900A0"/>
    <w:rsid w:val="004913FF"/>
    <w:rsid w:val="0049487E"/>
    <w:rsid w:val="004951AE"/>
    <w:rsid w:val="004C712F"/>
    <w:rsid w:val="004D7B11"/>
    <w:rsid w:val="004F3603"/>
    <w:rsid w:val="004F6F64"/>
    <w:rsid w:val="0050037F"/>
    <w:rsid w:val="00502C9C"/>
    <w:rsid w:val="00505E30"/>
    <w:rsid w:val="00507F97"/>
    <w:rsid w:val="00511202"/>
    <w:rsid w:val="0052334B"/>
    <w:rsid w:val="005243E7"/>
    <w:rsid w:val="005320B5"/>
    <w:rsid w:val="0056058F"/>
    <w:rsid w:val="0058712A"/>
    <w:rsid w:val="00590951"/>
    <w:rsid w:val="005932BA"/>
    <w:rsid w:val="005A13D0"/>
    <w:rsid w:val="005A64A7"/>
    <w:rsid w:val="005C32F3"/>
    <w:rsid w:val="005C403A"/>
    <w:rsid w:val="005D7355"/>
    <w:rsid w:val="005F2C50"/>
    <w:rsid w:val="0060105E"/>
    <w:rsid w:val="0060106A"/>
    <w:rsid w:val="00604A3C"/>
    <w:rsid w:val="00604CFF"/>
    <w:rsid w:val="00607E4E"/>
    <w:rsid w:val="0061137C"/>
    <w:rsid w:val="00616221"/>
    <w:rsid w:val="00633503"/>
    <w:rsid w:val="0064619A"/>
    <w:rsid w:val="006548DD"/>
    <w:rsid w:val="006768CC"/>
    <w:rsid w:val="00691832"/>
    <w:rsid w:val="006B5C06"/>
    <w:rsid w:val="006C32C8"/>
    <w:rsid w:val="006C591C"/>
    <w:rsid w:val="006D3CCE"/>
    <w:rsid w:val="006D53B8"/>
    <w:rsid w:val="006D6B63"/>
    <w:rsid w:val="006E155C"/>
    <w:rsid w:val="006E3E11"/>
    <w:rsid w:val="006E61ED"/>
    <w:rsid w:val="006E7452"/>
    <w:rsid w:val="006F2E84"/>
    <w:rsid w:val="006F4D60"/>
    <w:rsid w:val="00700FBB"/>
    <w:rsid w:val="00706D49"/>
    <w:rsid w:val="0071041E"/>
    <w:rsid w:val="00711404"/>
    <w:rsid w:val="007153AA"/>
    <w:rsid w:val="00724722"/>
    <w:rsid w:val="00733B9B"/>
    <w:rsid w:val="00754D6A"/>
    <w:rsid w:val="007569C5"/>
    <w:rsid w:val="00760269"/>
    <w:rsid w:val="0076076F"/>
    <w:rsid w:val="00777602"/>
    <w:rsid w:val="00780F55"/>
    <w:rsid w:val="007A33E3"/>
    <w:rsid w:val="007B2C2E"/>
    <w:rsid w:val="007B47A9"/>
    <w:rsid w:val="007C263F"/>
    <w:rsid w:val="007C30DA"/>
    <w:rsid w:val="007C3EFB"/>
    <w:rsid w:val="007D0872"/>
    <w:rsid w:val="007E5753"/>
    <w:rsid w:val="00813C6D"/>
    <w:rsid w:val="00821491"/>
    <w:rsid w:val="00824765"/>
    <w:rsid w:val="0083340A"/>
    <w:rsid w:val="00841406"/>
    <w:rsid w:val="0084778A"/>
    <w:rsid w:val="00853114"/>
    <w:rsid w:val="0085579D"/>
    <w:rsid w:val="0086691C"/>
    <w:rsid w:val="008675C7"/>
    <w:rsid w:val="0087554B"/>
    <w:rsid w:val="0087771D"/>
    <w:rsid w:val="00877D35"/>
    <w:rsid w:val="00880FDE"/>
    <w:rsid w:val="00881DC6"/>
    <w:rsid w:val="008850E4"/>
    <w:rsid w:val="008A2D44"/>
    <w:rsid w:val="008C294A"/>
    <w:rsid w:val="008C558A"/>
    <w:rsid w:val="008D219B"/>
    <w:rsid w:val="008D2804"/>
    <w:rsid w:val="008D5540"/>
    <w:rsid w:val="008E27B4"/>
    <w:rsid w:val="008F6981"/>
    <w:rsid w:val="00903154"/>
    <w:rsid w:val="00903DE0"/>
    <w:rsid w:val="009075DA"/>
    <w:rsid w:val="009101A4"/>
    <w:rsid w:val="00950639"/>
    <w:rsid w:val="00956E17"/>
    <w:rsid w:val="00963D7C"/>
    <w:rsid w:val="00967409"/>
    <w:rsid w:val="0097442D"/>
    <w:rsid w:val="009779A2"/>
    <w:rsid w:val="0098015F"/>
    <w:rsid w:val="00995916"/>
    <w:rsid w:val="009A0D7F"/>
    <w:rsid w:val="009A124E"/>
    <w:rsid w:val="009A2284"/>
    <w:rsid w:val="009A55A7"/>
    <w:rsid w:val="009B0128"/>
    <w:rsid w:val="009B6797"/>
    <w:rsid w:val="009C3EC2"/>
    <w:rsid w:val="009C797E"/>
    <w:rsid w:val="009D1A79"/>
    <w:rsid w:val="009D25E3"/>
    <w:rsid w:val="009D69ED"/>
    <w:rsid w:val="009E6916"/>
    <w:rsid w:val="009F16F4"/>
    <w:rsid w:val="00A11865"/>
    <w:rsid w:val="00A15248"/>
    <w:rsid w:val="00A2021A"/>
    <w:rsid w:val="00A233A3"/>
    <w:rsid w:val="00A25C41"/>
    <w:rsid w:val="00A27072"/>
    <w:rsid w:val="00A30656"/>
    <w:rsid w:val="00A34A3D"/>
    <w:rsid w:val="00A46608"/>
    <w:rsid w:val="00A47815"/>
    <w:rsid w:val="00A55F2F"/>
    <w:rsid w:val="00A5673E"/>
    <w:rsid w:val="00A569E4"/>
    <w:rsid w:val="00A61D2B"/>
    <w:rsid w:val="00A72C50"/>
    <w:rsid w:val="00A9279F"/>
    <w:rsid w:val="00A92C9E"/>
    <w:rsid w:val="00AB7DD7"/>
    <w:rsid w:val="00AC61C0"/>
    <w:rsid w:val="00AD0360"/>
    <w:rsid w:val="00AD7B13"/>
    <w:rsid w:val="00AE4EB4"/>
    <w:rsid w:val="00AF7675"/>
    <w:rsid w:val="00B00CBF"/>
    <w:rsid w:val="00B02CE4"/>
    <w:rsid w:val="00B02F9A"/>
    <w:rsid w:val="00B10AB1"/>
    <w:rsid w:val="00B33206"/>
    <w:rsid w:val="00B335D6"/>
    <w:rsid w:val="00B34C08"/>
    <w:rsid w:val="00B55A93"/>
    <w:rsid w:val="00B73AED"/>
    <w:rsid w:val="00B8395C"/>
    <w:rsid w:val="00B908C9"/>
    <w:rsid w:val="00B958E7"/>
    <w:rsid w:val="00B9699E"/>
    <w:rsid w:val="00BA0AC9"/>
    <w:rsid w:val="00BA182E"/>
    <w:rsid w:val="00BB417E"/>
    <w:rsid w:val="00BC1C80"/>
    <w:rsid w:val="00BC2BE0"/>
    <w:rsid w:val="00BC7555"/>
    <w:rsid w:val="00BD282A"/>
    <w:rsid w:val="00BF0B00"/>
    <w:rsid w:val="00C117C2"/>
    <w:rsid w:val="00C612FD"/>
    <w:rsid w:val="00C73617"/>
    <w:rsid w:val="00C749BC"/>
    <w:rsid w:val="00C75DF3"/>
    <w:rsid w:val="00C82D34"/>
    <w:rsid w:val="00C94B67"/>
    <w:rsid w:val="00CA3252"/>
    <w:rsid w:val="00CA6E65"/>
    <w:rsid w:val="00CB08EA"/>
    <w:rsid w:val="00CC1FB2"/>
    <w:rsid w:val="00CC2C01"/>
    <w:rsid w:val="00CD0AA5"/>
    <w:rsid w:val="00CD60B7"/>
    <w:rsid w:val="00CE03DE"/>
    <w:rsid w:val="00CE49B4"/>
    <w:rsid w:val="00D024AA"/>
    <w:rsid w:val="00D04DB0"/>
    <w:rsid w:val="00D05E13"/>
    <w:rsid w:val="00D074B0"/>
    <w:rsid w:val="00D111DF"/>
    <w:rsid w:val="00D252B2"/>
    <w:rsid w:val="00D30DAA"/>
    <w:rsid w:val="00D3174C"/>
    <w:rsid w:val="00D354C2"/>
    <w:rsid w:val="00D43260"/>
    <w:rsid w:val="00D517C2"/>
    <w:rsid w:val="00D52DA6"/>
    <w:rsid w:val="00D625C7"/>
    <w:rsid w:val="00D633A2"/>
    <w:rsid w:val="00D702F3"/>
    <w:rsid w:val="00D80F4F"/>
    <w:rsid w:val="00DB59FD"/>
    <w:rsid w:val="00DD0968"/>
    <w:rsid w:val="00DF1AD9"/>
    <w:rsid w:val="00E02506"/>
    <w:rsid w:val="00E03B04"/>
    <w:rsid w:val="00E04A42"/>
    <w:rsid w:val="00E159F4"/>
    <w:rsid w:val="00E54722"/>
    <w:rsid w:val="00E55A96"/>
    <w:rsid w:val="00E61098"/>
    <w:rsid w:val="00E7033D"/>
    <w:rsid w:val="00E714D1"/>
    <w:rsid w:val="00E749E0"/>
    <w:rsid w:val="00E7748A"/>
    <w:rsid w:val="00E7751B"/>
    <w:rsid w:val="00E90A56"/>
    <w:rsid w:val="00EA09BE"/>
    <w:rsid w:val="00EB1975"/>
    <w:rsid w:val="00EB2E3F"/>
    <w:rsid w:val="00EB33B9"/>
    <w:rsid w:val="00EC0FDA"/>
    <w:rsid w:val="00EC3BF9"/>
    <w:rsid w:val="00EC3CCE"/>
    <w:rsid w:val="00ED40B2"/>
    <w:rsid w:val="00ED41E6"/>
    <w:rsid w:val="00EE241D"/>
    <w:rsid w:val="00EE37C8"/>
    <w:rsid w:val="00EE6D22"/>
    <w:rsid w:val="00F04273"/>
    <w:rsid w:val="00F05755"/>
    <w:rsid w:val="00F107E6"/>
    <w:rsid w:val="00F11266"/>
    <w:rsid w:val="00F25C6B"/>
    <w:rsid w:val="00F3092F"/>
    <w:rsid w:val="00F3502B"/>
    <w:rsid w:val="00F6162F"/>
    <w:rsid w:val="00F65523"/>
    <w:rsid w:val="00F700CA"/>
    <w:rsid w:val="00F85F3E"/>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4B85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basedOn w:val="DefaultParagraphFont"/>
    <w:rsid w:val="00F61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christi.shewman@fcc.gov" TargetMode="External" /><Relationship Id="rId12" Type="http://schemas.openxmlformats.org/officeDocument/2006/relationships/hyperlink" Target="mailto:jim.bird@fcc.gov" TargetMode="Externa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3.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s://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