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870B8A" w14:paraId="0E2BA768" w14:textId="0D375884">
      <w:pPr>
        <w:spacing w:before="120" w:after="240"/>
        <w:rPr>
          <w:b/>
          <w:sz w:val="24"/>
        </w:rPr>
      </w:pPr>
    </w:p>
    <w:p w:rsidR="00870B8A" w:rsidRPr="00C61E31" w14:paraId="3BC2068A" w14:textId="32A6F22B">
      <w:pPr>
        <w:jc w:val="right"/>
        <w:rPr>
          <w:b/>
          <w:sz w:val="24"/>
        </w:rPr>
      </w:pPr>
      <w:r w:rsidRPr="00C61E31">
        <w:rPr>
          <w:b/>
          <w:sz w:val="24"/>
        </w:rPr>
        <w:t>DA 22-</w:t>
      </w:r>
      <w:r w:rsidR="00C8492A">
        <w:rPr>
          <w:b/>
          <w:sz w:val="24"/>
        </w:rPr>
        <w:t>1345</w:t>
      </w:r>
    </w:p>
    <w:p w:rsidR="00870B8A" w:rsidRPr="00C61E31" w14:paraId="1D81BA18" w14:textId="61C6EFAD">
      <w:pPr>
        <w:spacing w:before="60"/>
        <w:jc w:val="right"/>
        <w:rPr>
          <w:b/>
          <w:sz w:val="24"/>
        </w:rPr>
      </w:pPr>
      <w:r w:rsidRPr="00C61E31">
        <w:rPr>
          <w:b/>
          <w:sz w:val="24"/>
        </w:rPr>
        <w:t xml:space="preserve">Released:  </w:t>
      </w:r>
      <w:r w:rsidRPr="00C70D43" w:rsidR="004E30D7">
        <w:rPr>
          <w:b/>
          <w:sz w:val="24"/>
        </w:rPr>
        <w:t xml:space="preserve">December </w:t>
      </w:r>
      <w:r w:rsidRPr="00C70D43" w:rsidR="009B472A">
        <w:rPr>
          <w:b/>
          <w:sz w:val="24"/>
        </w:rPr>
        <w:t>1</w:t>
      </w:r>
      <w:r w:rsidRPr="00C70D43" w:rsidR="005364DD">
        <w:rPr>
          <w:b/>
          <w:sz w:val="24"/>
        </w:rPr>
        <w:t>9</w:t>
      </w:r>
      <w:r w:rsidRPr="00C70D43" w:rsidR="009B472A">
        <w:rPr>
          <w:b/>
          <w:sz w:val="24"/>
        </w:rPr>
        <w:t>, 2022</w:t>
      </w:r>
    </w:p>
    <w:p w:rsidR="00870B8A" w:rsidRPr="00C61E31" w14:paraId="14CCFC05" w14:textId="77777777">
      <w:pPr>
        <w:jc w:val="right"/>
        <w:rPr>
          <w:sz w:val="24"/>
        </w:rPr>
      </w:pPr>
    </w:p>
    <w:p w:rsidR="00870B8A" w:rsidRPr="00C61E31" w:rsidP="009B6827" w14:paraId="679F5347" w14:textId="2C50DE3E">
      <w:pPr>
        <w:spacing w:after="240"/>
        <w:jc w:val="center"/>
        <w:rPr>
          <w:b/>
          <w:caps/>
          <w:sz w:val="24"/>
        </w:rPr>
      </w:pPr>
      <w:r w:rsidRPr="00C61E31">
        <w:rPr>
          <w:b/>
          <w:caps/>
          <w:sz w:val="24"/>
        </w:rPr>
        <w:t xml:space="preserve">broadband providers no longer </w:t>
      </w:r>
      <w:r w:rsidRPr="00C61E31" w:rsidR="000E1ED4">
        <w:rPr>
          <w:b/>
          <w:caps/>
          <w:sz w:val="24"/>
        </w:rPr>
        <w:t xml:space="preserve">NEED TO </w:t>
      </w:r>
      <w:r w:rsidRPr="00C61E31">
        <w:rPr>
          <w:b/>
          <w:caps/>
          <w:sz w:val="24"/>
        </w:rPr>
        <w:t xml:space="preserve">file broadband deployment data through </w:t>
      </w:r>
      <w:r w:rsidRPr="00C61E31" w:rsidR="004F373A">
        <w:rPr>
          <w:b/>
          <w:caps/>
          <w:sz w:val="24"/>
        </w:rPr>
        <w:t xml:space="preserve">FCC </w:t>
      </w:r>
      <w:r w:rsidRPr="00C61E31">
        <w:rPr>
          <w:b/>
          <w:caps/>
          <w:sz w:val="24"/>
        </w:rPr>
        <w:t>form 477</w:t>
      </w:r>
      <w:r w:rsidRPr="00C61E31" w:rsidR="00BB1445">
        <w:rPr>
          <w:b/>
          <w:caps/>
          <w:sz w:val="24"/>
        </w:rPr>
        <w:t xml:space="preserve">; </w:t>
      </w:r>
      <w:r w:rsidRPr="00C61E31" w:rsidR="00E668C8">
        <w:rPr>
          <w:b/>
          <w:caps/>
          <w:sz w:val="24"/>
        </w:rPr>
        <w:br/>
      </w:r>
      <w:r w:rsidRPr="00C61E31" w:rsidR="00BB1445">
        <w:rPr>
          <w:b/>
          <w:caps/>
          <w:sz w:val="24"/>
        </w:rPr>
        <w:t>F</w:t>
      </w:r>
      <w:r w:rsidRPr="00C61E31" w:rsidR="000F5099">
        <w:rPr>
          <w:b/>
          <w:caps/>
          <w:sz w:val="24"/>
        </w:rPr>
        <w:t>CC F</w:t>
      </w:r>
      <w:r w:rsidRPr="00C61E31" w:rsidR="00BB1445">
        <w:rPr>
          <w:b/>
          <w:caps/>
          <w:sz w:val="24"/>
        </w:rPr>
        <w:t xml:space="preserve">ORM 477 SUBSCRIPTION DATA MUST BE FILED IN THE BDC SYSTEM </w:t>
      </w:r>
    </w:p>
    <w:p w:rsidR="00870B8A" w:rsidRPr="00C61E31" w14:paraId="664AA860" w14:textId="21D304B9">
      <w:pPr>
        <w:jc w:val="center"/>
        <w:rPr>
          <w:b/>
          <w:sz w:val="24"/>
        </w:rPr>
      </w:pPr>
      <w:r w:rsidRPr="00C61E31">
        <w:rPr>
          <w:b/>
          <w:sz w:val="24"/>
        </w:rPr>
        <w:t>WC Docket No</w:t>
      </w:r>
      <w:r w:rsidRPr="00C61E31" w:rsidR="00E52D99">
        <w:rPr>
          <w:b/>
          <w:sz w:val="24"/>
        </w:rPr>
        <w:t>s</w:t>
      </w:r>
      <w:r w:rsidRPr="00C61E31">
        <w:rPr>
          <w:b/>
          <w:sz w:val="24"/>
        </w:rPr>
        <w:t>. 19-195</w:t>
      </w:r>
      <w:r w:rsidRPr="00C61E31" w:rsidR="00E52D99">
        <w:rPr>
          <w:b/>
          <w:sz w:val="24"/>
        </w:rPr>
        <w:t xml:space="preserve"> and 11-10</w:t>
      </w:r>
    </w:p>
    <w:p w:rsidR="009B6827" w:rsidRPr="00C61E31" w14:paraId="63544304" w14:textId="385C3074">
      <w:pPr>
        <w:jc w:val="center"/>
        <w:rPr>
          <w:b/>
          <w:sz w:val="24"/>
        </w:rPr>
      </w:pPr>
    </w:p>
    <w:p w:rsidR="001C4B0E" w:rsidRPr="00C61E31" w:rsidP="00E9324D" w14:paraId="0BAF7C7E" w14:textId="4E3A04A9">
      <w:pPr>
        <w:ind w:firstLine="720"/>
        <w:rPr>
          <w:bCs/>
          <w:sz w:val="24"/>
          <w:szCs w:val="24"/>
        </w:rPr>
      </w:pPr>
      <w:r w:rsidRPr="00C61E31">
        <w:rPr>
          <w:bCs/>
          <w:sz w:val="24"/>
          <w:szCs w:val="24"/>
        </w:rPr>
        <w:t xml:space="preserve">On December </w:t>
      </w:r>
      <w:r w:rsidRPr="00C61E31" w:rsidR="00F76B18">
        <w:rPr>
          <w:bCs/>
          <w:sz w:val="24"/>
          <w:szCs w:val="24"/>
        </w:rPr>
        <w:t>9th</w:t>
      </w:r>
      <w:r w:rsidRPr="00C61E31">
        <w:rPr>
          <w:bCs/>
          <w:sz w:val="24"/>
          <w:szCs w:val="24"/>
        </w:rPr>
        <w:t>, 2022, t</w:t>
      </w:r>
      <w:r w:rsidRPr="00C61E31" w:rsidR="009B6827">
        <w:rPr>
          <w:bCs/>
          <w:sz w:val="24"/>
          <w:szCs w:val="24"/>
        </w:rPr>
        <w:t>he Commission adopted an Order ending the collection of broadband deployment data through FCC Form 477.</w:t>
      </w:r>
      <w:r>
        <w:rPr>
          <w:rStyle w:val="FootnoteReference"/>
          <w:bCs/>
          <w:sz w:val="24"/>
          <w:szCs w:val="24"/>
        </w:rPr>
        <w:footnoteReference w:id="3"/>
      </w:r>
      <w:r w:rsidRPr="00C61E31" w:rsidR="009B6827">
        <w:rPr>
          <w:bCs/>
          <w:sz w:val="24"/>
          <w:szCs w:val="24"/>
        </w:rPr>
        <w:t xml:space="preserve">  The Order </w:t>
      </w:r>
      <w:r w:rsidRPr="00C61E31">
        <w:rPr>
          <w:bCs/>
          <w:sz w:val="24"/>
          <w:szCs w:val="24"/>
        </w:rPr>
        <w:t xml:space="preserve">stated that it </w:t>
      </w:r>
      <w:r w:rsidRPr="00C61E31" w:rsidR="009B6827">
        <w:rPr>
          <w:bCs/>
          <w:sz w:val="24"/>
          <w:szCs w:val="24"/>
        </w:rPr>
        <w:t xml:space="preserve">will be effective upon its publication in the Federal Register.  </w:t>
      </w:r>
      <w:r w:rsidR="00786038">
        <w:rPr>
          <w:bCs/>
          <w:sz w:val="24"/>
          <w:szCs w:val="24"/>
        </w:rPr>
        <w:t>A</w:t>
      </w:r>
      <w:r w:rsidRPr="00C61E31">
        <w:rPr>
          <w:bCs/>
          <w:sz w:val="24"/>
          <w:szCs w:val="24"/>
        </w:rPr>
        <w:t xml:space="preserve"> summary of the Order was published in the Federal Register </w:t>
      </w:r>
      <w:r w:rsidR="00786038">
        <w:rPr>
          <w:bCs/>
          <w:sz w:val="24"/>
          <w:szCs w:val="24"/>
        </w:rPr>
        <w:t xml:space="preserve">on December 16, 2022 </w:t>
      </w:r>
      <w:r w:rsidRPr="00C61E31">
        <w:rPr>
          <w:bCs/>
          <w:sz w:val="24"/>
          <w:szCs w:val="24"/>
        </w:rPr>
        <w:t>and it is now effective.</w:t>
      </w:r>
      <w:r>
        <w:rPr>
          <w:rStyle w:val="FootnoteReference"/>
          <w:bCs/>
          <w:sz w:val="24"/>
          <w:szCs w:val="24"/>
        </w:rPr>
        <w:footnoteReference w:id="4"/>
      </w:r>
      <w:r w:rsidRPr="00C61E31">
        <w:rPr>
          <w:bCs/>
          <w:sz w:val="24"/>
          <w:szCs w:val="24"/>
        </w:rPr>
        <w:t xml:space="preserve">  </w:t>
      </w:r>
    </w:p>
    <w:p w:rsidR="001C4B0E" w:rsidRPr="00C61E31" w:rsidP="009B6827" w14:paraId="44A5CA2C" w14:textId="77777777">
      <w:pPr>
        <w:rPr>
          <w:bCs/>
          <w:sz w:val="24"/>
          <w:szCs w:val="24"/>
        </w:rPr>
      </w:pPr>
    </w:p>
    <w:p w:rsidR="009B6827" w:rsidRPr="00C61E31" w:rsidP="003E5A78" w14:paraId="6F636638" w14:textId="32CAE04F">
      <w:pPr>
        <w:ind w:firstLine="720"/>
        <w:rPr>
          <w:bCs/>
          <w:sz w:val="24"/>
          <w:szCs w:val="24"/>
        </w:rPr>
      </w:pPr>
      <w:r w:rsidRPr="00C61E31">
        <w:rPr>
          <w:bCs/>
          <w:sz w:val="24"/>
          <w:szCs w:val="24"/>
        </w:rPr>
        <w:t>S</w:t>
      </w:r>
      <w:r w:rsidRPr="00C61E31" w:rsidR="00293519">
        <w:rPr>
          <w:bCs/>
          <w:sz w:val="24"/>
          <w:szCs w:val="24"/>
        </w:rPr>
        <w:t>ubject entities must continue to submit</w:t>
      </w:r>
      <w:r w:rsidRPr="00C61E31" w:rsidR="00D02780">
        <w:rPr>
          <w:bCs/>
          <w:sz w:val="24"/>
          <w:szCs w:val="24"/>
        </w:rPr>
        <w:t xml:space="preserve"> </w:t>
      </w:r>
      <w:r w:rsidRPr="00C61E31" w:rsidR="009444BA">
        <w:rPr>
          <w:bCs/>
          <w:sz w:val="24"/>
          <w:szCs w:val="24"/>
        </w:rPr>
        <w:t xml:space="preserve">Form 477 </w:t>
      </w:r>
      <w:r w:rsidRPr="00C61E31" w:rsidR="004C7C40">
        <w:rPr>
          <w:bCs/>
          <w:sz w:val="24"/>
          <w:szCs w:val="24"/>
        </w:rPr>
        <w:t>broadband and voice telephone subscription data</w:t>
      </w:r>
      <w:r w:rsidRPr="00C61E31" w:rsidR="00026366">
        <w:rPr>
          <w:bCs/>
          <w:sz w:val="24"/>
          <w:szCs w:val="24"/>
        </w:rPr>
        <w:t>.</w:t>
      </w:r>
      <w:r>
        <w:rPr>
          <w:rStyle w:val="FootnoteReference"/>
          <w:bCs/>
          <w:sz w:val="24"/>
          <w:szCs w:val="24"/>
        </w:rPr>
        <w:footnoteReference w:id="5"/>
      </w:r>
      <w:r w:rsidRPr="00C61E31" w:rsidR="00026366">
        <w:rPr>
          <w:bCs/>
          <w:sz w:val="24"/>
          <w:szCs w:val="24"/>
        </w:rPr>
        <w:t xml:space="preserve">  Those data must be submitted </w:t>
      </w:r>
      <w:r w:rsidRPr="00C61E31" w:rsidR="008E5132">
        <w:rPr>
          <w:bCs/>
          <w:sz w:val="24"/>
          <w:szCs w:val="24"/>
        </w:rPr>
        <w:t xml:space="preserve">through the </w:t>
      </w:r>
      <w:r w:rsidRPr="00C61E31" w:rsidR="00750DD2">
        <w:rPr>
          <w:bCs/>
          <w:sz w:val="24"/>
          <w:szCs w:val="24"/>
        </w:rPr>
        <w:t>BDC s</w:t>
      </w:r>
      <w:r w:rsidRPr="00C61E31" w:rsidR="008E5132">
        <w:rPr>
          <w:bCs/>
          <w:sz w:val="24"/>
          <w:szCs w:val="24"/>
        </w:rPr>
        <w:t>ystem</w:t>
      </w:r>
      <w:r w:rsidRPr="00C61E31" w:rsidR="00026366">
        <w:rPr>
          <w:bCs/>
          <w:sz w:val="24"/>
          <w:szCs w:val="24"/>
        </w:rPr>
        <w:t xml:space="preserve"> going forward</w:t>
      </w:r>
      <w:r w:rsidRPr="00C61E31" w:rsidR="0027155C">
        <w:rPr>
          <w:bCs/>
          <w:sz w:val="24"/>
          <w:szCs w:val="24"/>
        </w:rPr>
        <w:t xml:space="preserve">, </w:t>
      </w:r>
      <w:r w:rsidRPr="00C61E31" w:rsidR="0054557C">
        <w:rPr>
          <w:bCs/>
          <w:sz w:val="24"/>
          <w:szCs w:val="24"/>
        </w:rPr>
        <w:t xml:space="preserve">and the </w:t>
      </w:r>
      <w:r w:rsidRPr="00C61E31" w:rsidR="000F5099">
        <w:rPr>
          <w:bCs/>
          <w:sz w:val="24"/>
          <w:szCs w:val="24"/>
        </w:rPr>
        <w:t xml:space="preserve">FCC </w:t>
      </w:r>
      <w:r w:rsidRPr="00C61E31" w:rsidR="0054557C">
        <w:rPr>
          <w:bCs/>
          <w:sz w:val="24"/>
          <w:szCs w:val="24"/>
        </w:rPr>
        <w:t xml:space="preserve">Form 477 system will not </w:t>
      </w:r>
      <w:r w:rsidRPr="00C61E31" w:rsidR="00A03270">
        <w:rPr>
          <w:bCs/>
          <w:sz w:val="24"/>
          <w:szCs w:val="24"/>
        </w:rPr>
        <w:t>accept data</w:t>
      </w:r>
      <w:r w:rsidRPr="00C61E31" w:rsidR="00267318">
        <w:rPr>
          <w:bCs/>
          <w:sz w:val="24"/>
          <w:szCs w:val="24"/>
        </w:rPr>
        <w:t xml:space="preserve"> </w:t>
      </w:r>
      <w:r w:rsidRPr="00C61E31" w:rsidR="002E52BE">
        <w:rPr>
          <w:bCs/>
          <w:sz w:val="24"/>
          <w:szCs w:val="24"/>
        </w:rPr>
        <w:t xml:space="preserve">as of December 31, 2022 and </w:t>
      </w:r>
      <w:r w:rsidRPr="00C61E31" w:rsidR="00232272">
        <w:rPr>
          <w:bCs/>
          <w:sz w:val="24"/>
          <w:szCs w:val="24"/>
        </w:rPr>
        <w:t>beyond</w:t>
      </w:r>
      <w:r w:rsidRPr="00C61E31" w:rsidR="008E5132">
        <w:rPr>
          <w:bCs/>
          <w:sz w:val="24"/>
          <w:szCs w:val="24"/>
        </w:rPr>
        <w:t>.</w:t>
      </w:r>
      <w:r w:rsidRPr="00C61E31" w:rsidR="00CA03B1">
        <w:rPr>
          <w:bCs/>
          <w:sz w:val="24"/>
          <w:szCs w:val="24"/>
        </w:rPr>
        <w:t xml:space="preserve">  As stated in the Order, the </w:t>
      </w:r>
      <w:r w:rsidRPr="00C61E31" w:rsidR="000F5099">
        <w:rPr>
          <w:bCs/>
          <w:sz w:val="24"/>
          <w:szCs w:val="24"/>
        </w:rPr>
        <w:t xml:space="preserve">FCC </w:t>
      </w:r>
      <w:r w:rsidRPr="00C61E31" w:rsidR="00CA03B1">
        <w:rPr>
          <w:bCs/>
          <w:sz w:val="24"/>
          <w:szCs w:val="24"/>
        </w:rPr>
        <w:t xml:space="preserve">Form 477 filing system will remain open for filers to make corrections to existing </w:t>
      </w:r>
      <w:r w:rsidRPr="00C61E31" w:rsidR="000F5099">
        <w:rPr>
          <w:bCs/>
          <w:sz w:val="24"/>
          <w:szCs w:val="24"/>
        </w:rPr>
        <w:t xml:space="preserve">FCC </w:t>
      </w:r>
      <w:r w:rsidRPr="00C61E31" w:rsidR="00CA03B1">
        <w:rPr>
          <w:bCs/>
          <w:sz w:val="24"/>
          <w:szCs w:val="24"/>
        </w:rPr>
        <w:t xml:space="preserve">Form 477 filings for data as of June 30, 2022, and earlier, and the </w:t>
      </w:r>
      <w:r w:rsidRPr="00C61E31" w:rsidR="000F5099">
        <w:rPr>
          <w:bCs/>
          <w:sz w:val="24"/>
          <w:szCs w:val="24"/>
        </w:rPr>
        <w:t xml:space="preserve">FCC </w:t>
      </w:r>
      <w:r w:rsidRPr="00C61E31" w:rsidR="00CA03B1">
        <w:rPr>
          <w:bCs/>
          <w:sz w:val="24"/>
          <w:szCs w:val="24"/>
        </w:rPr>
        <w:t>Form 477 instructions will be updated accordingly.</w:t>
      </w:r>
      <w:r>
        <w:rPr>
          <w:rStyle w:val="FootnoteReference"/>
          <w:bCs/>
          <w:sz w:val="24"/>
          <w:szCs w:val="24"/>
        </w:rPr>
        <w:footnoteReference w:id="6"/>
      </w:r>
    </w:p>
    <w:p w:rsidR="00791048" w:rsidRPr="00C61E31" w:rsidP="003E5A78" w14:paraId="1F9E7CAC" w14:textId="77777777">
      <w:pPr>
        <w:ind w:firstLine="720"/>
        <w:rPr>
          <w:bCs/>
          <w:sz w:val="24"/>
          <w:szCs w:val="24"/>
        </w:rPr>
      </w:pPr>
    </w:p>
    <w:p w:rsidR="00791048" w:rsidRPr="00C61E31" w:rsidP="0015437D" w14:paraId="12E0DCCE" w14:textId="35B18C62">
      <w:pPr>
        <w:spacing w:after="120"/>
        <w:ind w:firstLine="720"/>
        <w:rPr>
          <w:sz w:val="24"/>
          <w:szCs w:val="24"/>
        </w:rPr>
      </w:pPr>
      <w:r w:rsidRPr="00C61E31">
        <w:rPr>
          <w:rFonts w:eastAsia="TimesNewRomanPSMT"/>
          <w:color w:val="000000"/>
          <w:sz w:val="24"/>
          <w:szCs w:val="24"/>
        </w:rPr>
        <w:t xml:space="preserve">For further information regarding this Public Notice, please contact Garnet Hanly, </w:t>
      </w:r>
      <w:hyperlink r:id="rId5" w:history="1">
        <w:r w:rsidRPr="00C61E31" w:rsidR="00FA5129">
          <w:rPr>
            <w:rStyle w:val="Hyperlink"/>
            <w:rFonts w:eastAsia="TimesNewRomanPSMT"/>
            <w:sz w:val="24"/>
            <w:szCs w:val="24"/>
          </w:rPr>
          <w:t>Garnet.Hanly@fcc.gov</w:t>
        </w:r>
      </w:hyperlink>
      <w:r w:rsidRPr="00C61E31">
        <w:rPr>
          <w:rFonts w:eastAsia="TimesNewRomanPSMT"/>
          <w:sz w:val="24"/>
          <w:szCs w:val="24"/>
        </w:rPr>
        <w:t xml:space="preserve">, or </w:t>
      </w:r>
      <w:r w:rsidRPr="00C61E31" w:rsidR="00FA5129">
        <w:rPr>
          <w:rFonts w:eastAsia="TimesNewRomanPSMT"/>
          <w:sz w:val="24"/>
          <w:szCs w:val="24"/>
        </w:rPr>
        <w:t xml:space="preserve">Ken Lynch, </w:t>
      </w:r>
      <w:hyperlink r:id="rId6" w:history="1">
        <w:r w:rsidRPr="00C61E31" w:rsidR="00FA5129">
          <w:rPr>
            <w:rStyle w:val="Hyperlink"/>
            <w:rFonts w:eastAsia="TimesNewRomanPSMT"/>
            <w:sz w:val="24"/>
            <w:szCs w:val="24"/>
          </w:rPr>
          <w:t>Kenneth.Lynch@fcc.gov</w:t>
        </w:r>
      </w:hyperlink>
      <w:r w:rsidRPr="00C61E31" w:rsidR="00FA5129">
        <w:rPr>
          <w:rFonts w:eastAsia="TimesNewRomanPSMT"/>
          <w:sz w:val="24"/>
          <w:szCs w:val="24"/>
        </w:rPr>
        <w:t xml:space="preserve">. </w:t>
      </w:r>
      <w:r w:rsidRPr="00C61E31">
        <w:rPr>
          <w:rFonts w:eastAsia="TimesNewRomanPSMT"/>
          <w:color w:val="000000"/>
          <w:sz w:val="24"/>
          <w:szCs w:val="24"/>
        </w:rPr>
        <w:t xml:space="preserve"> For media inquiries please contact Anne Veigle, </w:t>
      </w:r>
      <w:hyperlink r:id="rId7">
        <w:r w:rsidRPr="00C61E31">
          <w:rPr>
            <w:rStyle w:val="Hyperlink"/>
            <w:rFonts w:eastAsia="TimesNewRomanPSMT"/>
            <w:sz w:val="24"/>
            <w:szCs w:val="24"/>
          </w:rPr>
          <w:t>Anne.Veigle@fcc.gov</w:t>
        </w:r>
      </w:hyperlink>
      <w:r w:rsidRPr="00C61E31">
        <w:rPr>
          <w:rFonts w:eastAsia="TimesNewRomanPSMT"/>
          <w:color w:val="000000"/>
          <w:sz w:val="24"/>
          <w:szCs w:val="24"/>
        </w:rPr>
        <w:t xml:space="preserve">. </w:t>
      </w:r>
    </w:p>
    <w:p w:rsidR="004024F6" w:rsidP="009B6827" w14:paraId="15A479FD" w14:textId="77777777">
      <w:pPr>
        <w:rPr>
          <w:bCs/>
          <w:sz w:val="24"/>
        </w:rPr>
      </w:pPr>
    </w:p>
    <w:p w:rsidR="004024F6" w:rsidP="009B6827" w14:paraId="63C0CD31" w14:textId="768CAAA3">
      <w:pPr>
        <w:rPr>
          <w:bCs/>
          <w:sz w:val="24"/>
        </w:rPr>
      </w:pPr>
    </w:p>
    <w:p w:rsidR="004024F6" w:rsidRPr="00BC045D" w:rsidP="004024F6" w14:paraId="0D7B2741" w14:textId="06513967">
      <w:pPr>
        <w:jc w:val="center"/>
        <w:rPr>
          <w:b/>
          <w:sz w:val="24"/>
        </w:rPr>
      </w:pPr>
      <w:r w:rsidRPr="00BC045D">
        <w:rPr>
          <w:b/>
          <w:sz w:val="24"/>
        </w:rPr>
        <w:t>-FCC-</w:t>
      </w:r>
    </w:p>
    <w:p w:rsidR="009B6827" w:rsidRPr="009B6827" w:rsidP="009B6827" w14:paraId="53556D18" w14:textId="77777777">
      <w:pPr>
        <w:rPr>
          <w:bCs/>
          <w:sz w:val="24"/>
        </w:rPr>
      </w:pPr>
    </w:p>
    <w:p w:rsidR="009B6827" w14:paraId="0C2BF569" w14:textId="77777777"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0B8A" w14:paraId="1EA2881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870B8A" w14:paraId="5C4AD9D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0B8A" w14:paraId="5F1A9CB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0B8A" w14:paraId="2566FF0B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F4FE7" w14:paraId="30C7678A" w14:textId="77777777">
      <w:r>
        <w:separator/>
      </w:r>
    </w:p>
  </w:footnote>
  <w:footnote w:type="continuationSeparator" w:id="1">
    <w:p w:rsidR="007F4FE7" w14:paraId="4925643F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7F4FE7" w14:paraId="68EB3A88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4F373A" w14:paraId="2948AD4C" w14:textId="702048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633FA" w:rsidR="007E7156">
        <w:rPr>
          <w:i/>
        </w:rPr>
        <w:t>Establishing the Digital Opportunity Data Collection</w:t>
      </w:r>
      <w:r w:rsidRPr="001633FA" w:rsidR="00C96F6A">
        <w:rPr>
          <w:i/>
        </w:rPr>
        <w:t>; Modernizing the FCC Form 477 Data Program</w:t>
      </w:r>
      <w:r w:rsidRPr="001633FA" w:rsidR="00C96F6A">
        <w:t>, WC Docket Nos. 19-195, 11-10</w:t>
      </w:r>
      <w:r w:rsidRPr="001633FA" w:rsidR="001946FF">
        <w:t xml:space="preserve">, Order, FCC </w:t>
      </w:r>
      <w:r w:rsidRPr="001633FA" w:rsidR="00AF6E8B">
        <w:t>22-93</w:t>
      </w:r>
      <w:r w:rsidRPr="001633FA" w:rsidR="007E7156">
        <w:t xml:space="preserve"> </w:t>
      </w:r>
      <w:r w:rsidRPr="001633FA" w:rsidR="004E213B">
        <w:t>(rel. Dec. 9, 2022)</w:t>
      </w:r>
      <w:r w:rsidR="00324B09">
        <w:t xml:space="preserve"> (Order</w:t>
      </w:r>
      <w:r w:rsidRPr="001633FA" w:rsidR="004E213B">
        <w:t>).</w:t>
      </w:r>
      <w:r w:rsidRPr="001633FA" w:rsidR="007E7156">
        <w:t xml:space="preserve"> </w:t>
      </w:r>
    </w:p>
  </w:footnote>
  <w:footnote w:id="4">
    <w:p w:rsidR="004F373A" w14:paraId="1FB02AAD" w14:textId="2BAFA5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B5D66" w:rsidR="00741DA0">
        <w:t>Federal Communications Commission</w:t>
      </w:r>
      <w:r w:rsidR="00BD3AFA">
        <w:t>,</w:t>
      </w:r>
      <w:r w:rsidRPr="001B5D66" w:rsidR="00741DA0">
        <w:t xml:space="preserve"> Establishing the Digital O</w:t>
      </w:r>
      <w:r w:rsidRPr="001B5D66" w:rsidR="001C7E59">
        <w:t xml:space="preserve">pportunity Data Collection, Modernizing the Form 477 Data Collection, </w:t>
      </w:r>
      <w:r w:rsidRPr="001B5D66" w:rsidR="00BD3AFA">
        <w:t>87 Fed. Reg. 76949 (Dec. 16, 2022).</w:t>
      </w:r>
    </w:p>
  </w:footnote>
  <w:footnote w:id="5">
    <w:p w:rsidR="00324B09" w:rsidRPr="00324B09" w14:paraId="47C7A760" w14:textId="3869CD74">
      <w:pPr>
        <w:pStyle w:val="FootnoteText"/>
        <w:rPr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rPr>
          <w:iCs/>
        </w:rPr>
        <w:t>Order at para. 13 (</w:t>
      </w:r>
      <w:r>
        <w:rPr>
          <w:i/>
        </w:rPr>
        <w:t xml:space="preserve">citing </w:t>
      </w:r>
      <w:r>
        <w:rPr>
          <w:iCs/>
        </w:rPr>
        <w:t>Form 477 Instructions at 18-24, 25-26, 27-28; 47 CFR § 1.7001(b)).</w:t>
      </w:r>
    </w:p>
  </w:footnote>
  <w:footnote w:id="6">
    <w:p w:rsidR="00CA03B1" w14:paraId="6696753F" w14:textId="4943B6BC">
      <w:pPr>
        <w:pStyle w:val="FootnoteText"/>
      </w:pPr>
      <w:r>
        <w:rPr>
          <w:rStyle w:val="FootnoteReference"/>
        </w:rPr>
        <w:footnoteRef/>
      </w:r>
      <w:r>
        <w:t xml:space="preserve"> Order at para. 13.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0B8A" w14:paraId="5330388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0B8A" w14:paraId="26A056F6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870B8A" w14:paraId="7034E76B" w14:textId="322CC626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870B8A" w14:paraId="389EDBB9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0B8A" w14:paraId="4C0F0844" w14:textId="02C1324D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27"/>
    <w:rsid w:val="000025DF"/>
    <w:rsid w:val="00026366"/>
    <w:rsid w:val="0007682B"/>
    <w:rsid w:val="00084C3B"/>
    <w:rsid w:val="000E1ED4"/>
    <w:rsid w:val="000E37D9"/>
    <w:rsid w:val="000F5099"/>
    <w:rsid w:val="00136E9F"/>
    <w:rsid w:val="0015437D"/>
    <w:rsid w:val="001633FA"/>
    <w:rsid w:val="00172C10"/>
    <w:rsid w:val="00181F61"/>
    <w:rsid w:val="001946FF"/>
    <w:rsid w:val="001A0764"/>
    <w:rsid w:val="001B5D66"/>
    <w:rsid w:val="001B6FE2"/>
    <w:rsid w:val="001C4B0E"/>
    <w:rsid w:val="001C7E59"/>
    <w:rsid w:val="001D1AFF"/>
    <w:rsid w:val="001E1022"/>
    <w:rsid w:val="002257AB"/>
    <w:rsid w:val="00232272"/>
    <w:rsid w:val="00232BA0"/>
    <w:rsid w:val="00267318"/>
    <w:rsid w:val="0027155C"/>
    <w:rsid w:val="00293519"/>
    <w:rsid w:val="002A1739"/>
    <w:rsid w:val="002A7B49"/>
    <w:rsid w:val="002B2620"/>
    <w:rsid w:val="002D2DCA"/>
    <w:rsid w:val="002E52BE"/>
    <w:rsid w:val="002F4071"/>
    <w:rsid w:val="00301D11"/>
    <w:rsid w:val="0031377A"/>
    <w:rsid w:val="00324688"/>
    <w:rsid w:val="00324B09"/>
    <w:rsid w:val="003332AA"/>
    <w:rsid w:val="00345C04"/>
    <w:rsid w:val="00361FE6"/>
    <w:rsid w:val="00365936"/>
    <w:rsid w:val="00381F10"/>
    <w:rsid w:val="003853FB"/>
    <w:rsid w:val="003E0A7A"/>
    <w:rsid w:val="003E128E"/>
    <w:rsid w:val="003E5A78"/>
    <w:rsid w:val="004024F6"/>
    <w:rsid w:val="0041395B"/>
    <w:rsid w:val="004200F6"/>
    <w:rsid w:val="00437426"/>
    <w:rsid w:val="00437D34"/>
    <w:rsid w:val="00462109"/>
    <w:rsid w:val="004856F7"/>
    <w:rsid w:val="00485DD4"/>
    <w:rsid w:val="004A156C"/>
    <w:rsid w:val="004A6E9F"/>
    <w:rsid w:val="004B2B1E"/>
    <w:rsid w:val="004C5452"/>
    <w:rsid w:val="004C7C40"/>
    <w:rsid w:val="004E213B"/>
    <w:rsid w:val="004E30D7"/>
    <w:rsid w:val="004E69F9"/>
    <w:rsid w:val="004F373A"/>
    <w:rsid w:val="00500C39"/>
    <w:rsid w:val="00503C09"/>
    <w:rsid w:val="005248D5"/>
    <w:rsid w:val="0052682C"/>
    <w:rsid w:val="005364DD"/>
    <w:rsid w:val="005439FC"/>
    <w:rsid w:val="0054557C"/>
    <w:rsid w:val="00576286"/>
    <w:rsid w:val="00576BFE"/>
    <w:rsid w:val="00590BDB"/>
    <w:rsid w:val="005A2385"/>
    <w:rsid w:val="005A3E72"/>
    <w:rsid w:val="005E5264"/>
    <w:rsid w:val="00604AC3"/>
    <w:rsid w:val="00655E9A"/>
    <w:rsid w:val="00674655"/>
    <w:rsid w:val="006A2D3D"/>
    <w:rsid w:val="006A50F5"/>
    <w:rsid w:val="006B24C7"/>
    <w:rsid w:val="006B42B0"/>
    <w:rsid w:val="006B42BC"/>
    <w:rsid w:val="006D2161"/>
    <w:rsid w:val="006D4EAF"/>
    <w:rsid w:val="007070F7"/>
    <w:rsid w:val="00731EE0"/>
    <w:rsid w:val="00741DA0"/>
    <w:rsid w:val="00750DD2"/>
    <w:rsid w:val="00786038"/>
    <w:rsid w:val="0078679D"/>
    <w:rsid w:val="00787FED"/>
    <w:rsid w:val="00791048"/>
    <w:rsid w:val="00797EF6"/>
    <w:rsid w:val="007A208E"/>
    <w:rsid w:val="007D00F5"/>
    <w:rsid w:val="007D6C3A"/>
    <w:rsid w:val="007E7156"/>
    <w:rsid w:val="007F4FE7"/>
    <w:rsid w:val="00870B8A"/>
    <w:rsid w:val="008732EB"/>
    <w:rsid w:val="008A1C07"/>
    <w:rsid w:val="008C0617"/>
    <w:rsid w:val="008E48EA"/>
    <w:rsid w:val="008E5132"/>
    <w:rsid w:val="008F7452"/>
    <w:rsid w:val="008F7B85"/>
    <w:rsid w:val="00913787"/>
    <w:rsid w:val="00923884"/>
    <w:rsid w:val="00940086"/>
    <w:rsid w:val="00940518"/>
    <w:rsid w:val="009444BA"/>
    <w:rsid w:val="0097491D"/>
    <w:rsid w:val="00977D55"/>
    <w:rsid w:val="0099524F"/>
    <w:rsid w:val="009A7234"/>
    <w:rsid w:val="009B472A"/>
    <w:rsid w:val="009B6827"/>
    <w:rsid w:val="009D64E4"/>
    <w:rsid w:val="009E753A"/>
    <w:rsid w:val="00A03270"/>
    <w:rsid w:val="00A8314B"/>
    <w:rsid w:val="00AB13FB"/>
    <w:rsid w:val="00AC455D"/>
    <w:rsid w:val="00AC5F90"/>
    <w:rsid w:val="00AE2900"/>
    <w:rsid w:val="00AF34EB"/>
    <w:rsid w:val="00AF6E8B"/>
    <w:rsid w:val="00B26A6F"/>
    <w:rsid w:val="00B348EC"/>
    <w:rsid w:val="00B46D2B"/>
    <w:rsid w:val="00B82127"/>
    <w:rsid w:val="00BB1445"/>
    <w:rsid w:val="00BC045D"/>
    <w:rsid w:val="00BC41DD"/>
    <w:rsid w:val="00BD3AFA"/>
    <w:rsid w:val="00BD5728"/>
    <w:rsid w:val="00BD6D97"/>
    <w:rsid w:val="00BF0785"/>
    <w:rsid w:val="00BF2604"/>
    <w:rsid w:val="00C16BB3"/>
    <w:rsid w:val="00C37196"/>
    <w:rsid w:val="00C61E31"/>
    <w:rsid w:val="00C70D43"/>
    <w:rsid w:val="00C8492A"/>
    <w:rsid w:val="00C96F6A"/>
    <w:rsid w:val="00CA03B1"/>
    <w:rsid w:val="00CA2A4F"/>
    <w:rsid w:val="00CB3692"/>
    <w:rsid w:val="00D02780"/>
    <w:rsid w:val="00D42ADE"/>
    <w:rsid w:val="00D66D1F"/>
    <w:rsid w:val="00D737D2"/>
    <w:rsid w:val="00D77EC2"/>
    <w:rsid w:val="00DF39F8"/>
    <w:rsid w:val="00E2220B"/>
    <w:rsid w:val="00E263C7"/>
    <w:rsid w:val="00E51591"/>
    <w:rsid w:val="00E52A70"/>
    <w:rsid w:val="00E52D99"/>
    <w:rsid w:val="00E668C8"/>
    <w:rsid w:val="00E86B0E"/>
    <w:rsid w:val="00E9324D"/>
    <w:rsid w:val="00EA267F"/>
    <w:rsid w:val="00EB3B85"/>
    <w:rsid w:val="00ED23F9"/>
    <w:rsid w:val="00ED36FF"/>
    <w:rsid w:val="00ED7A2A"/>
    <w:rsid w:val="00ED7DBC"/>
    <w:rsid w:val="00EE347F"/>
    <w:rsid w:val="00EE65DB"/>
    <w:rsid w:val="00F0422E"/>
    <w:rsid w:val="00F462D5"/>
    <w:rsid w:val="00F53CA0"/>
    <w:rsid w:val="00F66A98"/>
    <w:rsid w:val="00F76B18"/>
    <w:rsid w:val="00F827AA"/>
    <w:rsid w:val="00F84D9C"/>
    <w:rsid w:val="00FA5129"/>
    <w:rsid w:val="00FA62EF"/>
    <w:rsid w:val="00FB3C9A"/>
    <w:rsid w:val="00FD2310"/>
    <w:rsid w:val="00FE051E"/>
    <w:rsid w:val="3A9BC182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AC2ECB5"/>
  <w15:chartTrackingRefBased/>
  <w15:docId w15:val="{13482BBD-C8C3-4302-B88F-07913B3A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23F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A1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15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56C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56C"/>
    <w:rPr>
      <w:b/>
      <w:bCs/>
      <w:snapToGrid w:val="0"/>
      <w:kern w:val="28"/>
    </w:rPr>
  </w:style>
  <w:style w:type="character" w:styleId="Mention">
    <w:name w:val="Mention"/>
    <w:basedOn w:val="DefaultParagraphFont"/>
    <w:uiPriority w:val="99"/>
    <w:unhideWhenUsed/>
    <w:rsid w:val="006A2D3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Garnet.Hanly@fcc.gov" TargetMode="External" /><Relationship Id="rId6" Type="http://schemas.openxmlformats.org/officeDocument/2006/relationships/hyperlink" Target="mailto:Kenneth.Lynch@fcc.gov" TargetMode="External" /><Relationship Id="rId7" Type="http://schemas.openxmlformats.org/officeDocument/2006/relationships/hyperlink" Target="mailto:Anne.Veigle@fcc.gov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