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4C2EE3" w14:paraId="0C3DF250" w14:textId="77777777">
      <w:pPr>
        <w:jc w:val="center"/>
        <w:rPr>
          <w:b/>
        </w:rPr>
      </w:pPr>
      <w:bookmarkStart w:id="0" w:name="_Hlk66116015"/>
      <w:r w:rsidRPr="0070224F">
        <w:rPr>
          <w:rFonts w:ascii="Times New Roman Bold" w:hAnsi="Times New Roman Bold"/>
          <w:b/>
          <w:kern w:val="0"/>
          <w:szCs w:val="22"/>
        </w:rPr>
        <w:t>Before</w:t>
      </w:r>
      <w:r>
        <w:rPr>
          <w:b/>
        </w:rPr>
        <w:t xml:space="preserve"> the</w:t>
      </w:r>
    </w:p>
    <w:p w:rsidR="00921803" w:rsidP="00921803" w14:paraId="3F85925F" w14:textId="77777777">
      <w:pPr>
        <w:pStyle w:val="StyleBoldCentered"/>
      </w:pPr>
      <w:r>
        <w:t>F</w:t>
      </w:r>
      <w:r>
        <w:rPr>
          <w:caps w:val="0"/>
        </w:rPr>
        <w:t>ederal Communications Commission</w:t>
      </w:r>
    </w:p>
    <w:p w:rsidR="004C2EE3" w:rsidP="00096D8C" w14:paraId="024D1FE8" w14:textId="77777777">
      <w:pPr>
        <w:pStyle w:val="StyleBoldCentered"/>
      </w:pPr>
      <w:r>
        <w:rPr>
          <w:caps w:val="0"/>
        </w:rPr>
        <w:t>Washington, D.C. 20554</w:t>
      </w:r>
    </w:p>
    <w:p w:rsidR="004C2EE3" w:rsidP="0070224F" w14:paraId="63CDAF24" w14:textId="77777777"/>
    <w:p w:rsidR="004C2EE3" w:rsidP="0070224F" w14:paraId="64C4EA32" w14:textId="77777777"/>
    <w:tbl>
      <w:tblPr>
        <w:tblW w:w="0" w:type="auto"/>
        <w:tblLayout w:type="fixed"/>
        <w:tblLook w:val="0000"/>
      </w:tblPr>
      <w:tblGrid>
        <w:gridCol w:w="4698"/>
        <w:gridCol w:w="630"/>
        <w:gridCol w:w="4248"/>
      </w:tblGrid>
      <w:tr w14:paraId="124A53A0" w14:textId="77777777">
        <w:tblPrEx>
          <w:tblW w:w="0" w:type="auto"/>
          <w:tblLayout w:type="fixed"/>
          <w:tblLook w:val="0000"/>
        </w:tblPrEx>
        <w:tc>
          <w:tcPr>
            <w:tcW w:w="4698" w:type="dxa"/>
          </w:tcPr>
          <w:p w:rsidR="004C2EE3" w14:paraId="71596324" w14:textId="77777777">
            <w:pPr>
              <w:tabs>
                <w:tab w:val="center" w:pos="4680"/>
              </w:tabs>
              <w:suppressAutoHyphens/>
              <w:rPr>
                <w:spacing w:val="-2"/>
              </w:rPr>
            </w:pPr>
            <w:r>
              <w:rPr>
                <w:spacing w:val="-2"/>
              </w:rPr>
              <w:t>In the Matter o</w:t>
            </w:r>
            <w:r w:rsidR="00C13257">
              <w:rPr>
                <w:spacing w:val="-2"/>
              </w:rPr>
              <w:t>f</w:t>
            </w:r>
          </w:p>
          <w:p w:rsidR="004C2EE3" w14:paraId="0D3D5A43" w14:textId="77777777">
            <w:pPr>
              <w:tabs>
                <w:tab w:val="center" w:pos="4680"/>
              </w:tabs>
              <w:suppressAutoHyphens/>
              <w:rPr>
                <w:spacing w:val="-2"/>
              </w:rPr>
            </w:pPr>
          </w:p>
          <w:p w:rsidR="004C2EE3" w:rsidP="007115F7" w14:paraId="05BC6B53" w14:textId="77777777">
            <w:pPr>
              <w:tabs>
                <w:tab w:val="center" w:pos="4680"/>
              </w:tabs>
              <w:suppressAutoHyphens/>
              <w:rPr>
                <w:spacing w:val="-2"/>
              </w:rPr>
            </w:pPr>
            <w:r>
              <w:rPr>
                <w:spacing w:val="-2"/>
              </w:rPr>
              <w:t>Wireless Emergency Alerts</w:t>
            </w:r>
          </w:p>
          <w:p w:rsidR="004F0451" w:rsidP="007115F7" w14:paraId="286DFE5C" w14:textId="77777777">
            <w:pPr>
              <w:tabs>
                <w:tab w:val="center" w:pos="4680"/>
              </w:tabs>
              <w:suppressAutoHyphens/>
              <w:rPr>
                <w:spacing w:val="-2"/>
              </w:rPr>
            </w:pPr>
          </w:p>
          <w:p w:rsidR="004F0451" w:rsidRPr="007115F7" w:rsidP="007115F7" w14:paraId="1EC3D389" w14:textId="77777777">
            <w:pPr>
              <w:tabs>
                <w:tab w:val="center" w:pos="4680"/>
              </w:tabs>
              <w:suppressAutoHyphens/>
              <w:rPr>
                <w:spacing w:val="-2"/>
              </w:rPr>
            </w:pPr>
            <w:r>
              <w:rPr>
                <w:spacing w:val="-2"/>
              </w:rPr>
              <w:t>Amendments to Part 11 of the Commission’s Rules Regarding the Emergency Alert System</w:t>
            </w:r>
          </w:p>
        </w:tc>
        <w:tc>
          <w:tcPr>
            <w:tcW w:w="630" w:type="dxa"/>
          </w:tcPr>
          <w:p w:rsidR="004C2EE3" w14:paraId="5996E684" w14:textId="77777777">
            <w:pPr>
              <w:tabs>
                <w:tab w:val="center" w:pos="4680"/>
              </w:tabs>
              <w:suppressAutoHyphens/>
              <w:rPr>
                <w:b/>
                <w:spacing w:val="-2"/>
              </w:rPr>
            </w:pPr>
            <w:r>
              <w:rPr>
                <w:b/>
                <w:spacing w:val="-2"/>
              </w:rPr>
              <w:t>)</w:t>
            </w:r>
          </w:p>
          <w:p w:rsidR="004C2EE3" w14:paraId="0D163531" w14:textId="77777777">
            <w:pPr>
              <w:tabs>
                <w:tab w:val="center" w:pos="4680"/>
              </w:tabs>
              <w:suppressAutoHyphens/>
              <w:rPr>
                <w:b/>
                <w:spacing w:val="-2"/>
              </w:rPr>
            </w:pPr>
            <w:r>
              <w:rPr>
                <w:b/>
                <w:spacing w:val="-2"/>
              </w:rPr>
              <w:t>)</w:t>
            </w:r>
          </w:p>
          <w:p w:rsidR="004C2EE3" w14:paraId="2803471C" w14:textId="77777777">
            <w:pPr>
              <w:tabs>
                <w:tab w:val="center" w:pos="4680"/>
              </w:tabs>
              <w:suppressAutoHyphens/>
              <w:rPr>
                <w:b/>
                <w:spacing w:val="-2"/>
              </w:rPr>
            </w:pPr>
            <w:r>
              <w:rPr>
                <w:b/>
                <w:spacing w:val="-2"/>
              </w:rPr>
              <w:t>)</w:t>
            </w:r>
          </w:p>
          <w:p w:rsidR="004C2EE3" w14:paraId="20CBBA64" w14:textId="77777777">
            <w:pPr>
              <w:tabs>
                <w:tab w:val="center" w:pos="4680"/>
              </w:tabs>
              <w:suppressAutoHyphens/>
              <w:rPr>
                <w:b/>
                <w:spacing w:val="-2"/>
              </w:rPr>
            </w:pPr>
            <w:r>
              <w:rPr>
                <w:b/>
                <w:spacing w:val="-2"/>
              </w:rPr>
              <w:t>)</w:t>
            </w:r>
          </w:p>
          <w:p w:rsidR="004C2EE3" w14:paraId="42BA512A" w14:textId="77777777">
            <w:pPr>
              <w:tabs>
                <w:tab w:val="center" w:pos="4680"/>
              </w:tabs>
              <w:suppressAutoHyphens/>
              <w:rPr>
                <w:b/>
                <w:spacing w:val="-2"/>
              </w:rPr>
            </w:pPr>
            <w:r>
              <w:rPr>
                <w:b/>
                <w:spacing w:val="-2"/>
              </w:rPr>
              <w:t>)</w:t>
            </w:r>
          </w:p>
          <w:p w:rsidR="004C2EE3" w14:paraId="00C89300" w14:textId="77777777">
            <w:pPr>
              <w:tabs>
                <w:tab w:val="center" w:pos="4680"/>
              </w:tabs>
              <w:suppressAutoHyphens/>
              <w:rPr>
                <w:spacing w:val="-2"/>
              </w:rPr>
            </w:pPr>
            <w:r>
              <w:rPr>
                <w:b/>
                <w:spacing w:val="-2"/>
              </w:rPr>
              <w:t>)</w:t>
            </w:r>
          </w:p>
        </w:tc>
        <w:tc>
          <w:tcPr>
            <w:tcW w:w="4248" w:type="dxa"/>
          </w:tcPr>
          <w:p w:rsidR="004C2EE3" w14:paraId="29BC1934" w14:textId="77777777">
            <w:pPr>
              <w:tabs>
                <w:tab w:val="center" w:pos="4680"/>
              </w:tabs>
              <w:suppressAutoHyphens/>
              <w:rPr>
                <w:spacing w:val="-2"/>
              </w:rPr>
            </w:pPr>
          </w:p>
          <w:p w:rsidR="004C2EE3" w14:paraId="301FAE31" w14:textId="77777777">
            <w:pPr>
              <w:pStyle w:val="TOAHeading"/>
              <w:tabs>
                <w:tab w:val="center" w:pos="4680"/>
                <w:tab w:val="clear" w:pos="9360"/>
              </w:tabs>
              <w:rPr>
                <w:spacing w:val="-2"/>
              </w:rPr>
            </w:pPr>
          </w:p>
          <w:p w:rsidR="004C2EE3" w14:paraId="4A6A6C06" w14:textId="77777777">
            <w:pPr>
              <w:tabs>
                <w:tab w:val="center" w:pos="4680"/>
              </w:tabs>
              <w:suppressAutoHyphens/>
              <w:rPr>
                <w:spacing w:val="-2"/>
              </w:rPr>
            </w:pPr>
            <w:r>
              <w:rPr>
                <w:spacing w:val="-2"/>
              </w:rPr>
              <w:t>PS Docket No. 15-91</w:t>
            </w:r>
          </w:p>
          <w:p w:rsidR="004F0451" w14:paraId="6FBEF8AF" w14:textId="77777777">
            <w:pPr>
              <w:tabs>
                <w:tab w:val="center" w:pos="4680"/>
              </w:tabs>
              <w:suppressAutoHyphens/>
              <w:rPr>
                <w:spacing w:val="-2"/>
              </w:rPr>
            </w:pPr>
          </w:p>
          <w:p w:rsidR="004F0451" w14:paraId="0C573349" w14:textId="77777777">
            <w:pPr>
              <w:tabs>
                <w:tab w:val="center" w:pos="4680"/>
              </w:tabs>
              <w:suppressAutoHyphens/>
              <w:rPr>
                <w:spacing w:val="-2"/>
              </w:rPr>
            </w:pPr>
          </w:p>
          <w:p w:rsidR="004F0451" w14:paraId="0857259B" w14:textId="77777777">
            <w:pPr>
              <w:tabs>
                <w:tab w:val="center" w:pos="4680"/>
              </w:tabs>
              <w:suppressAutoHyphens/>
              <w:rPr>
                <w:spacing w:val="-2"/>
              </w:rPr>
            </w:pPr>
            <w:r>
              <w:rPr>
                <w:spacing w:val="-2"/>
              </w:rPr>
              <w:t>PS Docket No. 15-94</w:t>
            </w:r>
          </w:p>
        </w:tc>
      </w:tr>
    </w:tbl>
    <w:p w:rsidR="004C2EE3" w:rsidP="0070224F" w14:paraId="4876C9F6" w14:textId="77777777"/>
    <w:p w:rsidR="00841AB1" w:rsidP="00F021FA" w14:paraId="102EBBFC" w14:textId="77777777">
      <w:pPr>
        <w:pStyle w:val="StyleBoldCentered"/>
      </w:pPr>
      <w:r>
        <w:t>order</w:t>
      </w:r>
    </w:p>
    <w:p w:rsidR="004C2EE3" w14:paraId="6BEE6F50" w14:textId="77777777">
      <w:pPr>
        <w:tabs>
          <w:tab w:val="left" w:pos="-720"/>
        </w:tabs>
        <w:suppressAutoHyphens/>
        <w:spacing w:line="227" w:lineRule="auto"/>
        <w:rPr>
          <w:spacing w:val="-2"/>
        </w:rPr>
      </w:pPr>
    </w:p>
    <w:p w:rsidR="004C2EE3" w:rsidP="00133F79" w14:paraId="353135D1" w14:textId="3A3904DA">
      <w:pPr>
        <w:tabs>
          <w:tab w:val="left" w:pos="720"/>
          <w:tab w:val="right" w:pos="9360"/>
        </w:tabs>
        <w:suppressAutoHyphens/>
        <w:spacing w:line="227" w:lineRule="auto"/>
        <w:rPr>
          <w:spacing w:val="-2"/>
        </w:rPr>
      </w:pPr>
      <w:r>
        <w:rPr>
          <w:b/>
          <w:spacing w:val="-2"/>
        </w:rPr>
        <w:t xml:space="preserve">Adopted:  </w:t>
      </w:r>
      <w:r w:rsidR="008C550E">
        <w:rPr>
          <w:b/>
          <w:spacing w:val="-2"/>
        </w:rPr>
        <w:t>December 21, 2022</w:t>
      </w:r>
      <w:r>
        <w:rPr>
          <w:b/>
          <w:spacing w:val="-2"/>
        </w:rPr>
        <w:tab/>
      </w:r>
      <w:r w:rsidR="00822CE0">
        <w:rPr>
          <w:b/>
          <w:spacing w:val="-2"/>
        </w:rPr>
        <w:t>Released</w:t>
      </w:r>
      <w:r w:rsidRPr="00933ABE">
        <w:rPr>
          <w:b/>
          <w:spacing w:val="-2"/>
        </w:rPr>
        <w:t>:</w:t>
      </w:r>
      <w:r w:rsidRPr="00933ABE" w:rsidR="00822CE0">
        <w:rPr>
          <w:b/>
          <w:spacing w:val="-2"/>
        </w:rPr>
        <w:t xml:space="preserve"> </w:t>
      </w:r>
      <w:r w:rsidRPr="00933ABE">
        <w:rPr>
          <w:b/>
          <w:spacing w:val="-2"/>
        </w:rPr>
        <w:t xml:space="preserve"> </w:t>
      </w:r>
      <w:r w:rsidR="008C550E">
        <w:rPr>
          <w:b/>
          <w:spacing w:val="-2"/>
        </w:rPr>
        <w:t>December 21, 2022</w:t>
      </w:r>
    </w:p>
    <w:p w:rsidR="00822CE0" w14:paraId="3BEA602D" w14:textId="77777777"/>
    <w:p w:rsidR="00CD1022" w14:paraId="2978829A" w14:textId="77777777"/>
    <w:p w:rsidR="004C2EE3" w14:paraId="0F372923" w14:textId="77777777">
      <w:pPr>
        <w:rPr>
          <w:spacing w:val="-2"/>
        </w:rPr>
      </w:pPr>
      <w:r>
        <w:t xml:space="preserve">By </w:t>
      </w:r>
      <w:r w:rsidR="004E4A22">
        <w:t>the</w:t>
      </w:r>
      <w:r w:rsidR="002A2D2E">
        <w:t xml:space="preserve"> </w:t>
      </w:r>
      <w:r w:rsidR="005F7BC6">
        <w:t>Deputy</w:t>
      </w:r>
      <w:r w:rsidR="005F7BC6">
        <w:rPr>
          <w:spacing w:val="-2"/>
        </w:rPr>
        <w:t xml:space="preserve"> </w:t>
      </w:r>
      <w:r w:rsidR="006A2672">
        <w:rPr>
          <w:spacing w:val="-2"/>
        </w:rPr>
        <w:t>Chief, Public Safety and Homeland Security Bureau</w:t>
      </w:r>
      <w:r>
        <w:rPr>
          <w:spacing w:val="-2"/>
        </w:rPr>
        <w:t>:</w:t>
      </w:r>
    </w:p>
    <w:p w:rsidR="00822CE0" w14:paraId="5231D95D" w14:textId="77777777">
      <w:pPr>
        <w:rPr>
          <w:spacing w:val="-2"/>
        </w:rPr>
      </w:pPr>
    </w:p>
    <w:p w:rsidR="00412FC5" w:rsidP="00C36B4C" w14:paraId="5D6CA0B8" w14:textId="77777777">
      <w:pPr>
        <w:pStyle w:val="Heading1"/>
      </w:pPr>
      <w:r>
        <w:t>introduction</w:t>
      </w:r>
    </w:p>
    <w:p w:rsidR="000B7CB7" w:rsidRPr="00217EF0" w:rsidP="007950B9" w14:paraId="2B5EAE2D" w14:textId="26866D07">
      <w:pPr>
        <w:pStyle w:val="ParaNum"/>
        <w:numPr>
          <w:ilvl w:val="0"/>
          <w:numId w:val="2"/>
        </w:numPr>
        <w:tabs>
          <w:tab w:val="clear" w:pos="1080"/>
          <w:tab w:val="num" w:pos="1440"/>
        </w:tabs>
        <w:rPr>
          <w:szCs w:val="22"/>
        </w:rPr>
      </w:pPr>
      <w:bookmarkStart w:id="1" w:name="_Hlk66116290"/>
      <w:r w:rsidRPr="00F02B3C">
        <w:rPr>
          <w:szCs w:val="22"/>
        </w:rPr>
        <w:t>In this Order, the Federal Communications Commission’s (Commission) Public Safety and Homeland Security Bureau (</w:t>
      </w:r>
      <w:r w:rsidR="00AB4426">
        <w:rPr>
          <w:szCs w:val="22"/>
        </w:rPr>
        <w:t>PSHSB</w:t>
      </w:r>
      <w:r w:rsidRPr="00F02B3C">
        <w:rPr>
          <w:szCs w:val="22"/>
        </w:rPr>
        <w:t xml:space="preserve">) </w:t>
      </w:r>
      <w:r w:rsidRPr="00F02B3C" w:rsidR="0074511A">
        <w:rPr>
          <w:szCs w:val="22"/>
        </w:rPr>
        <w:t xml:space="preserve">grants </w:t>
      </w:r>
      <w:r w:rsidR="004C07FD">
        <w:rPr>
          <w:szCs w:val="22"/>
        </w:rPr>
        <w:t xml:space="preserve">the </w:t>
      </w:r>
      <w:r w:rsidRPr="00F02B3C">
        <w:rPr>
          <w:szCs w:val="22"/>
        </w:rPr>
        <w:t xml:space="preserve">waiver </w:t>
      </w:r>
      <w:r w:rsidRPr="00F02B3C" w:rsidR="009D5A49">
        <w:rPr>
          <w:szCs w:val="22"/>
        </w:rPr>
        <w:t>request</w:t>
      </w:r>
      <w:r w:rsidRPr="00F02B3C" w:rsidR="007A1482">
        <w:rPr>
          <w:szCs w:val="22"/>
        </w:rPr>
        <w:t xml:space="preserve"> </w:t>
      </w:r>
      <w:r w:rsidR="00934D8A">
        <w:rPr>
          <w:szCs w:val="22"/>
        </w:rPr>
        <w:t>submitted</w:t>
      </w:r>
      <w:r w:rsidRPr="00F02B3C" w:rsidR="00934D8A">
        <w:rPr>
          <w:szCs w:val="22"/>
        </w:rPr>
        <w:t xml:space="preserve"> </w:t>
      </w:r>
      <w:r w:rsidRPr="00F02B3C" w:rsidR="007A1482">
        <w:rPr>
          <w:szCs w:val="22"/>
        </w:rPr>
        <w:t>by</w:t>
      </w:r>
      <w:r w:rsidR="004C07FD">
        <w:rPr>
          <w:szCs w:val="22"/>
        </w:rPr>
        <w:t xml:space="preserve"> the Montana Department of Justice</w:t>
      </w:r>
      <w:r w:rsidR="009E2493">
        <w:rPr>
          <w:szCs w:val="22"/>
        </w:rPr>
        <w:t xml:space="preserve"> (Montana DOJ)</w:t>
      </w:r>
      <w:r w:rsidRPr="00AB4426" w:rsidR="00BB6483">
        <w:rPr>
          <w:szCs w:val="22"/>
        </w:rPr>
        <w:t>, support</w:t>
      </w:r>
      <w:r w:rsidR="00D56B0F">
        <w:rPr>
          <w:szCs w:val="22"/>
        </w:rPr>
        <w:t>ed by</w:t>
      </w:r>
      <w:r w:rsidRPr="00AB4426" w:rsidR="00BB6483">
        <w:rPr>
          <w:szCs w:val="22"/>
        </w:rPr>
        <w:t xml:space="preserve"> the Montana Broadcasters Association</w:t>
      </w:r>
      <w:r w:rsidRPr="00AB4426" w:rsidR="004C07FD">
        <w:rPr>
          <w:szCs w:val="22"/>
        </w:rPr>
        <w:t>.</w:t>
      </w:r>
      <w:r>
        <w:rPr>
          <w:rStyle w:val="FootnoteReference"/>
          <w:sz w:val="22"/>
          <w:szCs w:val="22"/>
        </w:rPr>
        <w:footnoteReference w:id="3"/>
      </w:r>
      <w:r w:rsidRPr="00AB4426" w:rsidR="00AE0DB4">
        <w:rPr>
          <w:szCs w:val="22"/>
        </w:rPr>
        <w:t xml:space="preserve"> </w:t>
      </w:r>
      <w:r w:rsidRPr="00AB4426" w:rsidR="00B24895">
        <w:rPr>
          <w:szCs w:val="22"/>
        </w:rPr>
        <w:t xml:space="preserve"> </w:t>
      </w:r>
      <w:r w:rsidR="00B53C05">
        <w:rPr>
          <w:szCs w:val="22"/>
        </w:rPr>
        <w:t xml:space="preserve">The </w:t>
      </w:r>
      <w:r w:rsidR="00AB4426">
        <w:rPr>
          <w:szCs w:val="22"/>
        </w:rPr>
        <w:t xml:space="preserve">Montana </w:t>
      </w:r>
      <w:r w:rsidR="00B53C05">
        <w:rPr>
          <w:szCs w:val="22"/>
        </w:rPr>
        <w:t xml:space="preserve">DOJ </w:t>
      </w:r>
      <w:r w:rsidR="00AB4426">
        <w:rPr>
          <w:szCs w:val="22"/>
        </w:rPr>
        <w:t>requests a waiver of the Commission’s Wireless Emergency Alerts (WEA) rules to permit Participating Commercial Mobile Service (CMS) Providers</w:t>
      </w:r>
      <w:r>
        <w:rPr>
          <w:rStyle w:val="FootnoteReference"/>
          <w:szCs w:val="22"/>
        </w:rPr>
        <w:footnoteReference w:id="4"/>
      </w:r>
      <w:r w:rsidR="00AB4426">
        <w:rPr>
          <w:szCs w:val="22"/>
        </w:rPr>
        <w:t xml:space="preserve"> to participate in</w:t>
      </w:r>
      <w:r w:rsidR="00217EF0">
        <w:rPr>
          <w:szCs w:val="22"/>
        </w:rPr>
        <w:t xml:space="preserve"> a</w:t>
      </w:r>
      <w:r w:rsidR="009E2493">
        <w:rPr>
          <w:szCs w:val="22"/>
        </w:rPr>
        <w:t xml:space="preserve"> combined live </w:t>
      </w:r>
      <w:r w:rsidR="000E0382">
        <w:rPr>
          <w:szCs w:val="22"/>
        </w:rPr>
        <w:t xml:space="preserve">Emergency Alert System (EAS) </w:t>
      </w:r>
      <w:r w:rsidR="009E2493">
        <w:rPr>
          <w:szCs w:val="22"/>
        </w:rPr>
        <w:t>and</w:t>
      </w:r>
      <w:r w:rsidR="00AB4426">
        <w:rPr>
          <w:szCs w:val="22"/>
        </w:rPr>
        <w:t xml:space="preserve"> </w:t>
      </w:r>
      <w:r w:rsidR="00991383">
        <w:rPr>
          <w:szCs w:val="22"/>
        </w:rPr>
        <w:t>end-to-end WEA test</w:t>
      </w:r>
      <w:r w:rsidR="009E2493">
        <w:rPr>
          <w:szCs w:val="22"/>
        </w:rPr>
        <w:t xml:space="preserve">, </w:t>
      </w:r>
      <w:r w:rsidR="00217EF0">
        <w:rPr>
          <w:szCs w:val="22"/>
        </w:rPr>
        <w:t>scheduled for January 13, 2023, at 10:00 a.m. Mountain Standard Time (MST).</w:t>
      </w:r>
      <w:r>
        <w:rPr>
          <w:rStyle w:val="FootnoteReference"/>
          <w:szCs w:val="22"/>
        </w:rPr>
        <w:footnoteReference w:id="5"/>
      </w:r>
      <w:r w:rsidR="009E2493">
        <w:rPr>
          <w:szCs w:val="22"/>
        </w:rPr>
        <w:t xml:space="preserve"> </w:t>
      </w:r>
    </w:p>
    <w:p w:rsidR="006A2672" w:rsidRPr="00F02B3C" w:rsidP="00570A0C" w14:paraId="6A4CCD6F" w14:textId="2C1720F2">
      <w:pPr>
        <w:pStyle w:val="ParaNum"/>
        <w:numPr>
          <w:ilvl w:val="0"/>
          <w:numId w:val="2"/>
        </w:numPr>
        <w:tabs>
          <w:tab w:val="clear" w:pos="1080"/>
          <w:tab w:val="num" w:pos="1440"/>
        </w:tabs>
        <w:rPr>
          <w:szCs w:val="22"/>
        </w:rPr>
      </w:pPr>
      <w:r w:rsidRPr="00F02B3C">
        <w:rPr>
          <w:szCs w:val="22"/>
        </w:rPr>
        <w:t xml:space="preserve">Based on the circumstances discussed below, we find that waiver of the Commission’s rules would serve the public interest. </w:t>
      </w:r>
      <w:r w:rsidRPr="00F02B3C" w:rsidR="00882DCA">
        <w:rPr>
          <w:szCs w:val="22"/>
        </w:rPr>
        <w:t xml:space="preserve">Accordingly, we </w:t>
      </w:r>
      <w:r w:rsidRPr="00F02B3C" w:rsidR="00541031">
        <w:rPr>
          <w:szCs w:val="22"/>
        </w:rPr>
        <w:t xml:space="preserve">grant </w:t>
      </w:r>
      <w:r w:rsidR="00217EF0">
        <w:rPr>
          <w:szCs w:val="22"/>
        </w:rPr>
        <w:t xml:space="preserve">the Montana Department of Justice’s </w:t>
      </w:r>
      <w:r w:rsidRPr="00F02B3C" w:rsidR="00E46E1B">
        <w:rPr>
          <w:szCs w:val="22"/>
        </w:rPr>
        <w:t xml:space="preserve">waiver request </w:t>
      </w:r>
      <w:r w:rsidRPr="00F02B3C" w:rsidR="00882DCA">
        <w:rPr>
          <w:szCs w:val="22"/>
        </w:rPr>
        <w:t xml:space="preserve">to </w:t>
      </w:r>
      <w:r w:rsidRPr="00F02B3C" w:rsidR="008A0AB5">
        <w:rPr>
          <w:szCs w:val="22"/>
        </w:rPr>
        <w:t xml:space="preserve">conduct </w:t>
      </w:r>
      <w:r w:rsidR="005F70CE">
        <w:rPr>
          <w:szCs w:val="22"/>
        </w:rPr>
        <w:t>a</w:t>
      </w:r>
      <w:r w:rsidR="009E2493">
        <w:rPr>
          <w:szCs w:val="22"/>
        </w:rPr>
        <w:t xml:space="preserve"> combined EAS and</w:t>
      </w:r>
      <w:r w:rsidR="005F70CE">
        <w:rPr>
          <w:szCs w:val="22"/>
        </w:rPr>
        <w:t xml:space="preserve"> </w:t>
      </w:r>
      <w:r w:rsidRPr="00F02B3C" w:rsidR="009D6185">
        <w:rPr>
          <w:szCs w:val="22"/>
        </w:rPr>
        <w:t xml:space="preserve">end-to-end </w:t>
      </w:r>
      <w:r w:rsidRPr="00F02B3C" w:rsidR="008A0AB5">
        <w:rPr>
          <w:szCs w:val="22"/>
        </w:rPr>
        <w:t>WEA test</w:t>
      </w:r>
      <w:r w:rsidRPr="00F02B3C" w:rsidR="001B6342">
        <w:rPr>
          <w:szCs w:val="22"/>
        </w:rPr>
        <w:t xml:space="preserve"> using the</w:t>
      </w:r>
      <w:r w:rsidR="005F70CE">
        <w:rPr>
          <w:szCs w:val="22"/>
        </w:rPr>
        <w:t xml:space="preserve"> Child Abduction Emergency</w:t>
      </w:r>
      <w:r w:rsidR="0059706A">
        <w:rPr>
          <w:szCs w:val="22"/>
        </w:rPr>
        <w:t xml:space="preserve"> event code and </w:t>
      </w:r>
      <w:r w:rsidR="005F70CE">
        <w:rPr>
          <w:szCs w:val="22"/>
        </w:rPr>
        <w:t>AMBER Alert</w:t>
      </w:r>
      <w:r w:rsidRPr="00F02B3C" w:rsidR="001B6342">
        <w:rPr>
          <w:szCs w:val="22"/>
        </w:rPr>
        <w:t xml:space="preserve"> categor</w:t>
      </w:r>
      <w:r w:rsidR="005F70CE">
        <w:rPr>
          <w:szCs w:val="22"/>
        </w:rPr>
        <w:t>y</w:t>
      </w:r>
      <w:r w:rsidRPr="00F02B3C" w:rsidR="009D6185">
        <w:rPr>
          <w:szCs w:val="22"/>
        </w:rPr>
        <w:t xml:space="preserve"> outlined in </w:t>
      </w:r>
      <w:r w:rsidR="009E2493">
        <w:rPr>
          <w:szCs w:val="22"/>
        </w:rPr>
        <w:t xml:space="preserve">47 CFR </w:t>
      </w:r>
      <w:r w:rsidRPr="00F02B3C" w:rsidR="009E2493">
        <w:rPr>
          <w:szCs w:val="22"/>
        </w:rPr>
        <w:t>§</w:t>
      </w:r>
      <w:r w:rsidR="009E2493">
        <w:rPr>
          <w:szCs w:val="22"/>
        </w:rPr>
        <w:t xml:space="preserve"> 11.31 and </w:t>
      </w:r>
      <w:r w:rsidRPr="00F02B3C" w:rsidR="009D6185">
        <w:rPr>
          <w:szCs w:val="22"/>
        </w:rPr>
        <w:t>47 C.F.R. § 10.400</w:t>
      </w:r>
      <w:r w:rsidRPr="00F02B3C" w:rsidR="008A0AB5">
        <w:rPr>
          <w:szCs w:val="22"/>
        </w:rPr>
        <w:t>,</w:t>
      </w:r>
      <w:r>
        <w:rPr>
          <w:rStyle w:val="FootnoteReference"/>
          <w:szCs w:val="22"/>
        </w:rPr>
        <w:footnoteReference w:id="6"/>
      </w:r>
      <w:r w:rsidR="009E2493">
        <w:rPr>
          <w:szCs w:val="22"/>
        </w:rPr>
        <w:t xml:space="preserve"> respectively</w:t>
      </w:r>
      <w:r w:rsidR="00AA7CB8">
        <w:rPr>
          <w:szCs w:val="22"/>
        </w:rPr>
        <w:t>, subject to certain conditions.</w:t>
      </w:r>
      <w:r w:rsidRPr="00F02B3C" w:rsidR="00186402">
        <w:rPr>
          <w:szCs w:val="22"/>
        </w:rPr>
        <w:t xml:space="preserve"> </w:t>
      </w:r>
      <w:r w:rsidRPr="00F02B3C" w:rsidR="00B55F56">
        <w:rPr>
          <w:szCs w:val="22"/>
        </w:rPr>
        <w:t xml:space="preserve"> </w:t>
      </w:r>
    </w:p>
    <w:bookmarkEnd w:id="1"/>
    <w:p w:rsidR="00613435" w:rsidP="00613435" w14:paraId="1F721A68" w14:textId="77777777">
      <w:pPr>
        <w:pStyle w:val="Heading1"/>
      </w:pPr>
      <w:r>
        <w:t>background</w:t>
      </w:r>
    </w:p>
    <w:p w:rsidR="000831F4" w:rsidRPr="000670D2" w:rsidP="000670D2" w14:paraId="3C2EE27D" w14:textId="235C988F">
      <w:pPr>
        <w:pStyle w:val="ParaNum"/>
        <w:numPr>
          <w:ilvl w:val="0"/>
          <w:numId w:val="2"/>
        </w:numPr>
        <w:tabs>
          <w:tab w:val="clear" w:pos="1080"/>
          <w:tab w:val="num" w:pos="1440"/>
        </w:tabs>
        <w:rPr>
          <w:szCs w:val="22"/>
        </w:rPr>
      </w:pPr>
      <w:r w:rsidRPr="009E2493">
        <w:rPr>
          <w:szCs w:val="22"/>
        </w:rPr>
        <w:t>The EAS is a national public warning system through which EAS Participants deliver alerts to the public to warn them of impending emergencies.</w:t>
      </w:r>
      <w:r>
        <w:rPr>
          <w:rStyle w:val="FootnoteReference"/>
          <w:szCs w:val="22"/>
        </w:rPr>
        <w:footnoteReference w:id="7"/>
      </w:r>
      <w:r>
        <w:rPr>
          <w:szCs w:val="22"/>
        </w:rPr>
        <w:t xml:space="preserve">  </w:t>
      </w:r>
      <w:r w:rsidRPr="009E2493" w:rsidR="009E2493">
        <w:rPr>
          <w:szCs w:val="22"/>
        </w:rPr>
        <w:t xml:space="preserve">State and local authorities use the EAS to </w:t>
      </w:r>
      <w:r w:rsidRPr="009E2493" w:rsidR="009E2493">
        <w:rPr>
          <w:szCs w:val="22"/>
        </w:rPr>
        <w:t>distribute voluntary weather-related and other emergency alerts to the public.</w:t>
      </w:r>
      <w:r>
        <w:rPr>
          <w:rStyle w:val="FootnoteReference"/>
          <w:szCs w:val="22"/>
        </w:rPr>
        <w:footnoteReference w:id="8"/>
      </w:r>
      <w:r w:rsidRPr="009E2493" w:rsidR="009E2493">
        <w:rPr>
          <w:szCs w:val="22"/>
        </w:rPr>
        <w:t xml:space="preserve">  EAS testing at the state and local level increases the proficiency of local emergency personnel, provides insight into the system’s functionality and effectiveness at the federal level, and enhances the public’s ability to respond to EAS alerts when they occur.</w:t>
      </w:r>
      <w:r>
        <w:rPr>
          <w:rStyle w:val="FootnoteReference"/>
          <w:szCs w:val="22"/>
        </w:rPr>
        <w:footnoteReference w:id="9"/>
      </w:r>
      <w:r w:rsidRPr="009E2493" w:rsidR="009E2493">
        <w:rPr>
          <w:szCs w:val="22"/>
        </w:rPr>
        <w:t xml:space="preserve">  The Commission’s EAS rules contain procedures by which EAS Participants must test the </w:t>
      </w:r>
      <w:r w:rsidRPr="009E2493" w:rsidR="001A479D">
        <w:rPr>
          <w:szCs w:val="22"/>
        </w:rPr>
        <w:t>system</w:t>
      </w:r>
      <w:r w:rsidR="008A3CDB">
        <w:rPr>
          <w:szCs w:val="22"/>
        </w:rPr>
        <w:t>,</w:t>
      </w:r>
      <w:r>
        <w:rPr>
          <w:rStyle w:val="FootnoteReference"/>
          <w:szCs w:val="22"/>
        </w:rPr>
        <w:footnoteReference w:id="10"/>
      </w:r>
      <w:r w:rsidRPr="009E2493" w:rsidR="001A479D">
        <w:rPr>
          <w:szCs w:val="22"/>
        </w:rPr>
        <w:t xml:space="preserve"> and</w:t>
      </w:r>
      <w:r w:rsidRPr="009E2493" w:rsidR="009E2493">
        <w:rPr>
          <w:szCs w:val="22"/>
        </w:rPr>
        <w:t xml:space="preserve"> prohibit the unauthorized use of the EAS Attention Signal and codes.</w:t>
      </w:r>
      <w:r>
        <w:rPr>
          <w:rStyle w:val="FootnoteReference"/>
          <w:szCs w:val="22"/>
        </w:rPr>
        <w:footnoteReference w:id="11"/>
      </w:r>
      <w:r w:rsidR="00907ABF">
        <w:rPr>
          <w:rStyle w:val="FootnoteReference"/>
          <w:szCs w:val="22"/>
        </w:rPr>
        <w:t xml:space="preserve"> </w:t>
      </w:r>
      <w:r w:rsidR="00907ABF">
        <w:rPr>
          <w:szCs w:val="22"/>
        </w:rPr>
        <w:t xml:space="preserve"> </w:t>
      </w:r>
      <w:r w:rsidR="00754D77">
        <w:rPr>
          <w:szCs w:val="22"/>
        </w:rPr>
        <w:t xml:space="preserve"> </w:t>
      </w:r>
      <w:r w:rsidR="00014E66">
        <w:rPr>
          <w:szCs w:val="22"/>
        </w:rPr>
        <w:t>The Commission’s rules allo</w:t>
      </w:r>
      <w:r w:rsidR="00D2752A">
        <w:rPr>
          <w:szCs w:val="22"/>
        </w:rPr>
        <w:t xml:space="preserve">w </w:t>
      </w:r>
      <w:r w:rsidR="007F7F5E">
        <w:rPr>
          <w:szCs w:val="22"/>
        </w:rPr>
        <w:t xml:space="preserve">EAS Participants </w:t>
      </w:r>
      <w:r w:rsidR="005924E9">
        <w:rPr>
          <w:szCs w:val="22"/>
        </w:rPr>
        <w:t>to</w:t>
      </w:r>
      <w:r w:rsidR="007F7F5E">
        <w:rPr>
          <w:szCs w:val="22"/>
        </w:rPr>
        <w:t xml:space="preserve"> participate in</w:t>
      </w:r>
      <w:r w:rsidR="00D2752A">
        <w:rPr>
          <w:szCs w:val="22"/>
        </w:rPr>
        <w:t xml:space="preserve"> </w:t>
      </w:r>
      <w:r w:rsidR="00696B03">
        <w:rPr>
          <w:szCs w:val="22"/>
        </w:rPr>
        <w:t>two Live Code Tests per calendar year</w:t>
      </w:r>
      <w:r w:rsidR="000E0382">
        <w:rPr>
          <w:szCs w:val="22"/>
        </w:rPr>
        <w:t>, provided that the entity conducting the test takes four specified actions to make as clear as possible that the alert being sent is only a test.</w:t>
      </w:r>
      <w:r>
        <w:rPr>
          <w:rStyle w:val="FootnoteReference"/>
          <w:szCs w:val="22"/>
        </w:rPr>
        <w:footnoteReference w:id="12"/>
      </w:r>
      <w:r w:rsidR="000E0382">
        <w:rPr>
          <w:szCs w:val="22"/>
        </w:rPr>
        <w:t xml:space="preserve">  </w:t>
      </w:r>
      <w:r w:rsidR="00696B03">
        <w:rPr>
          <w:szCs w:val="22"/>
        </w:rPr>
        <w:t xml:space="preserve"> </w:t>
      </w:r>
      <w:r w:rsidR="00014E66">
        <w:rPr>
          <w:szCs w:val="22"/>
        </w:rPr>
        <w:t xml:space="preserve"> </w:t>
      </w:r>
    </w:p>
    <w:p w:rsidR="005F7BC6" w:rsidRPr="00F02B3C" w:rsidP="005F7BC6" w14:paraId="776BBDA7" w14:textId="3255779F">
      <w:pPr>
        <w:pStyle w:val="ParaNum"/>
        <w:numPr>
          <w:ilvl w:val="0"/>
          <w:numId w:val="2"/>
        </w:numPr>
        <w:tabs>
          <w:tab w:val="clear" w:pos="1080"/>
          <w:tab w:val="num" w:pos="1440"/>
        </w:tabs>
        <w:rPr>
          <w:szCs w:val="22"/>
        </w:rPr>
      </w:pPr>
      <w:r w:rsidRPr="00F02B3C">
        <w:rPr>
          <w:szCs w:val="22"/>
        </w:rPr>
        <w:t>WEA allows authorized government entities to send geographically-targeted emergency alerts to commercial wireless subscribers who have WEA-capable mobile devices and whose commercial mobile service providers are Participating CMS Providers.</w:t>
      </w:r>
      <w:r>
        <w:rPr>
          <w:rStyle w:val="FootnoteReference"/>
          <w:sz w:val="22"/>
          <w:szCs w:val="22"/>
        </w:rPr>
        <w:footnoteReference w:id="13"/>
      </w:r>
      <w:r w:rsidRPr="00F02B3C" w:rsidR="00F65410">
        <w:rPr>
          <w:szCs w:val="22"/>
        </w:rPr>
        <w:t xml:space="preserve"> </w:t>
      </w:r>
      <w:r w:rsidRPr="00F02B3C">
        <w:rPr>
          <w:szCs w:val="22"/>
        </w:rPr>
        <w:t xml:space="preserve"> The Commission’s rules prohibit use of the WEA Attention Signal except during actual emergencies, authorized tests, and certain public service announcements.</w:t>
      </w:r>
      <w:r>
        <w:rPr>
          <w:rStyle w:val="FootnoteReference"/>
          <w:sz w:val="22"/>
          <w:szCs w:val="22"/>
        </w:rPr>
        <w:footnoteReference w:id="14"/>
      </w:r>
      <w:r w:rsidRPr="00F02B3C">
        <w:rPr>
          <w:szCs w:val="22"/>
        </w:rPr>
        <w:t xml:space="preserve"> </w:t>
      </w:r>
      <w:r w:rsidRPr="00F02B3C" w:rsidR="0023674F">
        <w:rPr>
          <w:szCs w:val="22"/>
        </w:rPr>
        <w:t xml:space="preserve"> </w:t>
      </w:r>
      <w:r w:rsidRPr="00F02B3C">
        <w:rPr>
          <w:szCs w:val="22"/>
        </w:rPr>
        <w:t xml:space="preserve">The Commission’s rules allow </w:t>
      </w:r>
      <w:r w:rsidRPr="00F02B3C" w:rsidR="00545CB9">
        <w:rPr>
          <w:szCs w:val="22"/>
        </w:rPr>
        <w:t xml:space="preserve">WEA </w:t>
      </w:r>
      <w:r w:rsidRPr="00F02B3C">
        <w:rPr>
          <w:szCs w:val="22"/>
        </w:rPr>
        <w:t xml:space="preserve">end-to-end tests that reach the public only </w:t>
      </w:r>
      <w:r w:rsidRPr="00F02B3C" w:rsidR="00545CB9">
        <w:rPr>
          <w:szCs w:val="22"/>
        </w:rPr>
        <w:t>when the</w:t>
      </w:r>
      <w:r w:rsidRPr="00F02B3C" w:rsidR="00CD1022">
        <w:rPr>
          <w:szCs w:val="22"/>
        </w:rPr>
        <w:t xml:space="preserve"> test</w:t>
      </w:r>
      <w:r w:rsidRPr="00F02B3C" w:rsidR="00545CB9">
        <w:rPr>
          <w:szCs w:val="22"/>
        </w:rPr>
        <w:t xml:space="preserve"> is</w:t>
      </w:r>
      <w:r w:rsidRPr="00F02B3C" w:rsidR="00CD1022">
        <w:rPr>
          <w:szCs w:val="22"/>
        </w:rPr>
        <w:t xml:space="preserve"> conducted using the </w:t>
      </w:r>
      <w:r w:rsidRPr="00F02B3C">
        <w:rPr>
          <w:szCs w:val="22"/>
        </w:rPr>
        <w:t>State/Local WEA Test</w:t>
      </w:r>
      <w:r w:rsidRPr="00F02B3C" w:rsidR="00CD1022">
        <w:rPr>
          <w:szCs w:val="22"/>
        </w:rPr>
        <w:t xml:space="preserve"> category</w:t>
      </w:r>
      <w:r w:rsidRPr="00F02B3C">
        <w:rPr>
          <w:szCs w:val="22"/>
        </w:rPr>
        <w:t>.</w:t>
      </w:r>
      <w:r>
        <w:rPr>
          <w:rStyle w:val="FootnoteReference"/>
          <w:sz w:val="22"/>
          <w:szCs w:val="22"/>
        </w:rPr>
        <w:footnoteReference w:id="15"/>
      </w:r>
      <w:r w:rsidR="00ED52BE">
        <w:rPr>
          <w:szCs w:val="22"/>
        </w:rPr>
        <w:t xml:space="preserve"> </w:t>
      </w:r>
      <w:r w:rsidRPr="00F02B3C">
        <w:rPr>
          <w:szCs w:val="22"/>
        </w:rPr>
        <w:t xml:space="preserve"> </w:t>
      </w:r>
      <w:bookmarkStart w:id="2" w:name="_Hlk33521239"/>
      <w:r w:rsidRPr="00F02B3C">
        <w:rPr>
          <w:szCs w:val="22"/>
        </w:rPr>
        <w:t xml:space="preserve">State/Local WEA </w:t>
      </w:r>
      <w:r w:rsidR="00F94B08">
        <w:rPr>
          <w:szCs w:val="22"/>
        </w:rPr>
        <w:t>T</w:t>
      </w:r>
      <w:r w:rsidRPr="00F02B3C">
        <w:rPr>
          <w:szCs w:val="22"/>
        </w:rPr>
        <w:t>est</w:t>
      </w:r>
      <w:r w:rsidR="00F94B08">
        <w:rPr>
          <w:szCs w:val="22"/>
        </w:rPr>
        <w:t>s</w:t>
      </w:r>
      <w:r w:rsidRPr="00F02B3C">
        <w:rPr>
          <w:szCs w:val="22"/>
        </w:rPr>
        <w:t xml:space="preserve"> </w:t>
      </w:r>
      <w:bookmarkEnd w:id="2"/>
      <w:r w:rsidRPr="00F02B3C">
        <w:rPr>
          <w:szCs w:val="22"/>
        </w:rPr>
        <w:t xml:space="preserve">differ from actual </w:t>
      </w:r>
      <w:r w:rsidRPr="00F02B3C" w:rsidR="003312E8">
        <w:rPr>
          <w:szCs w:val="22"/>
        </w:rPr>
        <w:t>WEA</w:t>
      </w:r>
      <w:r w:rsidRPr="00F02B3C" w:rsidR="005D3237">
        <w:rPr>
          <w:szCs w:val="22"/>
        </w:rPr>
        <w:t>s</w:t>
      </w:r>
      <w:r w:rsidRPr="00F02B3C">
        <w:rPr>
          <w:szCs w:val="22"/>
        </w:rPr>
        <w:t xml:space="preserve"> </w:t>
      </w:r>
      <w:r w:rsidR="00CE1A05">
        <w:rPr>
          <w:szCs w:val="22"/>
        </w:rPr>
        <w:t>in the following ways:</w:t>
      </w:r>
      <w:r w:rsidRPr="00F02B3C" w:rsidR="00BB4B00">
        <w:rPr>
          <w:szCs w:val="22"/>
        </w:rPr>
        <w:t xml:space="preserve"> </w:t>
      </w:r>
      <w:r w:rsidRPr="00F02B3C">
        <w:rPr>
          <w:szCs w:val="22"/>
        </w:rPr>
        <w:t xml:space="preserve"> Consumers will not receive State/Local WEA </w:t>
      </w:r>
      <w:r w:rsidR="00CE1A05">
        <w:rPr>
          <w:szCs w:val="22"/>
        </w:rPr>
        <w:t>T</w:t>
      </w:r>
      <w:r w:rsidRPr="00F02B3C">
        <w:rPr>
          <w:szCs w:val="22"/>
        </w:rPr>
        <w:t>est</w:t>
      </w:r>
      <w:r w:rsidR="00CE1A05">
        <w:rPr>
          <w:szCs w:val="22"/>
        </w:rPr>
        <w:t>s</w:t>
      </w:r>
      <w:r w:rsidRPr="00F02B3C" w:rsidR="009E769F">
        <w:rPr>
          <w:szCs w:val="22"/>
        </w:rPr>
        <w:t xml:space="preserve"> </w:t>
      </w:r>
      <w:r w:rsidRPr="00F02B3C">
        <w:rPr>
          <w:szCs w:val="22"/>
        </w:rPr>
        <w:t xml:space="preserve">by default; instead, </w:t>
      </w:r>
      <w:r w:rsidRPr="00F02B3C" w:rsidR="00DF5253">
        <w:rPr>
          <w:szCs w:val="22"/>
        </w:rPr>
        <w:t>consumers</w:t>
      </w:r>
      <w:r w:rsidRPr="00F02B3C">
        <w:rPr>
          <w:szCs w:val="22"/>
        </w:rPr>
        <w:t xml:space="preserve"> must affirmatively opt in to receive these </w:t>
      </w:r>
      <w:r w:rsidRPr="00F02B3C" w:rsidR="00DF5253">
        <w:rPr>
          <w:szCs w:val="22"/>
        </w:rPr>
        <w:t xml:space="preserve">WEA </w:t>
      </w:r>
      <w:r w:rsidRPr="00F02B3C">
        <w:rPr>
          <w:szCs w:val="22"/>
        </w:rPr>
        <w:t xml:space="preserve">test </w:t>
      </w:r>
      <w:r w:rsidRPr="00F02B3C" w:rsidR="005D3237">
        <w:rPr>
          <w:szCs w:val="22"/>
        </w:rPr>
        <w:t xml:space="preserve">alert </w:t>
      </w:r>
      <w:r w:rsidRPr="00F02B3C">
        <w:rPr>
          <w:szCs w:val="22"/>
        </w:rPr>
        <w:t>messages.</w:t>
      </w:r>
      <w:r>
        <w:rPr>
          <w:rStyle w:val="FootnoteReference"/>
          <w:sz w:val="22"/>
          <w:szCs w:val="22"/>
        </w:rPr>
        <w:footnoteReference w:id="16"/>
      </w:r>
      <w:r w:rsidRPr="00F02B3C" w:rsidR="00F65410">
        <w:rPr>
          <w:szCs w:val="22"/>
        </w:rPr>
        <w:t xml:space="preserve"> </w:t>
      </w:r>
      <w:r w:rsidRPr="00F02B3C">
        <w:rPr>
          <w:szCs w:val="22"/>
        </w:rPr>
        <w:t xml:space="preserve"> Further, </w:t>
      </w:r>
      <w:r w:rsidRPr="00F02B3C" w:rsidR="00DF5253">
        <w:rPr>
          <w:szCs w:val="22"/>
        </w:rPr>
        <w:t xml:space="preserve">tests conducted using </w:t>
      </w:r>
      <w:r w:rsidRPr="00F02B3C" w:rsidR="005D3237">
        <w:rPr>
          <w:szCs w:val="22"/>
        </w:rPr>
        <w:t xml:space="preserve">the </w:t>
      </w:r>
      <w:r w:rsidRPr="00F02B3C">
        <w:rPr>
          <w:szCs w:val="22"/>
        </w:rPr>
        <w:t>State/Local WEA Test</w:t>
      </w:r>
      <w:r w:rsidRPr="00F02B3C" w:rsidR="005D3237">
        <w:rPr>
          <w:szCs w:val="22"/>
        </w:rPr>
        <w:t xml:space="preserve"> category</w:t>
      </w:r>
      <w:r w:rsidRPr="00F02B3C">
        <w:rPr>
          <w:szCs w:val="22"/>
        </w:rPr>
        <w:t xml:space="preserve"> must include conspicuous language sufficient to make </w:t>
      </w:r>
      <w:r w:rsidRPr="00F02B3C" w:rsidR="00DF5253">
        <w:rPr>
          <w:szCs w:val="22"/>
        </w:rPr>
        <w:t xml:space="preserve">it </w:t>
      </w:r>
      <w:r w:rsidRPr="00F02B3C">
        <w:rPr>
          <w:szCs w:val="22"/>
        </w:rPr>
        <w:t xml:space="preserve">clear to the public that the </w:t>
      </w:r>
      <w:r w:rsidRPr="00F02B3C" w:rsidR="00DF5253">
        <w:rPr>
          <w:szCs w:val="22"/>
        </w:rPr>
        <w:t xml:space="preserve">WEA </w:t>
      </w:r>
      <w:r w:rsidRPr="00F02B3C" w:rsidR="005D3237">
        <w:rPr>
          <w:szCs w:val="22"/>
        </w:rPr>
        <w:t xml:space="preserve">alert </w:t>
      </w:r>
      <w:r w:rsidRPr="00F02B3C">
        <w:rPr>
          <w:szCs w:val="22"/>
        </w:rPr>
        <w:t>message is only a test.</w:t>
      </w:r>
      <w:r>
        <w:rPr>
          <w:rStyle w:val="FootnoteReference"/>
          <w:sz w:val="22"/>
          <w:szCs w:val="22"/>
        </w:rPr>
        <w:footnoteReference w:id="17"/>
      </w:r>
      <w:r w:rsidRPr="00F02B3C">
        <w:rPr>
          <w:szCs w:val="22"/>
        </w:rPr>
        <w:t xml:space="preserve">  </w:t>
      </w:r>
      <w:r w:rsidR="000559A9">
        <w:rPr>
          <w:szCs w:val="22"/>
        </w:rPr>
        <w:t>A</w:t>
      </w:r>
      <w:r w:rsidRPr="00F02B3C">
        <w:rPr>
          <w:szCs w:val="22"/>
        </w:rPr>
        <w:t xml:space="preserve">s of December 19, 2019, alert originators wishing to conduct end-to-end WEA tests using the State/Local WEA Test category do not need to request a waiver </w:t>
      </w:r>
      <w:r w:rsidRPr="00F02B3C" w:rsidR="00DF5253">
        <w:rPr>
          <w:szCs w:val="22"/>
        </w:rPr>
        <w:t xml:space="preserve">from the </w:t>
      </w:r>
      <w:r w:rsidR="008E56C6">
        <w:rPr>
          <w:szCs w:val="22"/>
        </w:rPr>
        <w:t xml:space="preserve">Commission </w:t>
      </w:r>
      <w:r w:rsidRPr="00F02B3C">
        <w:rPr>
          <w:szCs w:val="22"/>
        </w:rPr>
        <w:t xml:space="preserve">to permit </w:t>
      </w:r>
      <w:r w:rsidRPr="00F02B3C" w:rsidR="005D3237">
        <w:rPr>
          <w:szCs w:val="22"/>
        </w:rPr>
        <w:t xml:space="preserve">WEA test </w:t>
      </w:r>
      <w:r w:rsidRPr="00F02B3C">
        <w:rPr>
          <w:szCs w:val="22"/>
        </w:rPr>
        <w:t xml:space="preserve">alerts </w:t>
      </w:r>
      <w:r w:rsidRPr="00F02B3C" w:rsidR="001D216D">
        <w:rPr>
          <w:szCs w:val="22"/>
        </w:rPr>
        <w:t xml:space="preserve">using the State/Local WEA Test </w:t>
      </w:r>
      <w:r w:rsidRPr="00F02B3C" w:rsidR="001D216D">
        <w:rPr>
          <w:szCs w:val="22"/>
        </w:rPr>
        <w:t xml:space="preserve">category to </w:t>
      </w:r>
      <w:r w:rsidRPr="00F02B3C">
        <w:rPr>
          <w:szCs w:val="22"/>
        </w:rPr>
        <w:t>be transmitted to the public.</w:t>
      </w:r>
      <w:r>
        <w:rPr>
          <w:rStyle w:val="FootnoteReference"/>
          <w:sz w:val="22"/>
          <w:szCs w:val="22"/>
        </w:rPr>
        <w:footnoteReference w:id="18"/>
      </w:r>
    </w:p>
    <w:p w:rsidR="00544C03" w:rsidP="005F7BC6" w14:paraId="12BE9A84" w14:textId="246C484C">
      <w:pPr>
        <w:pStyle w:val="ParaNum"/>
        <w:numPr>
          <w:ilvl w:val="0"/>
          <w:numId w:val="2"/>
        </w:numPr>
        <w:tabs>
          <w:tab w:val="clear" w:pos="1080"/>
          <w:tab w:val="num" w:pos="1440"/>
        </w:tabs>
        <w:rPr>
          <w:szCs w:val="22"/>
        </w:rPr>
      </w:pPr>
      <w:r>
        <w:rPr>
          <w:szCs w:val="22"/>
        </w:rPr>
        <w:t xml:space="preserve">The Montana DOJ </w:t>
      </w:r>
      <w:r w:rsidRPr="00F02B3C" w:rsidR="00335B9C">
        <w:rPr>
          <w:szCs w:val="22"/>
        </w:rPr>
        <w:t>request</w:t>
      </w:r>
      <w:r>
        <w:rPr>
          <w:szCs w:val="22"/>
        </w:rPr>
        <w:t>s</w:t>
      </w:r>
      <w:r w:rsidRPr="00F02B3C" w:rsidR="00335B9C">
        <w:rPr>
          <w:szCs w:val="22"/>
        </w:rPr>
        <w:t xml:space="preserve"> wa</w:t>
      </w:r>
      <w:r w:rsidRPr="00F02B3C" w:rsidR="00A55EA1">
        <w:rPr>
          <w:szCs w:val="22"/>
        </w:rPr>
        <w:t>i</w:t>
      </w:r>
      <w:r w:rsidRPr="00F02B3C" w:rsidR="00335B9C">
        <w:rPr>
          <w:szCs w:val="22"/>
        </w:rPr>
        <w:t xml:space="preserve">ver of the </w:t>
      </w:r>
      <w:r w:rsidRPr="00F02B3C" w:rsidR="00F148A0">
        <w:rPr>
          <w:szCs w:val="22"/>
        </w:rPr>
        <w:t xml:space="preserve">Commission’s rules to allow </w:t>
      </w:r>
      <w:r>
        <w:rPr>
          <w:szCs w:val="22"/>
        </w:rPr>
        <w:t xml:space="preserve">EAS Participants and </w:t>
      </w:r>
      <w:r w:rsidRPr="00F02B3C" w:rsidR="00F148A0">
        <w:rPr>
          <w:szCs w:val="22"/>
        </w:rPr>
        <w:t xml:space="preserve">Participating CMS Providers to participate in </w:t>
      </w:r>
      <w:r>
        <w:rPr>
          <w:szCs w:val="22"/>
        </w:rPr>
        <w:t>a combined EAS and WEA test on January 13, 2023, at 10:00 a.m. MST.</w:t>
      </w:r>
      <w:r>
        <w:rPr>
          <w:rStyle w:val="FootnoteReference"/>
          <w:sz w:val="22"/>
          <w:szCs w:val="22"/>
        </w:rPr>
        <w:footnoteReference w:id="19"/>
      </w:r>
      <w:r w:rsidR="00642BBF">
        <w:rPr>
          <w:szCs w:val="22"/>
        </w:rPr>
        <w:t xml:space="preserve"> </w:t>
      </w:r>
      <w:r w:rsidR="00B872C4">
        <w:rPr>
          <w:szCs w:val="22"/>
        </w:rPr>
        <w:t xml:space="preserve"> </w:t>
      </w:r>
      <w:r w:rsidRPr="00322660">
        <w:rPr>
          <w:szCs w:val="22"/>
        </w:rPr>
        <w:t>The Montana DOJ’s request is supported by the state SECC EAS/IPAWS Committee, a FEMA Integration Team Representative, and the State of Montana DES Communication Coordinator.</w:t>
      </w:r>
      <w:r>
        <w:rPr>
          <w:rStyle w:val="FootnoteReference"/>
          <w:szCs w:val="22"/>
        </w:rPr>
        <w:footnoteReference w:id="20"/>
      </w:r>
    </w:p>
    <w:p w:rsidR="00E45D6B" w:rsidRPr="00544C03" w:rsidP="00544C03" w14:paraId="0ADE82F1" w14:textId="661D8CB2">
      <w:pPr>
        <w:pStyle w:val="ParaNum"/>
        <w:numPr>
          <w:ilvl w:val="0"/>
          <w:numId w:val="2"/>
        </w:numPr>
        <w:tabs>
          <w:tab w:val="clear" w:pos="1080"/>
          <w:tab w:val="num" w:pos="1440"/>
        </w:tabs>
      </w:pPr>
      <w:r w:rsidRPr="493EA7A5">
        <w:t>The Montana DOJ Letter indicates that the purpose of this test is to</w:t>
      </w:r>
      <w:r w:rsidR="00E50636">
        <w:rPr>
          <w:szCs w:val="22"/>
        </w:rPr>
        <w:t xml:space="preserve"> </w:t>
      </w:r>
      <w:r w:rsidRPr="493EA7A5" w:rsidR="00E50636">
        <w:t>increase outreach, awareness, and recognition of National AMBER Alert Day (January 13) and the 20th anniversary of Montana’s AMBER Alert program</w:t>
      </w:r>
      <w:r w:rsidR="00E50636">
        <w:rPr>
          <w:szCs w:val="22"/>
        </w:rPr>
        <w:t>.</w:t>
      </w:r>
      <w:r>
        <w:rPr>
          <w:rStyle w:val="FootnoteReference"/>
        </w:rPr>
        <w:footnoteReference w:id="21"/>
      </w:r>
      <w:r w:rsidR="00E46984">
        <w:rPr>
          <w:szCs w:val="22"/>
        </w:rPr>
        <w:t xml:space="preserve"> </w:t>
      </w:r>
      <w:r w:rsidR="00642BBF">
        <w:rPr>
          <w:szCs w:val="22"/>
        </w:rPr>
        <w:t xml:space="preserve"> </w:t>
      </w:r>
      <w:r w:rsidRPr="493EA7A5" w:rsidR="0029444B">
        <w:t xml:space="preserve">According to the Montana DOJ Letter, since 2003, every child </w:t>
      </w:r>
      <w:r w:rsidR="008F1291">
        <w:t xml:space="preserve">who has been the subject of a </w:t>
      </w:r>
      <w:r w:rsidRPr="493EA7A5" w:rsidR="0029444B">
        <w:t>Montana AMBER Alert has been located</w:t>
      </w:r>
      <w:r w:rsidR="00FF70D9">
        <w:rPr>
          <w:szCs w:val="22"/>
        </w:rPr>
        <w:t>,</w:t>
      </w:r>
      <w:r w:rsidR="0029444B">
        <w:rPr>
          <w:szCs w:val="22"/>
        </w:rPr>
        <w:t xml:space="preserve"> </w:t>
      </w:r>
      <w:r w:rsidRPr="493EA7A5" w:rsidR="00FF70D9">
        <w:t>and t</w:t>
      </w:r>
      <w:r w:rsidRPr="493EA7A5" w:rsidR="0029444B">
        <w:t>he last AMBER Alert was issued in November 2021</w:t>
      </w:r>
      <w:r w:rsidR="00FF70D9">
        <w:rPr>
          <w:szCs w:val="22"/>
        </w:rPr>
        <w:t>.</w:t>
      </w:r>
      <w:r>
        <w:rPr>
          <w:rStyle w:val="FootnoteReference"/>
        </w:rPr>
        <w:footnoteReference w:id="22"/>
      </w:r>
      <w:r w:rsidR="00FF70D9">
        <w:rPr>
          <w:szCs w:val="22"/>
        </w:rPr>
        <w:t xml:space="preserve"> </w:t>
      </w:r>
      <w:r w:rsidR="00D95760">
        <w:rPr>
          <w:szCs w:val="22"/>
        </w:rPr>
        <w:t xml:space="preserve"> </w:t>
      </w:r>
      <w:r w:rsidRPr="493EA7A5" w:rsidR="00FF70D9">
        <w:t>T</w:t>
      </w:r>
      <w:r w:rsidRPr="493EA7A5" w:rsidR="00D95760">
        <w:t>his test will help train newer staff</w:t>
      </w:r>
      <w:r w:rsidRPr="493EA7A5" w:rsidR="00D56B0F">
        <w:t xml:space="preserve"> on how to deliver an AMBER Alert</w:t>
      </w:r>
      <w:r w:rsidRPr="493EA7A5" w:rsidR="00D95760">
        <w:t xml:space="preserve"> and</w:t>
      </w:r>
      <w:r w:rsidRPr="493EA7A5" w:rsidR="00D56B0F">
        <w:t xml:space="preserve"> will</w:t>
      </w:r>
      <w:r w:rsidRPr="493EA7A5" w:rsidR="00D95760">
        <w:t xml:space="preserve"> confirm whether</w:t>
      </w:r>
      <w:r w:rsidRPr="493EA7A5" w:rsidR="00D56B0F">
        <w:t xml:space="preserve"> Montana’s</w:t>
      </w:r>
      <w:r w:rsidRPr="493EA7A5" w:rsidR="00D95760">
        <w:t xml:space="preserve"> alerting technology still works effectively</w:t>
      </w:r>
      <w:r w:rsidR="0029444B">
        <w:rPr>
          <w:szCs w:val="22"/>
        </w:rPr>
        <w:t>.</w:t>
      </w:r>
      <w:r>
        <w:rPr>
          <w:rStyle w:val="FootnoteReference"/>
        </w:rPr>
        <w:footnoteReference w:id="23"/>
      </w:r>
      <w:r w:rsidR="0029444B">
        <w:rPr>
          <w:szCs w:val="22"/>
        </w:rPr>
        <w:t xml:space="preserve">  </w:t>
      </w:r>
      <w:r w:rsidRPr="493EA7A5" w:rsidR="00544C03">
        <w:t>T</w:t>
      </w:r>
      <w:r w:rsidRPr="493EA7A5" w:rsidR="00652087">
        <w:t xml:space="preserve">he Montana DOJ Letter also notes other purposes </w:t>
      </w:r>
      <w:r w:rsidRPr="493EA7A5" w:rsidR="00BB425E">
        <w:t>of</w:t>
      </w:r>
      <w:r w:rsidRPr="00544C03" w:rsidR="00652087">
        <w:rPr>
          <w:szCs w:val="22"/>
        </w:rPr>
        <w:t xml:space="preserve"> </w:t>
      </w:r>
      <w:r w:rsidRPr="493EA7A5" w:rsidR="00BB425E">
        <w:t>this</w:t>
      </w:r>
      <w:r w:rsidRPr="493EA7A5" w:rsidR="00652087">
        <w:t xml:space="preserve"> test:</w:t>
      </w:r>
      <w:r w:rsidR="000C2A4A">
        <w:rPr>
          <w:szCs w:val="22"/>
        </w:rPr>
        <w:t xml:space="preserve"> </w:t>
      </w:r>
      <w:r w:rsidRPr="00544C03" w:rsidR="00652087">
        <w:rPr>
          <w:szCs w:val="22"/>
        </w:rPr>
        <w:t xml:space="preserve"> </w:t>
      </w:r>
      <w:r w:rsidRPr="493EA7A5" w:rsidR="00EA3334">
        <w:t>verify</w:t>
      </w:r>
      <w:r w:rsidRPr="493EA7A5" w:rsidR="53457359">
        <w:t>ing</w:t>
      </w:r>
      <w:r w:rsidRPr="493EA7A5" w:rsidR="00EA3334">
        <w:t xml:space="preserve"> the effectiveness of Montana’s entire AMBER Alert process</w:t>
      </w:r>
      <w:r w:rsidRPr="493EA7A5" w:rsidR="000D166C">
        <w:t>; verify</w:t>
      </w:r>
      <w:r w:rsidRPr="493EA7A5" w:rsidR="13EB042B">
        <w:t>ing</w:t>
      </w:r>
      <w:r w:rsidRPr="493EA7A5" w:rsidR="000D166C">
        <w:t xml:space="preserve"> successful alert</w:t>
      </w:r>
      <w:r w:rsidRPr="493EA7A5" w:rsidR="00BB425E">
        <w:t>s</w:t>
      </w:r>
      <w:r w:rsidRPr="493EA7A5" w:rsidR="000D166C">
        <w:t xml:space="preserve"> processing after major software upgrades </w:t>
      </w:r>
      <w:r w:rsidRPr="493EA7A5" w:rsidR="00D56B0F">
        <w:t xml:space="preserve">were </w:t>
      </w:r>
      <w:r w:rsidRPr="493EA7A5" w:rsidR="000D166C">
        <w:t>completed by the Montana National Weather Service in Great Falls</w:t>
      </w:r>
      <w:r w:rsidRPr="493EA7A5" w:rsidR="00A340F0">
        <w:t>, Montana</w:t>
      </w:r>
      <w:r w:rsidRPr="493EA7A5" w:rsidR="000D166C">
        <w:t>; verify</w:t>
      </w:r>
      <w:r w:rsidRPr="493EA7A5" w:rsidR="2908B15D">
        <w:t>ing</w:t>
      </w:r>
      <w:r w:rsidRPr="493EA7A5" w:rsidR="000D166C">
        <w:t xml:space="preserve"> the distribution of alerts in rural Easter</w:t>
      </w:r>
      <w:r w:rsidR="00C15165">
        <w:t>n</w:t>
      </w:r>
      <w:r w:rsidRPr="493EA7A5" w:rsidR="000D166C">
        <w:t xml:space="preserve"> Montana after reports of carrier issues; verify</w:t>
      </w:r>
      <w:r w:rsidRPr="493EA7A5" w:rsidR="497D1DD5">
        <w:t>ing</w:t>
      </w:r>
      <w:r w:rsidRPr="493EA7A5" w:rsidR="00A340F0">
        <w:t xml:space="preserve"> the distribution of alerts after</w:t>
      </w:r>
      <w:r w:rsidRPr="00544C03" w:rsidR="000D166C">
        <w:rPr>
          <w:szCs w:val="22"/>
        </w:rPr>
        <w:t xml:space="preserve"> </w:t>
      </w:r>
      <w:r w:rsidRPr="493EA7A5" w:rsidR="00D56B0F">
        <w:t xml:space="preserve">the expansion of </w:t>
      </w:r>
      <w:r w:rsidRPr="493EA7A5" w:rsidR="000D166C">
        <w:t>ca</w:t>
      </w:r>
      <w:r w:rsidRPr="493EA7A5" w:rsidR="00D56B0F">
        <w:t xml:space="preserve">rrier </w:t>
      </w:r>
      <w:r w:rsidRPr="493EA7A5" w:rsidR="000D166C">
        <w:t>coverag</w:t>
      </w:r>
      <w:r w:rsidRPr="493EA7A5" w:rsidR="00D56B0F">
        <w:t>e</w:t>
      </w:r>
      <w:r w:rsidRPr="00544C03" w:rsidR="000D166C">
        <w:rPr>
          <w:szCs w:val="22"/>
        </w:rPr>
        <w:t xml:space="preserve">; </w:t>
      </w:r>
      <w:r w:rsidRPr="493EA7A5" w:rsidR="00BB425E">
        <w:t xml:space="preserve">and </w:t>
      </w:r>
      <w:r w:rsidRPr="493EA7A5" w:rsidR="000D166C">
        <w:t>confirm</w:t>
      </w:r>
      <w:r w:rsidRPr="493EA7A5" w:rsidR="2CA4002D">
        <w:t>ing</w:t>
      </w:r>
      <w:r w:rsidRPr="493EA7A5" w:rsidR="00F24267">
        <w:t xml:space="preserve"> the</w:t>
      </w:r>
      <w:r w:rsidRPr="493EA7A5" w:rsidR="00BB425E">
        <w:t xml:space="preserve"> effectiveness of IPAWS solution</w:t>
      </w:r>
      <w:r w:rsidRPr="493EA7A5" w:rsidR="001F054C">
        <w:t>s</w:t>
      </w:r>
      <w:r w:rsidRPr="493EA7A5" w:rsidR="00BB425E">
        <w:t xml:space="preserve"> after enhancements were made to</w:t>
      </w:r>
      <w:r w:rsidRPr="493EA7A5" w:rsidR="000D166C">
        <w:t xml:space="preserve"> CodeRED</w:t>
      </w:r>
      <w:r w:rsidRPr="00544C03" w:rsidR="00BB425E">
        <w:rPr>
          <w:szCs w:val="22"/>
        </w:rPr>
        <w:t>.</w:t>
      </w:r>
      <w:r>
        <w:rPr>
          <w:rStyle w:val="FootnoteReference"/>
        </w:rPr>
        <w:footnoteReference w:id="24"/>
      </w:r>
      <w:r w:rsidRPr="00544C03" w:rsidR="000D166C">
        <w:rPr>
          <w:szCs w:val="22"/>
        </w:rPr>
        <w:t xml:space="preserve"> </w:t>
      </w:r>
      <w:r w:rsidRPr="00544C03" w:rsidR="00322660">
        <w:rPr>
          <w:szCs w:val="22"/>
        </w:rPr>
        <w:t xml:space="preserve"> </w:t>
      </w:r>
      <w:r w:rsidRPr="00544C03" w:rsidR="0023150B">
        <w:rPr>
          <w:szCs w:val="22"/>
        </w:rPr>
        <w:t xml:space="preserve">  </w:t>
      </w:r>
    </w:p>
    <w:p w:rsidR="00D85AEB" w:rsidRPr="00C21E0F" w:rsidP="00ED52BE" w14:paraId="1C08B749" w14:textId="1BA781BA">
      <w:pPr>
        <w:pStyle w:val="ListParagraph"/>
        <w:numPr>
          <w:ilvl w:val="0"/>
          <w:numId w:val="2"/>
        </w:numPr>
        <w:tabs>
          <w:tab w:val="clear" w:pos="1080"/>
        </w:tabs>
        <w:spacing w:after="120"/>
        <w:contextualSpacing w:val="0"/>
        <w:rPr>
          <w:szCs w:val="22"/>
        </w:rPr>
      </w:pPr>
      <w:r>
        <w:rPr>
          <w:szCs w:val="22"/>
        </w:rPr>
        <w:t xml:space="preserve">The Montana DOJ Letter </w:t>
      </w:r>
      <w:r w:rsidR="00D56B0F">
        <w:rPr>
          <w:szCs w:val="22"/>
        </w:rPr>
        <w:t xml:space="preserve">further </w:t>
      </w:r>
      <w:r>
        <w:rPr>
          <w:szCs w:val="22"/>
        </w:rPr>
        <w:t xml:space="preserve">describes </w:t>
      </w:r>
      <w:r w:rsidR="00F24267">
        <w:rPr>
          <w:szCs w:val="22"/>
        </w:rPr>
        <w:t xml:space="preserve">the </w:t>
      </w:r>
      <w:r>
        <w:rPr>
          <w:szCs w:val="22"/>
        </w:rPr>
        <w:t xml:space="preserve">involvement of </w:t>
      </w:r>
      <w:r w:rsidR="00F24267">
        <w:rPr>
          <w:szCs w:val="22"/>
        </w:rPr>
        <w:t>several</w:t>
      </w:r>
      <w:r>
        <w:rPr>
          <w:szCs w:val="22"/>
        </w:rPr>
        <w:t xml:space="preserve"> resources </w:t>
      </w:r>
      <w:r w:rsidR="00F24267">
        <w:rPr>
          <w:szCs w:val="22"/>
        </w:rPr>
        <w:t>to</w:t>
      </w:r>
      <w:r>
        <w:rPr>
          <w:szCs w:val="22"/>
        </w:rPr>
        <w:t xml:space="preserve"> conduct the test</w:t>
      </w:r>
      <w:r w:rsidR="000C2A4A">
        <w:rPr>
          <w:szCs w:val="22"/>
        </w:rPr>
        <w:t>:</w:t>
      </w:r>
      <w:r>
        <w:rPr>
          <w:szCs w:val="22"/>
        </w:rPr>
        <w:t xml:space="preserve">  </w:t>
      </w:r>
      <w:r w:rsidR="000C2A4A">
        <w:rPr>
          <w:szCs w:val="22"/>
        </w:rPr>
        <w:t>the Montana DOJ will develop educational materials for the Montana AMBER Alert program; the Montana DOJ and the Montana Department of Administration will populate the test on its respective websites; the National Weather Service Great Falls will push the test alert to</w:t>
      </w:r>
      <w:r w:rsidR="00D56B0F">
        <w:rPr>
          <w:szCs w:val="22"/>
        </w:rPr>
        <w:t xml:space="preserve"> the</w:t>
      </w:r>
      <w:r w:rsidR="000C2A4A">
        <w:rPr>
          <w:szCs w:val="22"/>
        </w:rPr>
        <w:t xml:space="preserve"> </w:t>
      </w:r>
      <w:r w:rsidRPr="000C2A4A" w:rsidR="000C2A4A">
        <w:rPr>
          <w:szCs w:val="22"/>
        </w:rPr>
        <w:t>National Oceanic and Atmospheric Administration</w:t>
      </w:r>
      <w:r w:rsidR="000C2A4A">
        <w:rPr>
          <w:szCs w:val="22"/>
        </w:rPr>
        <w:t xml:space="preserve"> (NOAA) Weather radio; the Montana Department of Transportation will publish brief test alert messages on road signs and record the test alert on its 511 phone line; the Montana Lottery will use its satellite system to display the AMBER Alert text message on its kiosks and terminals; </w:t>
      </w:r>
      <w:r w:rsidR="00F24267">
        <w:rPr>
          <w:szCs w:val="22"/>
        </w:rPr>
        <w:t xml:space="preserve">and </w:t>
      </w:r>
      <w:r w:rsidR="000C2A4A">
        <w:rPr>
          <w:szCs w:val="22"/>
        </w:rPr>
        <w:t xml:space="preserve">the Montana </w:t>
      </w:r>
      <w:r>
        <w:rPr>
          <w:szCs w:val="22"/>
        </w:rPr>
        <w:t xml:space="preserve">Broadcasters Association </w:t>
      </w:r>
      <w:r w:rsidR="000C2A4A">
        <w:rPr>
          <w:szCs w:val="22"/>
        </w:rPr>
        <w:t>will launch the test alert on TV and radio broadcasts.</w:t>
      </w:r>
      <w:r>
        <w:rPr>
          <w:rStyle w:val="FootnoteReference"/>
          <w:szCs w:val="22"/>
        </w:rPr>
        <w:footnoteReference w:id="25"/>
      </w:r>
      <w:r>
        <w:rPr>
          <w:szCs w:val="22"/>
        </w:rPr>
        <w:t xml:space="preserve">  The</w:t>
      </w:r>
      <w:r w:rsidRPr="00C21E0F" w:rsidR="00335B9C">
        <w:rPr>
          <w:szCs w:val="22"/>
        </w:rPr>
        <w:t xml:space="preserve"> test message will read: “</w:t>
      </w:r>
      <w:r>
        <w:rPr>
          <w:szCs w:val="22"/>
        </w:rPr>
        <w:t xml:space="preserve">THIS IS A </w:t>
      </w:r>
      <w:r w:rsidRPr="00C21E0F" w:rsidR="00CD4410">
        <w:rPr>
          <w:szCs w:val="22"/>
        </w:rPr>
        <w:t>TEST</w:t>
      </w:r>
      <w:r>
        <w:rPr>
          <w:szCs w:val="22"/>
        </w:rPr>
        <w:t xml:space="preserve"> OF THE MONTANA AMBER ALERT SYSTEM – THIS IS ONLY A TEST.”</w:t>
      </w:r>
      <w:r>
        <w:rPr>
          <w:rStyle w:val="FootnoteReference"/>
          <w:szCs w:val="22"/>
        </w:rPr>
        <w:footnoteReference w:id="26"/>
      </w:r>
      <w:r>
        <w:rPr>
          <w:szCs w:val="22"/>
        </w:rPr>
        <w:t xml:space="preserve"> </w:t>
      </w:r>
    </w:p>
    <w:p w:rsidR="007C58A9" w:rsidP="007C58A9" w14:paraId="156C3B65" w14:textId="77777777">
      <w:pPr>
        <w:pStyle w:val="Heading1"/>
      </w:pPr>
      <w:r>
        <w:t>discussion</w:t>
      </w:r>
    </w:p>
    <w:p w:rsidR="00333DDB" w:rsidP="00333DDB" w14:paraId="45ED5FB3" w14:textId="57302C87">
      <w:pPr>
        <w:pStyle w:val="ParaNum"/>
        <w:widowControl/>
        <w:numPr>
          <w:ilvl w:val="0"/>
          <w:numId w:val="2"/>
        </w:numPr>
        <w:tabs>
          <w:tab w:val="clear" w:pos="1080"/>
        </w:tabs>
        <w:rPr>
          <w:szCs w:val="22"/>
        </w:rPr>
      </w:pPr>
      <w:r w:rsidRPr="005F0900">
        <w:rPr>
          <w:szCs w:val="22"/>
        </w:rPr>
        <w:t>A provision of the Commission’s rules “may be waived by the Commission on its own motion or on petition if good cause therefor is shown.”</w:t>
      </w:r>
      <w:r>
        <w:rPr>
          <w:rStyle w:val="FootnoteReference"/>
          <w:sz w:val="22"/>
          <w:szCs w:val="22"/>
        </w:rPr>
        <w:footnoteReference w:id="27"/>
      </w:r>
      <w:r w:rsidRPr="005F0900" w:rsidR="003C14C5">
        <w:rPr>
          <w:szCs w:val="22"/>
        </w:rPr>
        <w:t xml:space="preserve"> </w:t>
      </w:r>
      <w:r w:rsidRPr="005F0900" w:rsidR="004B20F0">
        <w:rPr>
          <w:szCs w:val="22"/>
        </w:rPr>
        <w:t xml:space="preserve"> </w:t>
      </w:r>
      <w:r w:rsidRPr="005F0900">
        <w:rPr>
          <w:szCs w:val="22"/>
        </w:rPr>
        <w:t xml:space="preserve">The Commission may find good cause to extend a waiver, “if special circumstances warrant a deviation from the general rule and such deviation will serve </w:t>
      </w:r>
      <w:r w:rsidRPr="005F0900">
        <w:rPr>
          <w:szCs w:val="22"/>
        </w:rPr>
        <w:t>the public interest.”</w:t>
      </w:r>
      <w:r>
        <w:rPr>
          <w:rStyle w:val="FootnoteReference"/>
          <w:sz w:val="22"/>
          <w:szCs w:val="22"/>
        </w:rPr>
        <w:footnoteReference w:id="28"/>
      </w:r>
      <w:r w:rsidRPr="005F0900">
        <w:rPr>
          <w:szCs w:val="22"/>
        </w:rPr>
        <w:t xml:space="preserve"> </w:t>
      </w:r>
      <w:r w:rsidRPr="005F0900" w:rsidR="003C14C5">
        <w:rPr>
          <w:szCs w:val="22"/>
        </w:rPr>
        <w:t xml:space="preserve"> </w:t>
      </w:r>
      <w:r>
        <w:rPr>
          <w:szCs w:val="22"/>
        </w:rPr>
        <w:t>W</w:t>
      </w:r>
      <w:r w:rsidRPr="00333DDB">
        <w:rPr>
          <w:szCs w:val="22"/>
        </w:rPr>
        <w:t>e</w:t>
      </w:r>
      <w:r>
        <w:rPr>
          <w:szCs w:val="22"/>
        </w:rPr>
        <w:t xml:space="preserve"> conclude that there is</w:t>
      </w:r>
      <w:r w:rsidRPr="00333DDB">
        <w:rPr>
          <w:szCs w:val="22"/>
        </w:rPr>
        <w:t xml:space="preserve"> good cause to grant</w:t>
      </w:r>
      <w:r>
        <w:rPr>
          <w:szCs w:val="22"/>
        </w:rPr>
        <w:t xml:space="preserve"> the Montana DOJ’s</w:t>
      </w:r>
      <w:r w:rsidRPr="00333DDB">
        <w:rPr>
          <w:szCs w:val="22"/>
        </w:rPr>
        <w:t xml:space="preserve"> waiver</w:t>
      </w:r>
      <w:r>
        <w:rPr>
          <w:szCs w:val="22"/>
        </w:rPr>
        <w:t xml:space="preserve"> request for the combined EAS and WEA end-to-end test.</w:t>
      </w:r>
      <w:r w:rsidRPr="00333DDB">
        <w:rPr>
          <w:szCs w:val="22"/>
        </w:rPr>
        <w:t xml:space="preserve"> </w:t>
      </w:r>
    </w:p>
    <w:p w:rsidR="009F3BE3" w:rsidP="00333DDB" w14:paraId="581AEAA6" w14:textId="4FA2ABB7">
      <w:pPr>
        <w:pStyle w:val="ParaNum"/>
        <w:widowControl/>
        <w:numPr>
          <w:ilvl w:val="0"/>
          <w:numId w:val="2"/>
        </w:numPr>
        <w:tabs>
          <w:tab w:val="clear" w:pos="1080"/>
        </w:tabs>
      </w:pPr>
      <w:r>
        <w:t>W</w:t>
      </w:r>
      <w:r w:rsidR="000233F4">
        <w:t>e are persuaded that</w:t>
      </w:r>
      <w:r w:rsidR="001D03CB">
        <w:t xml:space="preserve"> it is in the public interest to</w:t>
      </w:r>
      <w:r w:rsidR="000233F4">
        <w:t xml:space="preserve"> </w:t>
      </w:r>
      <w:r>
        <w:t xml:space="preserve">allow the Montana DOJ </w:t>
      </w:r>
      <w:r w:rsidRPr="0019497C">
        <w:t xml:space="preserve">to evaluate WEA’s performance and test the effectiveness of Montana’s alerting systems </w:t>
      </w:r>
      <w:r w:rsidR="000A3717">
        <w:t xml:space="preserve">by issuing an AMBER Alert.  </w:t>
      </w:r>
      <w:r>
        <w:t xml:space="preserve"> </w:t>
      </w:r>
      <w:r w:rsidR="00294D11">
        <w:t>To date, e</w:t>
      </w:r>
      <w:r w:rsidRPr="493EA7A5" w:rsidR="00294D11">
        <w:t>very child listed in a Montana AMBER Alert has been located</w:t>
      </w:r>
      <w:r w:rsidR="00294D11">
        <w:t>.</w:t>
      </w:r>
      <w:r>
        <w:rPr>
          <w:rStyle w:val="FootnoteReference"/>
        </w:rPr>
        <w:footnoteReference w:id="29"/>
      </w:r>
      <w:r w:rsidR="00294D11">
        <w:t xml:space="preserve">  This test will </w:t>
      </w:r>
      <w:r w:rsidR="00146C39">
        <w:t>help the Montana</w:t>
      </w:r>
      <w:r w:rsidR="004608D7">
        <w:t xml:space="preserve"> </w:t>
      </w:r>
      <w:r w:rsidR="009D4421">
        <w:t>AMBER Alert</w:t>
      </w:r>
      <w:r w:rsidR="00146C39">
        <w:t xml:space="preserve"> program</w:t>
      </w:r>
      <w:r w:rsidR="00D5257E">
        <w:t xml:space="preserve"> to</w:t>
      </w:r>
      <w:r w:rsidR="009D4421">
        <w:t xml:space="preserve"> remain </w:t>
      </w:r>
      <w:r w:rsidR="00146C39">
        <w:t>as effective as possible by allowing the</w:t>
      </w:r>
      <w:r w:rsidR="00E20FE8">
        <w:t xml:space="preserve"> Montana DOJ</w:t>
      </w:r>
      <w:r w:rsidR="00146C39">
        <w:t xml:space="preserve"> to assess </w:t>
      </w:r>
      <w:r w:rsidR="00E20FE8">
        <w:t>whether recent changes to their</w:t>
      </w:r>
      <w:r>
        <w:t xml:space="preserve"> alerting systems </w:t>
      </w:r>
      <w:r w:rsidR="00E20FE8">
        <w:t xml:space="preserve">are working </w:t>
      </w:r>
      <w:r w:rsidR="00036A93">
        <w:t xml:space="preserve">properly and </w:t>
      </w:r>
      <w:r w:rsidR="00ED24CA">
        <w:t xml:space="preserve">to confirm </w:t>
      </w:r>
      <w:r w:rsidR="00190D40">
        <w:t>wireless provider</w:t>
      </w:r>
      <w:r w:rsidR="00036A93">
        <w:t xml:space="preserve"> </w:t>
      </w:r>
      <w:r w:rsidR="00ED24CA">
        <w:t>statements</w:t>
      </w:r>
      <w:r w:rsidR="00190D40">
        <w:t xml:space="preserve"> that they have addressed wireless coverage issues in the rural eastern part of the state.</w:t>
      </w:r>
      <w:r>
        <w:rPr>
          <w:rStyle w:val="FootnoteReference"/>
          <w:szCs w:val="22"/>
        </w:rPr>
        <w:footnoteReference w:id="30"/>
      </w:r>
      <w:r w:rsidR="00190D40">
        <w:t xml:space="preserve">  We </w:t>
      </w:r>
      <w:r w:rsidR="001E7812">
        <w:t xml:space="preserve">also </w:t>
      </w:r>
      <w:r w:rsidR="00190D40">
        <w:t>agree with</w:t>
      </w:r>
      <w:r w:rsidR="007C06BB">
        <w:t xml:space="preserve"> the</w:t>
      </w:r>
      <w:r w:rsidR="00190D40">
        <w:t xml:space="preserve"> Montana</w:t>
      </w:r>
      <w:r w:rsidR="007C06BB">
        <w:t xml:space="preserve"> DOJ</w:t>
      </w:r>
      <w:r w:rsidR="00190D40">
        <w:t xml:space="preserve"> </w:t>
      </w:r>
      <w:r w:rsidR="00A71050">
        <w:t>that this test would promote</w:t>
      </w:r>
      <w:r w:rsidR="00190D40">
        <w:t xml:space="preserve"> effective alert processing in the future by giving </w:t>
      </w:r>
      <w:r>
        <w:t xml:space="preserve">the Montana DOJ’s </w:t>
      </w:r>
      <w:r w:rsidR="008562C7">
        <w:t xml:space="preserve">newer </w:t>
      </w:r>
      <w:r>
        <w:t xml:space="preserve">alert origination </w:t>
      </w:r>
      <w:r w:rsidR="008562C7">
        <w:t>staff</w:t>
      </w:r>
      <w:r>
        <w:t xml:space="preserve"> </w:t>
      </w:r>
      <w:r w:rsidR="00190D40">
        <w:t>an opportunity to train in a real-world scenario</w:t>
      </w:r>
      <w:r w:rsidR="00D95D1D">
        <w:t xml:space="preserve"> and to evaluate WEA’s performance firsthand.</w:t>
      </w:r>
      <w:r>
        <w:rPr>
          <w:rStyle w:val="FootnoteReference"/>
        </w:rPr>
        <w:footnoteReference w:id="31"/>
      </w:r>
      <w:r w:rsidR="008C62F6">
        <w:t xml:space="preserve">  </w:t>
      </w:r>
      <w:r w:rsidRPr="493EA7A5" w:rsidR="00284548">
        <w:t xml:space="preserve">Accordingly, we conclude that </w:t>
      </w:r>
      <w:r w:rsidR="00190D40">
        <w:t xml:space="preserve">this </w:t>
      </w:r>
      <w:r w:rsidRPr="493EA7A5" w:rsidR="00284548">
        <w:t xml:space="preserve">waiver of the Commission’s rules </w:t>
      </w:r>
      <w:r w:rsidR="00190D40">
        <w:t>is warranted</w:t>
      </w:r>
      <w:r w:rsidRPr="493EA7A5" w:rsidR="00284548">
        <w:t>.</w:t>
      </w:r>
      <w:r w:rsidR="00FB287B">
        <w:rPr>
          <w:szCs w:val="22"/>
        </w:rPr>
        <w:t xml:space="preserve"> </w:t>
      </w:r>
    </w:p>
    <w:p w:rsidR="008F5D76" w:rsidRPr="00333DDB" w:rsidP="008F5D76" w14:paraId="31879C22" w14:textId="500E3691">
      <w:pPr>
        <w:pStyle w:val="ParaNum"/>
        <w:widowControl/>
        <w:numPr>
          <w:ilvl w:val="0"/>
          <w:numId w:val="2"/>
        </w:numPr>
        <w:tabs>
          <w:tab w:val="clear" w:pos="1080"/>
        </w:tabs>
        <w:rPr>
          <w:szCs w:val="22"/>
        </w:rPr>
      </w:pPr>
      <w:r>
        <w:rPr>
          <w:szCs w:val="22"/>
        </w:rPr>
        <w:t>No waiver is required to permit the Montana DOJ to conduct their planned EAS test.</w:t>
      </w:r>
      <w:r w:rsidRPr="000B4F12">
        <w:rPr>
          <w:rStyle w:val="FootnoteReference"/>
          <w:szCs w:val="22"/>
        </w:rPr>
        <w:t xml:space="preserve"> </w:t>
      </w:r>
      <w:r>
        <w:rPr>
          <w:rStyle w:val="FootnoteReference"/>
          <w:szCs w:val="22"/>
        </w:rPr>
        <w:footnoteReference w:id="32"/>
      </w:r>
      <w:r>
        <w:rPr>
          <w:rStyle w:val="FootnoteReference"/>
          <w:szCs w:val="22"/>
        </w:rPr>
        <w:t xml:space="preserve"> </w:t>
      </w:r>
      <w:r>
        <w:rPr>
          <w:szCs w:val="22"/>
        </w:rPr>
        <w:t xml:space="preserve"> Our rules permit EAS Participants to participate in two of an entity’s Live Code EAS Tests per calendar year, provided that the entity conducting the test meets certain conditions intended to ensure that the public is aware that the Live Code Test is, in fact, only a test.</w:t>
      </w:r>
      <w:r>
        <w:rPr>
          <w:rStyle w:val="FootnoteReference"/>
          <w:szCs w:val="22"/>
        </w:rPr>
        <w:footnoteReference w:id="33"/>
      </w:r>
      <w:r>
        <w:rPr>
          <w:szCs w:val="22"/>
        </w:rPr>
        <w:t xml:space="preserve">   Montana DOJ’s </w:t>
      </w:r>
      <w:r w:rsidR="00FC34CD">
        <w:rPr>
          <w:szCs w:val="22"/>
        </w:rPr>
        <w:t>scheduled</w:t>
      </w:r>
      <w:r>
        <w:rPr>
          <w:szCs w:val="22"/>
        </w:rPr>
        <w:t xml:space="preserve"> EAS test on January 13, 2023 will be the Montana DOJ’s first Live Code EAS Test of the year.  </w:t>
      </w:r>
      <w:r>
        <w:rPr>
          <w:szCs w:val="22"/>
        </w:rPr>
        <w:t xml:space="preserve">The Montana DOJ states that it will use widely accessible formats to </w:t>
      </w:r>
      <w:r w:rsidRPr="005E1A3D">
        <w:rPr>
          <w:szCs w:val="22"/>
        </w:rPr>
        <w:t>notify the public before the test that live event codes will be used, but that no emergency is, in fact occurring</w:t>
      </w:r>
      <w:r>
        <w:rPr>
          <w:szCs w:val="22"/>
        </w:rPr>
        <w:t>.</w:t>
      </w:r>
      <w:r>
        <w:rPr>
          <w:rStyle w:val="FootnoteReference"/>
          <w:szCs w:val="22"/>
        </w:rPr>
        <w:footnoteReference w:id="34"/>
      </w:r>
      <w:r>
        <w:rPr>
          <w:szCs w:val="22"/>
        </w:rPr>
        <w:t xml:space="preserve">  The Montana DOJ</w:t>
      </w:r>
      <w:r w:rsidRPr="005E1A3D">
        <w:rPr>
          <w:szCs w:val="22"/>
        </w:rPr>
        <w:t xml:space="preserve"> states in the test message that the event is only a test</w:t>
      </w:r>
      <w:r>
        <w:rPr>
          <w:szCs w:val="22"/>
        </w:rPr>
        <w:t xml:space="preserve"> and has</w:t>
      </w:r>
      <w:r w:rsidRPr="005E1A3D">
        <w:rPr>
          <w:szCs w:val="22"/>
        </w:rPr>
        <w:t xml:space="preserve"> coordinate</w:t>
      </w:r>
      <w:r>
        <w:rPr>
          <w:szCs w:val="22"/>
        </w:rPr>
        <w:t>d</w:t>
      </w:r>
      <w:r w:rsidRPr="005E1A3D">
        <w:rPr>
          <w:szCs w:val="22"/>
        </w:rPr>
        <w:t xml:space="preserve"> the test among EAS Participants, state and local emergency authorities, the relevant </w:t>
      </w:r>
      <w:r>
        <w:rPr>
          <w:szCs w:val="22"/>
        </w:rPr>
        <w:t>State Emergency Communications Committees (SECCs)</w:t>
      </w:r>
      <w:r w:rsidRPr="005E1A3D">
        <w:rPr>
          <w:szCs w:val="22"/>
        </w:rPr>
        <w:t>, and first responder organizations</w:t>
      </w:r>
      <w:r>
        <w:rPr>
          <w:szCs w:val="22"/>
        </w:rPr>
        <w:t>.</w:t>
      </w:r>
      <w:r>
        <w:rPr>
          <w:rStyle w:val="FootnoteReference"/>
          <w:szCs w:val="22"/>
        </w:rPr>
        <w:footnoteReference w:id="35"/>
      </w:r>
      <w:r>
        <w:rPr>
          <w:szCs w:val="22"/>
        </w:rPr>
        <w:t xml:space="preserve"> </w:t>
      </w:r>
    </w:p>
    <w:p w:rsidR="00710DD2" w:rsidRPr="005F0900" w:rsidP="00435FFB" w14:paraId="35910EBB" w14:textId="407CC8A1">
      <w:pPr>
        <w:pStyle w:val="ParaNum"/>
        <w:numPr>
          <w:ilvl w:val="0"/>
          <w:numId w:val="2"/>
        </w:numPr>
        <w:tabs>
          <w:tab w:val="clear" w:pos="1080"/>
        </w:tabs>
        <w:rPr>
          <w:szCs w:val="22"/>
        </w:rPr>
      </w:pPr>
      <w:r w:rsidRPr="005F0900">
        <w:rPr>
          <w:szCs w:val="22"/>
        </w:rPr>
        <w:t>We</w:t>
      </w:r>
      <w:r w:rsidR="00EC0286">
        <w:rPr>
          <w:szCs w:val="22"/>
        </w:rPr>
        <w:t xml:space="preserve"> observe, however, that the combined EAS and WEA test would not be in the public interest </w:t>
      </w:r>
      <w:r w:rsidR="00D52EE2">
        <w:rPr>
          <w:szCs w:val="22"/>
        </w:rPr>
        <w:t>if it were presented in a manner that could lead the public to conclude that an actual alert is being transmitted, or would otherwise confuse the public.</w:t>
      </w:r>
      <w:r w:rsidRPr="005F0900">
        <w:rPr>
          <w:szCs w:val="22"/>
        </w:rPr>
        <w:t xml:space="preserve"> </w:t>
      </w:r>
      <w:r w:rsidR="00D52EE2">
        <w:rPr>
          <w:szCs w:val="22"/>
        </w:rPr>
        <w:t xml:space="preserve"> We therefore condition this waiver upon the full implementation of the outreach plan described in the Montana DOJ Letter, including, but not limited to, the publication of the messages in educational materials on official state websites and multi-media public service announcements.  </w:t>
      </w:r>
    </w:p>
    <w:p w:rsidR="007E11CD" w:rsidRPr="007E11CD" w:rsidP="007E11CD" w14:paraId="66F57D66" w14:textId="7C2C7206">
      <w:pPr>
        <w:pStyle w:val="ParaNum"/>
        <w:numPr>
          <w:ilvl w:val="0"/>
          <w:numId w:val="2"/>
        </w:numPr>
        <w:tabs>
          <w:tab w:val="clear" w:pos="1080"/>
        </w:tabs>
        <w:rPr>
          <w:szCs w:val="22"/>
        </w:rPr>
      </w:pPr>
      <w:r w:rsidRPr="005F0900">
        <w:rPr>
          <w:szCs w:val="22"/>
        </w:rPr>
        <w:t xml:space="preserve">We further condition this waiver to require that </w:t>
      </w:r>
      <w:r w:rsidR="00FF6C6F">
        <w:rPr>
          <w:szCs w:val="22"/>
        </w:rPr>
        <w:t>the</w:t>
      </w:r>
      <w:r w:rsidR="00D73CB6">
        <w:rPr>
          <w:szCs w:val="22"/>
        </w:rPr>
        <w:t xml:space="preserve"> </w:t>
      </w:r>
      <w:r w:rsidRPr="005F0900">
        <w:rPr>
          <w:szCs w:val="22"/>
        </w:rPr>
        <w:t xml:space="preserve">test may only be conducted </w:t>
      </w:r>
      <w:r w:rsidRPr="005F0900" w:rsidR="00D17BB3">
        <w:rPr>
          <w:szCs w:val="22"/>
        </w:rPr>
        <w:t xml:space="preserve">at </w:t>
      </w:r>
      <w:r w:rsidRPr="005F0900">
        <w:rPr>
          <w:szCs w:val="22"/>
        </w:rPr>
        <w:t xml:space="preserve">the time and </w:t>
      </w:r>
      <w:r w:rsidRPr="005F0900" w:rsidR="007345B5">
        <w:rPr>
          <w:szCs w:val="22"/>
        </w:rPr>
        <w:t xml:space="preserve">on the </w:t>
      </w:r>
      <w:r w:rsidRPr="005F0900">
        <w:rPr>
          <w:szCs w:val="22"/>
        </w:rPr>
        <w:t xml:space="preserve">date referenced in the </w:t>
      </w:r>
      <w:r w:rsidR="00FF6C6F">
        <w:rPr>
          <w:szCs w:val="22"/>
        </w:rPr>
        <w:t>Montana DOJ</w:t>
      </w:r>
      <w:r w:rsidR="002B7D24">
        <w:rPr>
          <w:szCs w:val="22"/>
        </w:rPr>
        <w:t xml:space="preserve"> </w:t>
      </w:r>
      <w:r w:rsidR="002A41CF">
        <w:rPr>
          <w:szCs w:val="22"/>
        </w:rPr>
        <w:t>Letter and</w:t>
      </w:r>
      <w:r w:rsidRPr="005F0900">
        <w:rPr>
          <w:szCs w:val="22"/>
        </w:rPr>
        <w:t xml:space="preserve"> may only be conducted for the purposes described therein.  Specifically, the waiver is based upon representations that: </w:t>
      </w:r>
    </w:p>
    <w:p w:rsidR="007E11CD" w:rsidRPr="007E11CD" w:rsidP="007E11CD" w14:paraId="23323B60" w14:textId="2A182A3D">
      <w:pPr>
        <w:pStyle w:val="BodyText"/>
        <w:numPr>
          <w:ilvl w:val="1"/>
          <w:numId w:val="7"/>
        </w:numPr>
        <w:tabs>
          <w:tab w:val="left" w:pos="1800"/>
        </w:tabs>
        <w:spacing w:after="240"/>
        <w:ind w:right="620" w:firstLine="0"/>
      </w:pPr>
      <w:r w:rsidRPr="007E11CD">
        <w:t xml:space="preserve">this test is necessary to assess and validate the readiness and effectiveness of the emergency warning system, plans and infrastructure, and ability of participants to </w:t>
      </w:r>
      <w:r w:rsidRPr="007E11CD">
        <w:t>disseminate emergency messages to the public</w:t>
      </w:r>
      <w:r>
        <w:t>;</w:t>
      </w:r>
      <w:r w:rsidRPr="007E11CD">
        <w:t xml:space="preserve"> </w:t>
      </w:r>
    </w:p>
    <w:p w:rsidR="007E11CD" w:rsidRPr="007E11CD" w:rsidP="007E11CD" w14:paraId="034F2C65" w14:textId="77777777">
      <w:pPr>
        <w:pStyle w:val="BodyText"/>
        <w:numPr>
          <w:ilvl w:val="1"/>
          <w:numId w:val="7"/>
        </w:numPr>
        <w:tabs>
          <w:tab w:val="left" w:pos="1800"/>
        </w:tabs>
        <w:spacing w:after="240"/>
        <w:ind w:right="620" w:firstLine="0"/>
      </w:pPr>
      <w:r>
        <w:t>Montana DOJ</w:t>
      </w:r>
      <w:r w:rsidRPr="00ED302C">
        <w:t xml:space="preserve"> will coordinate information about the test with relevant Participating CMS Providers and EAS Participants, </w:t>
      </w:r>
      <w:r w:rsidRPr="00ED302C">
        <w:rPr>
          <w:spacing w:val="-1"/>
        </w:rPr>
        <w:t>including</w:t>
      </w:r>
      <w:r w:rsidRPr="00ED302C">
        <w:rPr>
          <w:spacing w:val="-7"/>
        </w:rPr>
        <w:t xml:space="preserve"> </w:t>
      </w:r>
      <w:r w:rsidRPr="00ED302C">
        <w:t>first</w:t>
      </w:r>
      <w:r w:rsidRPr="00ED302C">
        <w:rPr>
          <w:spacing w:val="-5"/>
        </w:rPr>
        <w:t xml:space="preserve"> </w:t>
      </w:r>
      <w:r w:rsidRPr="00ED302C">
        <w:rPr>
          <w:spacing w:val="-1"/>
        </w:rPr>
        <w:t>responder</w:t>
      </w:r>
      <w:r w:rsidRPr="00ED302C">
        <w:rPr>
          <w:spacing w:val="-6"/>
        </w:rPr>
        <w:t xml:space="preserve"> </w:t>
      </w:r>
      <w:r w:rsidRPr="00ED302C">
        <w:t>organizations</w:t>
      </w:r>
      <w:r w:rsidRPr="00ED302C">
        <w:rPr>
          <w:spacing w:val="-5"/>
        </w:rPr>
        <w:t xml:space="preserve"> </w:t>
      </w:r>
      <w:r w:rsidRPr="00ED302C">
        <w:rPr>
          <w:spacing w:val="-1"/>
        </w:rPr>
        <w:t>such</w:t>
      </w:r>
      <w:r w:rsidRPr="00ED302C">
        <w:rPr>
          <w:spacing w:val="-6"/>
        </w:rPr>
        <w:t xml:space="preserve"> </w:t>
      </w:r>
      <w:r w:rsidRPr="00ED302C">
        <w:rPr>
          <w:spacing w:val="-1"/>
        </w:rPr>
        <w:t>as police</w:t>
      </w:r>
      <w:r w:rsidRPr="00ED302C">
        <w:rPr>
          <w:spacing w:val="-6"/>
        </w:rPr>
        <w:t xml:space="preserve"> </w:t>
      </w:r>
      <w:r w:rsidRPr="00ED302C">
        <w:t>and</w:t>
      </w:r>
      <w:r w:rsidRPr="00ED302C">
        <w:rPr>
          <w:spacing w:val="-5"/>
        </w:rPr>
        <w:t xml:space="preserve"> </w:t>
      </w:r>
      <w:r w:rsidRPr="00ED302C">
        <w:t>fire</w:t>
      </w:r>
      <w:r w:rsidRPr="00ED302C">
        <w:rPr>
          <w:spacing w:val="-4"/>
        </w:rPr>
        <w:t xml:space="preserve"> </w:t>
      </w:r>
      <w:r w:rsidRPr="00ED302C">
        <w:rPr>
          <w:spacing w:val="-1"/>
        </w:rPr>
        <w:t>agencies</w:t>
      </w:r>
      <w:r w:rsidRPr="00ED302C">
        <w:rPr>
          <w:spacing w:val="-6"/>
        </w:rPr>
        <w:t xml:space="preserve"> </w:t>
      </w:r>
      <w:r w:rsidRPr="00ED302C">
        <w:t>and 911 PSAPs,</w:t>
      </w:r>
      <w:r w:rsidRPr="00ED302C">
        <w:rPr>
          <w:spacing w:val="-5"/>
        </w:rPr>
        <w:t xml:space="preserve"> </w:t>
      </w:r>
      <w:r w:rsidRPr="00ED302C">
        <w:t>to</w:t>
      </w:r>
      <w:r w:rsidRPr="00ED302C">
        <w:rPr>
          <w:spacing w:val="-5"/>
        </w:rPr>
        <w:t xml:space="preserve"> </w:t>
      </w:r>
      <w:r w:rsidRPr="00ED302C">
        <w:t>ensure</w:t>
      </w:r>
      <w:r w:rsidRPr="00ED302C">
        <w:rPr>
          <w:spacing w:val="-5"/>
        </w:rPr>
        <w:t xml:space="preserve"> </w:t>
      </w:r>
      <w:r w:rsidRPr="00ED302C">
        <w:rPr>
          <w:spacing w:val="-1"/>
        </w:rPr>
        <w:t>that</w:t>
      </w:r>
      <w:r w:rsidRPr="00ED302C">
        <w:rPr>
          <w:spacing w:val="-4"/>
        </w:rPr>
        <w:t xml:space="preserve"> </w:t>
      </w:r>
      <w:r w:rsidRPr="00ED302C">
        <w:t>they</w:t>
      </w:r>
      <w:r w:rsidRPr="00ED302C">
        <w:rPr>
          <w:spacing w:val="-6"/>
        </w:rPr>
        <w:t xml:space="preserve"> </w:t>
      </w:r>
      <w:r w:rsidRPr="00ED302C">
        <w:t>are</w:t>
      </w:r>
      <w:r w:rsidRPr="00ED302C">
        <w:rPr>
          <w:spacing w:val="-5"/>
        </w:rPr>
        <w:t xml:space="preserve"> </w:t>
      </w:r>
      <w:r w:rsidRPr="00ED302C">
        <w:rPr>
          <w:spacing w:val="-1"/>
        </w:rPr>
        <w:t>aware of th</w:t>
      </w:r>
      <w:r w:rsidRPr="00ED302C">
        <w:t>e</w:t>
      </w:r>
      <w:r w:rsidRPr="00ED302C">
        <w:rPr>
          <w:spacing w:val="-4"/>
        </w:rPr>
        <w:t xml:space="preserve"> </w:t>
      </w:r>
      <w:r w:rsidRPr="00ED302C">
        <w:rPr>
          <w:spacing w:val="-1"/>
        </w:rPr>
        <w:t>test</w:t>
      </w:r>
      <w:r w:rsidRPr="00ED302C">
        <w:rPr>
          <w:spacing w:val="-4"/>
        </w:rPr>
        <w:t xml:space="preserve"> </w:t>
      </w:r>
      <w:r w:rsidRPr="00ED302C">
        <w:t>and</w:t>
      </w:r>
      <w:r w:rsidRPr="00ED302C">
        <w:rPr>
          <w:spacing w:val="-4"/>
        </w:rPr>
        <w:t xml:space="preserve"> </w:t>
      </w:r>
      <w:r w:rsidRPr="00ED302C">
        <w:t>can</w:t>
      </w:r>
      <w:r w:rsidRPr="00ED302C">
        <w:rPr>
          <w:spacing w:val="-4"/>
        </w:rPr>
        <w:t xml:space="preserve"> </w:t>
      </w:r>
      <w:r w:rsidRPr="00ED302C">
        <w:t>confirm</w:t>
      </w:r>
      <w:r w:rsidRPr="00ED302C">
        <w:rPr>
          <w:spacing w:val="-4"/>
        </w:rPr>
        <w:t xml:space="preserve"> </w:t>
      </w:r>
      <w:r w:rsidRPr="00ED302C">
        <w:t>to</w:t>
      </w:r>
      <w:r w:rsidRPr="00ED302C">
        <w:rPr>
          <w:spacing w:val="-4"/>
        </w:rPr>
        <w:t xml:space="preserve"> </w:t>
      </w:r>
      <w:r w:rsidRPr="00ED302C">
        <w:t>the</w:t>
      </w:r>
      <w:r w:rsidRPr="00ED302C">
        <w:rPr>
          <w:spacing w:val="-4"/>
        </w:rPr>
        <w:t xml:space="preserve"> </w:t>
      </w:r>
      <w:r w:rsidRPr="00ED302C">
        <w:rPr>
          <w:spacing w:val="-1"/>
        </w:rPr>
        <w:t>public</w:t>
      </w:r>
      <w:r w:rsidRPr="00ED302C">
        <w:rPr>
          <w:spacing w:val="-3"/>
        </w:rPr>
        <w:t xml:space="preserve"> </w:t>
      </w:r>
      <w:r w:rsidRPr="00ED302C">
        <w:t>that</w:t>
      </w:r>
      <w:r w:rsidRPr="00ED302C">
        <w:rPr>
          <w:spacing w:val="-4"/>
        </w:rPr>
        <w:t xml:space="preserve"> </w:t>
      </w:r>
      <w:r w:rsidRPr="00ED302C">
        <w:t>the</w:t>
      </w:r>
      <w:r w:rsidRPr="00ED302C">
        <w:rPr>
          <w:spacing w:val="-4"/>
        </w:rPr>
        <w:t xml:space="preserve"> EAS and </w:t>
      </w:r>
      <w:r w:rsidRPr="00ED302C">
        <w:rPr>
          <w:spacing w:val="-1"/>
        </w:rPr>
        <w:t>WEA</w:t>
      </w:r>
      <w:r w:rsidRPr="00ED302C">
        <w:rPr>
          <w:spacing w:val="-4"/>
        </w:rPr>
        <w:t xml:space="preserve"> </w:t>
      </w:r>
      <w:r w:rsidRPr="00ED302C">
        <w:t>messages are</w:t>
      </w:r>
      <w:r w:rsidRPr="00ED302C">
        <w:rPr>
          <w:spacing w:val="-4"/>
        </w:rPr>
        <w:t xml:space="preserve"> </w:t>
      </w:r>
      <w:r w:rsidRPr="00ED302C">
        <w:t>a</w:t>
      </w:r>
      <w:r w:rsidRPr="00ED302C">
        <w:rPr>
          <w:spacing w:val="-3"/>
        </w:rPr>
        <w:t xml:space="preserve"> </w:t>
      </w:r>
      <w:r w:rsidRPr="00ED302C">
        <w:rPr>
          <w:spacing w:val="-1"/>
        </w:rPr>
        <w:t>test; and</w:t>
      </w:r>
    </w:p>
    <w:p w:rsidR="00710DD2" w:rsidRPr="007E11CD" w:rsidP="007E11CD" w14:paraId="5A60A02C" w14:textId="0F66C548">
      <w:pPr>
        <w:pStyle w:val="BodyText"/>
        <w:numPr>
          <w:ilvl w:val="1"/>
          <w:numId w:val="7"/>
        </w:numPr>
        <w:tabs>
          <w:tab w:val="left" w:pos="1800"/>
        </w:tabs>
        <w:spacing w:after="240"/>
        <w:ind w:right="620" w:firstLine="0"/>
      </w:pPr>
      <w:r w:rsidRPr="007E11CD">
        <w:t>the WEA test is not intended as a substitute for other scheduled WEA tests.</w:t>
      </w:r>
    </w:p>
    <w:p w:rsidR="009D0AE5" w:rsidP="00435FFB" w14:paraId="47ED9785" w14:textId="35E05C8A">
      <w:pPr>
        <w:pStyle w:val="ParaNum"/>
        <w:numPr>
          <w:ilvl w:val="0"/>
          <w:numId w:val="2"/>
        </w:numPr>
        <w:tabs>
          <w:tab w:val="clear" w:pos="1080"/>
        </w:tabs>
      </w:pPr>
      <w:r w:rsidRPr="005F0900">
        <w:rPr>
          <w:szCs w:val="22"/>
        </w:rPr>
        <w:t>We also require that the test</w:t>
      </w:r>
      <w:r w:rsidR="008A52E3">
        <w:rPr>
          <w:szCs w:val="22"/>
        </w:rPr>
        <w:t>s</w:t>
      </w:r>
      <w:r w:rsidRPr="005F0900">
        <w:rPr>
          <w:szCs w:val="22"/>
        </w:rPr>
        <w:t xml:space="preserve"> and any post-test analysis and reports </w:t>
      </w:r>
      <w:r w:rsidR="00401DD7">
        <w:rPr>
          <w:szCs w:val="22"/>
        </w:rPr>
        <w:t xml:space="preserve">the counties </w:t>
      </w:r>
      <w:r w:rsidRPr="005F0900" w:rsidR="00FD0B1A">
        <w:rPr>
          <w:szCs w:val="22"/>
        </w:rPr>
        <w:t xml:space="preserve">choose to </w:t>
      </w:r>
      <w:r w:rsidRPr="005F0900">
        <w:rPr>
          <w:szCs w:val="22"/>
        </w:rPr>
        <w:t>conduct or cause to be produced, are done in a manner consistent with customers’ expectations of privacy, confidentiality of Participating CMS Providers’ network information, and the overall security of the WEA systems and infrastructure.</w:t>
      </w:r>
      <w:r>
        <w:rPr>
          <w:szCs w:val="22"/>
          <w:vertAlign w:val="superscript"/>
        </w:rPr>
        <w:footnoteReference w:id="36"/>
      </w:r>
      <w:r w:rsidRPr="005F0900">
        <w:rPr>
          <w:szCs w:val="22"/>
        </w:rPr>
        <w:t xml:space="preserve">  We encourage </w:t>
      </w:r>
      <w:r w:rsidR="007E11CD">
        <w:rPr>
          <w:spacing w:val="-4"/>
          <w:szCs w:val="22"/>
        </w:rPr>
        <w:t>the Montana DOJ</w:t>
      </w:r>
      <w:r w:rsidRPr="00ED302C" w:rsidR="007E11CD">
        <w:rPr>
          <w:spacing w:val="-5"/>
          <w:szCs w:val="22"/>
        </w:rPr>
        <w:t xml:space="preserve"> </w:t>
      </w:r>
      <w:r w:rsidRPr="00ED302C" w:rsidR="007E11CD">
        <w:rPr>
          <w:szCs w:val="22"/>
        </w:rPr>
        <w:t>to</w:t>
      </w:r>
      <w:r w:rsidRPr="00ED302C" w:rsidR="007E11CD">
        <w:rPr>
          <w:spacing w:val="-6"/>
          <w:szCs w:val="22"/>
        </w:rPr>
        <w:t xml:space="preserve"> </w:t>
      </w:r>
      <w:r w:rsidRPr="00ED302C" w:rsidR="007E11CD">
        <w:rPr>
          <w:szCs w:val="22"/>
        </w:rPr>
        <w:t>report</w:t>
      </w:r>
      <w:r w:rsidRPr="00ED302C" w:rsidR="007E11CD">
        <w:rPr>
          <w:spacing w:val="-4"/>
          <w:szCs w:val="22"/>
        </w:rPr>
        <w:t xml:space="preserve"> its </w:t>
      </w:r>
      <w:r w:rsidRPr="00ED302C" w:rsidR="007E11CD">
        <w:rPr>
          <w:szCs w:val="22"/>
        </w:rPr>
        <w:t>test</w:t>
      </w:r>
      <w:r w:rsidRPr="00ED302C" w:rsidR="007E11CD">
        <w:rPr>
          <w:spacing w:val="-6"/>
          <w:szCs w:val="22"/>
        </w:rPr>
        <w:t xml:space="preserve"> </w:t>
      </w:r>
      <w:r w:rsidRPr="00ED302C" w:rsidR="007E11CD">
        <w:rPr>
          <w:spacing w:val="-1"/>
          <w:szCs w:val="22"/>
        </w:rPr>
        <w:t>results</w:t>
      </w:r>
      <w:r w:rsidRPr="00ED302C" w:rsidR="007E11CD">
        <w:rPr>
          <w:spacing w:val="-5"/>
          <w:szCs w:val="22"/>
        </w:rPr>
        <w:t xml:space="preserve"> </w:t>
      </w:r>
      <w:r w:rsidRPr="00ED302C" w:rsidR="007E11CD">
        <w:rPr>
          <w:szCs w:val="22"/>
        </w:rPr>
        <w:t>in</w:t>
      </w:r>
      <w:r w:rsidRPr="00ED302C" w:rsidR="007E11CD">
        <w:rPr>
          <w:spacing w:val="-6"/>
          <w:szCs w:val="22"/>
        </w:rPr>
        <w:t xml:space="preserve"> </w:t>
      </w:r>
      <w:r w:rsidRPr="00ED302C" w:rsidR="007E11CD">
        <w:rPr>
          <w:spacing w:val="-1"/>
          <w:szCs w:val="22"/>
        </w:rPr>
        <w:t>electronic</w:t>
      </w:r>
      <w:r w:rsidRPr="00ED302C" w:rsidR="007E11CD">
        <w:rPr>
          <w:spacing w:val="-5"/>
          <w:szCs w:val="22"/>
        </w:rPr>
        <w:t xml:space="preserve"> </w:t>
      </w:r>
      <w:r w:rsidRPr="00ED302C" w:rsidR="007E11CD">
        <w:rPr>
          <w:szCs w:val="22"/>
        </w:rPr>
        <w:t>format</w:t>
      </w:r>
      <w:r w:rsidRPr="00ED302C" w:rsidR="007E11CD">
        <w:rPr>
          <w:spacing w:val="-4"/>
          <w:szCs w:val="22"/>
        </w:rPr>
        <w:t xml:space="preserve"> </w:t>
      </w:r>
      <w:r w:rsidRPr="00ED302C" w:rsidR="007E11CD">
        <w:rPr>
          <w:szCs w:val="22"/>
        </w:rPr>
        <w:t>to</w:t>
      </w:r>
      <w:r w:rsidRPr="00ED302C" w:rsidR="007E11CD">
        <w:rPr>
          <w:spacing w:val="-6"/>
          <w:szCs w:val="22"/>
        </w:rPr>
        <w:t xml:space="preserve"> </w:t>
      </w:r>
      <w:r w:rsidRPr="00ED302C" w:rsidR="007E11CD">
        <w:rPr>
          <w:spacing w:val="-1"/>
          <w:szCs w:val="22"/>
        </w:rPr>
        <w:t xml:space="preserve">the </w:t>
      </w:r>
      <w:r w:rsidRPr="00ED302C" w:rsidR="007E11CD">
        <w:rPr>
          <w:szCs w:val="22"/>
        </w:rPr>
        <w:t xml:space="preserve">Bureau. </w:t>
      </w:r>
      <w:r w:rsidRPr="00ED302C" w:rsidR="007E11CD">
        <w:rPr>
          <w:spacing w:val="48"/>
          <w:szCs w:val="22"/>
        </w:rPr>
        <w:t xml:space="preserve"> </w:t>
      </w:r>
      <w:r w:rsidRPr="00ED302C" w:rsidR="007E11CD">
        <w:rPr>
          <w:spacing w:val="-1"/>
          <w:szCs w:val="22"/>
        </w:rPr>
        <w:t>Finally,</w:t>
      </w:r>
      <w:r w:rsidRPr="00ED302C" w:rsidR="007E11CD">
        <w:rPr>
          <w:spacing w:val="-4"/>
          <w:szCs w:val="22"/>
        </w:rPr>
        <w:t xml:space="preserve"> </w:t>
      </w:r>
      <w:r w:rsidRPr="00ED302C" w:rsidR="007E11CD">
        <w:rPr>
          <w:spacing w:val="-1"/>
          <w:szCs w:val="22"/>
        </w:rPr>
        <w:t>we</w:t>
      </w:r>
      <w:r w:rsidRPr="00ED302C" w:rsidR="007E11CD">
        <w:rPr>
          <w:spacing w:val="-4"/>
          <w:szCs w:val="22"/>
        </w:rPr>
        <w:t xml:space="preserve"> </w:t>
      </w:r>
      <w:r w:rsidRPr="00ED302C" w:rsidR="007E11CD">
        <w:rPr>
          <w:szCs w:val="22"/>
        </w:rPr>
        <w:t>encourage</w:t>
      </w:r>
      <w:r w:rsidRPr="00ED302C" w:rsidR="007E11CD">
        <w:rPr>
          <w:spacing w:val="-4"/>
          <w:szCs w:val="22"/>
        </w:rPr>
        <w:t xml:space="preserve"> </w:t>
      </w:r>
      <w:r w:rsidRPr="00ED302C" w:rsidR="007E11CD">
        <w:rPr>
          <w:spacing w:val="-1"/>
          <w:szCs w:val="22"/>
        </w:rPr>
        <w:t>members</w:t>
      </w:r>
      <w:r w:rsidRPr="00ED302C" w:rsidR="007E11CD">
        <w:rPr>
          <w:spacing w:val="-4"/>
          <w:szCs w:val="22"/>
        </w:rPr>
        <w:t xml:space="preserve"> </w:t>
      </w:r>
      <w:r w:rsidRPr="00ED302C" w:rsidR="007E11CD">
        <w:rPr>
          <w:szCs w:val="22"/>
        </w:rPr>
        <w:t>of</w:t>
      </w:r>
      <w:r w:rsidRPr="00ED302C" w:rsidR="007E11CD">
        <w:rPr>
          <w:spacing w:val="-4"/>
          <w:szCs w:val="22"/>
        </w:rPr>
        <w:t xml:space="preserve"> </w:t>
      </w:r>
      <w:r w:rsidRPr="00ED302C" w:rsidR="007E11CD">
        <w:rPr>
          <w:szCs w:val="22"/>
        </w:rPr>
        <w:t>the</w:t>
      </w:r>
      <w:r w:rsidRPr="00ED302C" w:rsidR="007E11CD">
        <w:rPr>
          <w:spacing w:val="-4"/>
          <w:szCs w:val="22"/>
        </w:rPr>
        <w:t xml:space="preserve"> </w:t>
      </w:r>
      <w:r w:rsidRPr="00ED302C" w:rsidR="007E11CD">
        <w:rPr>
          <w:spacing w:val="-1"/>
          <w:szCs w:val="22"/>
        </w:rPr>
        <w:t>public</w:t>
      </w:r>
      <w:r w:rsidRPr="00ED302C" w:rsidR="007E11CD">
        <w:rPr>
          <w:spacing w:val="-3"/>
          <w:szCs w:val="22"/>
        </w:rPr>
        <w:t xml:space="preserve"> who</w:t>
      </w:r>
      <w:r w:rsidRPr="00ED302C" w:rsidR="007E11CD">
        <w:rPr>
          <w:spacing w:val="-4"/>
          <w:szCs w:val="22"/>
        </w:rPr>
        <w:t xml:space="preserve"> </w:t>
      </w:r>
      <w:r w:rsidR="008602D3">
        <w:rPr>
          <w:szCs w:val="22"/>
        </w:rPr>
        <w:t xml:space="preserve">experience </w:t>
      </w:r>
      <w:r w:rsidR="008602D3">
        <w:rPr>
          <w:spacing w:val="-1"/>
          <w:szCs w:val="22"/>
        </w:rPr>
        <w:t>anomalous WEA test performance</w:t>
      </w:r>
      <w:r w:rsidRPr="00ED302C" w:rsidR="007E11CD">
        <w:rPr>
          <w:spacing w:val="-3"/>
          <w:szCs w:val="22"/>
        </w:rPr>
        <w:t xml:space="preserve"> </w:t>
      </w:r>
      <w:r w:rsidRPr="00ED302C" w:rsidR="007E11CD">
        <w:rPr>
          <w:szCs w:val="22"/>
        </w:rPr>
        <w:t>to</w:t>
      </w:r>
      <w:r w:rsidRPr="00ED302C" w:rsidR="007E11CD">
        <w:rPr>
          <w:spacing w:val="-5"/>
          <w:szCs w:val="22"/>
        </w:rPr>
        <w:t xml:space="preserve"> </w:t>
      </w:r>
      <w:r w:rsidR="008602D3">
        <w:rPr>
          <w:spacing w:val="-5"/>
          <w:szCs w:val="22"/>
        </w:rPr>
        <w:t xml:space="preserve">report their experience to PSHSB </w:t>
      </w:r>
      <w:r w:rsidRPr="00ED302C" w:rsidR="007E11CD">
        <w:rPr>
          <w:szCs w:val="22"/>
        </w:rPr>
        <w:t>by</w:t>
      </w:r>
      <w:r w:rsidRPr="00ED302C" w:rsidR="007E11CD">
        <w:rPr>
          <w:spacing w:val="-4"/>
          <w:szCs w:val="22"/>
        </w:rPr>
        <w:t xml:space="preserve"> </w:t>
      </w:r>
      <w:r w:rsidR="008602D3">
        <w:rPr>
          <w:spacing w:val="-1"/>
          <w:szCs w:val="22"/>
        </w:rPr>
        <w:t>submitting a brief description of the issue to</w:t>
      </w:r>
      <w:r w:rsidRPr="00ED302C" w:rsidR="007E11CD">
        <w:rPr>
          <w:spacing w:val="-7"/>
          <w:szCs w:val="22"/>
        </w:rPr>
        <w:t xml:space="preserve"> </w:t>
      </w:r>
      <w:r w:rsidRPr="00ED302C" w:rsidR="007E11CD">
        <w:rPr>
          <w:szCs w:val="22"/>
        </w:rPr>
        <w:t>the</w:t>
      </w:r>
      <w:r w:rsidRPr="00ED302C" w:rsidR="007E11CD">
        <w:rPr>
          <w:spacing w:val="-8"/>
          <w:szCs w:val="22"/>
        </w:rPr>
        <w:t xml:space="preserve"> </w:t>
      </w:r>
      <w:r w:rsidRPr="00ED302C" w:rsidR="007E11CD">
        <w:rPr>
          <w:spacing w:val="-1"/>
          <w:szCs w:val="22"/>
        </w:rPr>
        <w:t>FCC’s</w:t>
      </w:r>
      <w:r w:rsidRPr="00ED302C" w:rsidR="007E11CD">
        <w:rPr>
          <w:spacing w:val="-7"/>
          <w:szCs w:val="22"/>
        </w:rPr>
        <w:t xml:space="preserve"> </w:t>
      </w:r>
      <w:r w:rsidRPr="00ED302C" w:rsidR="007E11CD">
        <w:rPr>
          <w:spacing w:val="-1"/>
          <w:szCs w:val="22"/>
        </w:rPr>
        <w:t>Public</w:t>
      </w:r>
      <w:r w:rsidRPr="00ED302C" w:rsidR="007E11CD">
        <w:rPr>
          <w:spacing w:val="-7"/>
          <w:szCs w:val="22"/>
        </w:rPr>
        <w:t xml:space="preserve"> </w:t>
      </w:r>
      <w:r w:rsidRPr="00ED302C" w:rsidR="007E11CD">
        <w:rPr>
          <w:spacing w:val="-1"/>
          <w:szCs w:val="22"/>
        </w:rPr>
        <w:t>Safety</w:t>
      </w:r>
      <w:r w:rsidRPr="00ED302C" w:rsidR="007E11CD">
        <w:rPr>
          <w:spacing w:val="-7"/>
          <w:szCs w:val="22"/>
        </w:rPr>
        <w:t xml:space="preserve"> </w:t>
      </w:r>
      <w:r w:rsidRPr="00ED302C" w:rsidR="007E11CD">
        <w:rPr>
          <w:spacing w:val="-1"/>
          <w:szCs w:val="22"/>
        </w:rPr>
        <w:t>Support</w:t>
      </w:r>
      <w:r w:rsidRPr="00ED302C" w:rsidR="007E11CD">
        <w:rPr>
          <w:spacing w:val="-7"/>
          <w:szCs w:val="22"/>
        </w:rPr>
        <w:t xml:space="preserve"> </w:t>
      </w:r>
      <w:r w:rsidRPr="00ED302C" w:rsidR="007E11CD">
        <w:rPr>
          <w:spacing w:val="-1"/>
          <w:szCs w:val="22"/>
        </w:rPr>
        <w:t>Center</w:t>
      </w:r>
      <w:r w:rsidRPr="00ED302C" w:rsidR="007E11CD">
        <w:rPr>
          <w:spacing w:val="-7"/>
          <w:szCs w:val="22"/>
        </w:rPr>
        <w:t xml:space="preserve"> </w:t>
      </w:r>
      <w:r w:rsidRPr="00ED302C" w:rsidR="007E11CD">
        <w:rPr>
          <w:spacing w:val="-1"/>
          <w:szCs w:val="22"/>
        </w:rPr>
        <w:t>at</w:t>
      </w:r>
      <w:r w:rsidRPr="00ED302C" w:rsidR="007E11CD">
        <w:rPr>
          <w:spacing w:val="-7"/>
          <w:szCs w:val="22"/>
        </w:rPr>
        <w:t xml:space="preserve"> </w:t>
      </w:r>
      <w:hyperlink r:id="rId5" w:history="1">
        <w:r w:rsidRPr="00ED302C" w:rsidR="007E11CD">
          <w:rPr>
            <w:color w:val="0000FF"/>
            <w:spacing w:val="-1"/>
            <w:szCs w:val="22"/>
            <w:u w:val="single" w:color="0000FF"/>
          </w:rPr>
          <w:t>https://www.fcc.gov/general/public-safety-</w:t>
        </w:r>
      </w:hyperlink>
      <w:hyperlink r:id="rId5" w:history="1">
        <w:r w:rsidRPr="00ED302C" w:rsidR="007E11CD">
          <w:rPr>
            <w:color w:val="0000FF"/>
            <w:spacing w:val="-1"/>
            <w:szCs w:val="22"/>
            <w:u w:val="single" w:color="0000FF"/>
          </w:rPr>
          <w:t>support-center</w:t>
        </w:r>
      </w:hyperlink>
      <w:r w:rsidR="007E11CD">
        <w:t>.</w:t>
      </w:r>
    </w:p>
    <w:p w:rsidR="007C58A9" w:rsidP="00ED52BE" w14:paraId="00DA9380" w14:textId="77777777">
      <w:pPr>
        <w:pStyle w:val="Heading1"/>
      </w:pPr>
      <w:r>
        <w:t>ordering clause</w:t>
      </w:r>
    </w:p>
    <w:p w:rsidR="00E806F8" w:rsidRPr="00EA020E" w:rsidP="00435FFB" w14:paraId="674EBC21" w14:textId="045080F7">
      <w:pPr>
        <w:pStyle w:val="ParaNum"/>
        <w:numPr>
          <w:ilvl w:val="0"/>
          <w:numId w:val="2"/>
        </w:numPr>
        <w:tabs>
          <w:tab w:val="clear" w:pos="1080"/>
        </w:tabs>
      </w:pPr>
      <w:r>
        <w:t>A</w:t>
      </w:r>
      <w:r w:rsidRPr="007103D1">
        <w:t>ccordingly</w:t>
      </w:r>
      <w:r w:rsidRPr="000C246D">
        <w:t xml:space="preserve">, </w:t>
      </w:r>
      <w:r w:rsidRPr="007E11CD">
        <w:rPr>
          <w:b/>
          <w:bCs/>
        </w:rPr>
        <w:t>IT IS ORDERED</w:t>
      </w:r>
      <w:r w:rsidRPr="000C246D">
        <w:t xml:space="preserve"> that, pursuant to Section 4(i) of the Communications Act of 1934, as amended, 47 U.S.C. § 154(i</w:t>
      </w:r>
      <w:r w:rsidRPr="00C82028">
        <w:t xml:space="preserve">), and Section 1.3 of the Commission’s rules, 47 CFR § 1.3, Sections 10.400, 10.520(d), 10.530(b), and 11.45 of the Commission’s rules, 47 CFR §§ 10.400, 10.520(d), 10.530(b), and 11.45 of the Commission’s rules, </w:t>
      </w:r>
      <w:r w:rsidRPr="007E11CD">
        <w:rPr>
          <w:b/>
          <w:bCs/>
        </w:rPr>
        <w:t>ARE WAIVED</w:t>
      </w:r>
      <w:r w:rsidRPr="000C246D">
        <w:t>, to allow a one-time test of WEA</w:t>
      </w:r>
      <w:r w:rsidRPr="00C82028">
        <w:t xml:space="preserve"> in</w:t>
      </w:r>
      <w:r w:rsidR="007E11CD">
        <w:t xml:space="preserve"> the State of Montana; which test must be conducted subject to the conditions described herein, on January 13, 2023.  </w:t>
      </w:r>
      <w:r w:rsidRPr="00944C92">
        <w:t>This action is taken under</w:t>
      </w:r>
      <w:r w:rsidRPr="000C246D">
        <w:t xml:space="preserve"> delegated authority </w:t>
      </w:r>
      <w:r w:rsidRPr="00C82028">
        <w:t>pursuant to Sections 0.191 and 0.392 of the Commission’s rules, 47 CFR §§ 0.191 and 0.392.</w:t>
      </w:r>
    </w:p>
    <w:p w:rsidR="007551E7" w:rsidP="007551E7" w14:paraId="52943C77" w14:textId="77777777">
      <w:pPr>
        <w:pStyle w:val="ParaNum"/>
      </w:pPr>
    </w:p>
    <w:p w:rsidR="007551E7" w:rsidRPr="00436ED9" w:rsidP="007551E7" w14:paraId="1BE09273" w14:textId="77777777">
      <w:pPr>
        <w:pStyle w:val="BodyText"/>
        <w:keepNext/>
        <w:widowControl/>
        <w:spacing w:before="154"/>
        <w:ind w:left="3577" w:firstLine="720"/>
      </w:pPr>
      <w:r w:rsidRPr="00436ED9">
        <w:rPr>
          <w:spacing w:val="-1"/>
        </w:rPr>
        <w:t>FEDERAL</w:t>
      </w:r>
      <w:r w:rsidRPr="00436ED9">
        <w:t xml:space="preserve"> </w:t>
      </w:r>
      <w:r w:rsidRPr="00436ED9">
        <w:rPr>
          <w:spacing w:val="-1"/>
        </w:rPr>
        <w:t>COMMUNICATIONS</w:t>
      </w:r>
      <w:r w:rsidRPr="00436ED9">
        <w:t xml:space="preserve"> </w:t>
      </w:r>
      <w:r w:rsidRPr="00436ED9">
        <w:rPr>
          <w:spacing w:val="-1"/>
        </w:rPr>
        <w:t>COMMISSION</w:t>
      </w:r>
    </w:p>
    <w:p w:rsidR="007551E7" w:rsidRPr="00436ED9" w:rsidP="007551E7" w14:paraId="115F0ADD" w14:textId="77777777">
      <w:pPr>
        <w:keepNext/>
        <w:widowControl/>
        <w:rPr>
          <w:szCs w:val="22"/>
        </w:rPr>
      </w:pPr>
    </w:p>
    <w:p w:rsidR="007551E7" w:rsidRPr="00436ED9" w:rsidP="007551E7" w14:paraId="063085E6" w14:textId="77777777">
      <w:pPr>
        <w:keepNext/>
        <w:widowControl/>
        <w:rPr>
          <w:szCs w:val="22"/>
        </w:rPr>
      </w:pPr>
    </w:p>
    <w:p w:rsidR="007551E7" w:rsidRPr="00436ED9" w:rsidP="007551E7" w14:paraId="0E8D7238" w14:textId="77777777">
      <w:pPr>
        <w:rPr>
          <w:szCs w:val="22"/>
        </w:rPr>
      </w:pPr>
    </w:p>
    <w:p w:rsidR="007551E7" w:rsidRPr="00436ED9" w:rsidP="007551E7" w14:paraId="63638185" w14:textId="77777777">
      <w:pPr>
        <w:spacing w:before="2"/>
        <w:rPr>
          <w:szCs w:val="22"/>
        </w:rPr>
      </w:pPr>
    </w:p>
    <w:p w:rsidR="007551E7" w:rsidRPr="00436ED9" w:rsidP="007551E7" w14:paraId="7B6CA77A" w14:textId="77777777">
      <w:pPr>
        <w:pStyle w:val="BodyText"/>
        <w:ind w:left="4297" w:right="3533"/>
        <w:jc w:val="center"/>
      </w:pPr>
      <w:bookmarkStart w:id="3" w:name="sp_999_4"/>
      <w:bookmarkStart w:id="4" w:name="SDU_4"/>
      <w:bookmarkEnd w:id="3"/>
      <w:bookmarkEnd w:id="4"/>
      <w:r>
        <w:t>Nicole McGinnis</w:t>
      </w:r>
    </w:p>
    <w:p w:rsidR="007551E7" w:rsidP="007551E7" w14:paraId="1261DD32" w14:textId="77777777">
      <w:pPr>
        <w:pStyle w:val="BodyText"/>
        <w:ind w:left="4680" w:right="271" w:hanging="360"/>
        <w:rPr>
          <w:spacing w:val="-7"/>
        </w:rPr>
      </w:pPr>
      <w:r>
        <w:t xml:space="preserve">Deputy </w:t>
      </w:r>
      <w:r w:rsidRPr="00436ED9" w:rsidR="00BB09CB">
        <w:t>Chief</w:t>
      </w:r>
      <w:r w:rsidRPr="00436ED9" w:rsidR="00BB09CB">
        <w:rPr>
          <w:spacing w:val="-7"/>
        </w:rPr>
        <w:t xml:space="preserve"> </w:t>
      </w:r>
    </w:p>
    <w:p w:rsidR="007551E7" w:rsidP="007551E7" w14:paraId="4F6F93F7" w14:textId="77777777">
      <w:pPr>
        <w:pStyle w:val="BodyText"/>
        <w:ind w:left="4680" w:right="271" w:hanging="360"/>
      </w:pPr>
      <w:r w:rsidRPr="00436ED9">
        <w:rPr>
          <w:spacing w:val="-1"/>
        </w:rPr>
        <w:t>Public</w:t>
      </w:r>
      <w:r w:rsidRPr="00436ED9">
        <w:rPr>
          <w:spacing w:val="-7"/>
        </w:rPr>
        <w:t xml:space="preserve"> </w:t>
      </w:r>
      <w:r w:rsidRPr="00436ED9">
        <w:rPr>
          <w:spacing w:val="-1"/>
        </w:rPr>
        <w:t>Safety</w:t>
      </w:r>
      <w:r w:rsidRPr="00436ED9">
        <w:rPr>
          <w:spacing w:val="-7"/>
        </w:rPr>
        <w:t xml:space="preserve"> </w:t>
      </w:r>
      <w:r w:rsidRPr="00436ED9">
        <w:t>and</w:t>
      </w:r>
      <w:r w:rsidRPr="00436ED9">
        <w:rPr>
          <w:spacing w:val="-8"/>
        </w:rPr>
        <w:t xml:space="preserve"> </w:t>
      </w:r>
      <w:r w:rsidRPr="00436ED9">
        <w:rPr>
          <w:spacing w:val="-1"/>
        </w:rPr>
        <w:t>Homeland</w:t>
      </w:r>
      <w:r w:rsidRPr="00436ED9">
        <w:rPr>
          <w:spacing w:val="-8"/>
        </w:rPr>
        <w:t xml:space="preserve"> </w:t>
      </w:r>
      <w:r w:rsidRPr="00436ED9">
        <w:rPr>
          <w:spacing w:val="-1"/>
        </w:rPr>
        <w:t>Security</w:t>
      </w:r>
      <w:r w:rsidRPr="00436ED9">
        <w:rPr>
          <w:spacing w:val="-8"/>
        </w:rPr>
        <w:t xml:space="preserve"> </w:t>
      </w:r>
      <w:r w:rsidRPr="00436ED9">
        <w:t>Bureau</w:t>
      </w:r>
    </w:p>
    <w:p w:rsidR="007551E7" w:rsidRPr="007551E7" w:rsidP="007551E7" w14:paraId="068C4B8B" w14:textId="77777777">
      <w:pPr>
        <w:pStyle w:val="BodyText"/>
        <w:ind w:left="4680" w:right="271" w:hanging="360"/>
      </w:pPr>
      <w:r w:rsidRPr="00436ED9">
        <w:rPr>
          <w:spacing w:val="-1"/>
        </w:rPr>
        <w:t>Federal</w:t>
      </w:r>
      <w:r w:rsidRPr="00436ED9">
        <w:rPr>
          <w:spacing w:val="-15"/>
        </w:rPr>
        <w:t xml:space="preserve"> </w:t>
      </w:r>
      <w:r w:rsidRPr="00436ED9">
        <w:rPr>
          <w:spacing w:val="-1"/>
        </w:rPr>
        <w:t>Communications</w:t>
      </w:r>
      <w:r w:rsidRPr="00436ED9">
        <w:rPr>
          <w:spacing w:val="-15"/>
        </w:rPr>
        <w:t xml:space="preserve"> </w:t>
      </w:r>
      <w:r w:rsidRPr="00436ED9">
        <w:rPr>
          <w:spacing w:val="-1"/>
        </w:rPr>
        <w:t>Commission</w:t>
      </w:r>
      <w:bookmarkEnd w:id="0"/>
    </w:p>
    <w:sectPr w:rsidSect="0055614C">
      <w:headerReference w:type="even" r:id="rId6"/>
      <w:headerReference w:type="default" r:id="rId7"/>
      <w:footerReference w:type="even" r:id="rId8"/>
      <w:footerReference w:type="default" r:id="rId9"/>
      <w:headerReference w:type="first" r:id="rId10"/>
      <w:footerReference w:type="first" r:id="rId11"/>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4D7F082C" w14:textId="77777777">
    <w:pPr>
      <w:pStyle w:val="Footer"/>
      <w:framePr w:wrap="around" w:vAnchor="text" w:hAnchor="margin" w:xAlign="center" w:y="1"/>
    </w:pPr>
    <w:r>
      <w:fldChar w:fldCharType="begin"/>
    </w:r>
    <w:r>
      <w:instrText xml:space="preserve">PAGE  </w:instrText>
    </w:r>
    <w:r w:rsidR="00000000">
      <w:fldChar w:fldCharType="separate"/>
    </w:r>
    <w:r>
      <w:fldChar w:fldCharType="end"/>
    </w:r>
  </w:p>
  <w:p w:rsidR="00D25FB5" w14:paraId="1D694F0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765ECA" w14:paraId="4964B799" w14:textId="0F0DD8FD">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6A2672" w14:paraId="489C3B28" w14:textId="77777777">
    <w:pPr>
      <w:pStyle w:val="Footer"/>
      <w:tabs>
        <w:tab w:val="clear" w:pos="8640"/>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87AEB" w14:paraId="5ED2808A" w14:textId="77777777">
      <w:r>
        <w:separator/>
      </w:r>
    </w:p>
  </w:footnote>
  <w:footnote w:type="continuationSeparator" w:id="1">
    <w:p w:rsidR="00087AEB" w:rsidP="00C721AC" w14:paraId="4F78075D" w14:textId="77777777">
      <w:pPr>
        <w:spacing w:before="120"/>
        <w:rPr>
          <w:sz w:val="20"/>
        </w:rPr>
      </w:pPr>
      <w:r>
        <w:rPr>
          <w:sz w:val="20"/>
        </w:rPr>
        <w:t xml:space="preserve">(Continued from previous page)  </w:t>
      </w:r>
      <w:r>
        <w:rPr>
          <w:sz w:val="20"/>
        </w:rPr>
        <w:separator/>
      </w:r>
    </w:p>
  </w:footnote>
  <w:footnote w:type="continuationNotice" w:id="2">
    <w:p w:rsidR="00087AEB" w:rsidP="00C721AC" w14:paraId="2CB066AC" w14:textId="77777777">
      <w:pPr>
        <w:jc w:val="right"/>
        <w:rPr>
          <w:sz w:val="20"/>
        </w:rPr>
      </w:pPr>
      <w:r>
        <w:rPr>
          <w:sz w:val="20"/>
        </w:rPr>
        <w:t>(continued….)</w:t>
      </w:r>
    </w:p>
  </w:footnote>
  <w:footnote w:id="3">
    <w:p w:rsidR="006E4617" w:rsidRPr="009E5D78" w14:paraId="09806F96" w14:textId="39FB9475">
      <w:pPr>
        <w:pStyle w:val="FootnoteText"/>
      </w:pPr>
      <w:r w:rsidRPr="009E5D78">
        <w:rPr>
          <w:rStyle w:val="FootnoteReference"/>
        </w:rPr>
        <w:footnoteRef/>
      </w:r>
      <w:r w:rsidRPr="009E5D78">
        <w:t xml:space="preserve"> </w:t>
      </w:r>
      <w:r w:rsidRPr="00DD6CD1">
        <w:rPr>
          <w:i/>
          <w:iCs/>
        </w:rPr>
        <w:t>See</w:t>
      </w:r>
      <w:r w:rsidRPr="00DD6CD1">
        <w:t xml:space="preserve"> Letter from </w:t>
      </w:r>
      <w:r w:rsidRPr="00DD6CD1" w:rsidR="00BB6483">
        <w:t>Jennifer Viets, Montana AMBER Alert Coordinator, Montana Department of Justice, and Dewey Bruce, President/CEO, Montana Broadcasters Association, to</w:t>
      </w:r>
      <w:r w:rsidRPr="00DD6CD1">
        <w:t xml:space="preserve"> </w:t>
      </w:r>
      <w:r w:rsidRPr="00DD6CD1" w:rsidR="00BB6483">
        <w:t>Debra Jordan</w:t>
      </w:r>
      <w:r w:rsidRPr="00DD6CD1">
        <w:t xml:space="preserve">, </w:t>
      </w:r>
      <w:r w:rsidRPr="00DD6CD1" w:rsidR="00BB6483">
        <w:t>Chief</w:t>
      </w:r>
      <w:r w:rsidRPr="00DD6CD1">
        <w:t xml:space="preserve">, </w:t>
      </w:r>
      <w:r w:rsidRPr="00DD6CD1" w:rsidR="00BB6483">
        <w:t xml:space="preserve">Public Safety &amp; Homeland Security Bureau, </w:t>
      </w:r>
      <w:r w:rsidRPr="00DD6CD1">
        <w:t>Federal Communications Commission (</w:t>
      </w:r>
      <w:r w:rsidRPr="00DD6CD1" w:rsidR="00DD6CD1">
        <w:t>Dec</w:t>
      </w:r>
      <w:r w:rsidR="0095473E">
        <w:t>.</w:t>
      </w:r>
      <w:r w:rsidRPr="00DD6CD1" w:rsidR="00DD6CD1">
        <w:t xml:space="preserve"> </w:t>
      </w:r>
      <w:r w:rsidRPr="00DD6CD1" w:rsidR="00D13D2B">
        <w:t>1</w:t>
      </w:r>
      <w:r w:rsidRPr="00DD6CD1" w:rsidR="00DD6CD1">
        <w:t>2</w:t>
      </w:r>
      <w:r w:rsidRPr="00DD6CD1" w:rsidR="00D13D2B">
        <w:t xml:space="preserve">, </w:t>
      </w:r>
      <w:r w:rsidRPr="00DD6CD1">
        <w:t>2022) (on file in PS Docket No. 15-91) (</w:t>
      </w:r>
      <w:r w:rsidRPr="00DD6CD1" w:rsidR="007950B9">
        <w:t xml:space="preserve">Montana DOJ </w:t>
      </w:r>
      <w:r w:rsidRPr="00DD6CD1" w:rsidR="00DA2386">
        <w:t>Letter</w:t>
      </w:r>
      <w:r w:rsidRPr="00DD6CD1">
        <w:t>)</w:t>
      </w:r>
      <w:r w:rsidRPr="00DD6CD1" w:rsidR="00C2526C">
        <w:t>.</w:t>
      </w:r>
    </w:p>
  </w:footnote>
  <w:footnote w:id="4">
    <w:p w:rsidR="00991383" w14:paraId="73DB6114" w14:textId="44FEF726">
      <w:pPr>
        <w:pStyle w:val="FootnoteText"/>
      </w:pPr>
      <w:r>
        <w:rPr>
          <w:rStyle w:val="FootnoteReference"/>
        </w:rPr>
        <w:footnoteRef/>
      </w:r>
      <w:r>
        <w:t xml:space="preserve"> </w:t>
      </w:r>
      <w:r w:rsidRPr="009E5D78">
        <w:t xml:space="preserve">Participating CMS Providers are commercial mobile service providers that have elected voluntarily to transmit WEA alert messages.  47 CFR §§ 10.10(d), (f).  The WEA rules are set forth in Part 10 of the Commission’s rules.  </w:t>
      </w:r>
      <w:r w:rsidRPr="009E5D78">
        <w:rPr>
          <w:i/>
          <w:iCs/>
        </w:rPr>
        <w:t xml:space="preserve">See generally </w:t>
      </w:r>
      <w:r w:rsidRPr="009E5D78">
        <w:t xml:space="preserve">47 CFR § 10.1, </w:t>
      </w:r>
      <w:r w:rsidRPr="009E5D78">
        <w:rPr>
          <w:i/>
          <w:iCs/>
        </w:rPr>
        <w:t>et seq.</w:t>
      </w:r>
    </w:p>
  </w:footnote>
  <w:footnote w:id="5">
    <w:p w:rsidR="00E45D6B" w14:paraId="1BDC3190" w14:textId="501C8865">
      <w:pPr>
        <w:pStyle w:val="FootnoteText"/>
      </w:pPr>
      <w:r>
        <w:rPr>
          <w:rStyle w:val="FootnoteReference"/>
        </w:rPr>
        <w:footnoteRef/>
      </w:r>
      <w:r>
        <w:t xml:space="preserve"> Montana DOJ Letter at 2.</w:t>
      </w:r>
    </w:p>
  </w:footnote>
  <w:footnote w:id="6">
    <w:p w:rsidR="005F70CE" w14:paraId="2424C558" w14:textId="079991A0">
      <w:pPr>
        <w:pStyle w:val="FootnoteText"/>
      </w:pPr>
      <w:r>
        <w:rPr>
          <w:rStyle w:val="FootnoteReference"/>
        </w:rPr>
        <w:footnoteRef/>
      </w:r>
      <w:r>
        <w:t xml:space="preserve"> </w:t>
      </w:r>
      <w:r w:rsidRPr="005F70CE">
        <w:rPr>
          <w:i/>
          <w:iCs/>
        </w:rPr>
        <w:t>See</w:t>
      </w:r>
      <w:r>
        <w:t xml:space="preserve"> 47 CFR </w:t>
      </w:r>
      <w:r w:rsidRPr="009E5D78">
        <w:t>§</w:t>
      </w:r>
      <w:r w:rsidRPr="00F02B3C" w:rsidR="009E2493">
        <w:rPr>
          <w:szCs w:val="22"/>
        </w:rPr>
        <w:t>§</w:t>
      </w:r>
      <w:r>
        <w:t xml:space="preserve"> 10.400(c)</w:t>
      </w:r>
      <w:r w:rsidR="009E2493">
        <w:t>, 11.31</w:t>
      </w:r>
      <w:r>
        <w:t>.</w:t>
      </w:r>
    </w:p>
  </w:footnote>
  <w:footnote w:id="7">
    <w:p w:rsidR="00223F53" w:rsidP="00223F53" w14:paraId="3C72A76F" w14:textId="77777777">
      <w:pPr>
        <w:pStyle w:val="FootnoteText"/>
      </w:pPr>
      <w:r>
        <w:rPr>
          <w:rStyle w:val="FootnoteReference"/>
        </w:rPr>
        <w:footnoteRef/>
      </w:r>
      <w:r>
        <w:t xml:space="preserve"> </w:t>
      </w:r>
      <w:r w:rsidRPr="00CB4626">
        <w:t>47 CFR § 11.1</w:t>
      </w:r>
      <w:r>
        <w:t>,</w:t>
      </w:r>
      <w:r w:rsidRPr="00CB4626">
        <w:t xml:space="preserve"> </w:t>
      </w:r>
      <w:r w:rsidRPr="00CB4626">
        <w:rPr>
          <w:i/>
          <w:iCs/>
        </w:rPr>
        <w:t>et seq</w:t>
      </w:r>
      <w:r w:rsidRPr="00CB4626">
        <w:t xml:space="preserve">.  </w:t>
      </w:r>
      <w:r w:rsidRPr="00CB4626">
        <w:rPr>
          <w:i/>
          <w:iCs/>
        </w:rPr>
        <w:t>See also Review of the Emergency Alert System</w:t>
      </w:r>
      <w:r w:rsidRPr="00CB4626">
        <w:t>, EB Docket No. 04-296, Sixth Report and Order, 30 FCC Rcd 6520 (2015).</w:t>
      </w:r>
    </w:p>
  </w:footnote>
  <w:footnote w:id="8">
    <w:p w:rsidR="003D3B31" w14:paraId="2763F407" w14:textId="3DFDD3BE">
      <w:pPr>
        <w:pStyle w:val="FootnoteText"/>
      </w:pPr>
      <w:r>
        <w:rPr>
          <w:rStyle w:val="FootnoteReference"/>
        </w:rPr>
        <w:footnoteRef/>
      </w:r>
      <w:r>
        <w:t xml:space="preserve"> </w:t>
      </w:r>
      <w:r w:rsidRPr="008A3CDB">
        <w:t xml:space="preserve">47 CFR § 11.55(a); </w:t>
      </w:r>
      <w:r w:rsidRPr="008A3CDB">
        <w:rPr>
          <w:i/>
          <w:iCs/>
        </w:rPr>
        <w:t>First Report and Order</w:t>
      </w:r>
      <w:r w:rsidRPr="008A3CDB">
        <w:t xml:space="preserve">, 20 FCC Rcd at 18628, para. 8.  While EAS Participants are required to broadcast Presidential Alerts, they participate in broadcasting state and local EAS alerts on a voluntary basis.  </w:t>
      </w:r>
      <w:r w:rsidRPr="008A3CDB">
        <w:rPr>
          <w:i/>
          <w:iCs/>
        </w:rPr>
        <w:t>Id</w:t>
      </w:r>
      <w:r w:rsidRPr="008A3CDB">
        <w:t>.</w:t>
      </w:r>
    </w:p>
  </w:footnote>
  <w:footnote w:id="9">
    <w:p w:rsidR="00DD6BA1" w14:paraId="137AF0F9" w14:textId="5B52CCC6">
      <w:pPr>
        <w:pStyle w:val="FootnoteText"/>
      </w:pPr>
      <w:r>
        <w:rPr>
          <w:rStyle w:val="FootnoteReference"/>
        </w:rPr>
        <w:footnoteRef/>
      </w:r>
      <w:r>
        <w:t xml:space="preserve"> </w:t>
      </w:r>
      <w:r w:rsidRPr="0078585D">
        <w:rPr>
          <w:i/>
          <w:iCs/>
        </w:rPr>
        <w:t>See</w:t>
      </w:r>
      <w:r w:rsidRPr="0078585D">
        <w:t xml:space="preserve"> Communications Security, Reliability and Interoperability Council IV, Working Group Three, Emergency Alert System, State EAS Plans Subcommittee, Final Report at 14 (March 2014), </w:t>
      </w:r>
      <w:hyperlink r:id="rId1" w:history="1">
        <w:r w:rsidRPr="009C3B09">
          <w:rPr>
            <w:rStyle w:val="Hyperlink"/>
          </w:rPr>
          <w:t>https://transition.fcc.gov/pshs/advisory/csric4/CSRIC_IV_WG3_EAS_Plans_Final_Report_032514.pdf</w:t>
        </w:r>
      </w:hyperlink>
      <w:r>
        <w:t xml:space="preserve"> </w:t>
      </w:r>
      <w:r w:rsidRPr="0078585D">
        <w:t>(CSRIC EAS State Plan Report).</w:t>
      </w:r>
    </w:p>
  </w:footnote>
  <w:footnote w:id="10">
    <w:p w:rsidR="00A636B1" w14:paraId="36099C7D" w14:textId="67A772CC">
      <w:pPr>
        <w:pStyle w:val="FootnoteText"/>
      </w:pPr>
      <w:r>
        <w:rPr>
          <w:rStyle w:val="FootnoteReference"/>
        </w:rPr>
        <w:footnoteRef/>
      </w:r>
      <w:r>
        <w:t xml:space="preserve"> </w:t>
      </w:r>
      <w:r w:rsidR="00A8567E">
        <w:t xml:space="preserve">47 CFR </w:t>
      </w:r>
      <w:r w:rsidRPr="008A3CDB" w:rsidR="00A8567E">
        <w:t>§</w:t>
      </w:r>
      <w:r w:rsidR="00A8567E">
        <w:t xml:space="preserve"> 11.61.</w:t>
      </w:r>
    </w:p>
  </w:footnote>
  <w:footnote w:id="11">
    <w:p w:rsidR="00A8567E" w14:paraId="290511EB" w14:textId="45AE256D">
      <w:pPr>
        <w:pStyle w:val="FootnoteText"/>
      </w:pPr>
      <w:r>
        <w:rPr>
          <w:rStyle w:val="FootnoteReference"/>
        </w:rPr>
        <w:footnoteRef/>
      </w:r>
      <w:r>
        <w:t xml:space="preserve"> </w:t>
      </w:r>
      <w:r w:rsidR="00937409">
        <w:t xml:space="preserve">47 CFR </w:t>
      </w:r>
      <w:r w:rsidRPr="008A3CDB" w:rsidR="00937409">
        <w:t>§§</w:t>
      </w:r>
      <w:r w:rsidR="00937409">
        <w:t xml:space="preserve"> 11.45, 11.46.</w:t>
      </w:r>
    </w:p>
  </w:footnote>
  <w:footnote w:id="12">
    <w:p w:rsidR="000E0382" w14:paraId="5D8E72A7" w14:textId="0C44B6AC">
      <w:pPr>
        <w:pStyle w:val="FootnoteText"/>
      </w:pPr>
      <w:r>
        <w:rPr>
          <w:rStyle w:val="FootnoteReference"/>
        </w:rPr>
        <w:footnoteRef/>
      </w:r>
      <w:r>
        <w:t xml:space="preserve"> </w:t>
      </w:r>
      <w:r w:rsidRPr="000E0382">
        <w:t>47 CFR § 11.61</w:t>
      </w:r>
      <w:r>
        <w:t>(a)(5) (requiring entities conducting Live Code Tests to notify the public before the test in widely accessible formats that live event codes will be used, but that no emergency is, in fact occurring; s</w:t>
      </w:r>
      <w:r w:rsidRPr="000E0382">
        <w:t>tates in the test message that the event is only a test</w:t>
      </w:r>
      <w:r>
        <w:t>; and c</w:t>
      </w:r>
      <w:r w:rsidRPr="000E0382">
        <w:t>oordinates the test among EAS Participants</w:t>
      </w:r>
      <w:r>
        <w:t xml:space="preserve">, </w:t>
      </w:r>
      <w:r w:rsidRPr="000E0382">
        <w:t xml:space="preserve">state and local emergency authorities, the relevant </w:t>
      </w:r>
      <w:r w:rsidR="00CB0060">
        <w:rPr>
          <w:szCs w:val="22"/>
        </w:rPr>
        <w:t>state emergency communications committees</w:t>
      </w:r>
      <w:r w:rsidRPr="000E0382" w:rsidR="00CB0060">
        <w:t xml:space="preserve"> </w:t>
      </w:r>
      <w:r w:rsidR="00CB0060">
        <w:t>(</w:t>
      </w:r>
      <w:r w:rsidRPr="000E0382">
        <w:t>SECC</w:t>
      </w:r>
      <w:r w:rsidR="00CB0060">
        <w:t>)</w:t>
      </w:r>
      <w:r>
        <w:t>, and first responder organizations).</w:t>
      </w:r>
    </w:p>
  </w:footnote>
  <w:footnote w:id="13">
    <w:p w:rsidR="00841437" w:rsidRPr="00B0643B" w:rsidP="00841437" w14:paraId="628384BA" w14:textId="77777777">
      <w:pPr>
        <w:pStyle w:val="FootnoteText"/>
      </w:pPr>
      <w:r w:rsidRPr="00B90802">
        <w:rPr>
          <w:rStyle w:val="FootnoteReference"/>
        </w:rPr>
        <w:footnoteRef/>
      </w:r>
      <w:r w:rsidRPr="00B0643B">
        <w:t xml:space="preserve"> </w:t>
      </w:r>
      <w:r w:rsidRPr="00681200">
        <w:rPr>
          <w:i/>
        </w:rPr>
        <w:t>Commercial Mobile Alert System</w:t>
      </w:r>
      <w:r w:rsidRPr="00B0643B">
        <w:t>, PS Docket No. 07-287, Third Report and Order, 23 FCC Rcd 12561, 12575, para. 32 (2008) (stating the requirements for wireless providers volunteering to participate in WEA).</w:t>
      </w:r>
      <w:r>
        <w:t xml:space="preserve">  </w:t>
      </w:r>
    </w:p>
  </w:footnote>
  <w:footnote w:id="14">
    <w:p w:rsidR="00841437" w:rsidRPr="00B0643B" w:rsidP="00841437" w14:paraId="6A87ACF5" w14:textId="77777777">
      <w:pPr>
        <w:pStyle w:val="FootnoteText"/>
      </w:pPr>
      <w:r w:rsidRPr="00B0643B">
        <w:rPr>
          <w:rStyle w:val="FootnoteReference"/>
        </w:rPr>
        <w:footnoteRef/>
      </w:r>
      <w:r w:rsidRPr="00B0643B">
        <w:t xml:space="preserve"> 47 CFR § 10.520(d).  The Attention Signal is a loud, attention-grabbing, two-tone audio signal that uses frequencies and sounds identical to the attention signal used by the </w:t>
      </w:r>
      <w:r>
        <w:t>EAS</w:t>
      </w:r>
      <w:r w:rsidRPr="00B0643B">
        <w:t xml:space="preserve">.  </w:t>
      </w:r>
      <w:r w:rsidRPr="00B0643B">
        <w:rPr>
          <w:i/>
        </w:rPr>
        <w:t>Compare</w:t>
      </w:r>
      <w:r w:rsidRPr="00B0643B">
        <w:t xml:space="preserve"> 47 CFR § 10.520 </w:t>
      </w:r>
      <w:r w:rsidRPr="00B0643B">
        <w:rPr>
          <w:i/>
        </w:rPr>
        <w:t>with</w:t>
      </w:r>
      <w:r w:rsidRPr="00B0643B">
        <w:t xml:space="preserve"> 47 CFR § 11.31(a)(2).</w:t>
      </w:r>
      <w:r>
        <w:t xml:space="preserve">  </w:t>
      </w:r>
    </w:p>
  </w:footnote>
  <w:footnote w:id="15">
    <w:p w:rsidR="00841437" w:rsidRPr="00205FC3" w:rsidP="00841437" w14:paraId="72032797" w14:textId="77777777">
      <w:pPr>
        <w:pStyle w:val="FootnoteText"/>
      </w:pPr>
      <w:r w:rsidRPr="00B0643B">
        <w:rPr>
          <w:rStyle w:val="FootnoteReference"/>
        </w:rPr>
        <w:footnoteRef/>
      </w:r>
      <w:r w:rsidRPr="00B0643B">
        <w:t xml:space="preserve"> 47 CFR</w:t>
      </w:r>
      <w:r w:rsidRPr="00B0643B">
        <w:rPr>
          <w:i/>
        </w:rPr>
        <w:t xml:space="preserve"> </w:t>
      </w:r>
      <w:r w:rsidRPr="00B0643B">
        <w:t xml:space="preserve">§ 10.350.  Specifically, the Commission’s rules require Participating CMS Providers to participate in monthly tests initiated by </w:t>
      </w:r>
      <w:r>
        <w:t>the Federal Emergency Management Agency</w:t>
      </w:r>
      <w:r w:rsidRPr="00B0643B">
        <w:t xml:space="preserve"> and in periodic tests of WEA’s C-Interface.  </w:t>
      </w:r>
      <w:r w:rsidRPr="00B0643B">
        <w:rPr>
          <w:i/>
        </w:rPr>
        <w:t>Id.</w:t>
      </w:r>
      <w:r>
        <w:rPr>
          <w:i/>
        </w:rPr>
        <w:t xml:space="preserve">  </w:t>
      </w:r>
      <w:r w:rsidRPr="00641BA8">
        <w:rPr>
          <w:szCs w:val="22"/>
        </w:rPr>
        <w:t>On November 1, 2016, the Commission adopted a Report and Order that amend</w:t>
      </w:r>
      <w:r>
        <w:rPr>
          <w:szCs w:val="22"/>
        </w:rPr>
        <w:t>ed</w:t>
      </w:r>
      <w:r w:rsidRPr="00641BA8">
        <w:rPr>
          <w:szCs w:val="22"/>
        </w:rPr>
        <w:t xml:space="preserve"> the WEA testing rules to permit emergency managers to conduct end-to-end WEA tests to the public to assess how WEA is working within their jurisdictions</w:t>
      </w:r>
      <w:r>
        <w:rPr>
          <w:szCs w:val="22"/>
        </w:rPr>
        <w:t xml:space="preserve">.  </w:t>
      </w:r>
      <w:r>
        <w:rPr>
          <w:i/>
          <w:szCs w:val="22"/>
        </w:rPr>
        <w:t xml:space="preserve">See </w:t>
      </w:r>
      <w:r w:rsidRPr="00B0643B">
        <w:rPr>
          <w:i/>
        </w:rPr>
        <w:t>Wireless Emergency Alerts; Amendments to Part 11 of the Commission’s Rules Regarding the Emergency Alert System</w:t>
      </w:r>
      <w:r w:rsidRPr="00B0643B">
        <w:t xml:space="preserve">, </w:t>
      </w:r>
      <w:r>
        <w:t xml:space="preserve">Report and Order and Further Notice of Proposed Rulemaking, </w:t>
      </w:r>
      <w:r w:rsidRPr="00B0643B">
        <w:rPr>
          <w:iCs/>
        </w:rPr>
        <w:t>31 FCC Rcd 11112</w:t>
      </w:r>
      <w:r w:rsidRPr="00B0643B">
        <w:t>, 11154-57, paras. 65-68 (2016)</w:t>
      </w:r>
      <w:r>
        <w:t xml:space="preserve"> (</w:t>
      </w:r>
      <w:r w:rsidRPr="00E83918">
        <w:rPr>
          <w:i/>
        </w:rPr>
        <w:t>WEA R&amp;O</w:t>
      </w:r>
      <w:r>
        <w:t>)</w:t>
      </w:r>
      <w:r w:rsidRPr="00B0643B">
        <w:t>.</w:t>
      </w:r>
    </w:p>
  </w:footnote>
  <w:footnote w:id="16">
    <w:p w:rsidR="00841437" w:rsidP="00841437" w14:paraId="7E12BDF8" w14:textId="77777777">
      <w:pPr>
        <w:pStyle w:val="FootnoteText"/>
      </w:pPr>
      <w:r>
        <w:rPr>
          <w:rStyle w:val="FootnoteReference"/>
        </w:rPr>
        <w:footnoteRef/>
      </w:r>
      <w:r>
        <w:t xml:space="preserve"> </w:t>
      </w:r>
      <w:r w:rsidRPr="00D46BC6">
        <w:rPr>
          <w:i/>
        </w:rPr>
        <w:t>WEA R&amp;O</w:t>
      </w:r>
      <w:r>
        <w:t>, 31 FCC Rcd at 11154-55, para. 65 (requiring Participating CMS Providers to provide their subscribers with the option to receive State/Local WEA Tests, whereby subscribers must affirmatively select the option to receive State/Local WEA Test messages).</w:t>
      </w:r>
    </w:p>
  </w:footnote>
  <w:footnote w:id="17">
    <w:p w:rsidR="00841437" w:rsidP="00841437" w14:paraId="300EC583" w14:textId="77777777">
      <w:pPr>
        <w:pStyle w:val="FootnoteText"/>
      </w:pPr>
      <w:r>
        <w:rPr>
          <w:rStyle w:val="FootnoteReference"/>
        </w:rPr>
        <w:footnoteRef/>
      </w:r>
      <w:r>
        <w:t xml:space="preserve"> </w:t>
      </w:r>
      <w:r w:rsidRPr="00D46BC6">
        <w:rPr>
          <w:i/>
        </w:rPr>
        <w:t>Id.</w:t>
      </w:r>
      <w:r>
        <w:t xml:space="preserve"> (requiring State/Local WEA Test</w:t>
      </w:r>
      <w:r w:rsidR="00F95A80">
        <w:t xml:space="preserve"> message</w:t>
      </w:r>
      <w:r>
        <w:t>s to include conspicuous language sufficient to make clear to the public that the message is only a test).</w:t>
      </w:r>
    </w:p>
  </w:footnote>
  <w:footnote w:id="18">
    <w:p w:rsidR="00841437" w:rsidRPr="009E5D78" w:rsidP="00841437" w14:paraId="41BBF427" w14:textId="77777777">
      <w:pPr>
        <w:pStyle w:val="FootnoteText"/>
        <w:rPr>
          <w:iCs/>
        </w:rPr>
      </w:pPr>
      <w:r w:rsidRPr="009E5D78">
        <w:rPr>
          <w:rStyle w:val="FootnoteReference"/>
        </w:rPr>
        <w:footnoteRef/>
      </w:r>
      <w:r w:rsidRPr="009E5D78">
        <w:t xml:space="preserve"> </w:t>
      </w:r>
      <w:r w:rsidRPr="009E5D78">
        <w:rPr>
          <w:i/>
        </w:rPr>
        <w:t>Id.</w:t>
      </w:r>
    </w:p>
  </w:footnote>
  <w:footnote w:id="19">
    <w:p w:rsidR="00FF3547" w:rsidRPr="00F42B79" w14:paraId="62925388" w14:textId="7A686F05">
      <w:pPr>
        <w:pStyle w:val="FootnoteText"/>
        <w:rPr>
          <w:i/>
          <w:iCs/>
        </w:rPr>
      </w:pPr>
      <w:r w:rsidRPr="009E5D78">
        <w:rPr>
          <w:rStyle w:val="FootnoteReference"/>
        </w:rPr>
        <w:footnoteRef/>
      </w:r>
      <w:r w:rsidRPr="009E5D78">
        <w:t xml:space="preserve"> </w:t>
      </w:r>
      <w:r w:rsidR="00DA2386">
        <w:t xml:space="preserve">Montana DOJ Letter </w:t>
      </w:r>
      <w:r w:rsidRPr="009E5D78" w:rsidR="007C5B52">
        <w:t xml:space="preserve">at </w:t>
      </w:r>
      <w:r w:rsidR="000D166C">
        <w:t>1-</w:t>
      </w:r>
      <w:r w:rsidR="00DA2386">
        <w:t xml:space="preserve">2. </w:t>
      </w:r>
      <w:r w:rsidR="00ED52BE">
        <w:t xml:space="preserve"> </w:t>
      </w:r>
    </w:p>
  </w:footnote>
  <w:footnote w:id="20">
    <w:p w:rsidR="00544C03" w:rsidRPr="00C3483A" w:rsidP="00544C03" w14:paraId="22DC5471" w14:textId="77777777">
      <w:pPr>
        <w:pStyle w:val="FootnoteText"/>
      </w:pPr>
      <w:r>
        <w:rPr>
          <w:rStyle w:val="FootnoteReference"/>
        </w:rPr>
        <w:footnoteRef/>
      </w:r>
      <w:r>
        <w:t xml:space="preserve"> </w:t>
      </w:r>
      <w:r>
        <w:rPr>
          <w:i/>
          <w:iCs/>
        </w:rPr>
        <w:t>Id</w:t>
      </w:r>
      <w:r>
        <w:t>.</w:t>
      </w:r>
    </w:p>
  </w:footnote>
  <w:footnote w:id="21">
    <w:p w:rsidR="00B872C4" w:rsidRPr="00B872C4" w14:paraId="2560629B" w14:textId="2F9A5775">
      <w:pPr>
        <w:pStyle w:val="FootnoteText"/>
      </w:pPr>
      <w:r>
        <w:rPr>
          <w:rStyle w:val="FootnoteReference"/>
        </w:rPr>
        <w:footnoteRef/>
      </w:r>
      <w:r>
        <w:t xml:space="preserve"> </w:t>
      </w:r>
      <w:r>
        <w:rPr>
          <w:i/>
          <w:iCs/>
        </w:rPr>
        <w:t>Id</w:t>
      </w:r>
      <w:r>
        <w:t>.</w:t>
      </w:r>
    </w:p>
  </w:footnote>
  <w:footnote w:id="22">
    <w:p w:rsidR="00FF70D9" w:rsidRPr="0029444B" w:rsidP="00FF70D9" w14:paraId="00523EB7" w14:textId="77777777">
      <w:pPr>
        <w:pStyle w:val="FootnoteText"/>
        <w:rPr>
          <w:iCs/>
        </w:rPr>
      </w:pPr>
      <w:r>
        <w:rPr>
          <w:rStyle w:val="FootnoteReference"/>
        </w:rPr>
        <w:footnoteRef/>
      </w:r>
      <w:r>
        <w:t xml:space="preserve"> </w:t>
      </w:r>
      <w:r>
        <w:rPr>
          <w:i/>
        </w:rPr>
        <w:t>Id</w:t>
      </w:r>
      <w:r>
        <w:rPr>
          <w:iCs/>
        </w:rPr>
        <w:t>.</w:t>
      </w:r>
    </w:p>
  </w:footnote>
  <w:footnote w:id="23">
    <w:p w:rsidR="0029444B" w:rsidRPr="0029444B" w14:paraId="3D473F6D" w14:textId="0F90E9C2">
      <w:pPr>
        <w:pStyle w:val="FootnoteText"/>
      </w:pPr>
      <w:r>
        <w:rPr>
          <w:rStyle w:val="FootnoteReference"/>
        </w:rPr>
        <w:footnoteRef/>
      </w:r>
      <w:r>
        <w:t xml:space="preserve"> </w:t>
      </w:r>
      <w:r>
        <w:rPr>
          <w:i/>
          <w:iCs/>
        </w:rPr>
        <w:t>Id</w:t>
      </w:r>
      <w:r>
        <w:t>.</w:t>
      </w:r>
    </w:p>
  </w:footnote>
  <w:footnote w:id="24">
    <w:p w:rsidR="00BB425E" w:rsidRPr="00BB425E" w14:paraId="183050BA" w14:textId="3564B624">
      <w:pPr>
        <w:pStyle w:val="FootnoteText"/>
      </w:pPr>
      <w:r>
        <w:rPr>
          <w:rStyle w:val="FootnoteReference"/>
        </w:rPr>
        <w:footnoteRef/>
      </w:r>
      <w:r>
        <w:t xml:space="preserve"> </w:t>
      </w:r>
      <w:r>
        <w:rPr>
          <w:i/>
          <w:iCs/>
        </w:rPr>
        <w:t>Id</w:t>
      </w:r>
      <w:r>
        <w:t>.</w:t>
      </w:r>
    </w:p>
  </w:footnote>
  <w:footnote w:id="25">
    <w:p w:rsidR="000C2A4A" w:rsidRPr="000C2A4A" w14:paraId="25C0E4AA" w14:textId="3A1ADEED">
      <w:pPr>
        <w:pStyle w:val="FootnoteText"/>
      </w:pPr>
      <w:r>
        <w:rPr>
          <w:rStyle w:val="FootnoteReference"/>
        </w:rPr>
        <w:footnoteRef/>
      </w:r>
      <w:r>
        <w:t xml:space="preserve"> </w:t>
      </w:r>
      <w:r>
        <w:rPr>
          <w:i/>
          <w:iCs/>
        </w:rPr>
        <w:t>Id</w:t>
      </w:r>
      <w:r>
        <w:t>. at 2.</w:t>
      </w:r>
    </w:p>
  </w:footnote>
  <w:footnote w:id="26">
    <w:p w:rsidR="00544C03" w14:paraId="5024EA2D" w14:textId="55B48594">
      <w:pPr>
        <w:pStyle w:val="FootnoteText"/>
      </w:pPr>
      <w:r>
        <w:rPr>
          <w:rStyle w:val="FootnoteReference"/>
        </w:rPr>
        <w:footnoteRef/>
      </w:r>
      <w:r>
        <w:t xml:space="preserve"> </w:t>
      </w:r>
      <w:r w:rsidR="00B5678E">
        <w:rPr>
          <w:i/>
          <w:iCs/>
        </w:rPr>
        <w:t>Id</w:t>
      </w:r>
      <w:r w:rsidR="00B5678E">
        <w:t>.</w:t>
      </w:r>
      <w:r>
        <w:t xml:space="preserve"> </w:t>
      </w:r>
    </w:p>
  </w:footnote>
  <w:footnote w:id="27">
    <w:p w:rsidR="007C58A9" w:rsidRPr="00675326" w:rsidP="007C58A9" w14:paraId="5E5EA611" w14:textId="77777777">
      <w:pPr>
        <w:pStyle w:val="FootnoteText"/>
      </w:pPr>
      <w:r w:rsidRPr="00675326">
        <w:rPr>
          <w:rStyle w:val="FootnoteReference"/>
        </w:rPr>
        <w:footnoteRef/>
      </w:r>
      <w:r w:rsidRPr="00675326">
        <w:t xml:space="preserve"> 47 CFR</w:t>
      </w:r>
      <w:r w:rsidRPr="00675326">
        <w:rPr>
          <w:spacing w:val="-1"/>
        </w:rPr>
        <w:t xml:space="preserve"> </w:t>
      </w:r>
      <w:r w:rsidRPr="00675326">
        <w:t>§ 1.3.</w:t>
      </w:r>
    </w:p>
  </w:footnote>
  <w:footnote w:id="28">
    <w:p w:rsidR="007C58A9" w:rsidRPr="00B0643B" w:rsidP="007C58A9" w14:paraId="7015B12A" w14:textId="77777777">
      <w:pPr>
        <w:pStyle w:val="FootnoteText"/>
      </w:pPr>
      <w:r w:rsidRPr="00675326">
        <w:rPr>
          <w:rStyle w:val="FootnoteReference"/>
        </w:rPr>
        <w:footnoteRef/>
      </w:r>
      <w:r w:rsidRPr="00675326">
        <w:t xml:space="preserve"> </w:t>
      </w:r>
      <w:r w:rsidRPr="00675326">
        <w:rPr>
          <w:i/>
        </w:rPr>
        <w:t>See</w:t>
      </w:r>
      <w:r w:rsidRPr="00675326">
        <w:rPr>
          <w:i/>
          <w:spacing w:val="-3"/>
        </w:rPr>
        <w:t xml:space="preserve"> </w:t>
      </w:r>
      <w:r w:rsidRPr="00675326">
        <w:rPr>
          <w:i/>
        </w:rPr>
        <w:t>Northeast</w:t>
      </w:r>
      <w:r w:rsidRPr="00B0643B">
        <w:rPr>
          <w:i/>
          <w:spacing w:val="-4"/>
        </w:rPr>
        <w:t xml:space="preserve"> </w:t>
      </w:r>
      <w:r w:rsidRPr="00B0643B">
        <w:rPr>
          <w:i/>
        </w:rPr>
        <w:t>Cellular</w:t>
      </w:r>
      <w:r w:rsidRPr="00B0643B">
        <w:rPr>
          <w:i/>
          <w:spacing w:val="-2"/>
        </w:rPr>
        <w:t xml:space="preserve"> </w:t>
      </w:r>
      <w:r w:rsidRPr="00B0643B">
        <w:rPr>
          <w:i/>
          <w:spacing w:val="-1"/>
        </w:rPr>
        <w:t>Telephone</w:t>
      </w:r>
      <w:r w:rsidRPr="00B0643B">
        <w:rPr>
          <w:i/>
          <w:spacing w:val="-3"/>
        </w:rPr>
        <w:t xml:space="preserve"> </w:t>
      </w:r>
      <w:r w:rsidRPr="00B0643B">
        <w:rPr>
          <w:i/>
        </w:rPr>
        <w:t>Co.</w:t>
      </w:r>
      <w:r w:rsidRPr="00B0643B">
        <w:rPr>
          <w:i/>
          <w:spacing w:val="-3"/>
        </w:rPr>
        <w:t xml:space="preserve"> </w:t>
      </w:r>
      <w:r w:rsidRPr="00B0643B">
        <w:rPr>
          <w:i/>
        </w:rPr>
        <w:t>v.</w:t>
      </w:r>
      <w:r w:rsidRPr="00B0643B">
        <w:rPr>
          <w:i/>
          <w:spacing w:val="-4"/>
        </w:rPr>
        <w:t xml:space="preserve"> </w:t>
      </w:r>
      <w:r w:rsidRPr="00B0643B">
        <w:rPr>
          <w:i/>
          <w:spacing w:val="-1"/>
        </w:rPr>
        <w:t>FCC</w:t>
      </w:r>
      <w:r w:rsidRPr="00B0643B">
        <w:rPr>
          <w:spacing w:val="-1"/>
        </w:rPr>
        <w:t>,</w:t>
      </w:r>
      <w:r w:rsidRPr="00B0643B">
        <w:rPr>
          <w:spacing w:val="-3"/>
        </w:rPr>
        <w:t xml:space="preserve"> </w:t>
      </w:r>
      <w:r w:rsidRPr="00B0643B">
        <w:t>897</w:t>
      </w:r>
      <w:r w:rsidRPr="00B0643B">
        <w:rPr>
          <w:spacing w:val="-3"/>
        </w:rPr>
        <w:t xml:space="preserve"> </w:t>
      </w:r>
      <w:r w:rsidRPr="00B0643B">
        <w:rPr>
          <w:spacing w:val="-1"/>
        </w:rPr>
        <w:t>F.2d</w:t>
      </w:r>
      <w:r w:rsidRPr="00B0643B">
        <w:rPr>
          <w:spacing w:val="-3"/>
        </w:rPr>
        <w:t xml:space="preserve"> </w:t>
      </w:r>
      <w:r w:rsidRPr="00B0643B">
        <w:t>1164,</w:t>
      </w:r>
      <w:r w:rsidRPr="00B0643B">
        <w:rPr>
          <w:spacing w:val="-2"/>
        </w:rPr>
        <w:t xml:space="preserve"> </w:t>
      </w:r>
      <w:r w:rsidRPr="00B0643B">
        <w:t>1166</w:t>
      </w:r>
      <w:r w:rsidRPr="00B0643B">
        <w:rPr>
          <w:spacing w:val="-3"/>
        </w:rPr>
        <w:t xml:space="preserve"> </w:t>
      </w:r>
      <w:r w:rsidRPr="00B0643B">
        <w:t>(D.C.</w:t>
      </w:r>
      <w:r w:rsidRPr="00B0643B">
        <w:rPr>
          <w:spacing w:val="-4"/>
        </w:rPr>
        <w:t xml:space="preserve"> </w:t>
      </w:r>
      <w:r w:rsidRPr="00B0643B">
        <w:t>Cir.</w:t>
      </w:r>
      <w:r w:rsidRPr="00B0643B">
        <w:rPr>
          <w:spacing w:val="-3"/>
        </w:rPr>
        <w:t xml:space="preserve"> </w:t>
      </w:r>
      <w:r w:rsidRPr="00B0643B">
        <w:t>1990)</w:t>
      </w:r>
      <w:r w:rsidRPr="00B0643B">
        <w:rPr>
          <w:spacing w:val="-3"/>
        </w:rPr>
        <w:t xml:space="preserve"> </w:t>
      </w:r>
      <w:r w:rsidRPr="00B0643B">
        <w:t>(</w:t>
      </w:r>
      <w:r w:rsidRPr="00B0643B">
        <w:rPr>
          <w:i/>
        </w:rPr>
        <w:t>citing</w:t>
      </w:r>
      <w:r w:rsidRPr="00B0643B">
        <w:rPr>
          <w:i/>
          <w:spacing w:val="-4"/>
        </w:rPr>
        <w:t xml:space="preserve"> </w:t>
      </w:r>
      <w:r w:rsidRPr="00B0643B">
        <w:rPr>
          <w:i/>
          <w:spacing w:val="-1"/>
        </w:rPr>
        <w:t>WAIT</w:t>
      </w:r>
      <w:r w:rsidRPr="00B0643B">
        <w:rPr>
          <w:i/>
          <w:spacing w:val="-3"/>
        </w:rPr>
        <w:t xml:space="preserve"> </w:t>
      </w:r>
      <w:r w:rsidRPr="00B0643B">
        <w:rPr>
          <w:i/>
          <w:spacing w:val="-1"/>
        </w:rPr>
        <w:t>Radio</w:t>
      </w:r>
      <w:r w:rsidRPr="00B0643B">
        <w:rPr>
          <w:i/>
          <w:spacing w:val="-2"/>
        </w:rPr>
        <w:t xml:space="preserve"> </w:t>
      </w:r>
      <w:r w:rsidRPr="00B0643B">
        <w:rPr>
          <w:i/>
        </w:rPr>
        <w:t>v.</w:t>
      </w:r>
      <w:r w:rsidRPr="00B0643B">
        <w:rPr>
          <w:i/>
          <w:spacing w:val="-4"/>
        </w:rPr>
        <w:t xml:space="preserve"> </w:t>
      </w:r>
      <w:r w:rsidRPr="00B0643B">
        <w:rPr>
          <w:i/>
          <w:spacing w:val="-1"/>
        </w:rPr>
        <w:t>FCC</w:t>
      </w:r>
      <w:r w:rsidRPr="00B0643B">
        <w:rPr>
          <w:spacing w:val="-1"/>
        </w:rPr>
        <w:t>,</w:t>
      </w:r>
      <w:r w:rsidRPr="00B0643B">
        <w:rPr>
          <w:spacing w:val="31"/>
        </w:rPr>
        <w:t xml:space="preserve"> </w:t>
      </w:r>
      <w:r w:rsidRPr="00B0643B">
        <w:t>418</w:t>
      </w:r>
      <w:r w:rsidRPr="00B0643B">
        <w:rPr>
          <w:spacing w:val="-1"/>
        </w:rPr>
        <w:t xml:space="preserve"> F.2d </w:t>
      </w:r>
      <w:r w:rsidRPr="00B0643B">
        <w:t>1153,</w:t>
      </w:r>
      <w:r w:rsidRPr="00B0643B">
        <w:rPr>
          <w:spacing w:val="-1"/>
        </w:rPr>
        <w:t xml:space="preserve"> </w:t>
      </w:r>
      <w:r w:rsidRPr="00B0643B">
        <w:t>1159</w:t>
      </w:r>
      <w:r w:rsidRPr="00B0643B">
        <w:rPr>
          <w:spacing w:val="-1"/>
        </w:rPr>
        <w:t xml:space="preserve"> </w:t>
      </w:r>
      <w:r w:rsidRPr="00B0643B">
        <w:t>(D.C.</w:t>
      </w:r>
      <w:r w:rsidRPr="00B0643B">
        <w:rPr>
          <w:spacing w:val="-2"/>
        </w:rPr>
        <w:t xml:space="preserve"> </w:t>
      </w:r>
      <w:r w:rsidRPr="00B0643B">
        <w:t>Cir.</w:t>
      </w:r>
      <w:r w:rsidRPr="00B0643B">
        <w:rPr>
          <w:spacing w:val="-1"/>
        </w:rPr>
        <w:t xml:space="preserve"> </w:t>
      </w:r>
      <w:r w:rsidRPr="00B0643B">
        <w:t>1969),</w:t>
      </w:r>
      <w:r w:rsidRPr="00B0643B">
        <w:rPr>
          <w:spacing w:val="-1"/>
        </w:rPr>
        <w:t xml:space="preserve"> </w:t>
      </w:r>
      <w:r w:rsidRPr="00B0643B">
        <w:rPr>
          <w:i/>
        </w:rPr>
        <w:t>aff’d</w:t>
      </w:r>
      <w:r w:rsidRPr="00B0643B">
        <w:t>,</w:t>
      </w:r>
      <w:r w:rsidRPr="00B0643B">
        <w:rPr>
          <w:spacing w:val="-1"/>
        </w:rPr>
        <w:t xml:space="preserve"> </w:t>
      </w:r>
      <w:r w:rsidRPr="00B0643B">
        <w:t>459</w:t>
      </w:r>
      <w:r w:rsidRPr="00B0643B">
        <w:rPr>
          <w:spacing w:val="-1"/>
        </w:rPr>
        <w:t xml:space="preserve"> F.2d </w:t>
      </w:r>
      <w:r w:rsidRPr="00B0643B">
        <w:t>1203</w:t>
      </w:r>
      <w:r w:rsidRPr="00B0643B">
        <w:rPr>
          <w:spacing w:val="-1"/>
        </w:rPr>
        <w:t xml:space="preserve"> </w:t>
      </w:r>
      <w:r w:rsidRPr="00B0643B">
        <w:t>(1973),</w:t>
      </w:r>
      <w:r w:rsidRPr="00B0643B">
        <w:rPr>
          <w:spacing w:val="-1"/>
        </w:rPr>
        <w:t xml:space="preserve"> </w:t>
      </w:r>
      <w:r w:rsidRPr="00B0643B">
        <w:rPr>
          <w:i/>
        </w:rPr>
        <w:t>cert.</w:t>
      </w:r>
      <w:r w:rsidRPr="00B0643B">
        <w:rPr>
          <w:i/>
          <w:spacing w:val="-2"/>
        </w:rPr>
        <w:t xml:space="preserve"> </w:t>
      </w:r>
      <w:r w:rsidRPr="00B0643B">
        <w:rPr>
          <w:i/>
          <w:spacing w:val="-1"/>
        </w:rPr>
        <w:t>denied</w:t>
      </w:r>
      <w:r w:rsidRPr="00B0643B">
        <w:rPr>
          <w:spacing w:val="-1"/>
        </w:rPr>
        <w:t>,</w:t>
      </w:r>
      <w:r w:rsidRPr="00B0643B">
        <w:t xml:space="preserve"> 409</w:t>
      </w:r>
      <w:r w:rsidRPr="00B0643B">
        <w:rPr>
          <w:spacing w:val="-1"/>
        </w:rPr>
        <w:t xml:space="preserve"> U.S. </w:t>
      </w:r>
      <w:r w:rsidRPr="00B0643B">
        <w:t>1027</w:t>
      </w:r>
      <w:r w:rsidRPr="00B0643B">
        <w:rPr>
          <w:spacing w:val="-1"/>
        </w:rPr>
        <w:t xml:space="preserve"> </w:t>
      </w:r>
      <w:r w:rsidRPr="00B0643B">
        <w:t>(1972)).</w:t>
      </w:r>
    </w:p>
  </w:footnote>
  <w:footnote w:id="29">
    <w:p w:rsidR="00294D11" w:rsidRPr="003252A5" w:rsidP="00294D11" w14:paraId="7708BA48" w14:textId="77777777">
      <w:pPr>
        <w:pStyle w:val="FootnoteText"/>
      </w:pPr>
      <w:r>
        <w:rPr>
          <w:rStyle w:val="FootnoteReference"/>
        </w:rPr>
        <w:footnoteRef/>
      </w:r>
      <w:r>
        <w:t xml:space="preserve"> </w:t>
      </w:r>
      <w:r>
        <w:rPr>
          <w:i/>
          <w:iCs/>
        </w:rPr>
        <w:t>Id</w:t>
      </w:r>
      <w:r>
        <w:t>.</w:t>
      </w:r>
    </w:p>
  </w:footnote>
  <w:footnote w:id="30">
    <w:p w:rsidR="003D151D" w:rsidP="00A7051E" w14:paraId="4593A29D" w14:textId="1967448F">
      <w:pPr>
        <w:pStyle w:val="FootnoteText"/>
      </w:pPr>
      <w:r>
        <w:rPr>
          <w:rStyle w:val="FootnoteReference"/>
        </w:rPr>
        <w:footnoteRef/>
      </w:r>
      <w:r>
        <w:t xml:space="preserve"> </w:t>
      </w:r>
      <w:r w:rsidR="007C06BB">
        <w:t>With this Order, the</w:t>
      </w:r>
      <w:r w:rsidR="00A7051E">
        <w:t xml:space="preserve"> Commission grant</w:t>
      </w:r>
      <w:r w:rsidR="007C06BB">
        <w:t>s</w:t>
      </w:r>
      <w:r w:rsidR="00A7051E">
        <w:t xml:space="preserve"> a waiver of its rules to </w:t>
      </w:r>
      <w:r w:rsidR="001939F5">
        <w:t xml:space="preserve">allow an authorized alert originator to </w:t>
      </w:r>
      <w:r w:rsidR="00A7051E">
        <w:t>issue a live</w:t>
      </w:r>
      <w:r w:rsidR="007C06BB">
        <w:t xml:space="preserve"> test of an </w:t>
      </w:r>
      <w:r w:rsidR="00A7051E">
        <w:t xml:space="preserve">AMBER Alert </w:t>
      </w:r>
      <w:r w:rsidR="007C06BB">
        <w:t>for the first time</w:t>
      </w:r>
      <w:r w:rsidR="00A7051E">
        <w:t xml:space="preserve">.  WEA AMBER Alerts are credited with 123 successful child recoveries.  </w:t>
      </w:r>
      <w:r w:rsidRPr="00124B6C" w:rsidR="00A7051E">
        <w:rPr>
          <w:i/>
          <w:iCs/>
        </w:rPr>
        <w:t>See</w:t>
      </w:r>
      <w:r w:rsidR="00A7051E">
        <w:t xml:space="preserve"> National Center for Missing and Exploited Children, AMBER Alerts: Get Help Now, </w:t>
      </w:r>
      <w:hyperlink r:id="rId2" w:history="1">
        <w:r w:rsidRPr="00E402E2" w:rsidR="00D177E7">
          <w:rPr>
            <w:rStyle w:val="Hyperlink"/>
          </w:rPr>
          <w:t>https://www.missingkids.org/gethelpnow/amber</w:t>
        </w:r>
      </w:hyperlink>
      <w:r w:rsidR="00D177E7">
        <w:t xml:space="preserve"> </w:t>
      </w:r>
      <w:r w:rsidR="00A7051E">
        <w:t>(last visited Dec. 19, 2022).</w:t>
      </w:r>
      <w:r>
        <w:t xml:space="preserve"> </w:t>
      </w:r>
    </w:p>
  </w:footnote>
  <w:footnote w:id="31">
    <w:p w:rsidR="008562C7" w:rsidRPr="008562C7" w14:paraId="554B0BB4" w14:textId="5E6BF022">
      <w:pPr>
        <w:pStyle w:val="FootnoteText"/>
      </w:pPr>
      <w:r>
        <w:rPr>
          <w:rStyle w:val="FootnoteReference"/>
        </w:rPr>
        <w:footnoteRef/>
      </w:r>
      <w:r>
        <w:t xml:space="preserve"> </w:t>
      </w:r>
      <w:r>
        <w:rPr>
          <w:i/>
          <w:iCs/>
        </w:rPr>
        <w:t xml:space="preserve">See </w:t>
      </w:r>
      <w:r>
        <w:t>Montana DOJ Letter at 1.</w:t>
      </w:r>
    </w:p>
  </w:footnote>
  <w:footnote w:id="32">
    <w:p w:rsidR="005E1A3D" w:rsidP="005E1A3D" w14:paraId="41149994" w14:textId="77777777">
      <w:pPr>
        <w:pStyle w:val="FootnoteText"/>
      </w:pPr>
      <w:r>
        <w:rPr>
          <w:rStyle w:val="FootnoteReference"/>
        </w:rPr>
        <w:footnoteRef/>
      </w:r>
      <w:r>
        <w:t xml:space="preserve"> </w:t>
      </w:r>
      <w:r w:rsidRPr="00E075F4">
        <w:rPr>
          <w:i/>
          <w:iCs/>
        </w:rPr>
        <w:t>See</w:t>
      </w:r>
      <w:r>
        <w:t xml:space="preserve"> 47 CFR § 11.61(a)(5)</w:t>
      </w:r>
      <w:r>
        <w:rPr>
          <w:i/>
          <w:iCs/>
        </w:rPr>
        <w:t xml:space="preserve"> </w:t>
      </w:r>
      <w:r>
        <w:t>(“</w:t>
      </w:r>
      <w:r>
        <w:rPr>
          <w:szCs w:val="22"/>
        </w:rPr>
        <w:t xml:space="preserve">EAS Participants may participate in no more than two (2) “Live Code” EAS Tests per calendar year that are conducted to exercise the EAS and raise public awareness for it . . .”). </w:t>
      </w:r>
    </w:p>
  </w:footnote>
  <w:footnote w:id="33">
    <w:p w:rsidR="009620C4" w:rsidRPr="00642FB0" w14:paraId="57D75DC6" w14:textId="0218E214">
      <w:pPr>
        <w:pStyle w:val="FootnoteText"/>
      </w:pPr>
      <w:r>
        <w:rPr>
          <w:rStyle w:val="FootnoteReference"/>
        </w:rPr>
        <w:footnoteRef/>
      </w:r>
      <w:r>
        <w:t xml:space="preserve"> </w:t>
      </w:r>
      <w:r>
        <w:rPr>
          <w:i/>
          <w:iCs/>
        </w:rPr>
        <w:t>Id</w:t>
      </w:r>
      <w:r w:rsidR="00642FB0">
        <w:t>.</w:t>
      </w:r>
    </w:p>
  </w:footnote>
  <w:footnote w:id="34">
    <w:p w:rsidR="00642FB0" w14:paraId="55C43E71" w14:textId="5C08C36C">
      <w:pPr>
        <w:pStyle w:val="FootnoteText"/>
      </w:pPr>
      <w:r>
        <w:rPr>
          <w:rStyle w:val="FootnoteReference"/>
        </w:rPr>
        <w:footnoteRef/>
      </w:r>
      <w:r>
        <w:t xml:space="preserve"> Montana DOJ Letter at 1</w:t>
      </w:r>
      <w:r w:rsidR="00AB5C9A">
        <w:t>-2.</w:t>
      </w:r>
    </w:p>
  </w:footnote>
  <w:footnote w:id="35">
    <w:p w:rsidR="00AB5C9A" w:rsidRPr="00AB5C9A" w14:paraId="4C504BB1" w14:textId="15D12B5D">
      <w:pPr>
        <w:pStyle w:val="FootnoteText"/>
      </w:pPr>
      <w:r>
        <w:rPr>
          <w:rStyle w:val="FootnoteReference"/>
        </w:rPr>
        <w:footnoteRef/>
      </w:r>
      <w:r>
        <w:t xml:space="preserve"> </w:t>
      </w:r>
      <w:r>
        <w:rPr>
          <w:i/>
          <w:iCs/>
        </w:rPr>
        <w:t>Id</w:t>
      </w:r>
      <w:r>
        <w:t>.</w:t>
      </w:r>
    </w:p>
  </w:footnote>
  <w:footnote w:id="36">
    <w:p w:rsidR="00710DD2" w:rsidP="00710DD2" w14:paraId="614E202B" w14:textId="77777777">
      <w:pPr>
        <w:pStyle w:val="FootnoteText"/>
      </w:pPr>
      <w:r>
        <w:rPr>
          <w:rStyle w:val="FootnoteReference"/>
        </w:rPr>
        <w:footnoteRef/>
      </w:r>
      <w:r>
        <w:t xml:space="preserve"> </w:t>
      </w:r>
      <w:r w:rsidRPr="00122133">
        <w:rPr>
          <w:i/>
        </w:rPr>
        <w:t xml:space="preserve">See </w:t>
      </w:r>
      <w:r w:rsidRPr="00326B11">
        <w:t>47 U.S.C. § 222.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65ECA" w14:paraId="3DAE2EAA"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2FDC8D2A" w14:textId="5F85FEC6">
    <w:pPr>
      <w:pStyle w:val="Header"/>
      <w:rPr>
        <w:b w:val="0"/>
      </w:rPr>
    </w:pPr>
    <w:r>
      <w:tab/>
      <w:t>Federal Communications Commission</w:t>
    </w:r>
    <w:r>
      <w:tab/>
    </w:r>
    <w:r w:rsidR="008C550E">
      <w:t>DA 22-1359</w:t>
    </w:r>
  </w:p>
  <w:p w:rsidR="00D25FB5" w14:paraId="3B203FD4"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60288"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p>
  <w:p w:rsidR="00D25FB5" w14:paraId="5F3D6B00" w14:textId="77777777">
    <w:pPr>
      <w:spacing w:after="389" w:line="100" w:lineRule="exact"/>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4B05D8B5" w14:textId="41888848">
    <w:pPr>
      <w:pStyle w:val="Header"/>
      <w:rPr>
        <w:b w:val="0"/>
      </w:rPr>
    </w:pPr>
    <w:r>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r>
      <w:tab/>
      <w:t>Federal Communications Commission</w:t>
    </w:r>
    <w:r>
      <w:tab/>
    </w:r>
    <w:r w:rsidR="008C550E">
      <w:rPr>
        <w:spacing w:val="-2"/>
      </w:rPr>
      <w:t>DA 22-1359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8A434C0"/>
    <w:multiLevelType w:val="singleLevel"/>
    <w:tmpl w:val="A9EE9842"/>
    <w:lvl w:ilvl="0">
      <w:start w:val="1"/>
      <w:numFmt w:val="decimal"/>
      <w:lvlText w:val="%1."/>
      <w:lvlJc w:val="left"/>
      <w:pPr>
        <w:tabs>
          <w:tab w:val="num" w:pos="1080"/>
        </w:tabs>
        <w:ind w:left="0" w:firstLine="720"/>
      </w:p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58796BD8"/>
    <w:multiLevelType w:val="singleLevel"/>
    <w:tmpl w:val="A9EE9842"/>
    <w:lvl w:ilvl="0">
      <w:start w:val="1"/>
      <w:numFmt w:val="decimal"/>
      <w:lvlText w:val="%1."/>
      <w:lvlJc w:val="left"/>
      <w:pPr>
        <w:tabs>
          <w:tab w:val="num" w:pos="1080"/>
        </w:tabs>
        <w:ind w:left="0" w:firstLine="720"/>
      </w:pPr>
    </w:lvl>
  </w:abstractNum>
  <w:abstractNum w:abstractNumId="7">
    <w:nsid w:val="61182925"/>
    <w:multiLevelType w:val="singleLevel"/>
    <w:tmpl w:val="A9EE9842"/>
    <w:lvl w:ilvl="0">
      <w:start w:val="1"/>
      <w:numFmt w:val="decimal"/>
      <w:lvlText w:val="%1."/>
      <w:lvlJc w:val="left"/>
      <w:pPr>
        <w:tabs>
          <w:tab w:val="num" w:pos="1080"/>
        </w:tabs>
        <w:ind w:left="0" w:firstLine="720"/>
      </w:pPr>
    </w:lvl>
  </w:abstractNum>
  <w:abstractNum w:abstractNumId="8">
    <w:nsid w:val="65A81D38"/>
    <w:multiLevelType w:val="hybridMultilevel"/>
    <w:tmpl w:val="2D486F72"/>
    <w:lvl w:ilvl="0">
      <w:start w:val="2"/>
      <w:numFmt w:val="decimal"/>
      <w:lvlText w:val="%1."/>
      <w:lvlJc w:val="left"/>
      <w:pPr>
        <w:ind w:left="120" w:hanging="721"/>
      </w:pPr>
      <w:rPr>
        <w:rFonts w:ascii="Times New Roman" w:eastAsia="Times New Roman" w:hAnsi="Times New Roman" w:hint="default"/>
        <w:sz w:val="22"/>
        <w:szCs w:val="22"/>
      </w:rPr>
    </w:lvl>
    <w:lvl w:ilvl="1">
      <w:start w:val="1"/>
      <w:numFmt w:val="decimal"/>
      <w:lvlText w:val="(%2)"/>
      <w:lvlJc w:val="left"/>
      <w:pPr>
        <w:ind w:left="1200" w:hanging="312"/>
      </w:pPr>
      <w:rPr>
        <w:rFonts w:ascii="Times New Roman" w:eastAsia="Times New Roman" w:hAnsi="Times New Roman" w:hint="default"/>
        <w:sz w:val="22"/>
        <w:szCs w:val="22"/>
      </w:rPr>
    </w:lvl>
    <w:lvl w:ilvl="2">
      <w:start w:val="1"/>
      <w:numFmt w:val="bullet"/>
      <w:lvlText w:val="•"/>
      <w:lvlJc w:val="left"/>
      <w:pPr>
        <w:ind w:left="2133" w:hanging="312"/>
      </w:pPr>
      <w:rPr>
        <w:rFonts w:hint="default"/>
      </w:rPr>
    </w:lvl>
    <w:lvl w:ilvl="3">
      <w:start w:val="1"/>
      <w:numFmt w:val="bullet"/>
      <w:lvlText w:val="•"/>
      <w:lvlJc w:val="left"/>
      <w:pPr>
        <w:ind w:left="3066" w:hanging="312"/>
      </w:pPr>
      <w:rPr>
        <w:rFonts w:hint="default"/>
      </w:rPr>
    </w:lvl>
    <w:lvl w:ilvl="4">
      <w:start w:val="1"/>
      <w:numFmt w:val="bullet"/>
      <w:lvlText w:val="•"/>
      <w:lvlJc w:val="left"/>
      <w:pPr>
        <w:ind w:left="4000" w:hanging="312"/>
      </w:pPr>
      <w:rPr>
        <w:rFonts w:hint="default"/>
      </w:rPr>
    </w:lvl>
    <w:lvl w:ilvl="5">
      <w:start w:val="1"/>
      <w:numFmt w:val="bullet"/>
      <w:lvlText w:val="•"/>
      <w:lvlJc w:val="left"/>
      <w:pPr>
        <w:ind w:left="4933" w:hanging="312"/>
      </w:pPr>
      <w:rPr>
        <w:rFonts w:hint="default"/>
      </w:rPr>
    </w:lvl>
    <w:lvl w:ilvl="6">
      <w:start w:val="1"/>
      <w:numFmt w:val="bullet"/>
      <w:lvlText w:val="•"/>
      <w:lvlJc w:val="left"/>
      <w:pPr>
        <w:ind w:left="5866" w:hanging="312"/>
      </w:pPr>
      <w:rPr>
        <w:rFonts w:hint="default"/>
      </w:rPr>
    </w:lvl>
    <w:lvl w:ilvl="7">
      <w:start w:val="1"/>
      <w:numFmt w:val="bullet"/>
      <w:lvlText w:val="•"/>
      <w:lvlJc w:val="left"/>
      <w:pPr>
        <w:ind w:left="6800" w:hanging="312"/>
      </w:pPr>
      <w:rPr>
        <w:rFonts w:hint="default"/>
      </w:rPr>
    </w:lvl>
    <w:lvl w:ilvl="8">
      <w:start w:val="1"/>
      <w:numFmt w:val="bullet"/>
      <w:lvlText w:val="•"/>
      <w:lvlJc w:val="left"/>
      <w:pPr>
        <w:ind w:left="7733" w:hanging="312"/>
      </w:pPr>
      <w:rPr>
        <w:rFonts w:hint="default"/>
      </w:rPr>
    </w:lvl>
  </w:abstractNum>
  <w:abstractNum w:abstractNumId="9">
    <w:nsid w:val="758A0B51"/>
    <w:multiLevelType w:val="singleLevel"/>
    <w:tmpl w:val="A9EE9842"/>
    <w:lvl w:ilvl="0">
      <w:start w:val="1"/>
      <w:numFmt w:val="decimal"/>
      <w:lvlText w:val="%1."/>
      <w:lvlJc w:val="left"/>
      <w:pPr>
        <w:tabs>
          <w:tab w:val="num" w:pos="1080"/>
        </w:tabs>
        <w:ind w:left="0" w:firstLine="720"/>
      </w:pPr>
    </w:lvl>
  </w:abstractNum>
  <w:abstractNum w:abstractNumId="10">
    <w:nsid w:val="75C30F9F"/>
    <w:multiLevelType w:val="singleLevel"/>
    <w:tmpl w:val="A9EE9842"/>
    <w:lvl w:ilvl="0">
      <w:start w:val="1"/>
      <w:numFmt w:val="decimal"/>
      <w:lvlText w:val="%1."/>
      <w:lvlJc w:val="left"/>
      <w:pPr>
        <w:tabs>
          <w:tab w:val="num" w:pos="1080"/>
        </w:tabs>
        <w:ind w:left="0" w:firstLine="720"/>
      </w:pPr>
    </w:lvl>
  </w:abstractNum>
  <w:num w:numId="1">
    <w:abstractNumId w:val="2"/>
  </w:num>
  <w:num w:numId="2">
    <w:abstractNumId w:val="7"/>
  </w:num>
  <w:num w:numId="3">
    <w:abstractNumId w:val="4"/>
  </w:num>
  <w:num w:numId="4">
    <w:abstractNumId w:val="5"/>
  </w:num>
  <w:num w:numId="5">
    <w:abstractNumId w:val="3"/>
  </w:num>
  <w:num w:numId="6">
    <w:abstractNumId w:val="0"/>
  </w:num>
  <w:num w:numId="7">
    <w:abstractNumId w:val="8"/>
  </w:num>
  <w:num w:numId="8">
    <w:abstractNumId w:val="7"/>
    <w:lvlOverride w:ilvl="0">
      <w:startOverride w:val="1"/>
    </w:lvlOverride>
  </w:num>
  <w:num w:numId="9">
    <w:abstractNumId w:val="7"/>
  </w:num>
  <w:num w:numId="10">
    <w:abstractNumId w:val="7"/>
  </w:num>
  <w:num w:numId="11">
    <w:abstractNumId w:val="7"/>
    <w:lvlOverride w:ilvl="0">
      <w:startOverride w:val="1"/>
    </w:lvlOverride>
  </w:num>
  <w:num w:numId="12">
    <w:abstractNumId w:val="7"/>
  </w:num>
  <w:num w:numId="13">
    <w:abstractNumId w:val="7"/>
  </w:num>
  <w:num w:numId="14">
    <w:abstractNumId w:val="7"/>
  </w:num>
  <w:num w:numId="15">
    <w:abstractNumId w:val="7"/>
  </w:num>
  <w:num w:numId="16">
    <w:abstractNumId w:val="7"/>
  </w:num>
  <w:num w:numId="17">
    <w:abstractNumId w:val="7"/>
  </w:num>
  <w:num w:numId="18">
    <w:abstractNumId w:val="7"/>
  </w:num>
  <w:num w:numId="19">
    <w:abstractNumId w:val="1"/>
  </w:num>
  <w:num w:numId="20">
    <w:abstractNumId w:val="9"/>
  </w:num>
  <w:num w:numId="21">
    <w:abstractNumId w:val="6"/>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0451"/>
    <w:rsid w:val="000034EB"/>
    <w:rsid w:val="000052DD"/>
    <w:rsid w:val="000059F9"/>
    <w:rsid w:val="0000648B"/>
    <w:rsid w:val="00007AF5"/>
    <w:rsid w:val="00013080"/>
    <w:rsid w:val="00014E66"/>
    <w:rsid w:val="00021E13"/>
    <w:rsid w:val="000233F4"/>
    <w:rsid w:val="000244BC"/>
    <w:rsid w:val="00024B6C"/>
    <w:rsid w:val="00027924"/>
    <w:rsid w:val="00034DAB"/>
    <w:rsid w:val="00036039"/>
    <w:rsid w:val="00036199"/>
    <w:rsid w:val="000367E1"/>
    <w:rsid w:val="00036A93"/>
    <w:rsid w:val="00037F90"/>
    <w:rsid w:val="0004144B"/>
    <w:rsid w:val="00042158"/>
    <w:rsid w:val="00042CB5"/>
    <w:rsid w:val="00044D52"/>
    <w:rsid w:val="000473B4"/>
    <w:rsid w:val="000514E1"/>
    <w:rsid w:val="00052017"/>
    <w:rsid w:val="00052D8D"/>
    <w:rsid w:val="00053EED"/>
    <w:rsid w:val="000559A9"/>
    <w:rsid w:val="00056143"/>
    <w:rsid w:val="00057543"/>
    <w:rsid w:val="00060BE4"/>
    <w:rsid w:val="00063BDD"/>
    <w:rsid w:val="0006548A"/>
    <w:rsid w:val="000670D2"/>
    <w:rsid w:val="00072D7A"/>
    <w:rsid w:val="0008185D"/>
    <w:rsid w:val="000831F4"/>
    <w:rsid w:val="000875BF"/>
    <w:rsid w:val="00087AEB"/>
    <w:rsid w:val="00091E45"/>
    <w:rsid w:val="0009340C"/>
    <w:rsid w:val="000959B2"/>
    <w:rsid w:val="000964F9"/>
    <w:rsid w:val="00096D8C"/>
    <w:rsid w:val="00096F9F"/>
    <w:rsid w:val="000979CD"/>
    <w:rsid w:val="000A119A"/>
    <w:rsid w:val="000A3717"/>
    <w:rsid w:val="000A3B02"/>
    <w:rsid w:val="000A57F5"/>
    <w:rsid w:val="000A6083"/>
    <w:rsid w:val="000A6576"/>
    <w:rsid w:val="000B2E1E"/>
    <w:rsid w:val="000B3894"/>
    <w:rsid w:val="000B4F12"/>
    <w:rsid w:val="000B7CB7"/>
    <w:rsid w:val="000C0B0B"/>
    <w:rsid w:val="000C0B65"/>
    <w:rsid w:val="000C2274"/>
    <w:rsid w:val="000C246D"/>
    <w:rsid w:val="000C2A4A"/>
    <w:rsid w:val="000D076F"/>
    <w:rsid w:val="000D0922"/>
    <w:rsid w:val="000D166C"/>
    <w:rsid w:val="000D1884"/>
    <w:rsid w:val="000D22AE"/>
    <w:rsid w:val="000D3EAA"/>
    <w:rsid w:val="000D4F06"/>
    <w:rsid w:val="000D7DEA"/>
    <w:rsid w:val="000D7FFC"/>
    <w:rsid w:val="000E0382"/>
    <w:rsid w:val="000E05FE"/>
    <w:rsid w:val="000E3807"/>
    <w:rsid w:val="000E3D42"/>
    <w:rsid w:val="000E458A"/>
    <w:rsid w:val="000E498A"/>
    <w:rsid w:val="000F1768"/>
    <w:rsid w:val="000F3A96"/>
    <w:rsid w:val="000F4625"/>
    <w:rsid w:val="000F7128"/>
    <w:rsid w:val="00100C84"/>
    <w:rsid w:val="00103B38"/>
    <w:rsid w:val="00106816"/>
    <w:rsid w:val="0011334E"/>
    <w:rsid w:val="001152CA"/>
    <w:rsid w:val="00122133"/>
    <w:rsid w:val="00122BD5"/>
    <w:rsid w:val="00124B6C"/>
    <w:rsid w:val="00125041"/>
    <w:rsid w:val="00125AA7"/>
    <w:rsid w:val="00125E01"/>
    <w:rsid w:val="00125FCC"/>
    <w:rsid w:val="00127B96"/>
    <w:rsid w:val="001306E5"/>
    <w:rsid w:val="0013389C"/>
    <w:rsid w:val="0013399D"/>
    <w:rsid w:val="00133F79"/>
    <w:rsid w:val="001344C5"/>
    <w:rsid w:val="0013491F"/>
    <w:rsid w:val="00140DBC"/>
    <w:rsid w:val="00142E9A"/>
    <w:rsid w:val="00146C39"/>
    <w:rsid w:val="00154825"/>
    <w:rsid w:val="00157522"/>
    <w:rsid w:val="00161922"/>
    <w:rsid w:val="00163AA3"/>
    <w:rsid w:val="001642FC"/>
    <w:rsid w:val="001644BC"/>
    <w:rsid w:val="00170CF0"/>
    <w:rsid w:val="00171050"/>
    <w:rsid w:val="00172DF9"/>
    <w:rsid w:val="00173D58"/>
    <w:rsid w:val="00173EAA"/>
    <w:rsid w:val="00175BEB"/>
    <w:rsid w:val="00176C3D"/>
    <w:rsid w:val="001774C0"/>
    <w:rsid w:val="0018429A"/>
    <w:rsid w:val="00186402"/>
    <w:rsid w:val="00186CE3"/>
    <w:rsid w:val="00190D40"/>
    <w:rsid w:val="00191C48"/>
    <w:rsid w:val="00192787"/>
    <w:rsid w:val="0019362A"/>
    <w:rsid w:val="001939F5"/>
    <w:rsid w:val="001947F2"/>
    <w:rsid w:val="0019497C"/>
    <w:rsid w:val="00194A66"/>
    <w:rsid w:val="00197A32"/>
    <w:rsid w:val="001A0299"/>
    <w:rsid w:val="001A1512"/>
    <w:rsid w:val="001A15BB"/>
    <w:rsid w:val="001A15E3"/>
    <w:rsid w:val="001A2397"/>
    <w:rsid w:val="001A40A1"/>
    <w:rsid w:val="001A479D"/>
    <w:rsid w:val="001A7052"/>
    <w:rsid w:val="001B16A0"/>
    <w:rsid w:val="001B28BD"/>
    <w:rsid w:val="001B2C37"/>
    <w:rsid w:val="001B6342"/>
    <w:rsid w:val="001B7AC6"/>
    <w:rsid w:val="001C1C29"/>
    <w:rsid w:val="001C28ED"/>
    <w:rsid w:val="001C3080"/>
    <w:rsid w:val="001C308C"/>
    <w:rsid w:val="001C53BE"/>
    <w:rsid w:val="001C71BF"/>
    <w:rsid w:val="001D03CB"/>
    <w:rsid w:val="001D08C1"/>
    <w:rsid w:val="001D0960"/>
    <w:rsid w:val="001D0C55"/>
    <w:rsid w:val="001D122D"/>
    <w:rsid w:val="001D216D"/>
    <w:rsid w:val="001D2673"/>
    <w:rsid w:val="001D29EE"/>
    <w:rsid w:val="001D2F0B"/>
    <w:rsid w:val="001D6579"/>
    <w:rsid w:val="001D6BCF"/>
    <w:rsid w:val="001D7DDB"/>
    <w:rsid w:val="001E01CA"/>
    <w:rsid w:val="001E23C4"/>
    <w:rsid w:val="001E24D9"/>
    <w:rsid w:val="001E2FF7"/>
    <w:rsid w:val="001E38E4"/>
    <w:rsid w:val="001E564B"/>
    <w:rsid w:val="001E6E05"/>
    <w:rsid w:val="001E7812"/>
    <w:rsid w:val="001E7AE0"/>
    <w:rsid w:val="001F054C"/>
    <w:rsid w:val="001F3BB0"/>
    <w:rsid w:val="001F6924"/>
    <w:rsid w:val="002028DB"/>
    <w:rsid w:val="002043D9"/>
    <w:rsid w:val="00204D3D"/>
    <w:rsid w:val="00205FC3"/>
    <w:rsid w:val="002129E4"/>
    <w:rsid w:val="00212ECE"/>
    <w:rsid w:val="00213FD3"/>
    <w:rsid w:val="00214C5E"/>
    <w:rsid w:val="00215460"/>
    <w:rsid w:val="00217732"/>
    <w:rsid w:val="00217EF0"/>
    <w:rsid w:val="00220315"/>
    <w:rsid w:val="002219FC"/>
    <w:rsid w:val="002238B7"/>
    <w:rsid w:val="00223E09"/>
    <w:rsid w:val="00223F53"/>
    <w:rsid w:val="0022606D"/>
    <w:rsid w:val="0023150B"/>
    <w:rsid w:val="002320B5"/>
    <w:rsid w:val="00232760"/>
    <w:rsid w:val="00233DDF"/>
    <w:rsid w:val="002353D1"/>
    <w:rsid w:val="00235D2F"/>
    <w:rsid w:val="002365AA"/>
    <w:rsid w:val="0023674F"/>
    <w:rsid w:val="00241E15"/>
    <w:rsid w:val="00242CB2"/>
    <w:rsid w:val="002433A9"/>
    <w:rsid w:val="00245904"/>
    <w:rsid w:val="0025158E"/>
    <w:rsid w:val="00251AA8"/>
    <w:rsid w:val="00252965"/>
    <w:rsid w:val="00252A40"/>
    <w:rsid w:val="002532BB"/>
    <w:rsid w:val="0025587E"/>
    <w:rsid w:val="002612B8"/>
    <w:rsid w:val="00261ED5"/>
    <w:rsid w:val="002622C9"/>
    <w:rsid w:val="002635EC"/>
    <w:rsid w:val="00263D03"/>
    <w:rsid w:val="00264994"/>
    <w:rsid w:val="0026597B"/>
    <w:rsid w:val="00267618"/>
    <w:rsid w:val="002702BC"/>
    <w:rsid w:val="002703C9"/>
    <w:rsid w:val="0027113F"/>
    <w:rsid w:val="00271415"/>
    <w:rsid w:val="00273F8E"/>
    <w:rsid w:val="0027450D"/>
    <w:rsid w:val="00275CF5"/>
    <w:rsid w:val="00275E29"/>
    <w:rsid w:val="0027D9DE"/>
    <w:rsid w:val="0028301F"/>
    <w:rsid w:val="002835E5"/>
    <w:rsid w:val="00284548"/>
    <w:rsid w:val="00285017"/>
    <w:rsid w:val="00290A9C"/>
    <w:rsid w:val="002929C8"/>
    <w:rsid w:val="0029444B"/>
    <w:rsid w:val="00294D11"/>
    <w:rsid w:val="002954E9"/>
    <w:rsid w:val="00296E5E"/>
    <w:rsid w:val="002A169D"/>
    <w:rsid w:val="002A285F"/>
    <w:rsid w:val="002A2D2E"/>
    <w:rsid w:val="002A30BD"/>
    <w:rsid w:val="002A35C3"/>
    <w:rsid w:val="002A3D1B"/>
    <w:rsid w:val="002A41CF"/>
    <w:rsid w:val="002A449A"/>
    <w:rsid w:val="002A4AE1"/>
    <w:rsid w:val="002B6CAC"/>
    <w:rsid w:val="002B780D"/>
    <w:rsid w:val="002B7D24"/>
    <w:rsid w:val="002C00E8"/>
    <w:rsid w:val="002C0BA7"/>
    <w:rsid w:val="002C39F2"/>
    <w:rsid w:val="002C4791"/>
    <w:rsid w:val="002C586B"/>
    <w:rsid w:val="002C58EE"/>
    <w:rsid w:val="002C6403"/>
    <w:rsid w:val="002C67B0"/>
    <w:rsid w:val="002D17C4"/>
    <w:rsid w:val="002D2585"/>
    <w:rsid w:val="002D4AA0"/>
    <w:rsid w:val="002D4C8B"/>
    <w:rsid w:val="002D69A1"/>
    <w:rsid w:val="002D6FCA"/>
    <w:rsid w:val="002D7CE8"/>
    <w:rsid w:val="002D7D6E"/>
    <w:rsid w:val="002E392B"/>
    <w:rsid w:val="002E44CB"/>
    <w:rsid w:val="002E4AC7"/>
    <w:rsid w:val="002E6E87"/>
    <w:rsid w:val="002F0D0C"/>
    <w:rsid w:val="002F2AD8"/>
    <w:rsid w:val="002F4F16"/>
    <w:rsid w:val="00300732"/>
    <w:rsid w:val="0030088A"/>
    <w:rsid w:val="00304B4C"/>
    <w:rsid w:val="0030587A"/>
    <w:rsid w:val="0030696F"/>
    <w:rsid w:val="003129A3"/>
    <w:rsid w:val="00314179"/>
    <w:rsid w:val="0031508B"/>
    <w:rsid w:val="003154A9"/>
    <w:rsid w:val="003156D6"/>
    <w:rsid w:val="00315AB9"/>
    <w:rsid w:val="00322660"/>
    <w:rsid w:val="003252A5"/>
    <w:rsid w:val="00325EFF"/>
    <w:rsid w:val="00325FC2"/>
    <w:rsid w:val="00325FCD"/>
    <w:rsid w:val="00326216"/>
    <w:rsid w:val="00326B11"/>
    <w:rsid w:val="00327F8A"/>
    <w:rsid w:val="0033085B"/>
    <w:rsid w:val="00331140"/>
    <w:rsid w:val="003312E8"/>
    <w:rsid w:val="0033299E"/>
    <w:rsid w:val="00333DDB"/>
    <w:rsid w:val="00335B9C"/>
    <w:rsid w:val="00336E3C"/>
    <w:rsid w:val="00343749"/>
    <w:rsid w:val="00346E9F"/>
    <w:rsid w:val="00347CB1"/>
    <w:rsid w:val="00347CBC"/>
    <w:rsid w:val="003512B0"/>
    <w:rsid w:val="003535FB"/>
    <w:rsid w:val="0036089F"/>
    <w:rsid w:val="00363F00"/>
    <w:rsid w:val="00364530"/>
    <w:rsid w:val="003660ED"/>
    <w:rsid w:val="00370539"/>
    <w:rsid w:val="003771A7"/>
    <w:rsid w:val="003811C1"/>
    <w:rsid w:val="00384FC7"/>
    <w:rsid w:val="0039151E"/>
    <w:rsid w:val="003974ED"/>
    <w:rsid w:val="00397E3A"/>
    <w:rsid w:val="003A2509"/>
    <w:rsid w:val="003A363F"/>
    <w:rsid w:val="003A49B3"/>
    <w:rsid w:val="003A7C84"/>
    <w:rsid w:val="003B0550"/>
    <w:rsid w:val="003B0BAD"/>
    <w:rsid w:val="003B5A57"/>
    <w:rsid w:val="003B61B3"/>
    <w:rsid w:val="003B694F"/>
    <w:rsid w:val="003C0541"/>
    <w:rsid w:val="003C14C5"/>
    <w:rsid w:val="003C555B"/>
    <w:rsid w:val="003C6192"/>
    <w:rsid w:val="003C750B"/>
    <w:rsid w:val="003D151D"/>
    <w:rsid w:val="003D3662"/>
    <w:rsid w:val="003D3B31"/>
    <w:rsid w:val="003D58AD"/>
    <w:rsid w:val="003E0AD2"/>
    <w:rsid w:val="003E0EE2"/>
    <w:rsid w:val="003E5F55"/>
    <w:rsid w:val="003E666A"/>
    <w:rsid w:val="003E7FBC"/>
    <w:rsid w:val="003F00AE"/>
    <w:rsid w:val="003F0B3E"/>
    <w:rsid w:val="003F171C"/>
    <w:rsid w:val="003F1C75"/>
    <w:rsid w:val="003F2853"/>
    <w:rsid w:val="003F3ED2"/>
    <w:rsid w:val="00401110"/>
    <w:rsid w:val="00401CB2"/>
    <w:rsid w:val="00401DD7"/>
    <w:rsid w:val="00401E0A"/>
    <w:rsid w:val="00406E7A"/>
    <w:rsid w:val="00410034"/>
    <w:rsid w:val="00411436"/>
    <w:rsid w:val="00412FC5"/>
    <w:rsid w:val="0041347E"/>
    <w:rsid w:val="0041585D"/>
    <w:rsid w:val="004158BB"/>
    <w:rsid w:val="00416C8C"/>
    <w:rsid w:val="004201BA"/>
    <w:rsid w:val="00420B64"/>
    <w:rsid w:val="00422276"/>
    <w:rsid w:val="004242F1"/>
    <w:rsid w:val="00425D6B"/>
    <w:rsid w:val="00426C48"/>
    <w:rsid w:val="00430FAB"/>
    <w:rsid w:val="00435785"/>
    <w:rsid w:val="00435FFB"/>
    <w:rsid w:val="00436713"/>
    <w:rsid w:val="00436ED9"/>
    <w:rsid w:val="00437A09"/>
    <w:rsid w:val="00440DA9"/>
    <w:rsid w:val="00443635"/>
    <w:rsid w:val="00444028"/>
    <w:rsid w:val="004455D6"/>
    <w:rsid w:val="00445A00"/>
    <w:rsid w:val="00451B0F"/>
    <w:rsid w:val="00451F1B"/>
    <w:rsid w:val="00453D49"/>
    <w:rsid w:val="004608D7"/>
    <w:rsid w:val="004658C9"/>
    <w:rsid w:val="00471743"/>
    <w:rsid w:val="00477EE3"/>
    <w:rsid w:val="0048040D"/>
    <w:rsid w:val="00482C15"/>
    <w:rsid w:val="00483500"/>
    <w:rsid w:val="0048365E"/>
    <w:rsid w:val="00484DBD"/>
    <w:rsid w:val="004861F6"/>
    <w:rsid w:val="00487B47"/>
    <w:rsid w:val="004A0425"/>
    <w:rsid w:val="004A6A7C"/>
    <w:rsid w:val="004B0ACE"/>
    <w:rsid w:val="004B0DE8"/>
    <w:rsid w:val="004B20F0"/>
    <w:rsid w:val="004B39E0"/>
    <w:rsid w:val="004B40CD"/>
    <w:rsid w:val="004B4BE4"/>
    <w:rsid w:val="004B51C1"/>
    <w:rsid w:val="004C0491"/>
    <w:rsid w:val="004C07FD"/>
    <w:rsid w:val="004C1D9C"/>
    <w:rsid w:val="004C2EE3"/>
    <w:rsid w:val="004C330F"/>
    <w:rsid w:val="004C41C1"/>
    <w:rsid w:val="004C4FE2"/>
    <w:rsid w:val="004C714E"/>
    <w:rsid w:val="004E1A20"/>
    <w:rsid w:val="004E34B2"/>
    <w:rsid w:val="004E39B1"/>
    <w:rsid w:val="004E4A22"/>
    <w:rsid w:val="004E7B5A"/>
    <w:rsid w:val="004F0451"/>
    <w:rsid w:val="004F18D6"/>
    <w:rsid w:val="004F2889"/>
    <w:rsid w:val="004F422B"/>
    <w:rsid w:val="004F4293"/>
    <w:rsid w:val="004F5194"/>
    <w:rsid w:val="004F62C4"/>
    <w:rsid w:val="005014AF"/>
    <w:rsid w:val="00503167"/>
    <w:rsid w:val="00504F44"/>
    <w:rsid w:val="005052AC"/>
    <w:rsid w:val="00505911"/>
    <w:rsid w:val="005074D2"/>
    <w:rsid w:val="00511968"/>
    <w:rsid w:val="005122BF"/>
    <w:rsid w:val="0051342D"/>
    <w:rsid w:val="00514781"/>
    <w:rsid w:val="005155DF"/>
    <w:rsid w:val="00517598"/>
    <w:rsid w:val="00520E36"/>
    <w:rsid w:val="00521707"/>
    <w:rsid w:val="00532B28"/>
    <w:rsid w:val="00533348"/>
    <w:rsid w:val="00535D58"/>
    <w:rsid w:val="0053711E"/>
    <w:rsid w:val="00537A2D"/>
    <w:rsid w:val="00537CEC"/>
    <w:rsid w:val="00541031"/>
    <w:rsid w:val="005414C6"/>
    <w:rsid w:val="00541626"/>
    <w:rsid w:val="00544C03"/>
    <w:rsid w:val="00545CB9"/>
    <w:rsid w:val="00545DFB"/>
    <w:rsid w:val="0054677A"/>
    <w:rsid w:val="00547DA6"/>
    <w:rsid w:val="00551884"/>
    <w:rsid w:val="00551934"/>
    <w:rsid w:val="0055218C"/>
    <w:rsid w:val="005548DE"/>
    <w:rsid w:val="0055614C"/>
    <w:rsid w:val="0055622A"/>
    <w:rsid w:val="00556453"/>
    <w:rsid w:val="00561DAA"/>
    <w:rsid w:val="005653B6"/>
    <w:rsid w:val="00566D06"/>
    <w:rsid w:val="00570A0C"/>
    <w:rsid w:val="00571EEB"/>
    <w:rsid w:val="0057336D"/>
    <w:rsid w:val="00573BB9"/>
    <w:rsid w:val="0057625B"/>
    <w:rsid w:val="0057750B"/>
    <w:rsid w:val="00580048"/>
    <w:rsid w:val="0058142C"/>
    <w:rsid w:val="00584082"/>
    <w:rsid w:val="005857F2"/>
    <w:rsid w:val="00585B6C"/>
    <w:rsid w:val="005867B3"/>
    <w:rsid w:val="00591280"/>
    <w:rsid w:val="005924E9"/>
    <w:rsid w:val="005954D9"/>
    <w:rsid w:val="0059706A"/>
    <w:rsid w:val="005A1478"/>
    <w:rsid w:val="005A58C1"/>
    <w:rsid w:val="005A7AC9"/>
    <w:rsid w:val="005B1495"/>
    <w:rsid w:val="005B30FA"/>
    <w:rsid w:val="005C2384"/>
    <w:rsid w:val="005C73F2"/>
    <w:rsid w:val="005D04D7"/>
    <w:rsid w:val="005D0631"/>
    <w:rsid w:val="005D244E"/>
    <w:rsid w:val="005D3237"/>
    <w:rsid w:val="005D3303"/>
    <w:rsid w:val="005D41B8"/>
    <w:rsid w:val="005D6508"/>
    <w:rsid w:val="005D67C6"/>
    <w:rsid w:val="005E09D6"/>
    <w:rsid w:val="005E14C2"/>
    <w:rsid w:val="005E1A3D"/>
    <w:rsid w:val="005E5121"/>
    <w:rsid w:val="005F0900"/>
    <w:rsid w:val="005F0E6F"/>
    <w:rsid w:val="005F557B"/>
    <w:rsid w:val="005F6B47"/>
    <w:rsid w:val="005F70CE"/>
    <w:rsid w:val="005F718A"/>
    <w:rsid w:val="005F7BC6"/>
    <w:rsid w:val="00601907"/>
    <w:rsid w:val="006049F9"/>
    <w:rsid w:val="0060731D"/>
    <w:rsid w:val="00607BA5"/>
    <w:rsid w:val="00607E3C"/>
    <w:rsid w:val="0061180A"/>
    <w:rsid w:val="0061279B"/>
    <w:rsid w:val="00613435"/>
    <w:rsid w:val="0061397C"/>
    <w:rsid w:val="006151CF"/>
    <w:rsid w:val="00620207"/>
    <w:rsid w:val="0062355E"/>
    <w:rsid w:val="00625210"/>
    <w:rsid w:val="006260BD"/>
    <w:rsid w:val="00626EB6"/>
    <w:rsid w:val="0062746E"/>
    <w:rsid w:val="006316A6"/>
    <w:rsid w:val="00633B15"/>
    <w:rsid w:val="00633E28"/>
    <w:rsid w:val="00633E4D"/>
    <w:rsid w:val="00640F29"/>
    <w:rsid w:val="00641BA8"/>
    <w:rsid w:val="00642BBF"/>
    <w:rsid w:val="00642FB0"/>
    <w:rsid w:val="006471B7"/>
    <w:rsid w:val="006478E4"/>
    <w:rsid w:val="00652087"/>
    <w:rsid w:val="00653270"/>
    <w:rsid w:val="00653CBE"/>
    <w:rsid w:val="00654B5F"/>
    <w:rsid w:val="00655D03"/>
    <w:rsid w:val="00656DF2"/>
    <w:rsid w:val="00664CE2"/>
    <w:rsid w:val="00666B3E"/>
    <w:rsid w:val="00670902"/>
    <w:rsid w:val="00672001"/>
    <w:rsid w:val="0067461B"/>
    <w:rsid w:val="006751C9"/>
    <w:rsid w:val="00675326"/>
    <w:rsid w:val="0067547A"/>
    <w:rsid w:val="00675E5C"/>
    <w:rsid w:val="0068013A"/>
    <w:rsid w:val="006803FF"/>
    <w:rsid w:val="00681200"/>
    <w:rsid w:val="00683388"/>
    <w:rsid w:val="00683F84"/>
    <w:rsid w:val="006860AC"/>
    <w:rsid w:val="00687B3D"/>
    <w:rsid w:val="00687F01"/>
    <w:rsid w:val="00690AED"/>
    <w:rsid w:val="00690DE6"/>
    <w:rsid w:val="00692381"/>
    <w:rsid w:val="00692EC7"/>
    <w:rsid w:val="006939FA"/>
    <w:rsid w:val="00694436"/>
    <w:rsid w:val="00696B03"/>
    <w:rsid w:val="00697D6F"/>
    <w:rsid w:val="006A0D37"/>
    <w:rsid w:val="006A1226"/>
    <w:rsid w:val="006A17A4"/>
    <w:rsid w:val="006A2672"/>
    <w:rsid w:val="006A58D1"/>
    <w:rsid w:val="006A6A81"/>
    <w:rsid w:val="006A7347"/>
    <w:rsid w:val="006B00FB"/>
    <w:rsid w:val="006B3628"/>
    <w:rsid w:val="006C0C2C"/>
    <w:rsid w:val="006C26C4"/>
    <w:rsid w:val="006C29E7"/>
    <w:rsid w:val="006C44A4"/>
    <w:rsid w:val="006C67FC"/>
    <w:rsid w:val="006C7BF9"/>
    <w:rsid w:val="006D0C7C"/>
    <w:rsid w:val="006D132F"/>
    <w:rsid w:val="006D1C33"/>
    <w:rsid w:val="006D382A"/>
    <w:rsid w:val="006E0030"/>
    <w:rsid w:val="006E2567"/>
    <w:rsid w:val="006E25FA"/>
    <w:rsid w:val="006E4617"/>
    <w:rsid w:val="006E4FAB"/>
    <w:rsid w:val="006E6512"/>
    <w:rsid w:val="006E6C02"/>
    <w:rsid w:val="006E7AB4"/>
    <w:rsid w:val="006F3A2D"/>
    <w:rsid w:val="006F7393"/>
    <w:rsid w:val="0070015B"/>
    <w:rsid w:val="00701691"/>
    <w:rsid w:val="0070224F"/>
    <w:rsid w:val="00704A95"/>
    <w:rsid w:val="007062A3"/>
    <w:rsid w:val="00706FDB"/>
    <w:rsid w:val="007103D1"/>
    <w:rsid w:val="00710DD2"/>
    <w:rsid w:val="007115F7"/>
    <w:rsid w:val="00712B08"/>
    <w:rsid w:val="0071682A"/>
    <w:rsid w:val="00720162"/>
    <w:rsid w:val="00724119"/>
    <w:rsid w:val="00726D9A"/>
    <w:rsid w:val="00730AEF"/>
    <w:rsid w:val="00731153"/>
    <w:rsid w:val="00733C1C"/>
    <w:rsid w:val="007345B5"/>
    <w:rsid w:val="00735A0B"/>
    <w:rsid w:val="007412F8"/>
    <w:rsid w:val="0074511A"/>
    <w:rsid w:val="00747B84"/>
    <w:rsid w:val="00751DBA"/>
    <w:rsid w:val="007538C3"/>
    <w:rsid w:val="00753A37"/>
    <w:rsid w:val="00754A31"/>
    <w:rsid w:val="00754D77"/>
    <w:rsid w:val="007551E7"/>
    <w:rsid w:val="00761149"/>
    <w:rsid w:val="007650ED"/>
    <w:rsid w:val="00765ECA"/>
    <w:rsid w:val="007661EE"/>
    <w:rsid w:val="0076667C"/>
    <w:rsid w:val="007700E4"/>
    <w:rsid w:val="007704AB"/>
    <w:rsid w:val="00770573"/>
    <w:rsid w:val="007715C9"/>
    <w:rsid w:val="0077287D"/>
    <w:rsid w:val="0077645A"/>
    <w:rsid w:val="007768A0"/>
    <w:rsid w:val="0078190A"/>
    <w:rsid w:val="00783114"/>
    <w:rsid w:val="007832C2"/>
    <w:rsid w:val="00785292"/>
    <w:rsid w:val="00785689"/>
    <w:rsid w:val="0078585D"/>
    <w:rsid w:val="007869B2"/>
    <w:rsid w:val="00787A03"/>
    <w:rsid w:val="0079014E"/>
    <w:rsid w:val="00790787"/>
    <w:rsid w:val="00791C98"/>
    <w:rsid w:val="00791FC1"/>
    <w:rsid w:val="00792017"/>
    <w:rsid w:val="007928DF"/>
    <w:rsid w:val="00793581"/>
    <w:rsid w:val="007950B9"/>
    <w:rsid w:val="0079754B"/>
    <w:rsid w:val="00797FF7"/>
    <w:rsid w:val="007A105D"/>
    <w:rsid w:val="007A1482"/>
    <w:rsid w:val="007A1E6D"/>
    <w:rsid w:val="007A3268"/>
    <w:rsid w:val="007A5103"/>
    <w:rsid w:val="007B051A"/>
    <w:rsid w:val="007B0EB2"/>
    <w:rsid w:val="007B44AA"/>
    <w:rsid w:val="007B46CF"/>
    <w:rsid w:val="007B4AA0"/>
    <w:rsid w:val="007B6E79"/>
    <w:rsid w:val="007C06BB"/>
    <w:rsid w:val="007C2398"/>
    <w:rsid w:val="007C2622"/>
    <w:rsid w:val="007C41EE"/>
    <w:rsid w:val="007C4703"/>
    <w:rsid w:val="007C58A9"/>
    <w:rsid w:val="007C58DF"/>
    <w:rsid w:val="007C5AF0"/>
    <w:rsid w:val="007C5B52"/>
    <w:rsid w:val="007C6000"/>
    <w:rsid w:val="007C64F3"/>
    <w:rsid w:val="007D0687"/>
    <w:rsid w:val="007D08A1"/>
    <w:rsid w:val="007D4061"/>
    <w:rsid w:val="007D5A6D"/>
    <w:rsid w:val="007D64EA"/>
    <w:rsid w:val="007E11CD"/>
    <w:rsid w:val="007F0165"/>
    <w:rsid w:val="007F1A41"/>
    <w:rsid w:val="007F2376"/>
    <w:rsid w:val="007F2BF5"/>
    <w:rsid w:val="007F3688"/>
    <w:rsid w:val="007F53C4"/>
    <w:rsid w:val="007F542A"/>
    <w:rsid w:val="007F6529"/>
    <w:rsid w:val="007F7F5E"/>
    <w:rsid w:val="00800270"/>
    <w:rsid w:val="008022A6"/>
    <w:rsid w:val="00802CA9"/>
    <w:rsid w:val="0080356B"/>
    <w:rsid w:val="00807B78"/>
    <w:rsid w:val="0081021C"/>
    <w:rsid w:val="0081073D"/>
    <w:rsid w:val="00810B6F"/>
    <w:rsid w:val="00812351"/>
    <w:rsid w:val="00812B08"/>
    <w:rsid w:val="00815601"/>
    <w:rsid w:val="008208C9"/>
    <w:rsid w:val="00822CE0"/>
    <w:rsid w:val="00826662"/>
    <w:rsid w:val="00826E2B"/>
    <w:rsid w:val="008301E4"/>
    <w:rsid w:val="00832C1B"/>
    <w:rsid w:val="00832FFF"/>
    <w:rsid w:val="00833162"/>
    <w:rsid w:val="00833602"/>
    <w:rsid w:val="008337F6"/>
    <w:rsid w:val="00835503"/>
    <w:rsid w:val="00837337"/>
    <w:rsid w:val="00841437"/>
    <w:rsid w:val="00841AB1"/>
    <w:rsid w:val="00841EAC"/>
    <w:rsid w:val="00842128"/>
    <w:rsid w:val="0084294A"/>
    <w:rsid w:val="00844879"/>
    <w:rsid w:val="00846FFF"/>
    <w:rsid w:val="00850FA7"/>
    <w:rsid w:val="0085292B"/>
    <w:rsid w:val="00852D2C"/>
    <w:rsid w:val="00853FF7"/>
    <w:rsid w:val="008562C7"/>
    <w:rsid w:val="0085675F"/>
    <w:rsid w:val="00856C62"/>
    <w:rsid w:val="008602D3"/>
    <w:rsid w:val="00860A13"/>
    <w:rsid w:val="00867104"/>
    <w:rsid w:val="00867D95"/>
    <w:rsid w:val="00871954"/>
    <w:rsid w:val="00871AE4"/>
    <w:rsid w:val="0087278E"/>
    <w:rsid w:val="008742E0"/>
    <w:rsid w:val="008756CC"/>
    <w:rsid w:val="00881A98"/>
    <w:rsid w:val="00882DCA"/>
    <w:rsid w:val="00883155"/>
    <w:rsid w:val="00883C32"/>
    <w:rsid w:val="00886174"/>
    <w:rsid w:val="008900A5"/>
    <w:rsid w:val="00891BA7"/>
    <w:rsid w:val="008935D0"/>
    <w:rsid w:val="00893BE8"/>
    <w:rsid w:val="00893C9A"/>
    <w:rsid w:val="00894110"/>
    <w:rsid w:val="008A03AE"/>
    <w:rsid w:val="008A0AB5"/>
    <w:rsid w:val="008A15C0"/>
    <w:rsid w:val="008A36BD"/>
    <w:rsid w:val="008A3CDB"/>
    <w:rsid w:val="008A52E3"/>
    <w:rsid w:val="008A6BF4"/>
    <w:rsid w:val="008B001E"/>
    <w:rsid w:val="008B0B61"/>
    <w:rsid w:val="008B2C45"/>
    <w:rsid w:val="008B2D5B"/>
    <w:rsid w:val="008B47DA"/>
    <w:rsid w:val="008B6C5A"/>
    <w:rsid w:val="008C0A09"/>
    <w:rsid w:val="008C2617"/>
    <w:rsid w:val="008C550E"/>
    <w:rsid w:val="008C56FB"/>
    <w:rsid w:val="008C62F6"/>
    <w:rsid w:val="008C68F1"/>
    <w:rsid w:val="008D02DD"/>
    <w:rsid w:val="008D2205"/>
    <w:rsid w:val="008D49F2"/>
    <w:rsid w:val="008D5152"/>
    <w:rsid w:val="008D5658"/>
    <w:rsid w:val="008D7A46"/>
    <w:rsid w:val="008E1171"/>
    <w:rsid w:val="008E2BC2"/>
    <w:rsid w:val="008E56C6"/>
    <w:rsid w:val="008E771B"/>
    <w:rsid w:val="008E7C98"/>
    <w:rsid w:val="008F1291"/>
    <w:rsid w:val="008F5D76"/>
    <w:rsid w:val="00901DDD"/>
    <w:rsid w:val="00902386"/>
    <w:rsid w:val="009064D3"/>
    <w:rsid w:val="00906608"/>
    <w:rsid w:val="00906E74"/>
    <w:rsid w:val="00907ABF"/>
    <w:rsid w:val="00911ACF"/>
    <w:rsid w:val="009136C3"/>
    <w:rsid w:val="009156B9"/>
    <w:rsid w:val="00917669"/>
    <w:rsid w:val="009214AE"/>
    <w:rsid w:val="009217D3"/>
    <w:rsid w:val="00921803"/>
    <w:rsid w:val="00924BE0"/>
    <w:rsid w:val="00924EAF"/>
    <w:rsid w:val="00925106"/>
    <w:rsid w:val="009254F6"/>
    <w:rsid w:val="00926503"/>
    <w:rsid w:val="00933ABE"/>
    <w:rsid w:val="009340D2"/>
    <w:rsid w:val="00934D8A"/>
    <w:rsid w:val="009366B0"/>
    <w:rsid w:val="009372B4"/>
    <w:rsid w:val="00937409"/>
    <w:rsid w:val="0094290A"/>
    <w:rsid w:val="00944C92"/>
    <w:rsid w:val="00945C7A"/>
    <w:rsid w:val="009476B1"/>
    <w:rsid w:val="00950AD9"/>
    <w:rsid w:val="0095473E"/>
    <w:rsid w:val="00960767"/>
    <w:rsid w:val="009620C4"/>
    <w:rsid w:val="00966D6B"/>
    <w:rsid w:val="009672D3"/>
    <w:rsid w:val="00972252"/>
    <w:rsid w:val="009726D8"/>
    <w:rsid w:val="0097376C"/>
    <w:rsid w:val="00973846"/>
    <w:rsid w:val="009758A1"/>
    <w:rsid w:val="00976C5A"/>
    <w:rsid w:val="00977E0B"/>
    <w:rsid w:val="00980C89"/>
    <w:rsid w:val="0098231B"/>
    <w:rsid w:val="00982775"/>
    <w:rsid w:val="00987F94"/>
    <w:rsid w:val="00991383"/>
    <w:rsid w:val="0099603E"/>
    <w:rsid w:val="009A060A"/>
    <w:rsid w:val="009A1C1D"/>
    <w:rsid w:val="009A4552"/>
    <w:rsid w:val="009B0601"/>
    <w:rsid w:val="009B0D5E"/>
    <w:rsid w:val="009B491A"/>
    <w:rsid w:val="009C0015"/>
    <w:rsid w:val="009C3B09"/>
    <w:rsid w:val="009D00DC"/>
    <w:rsid w:val="009D0AE5"/>
    <w:rsid w:val="009D107A"/>
    <w:rsid w:val="009D18EE"/>
    <w:rsid w:val="009D2A57"/>
    <w:rsid w:val="009D4421"/>
    <w:rsid w:val="009D45AF"/>
    <w:rsid w:val="009D5A49"/>
    <w:rsid w:val="009D6185"/>
    <w:rsid w:val="009D6B3D"/>
    <w:rsid w:val="009D7308"/>
    <w:rsid w:val="009E2493"/>
    <w:rsid w:val="009E4E1B"/>
    <w:rsid w:val="009E4F96"/>
    <w:rsid w:val="009E5D78"/>
    <w:rsid w:val="009E769F"/>
    <w:rsid w:val="009F078E"/>
    <w:rsid w:val="009F3BE3"/>
    <w:rsid w:val="009F42ED"/>
    <w:rsid w:val="009F65FB"/>
    <w:rsid w:val="009F7478"/>
    <w:rsid w:val="009F76DB"/>
    <w:rsid w:val="009F78C8"/>
    <w:rsid w:val="009F790A"/>
    <w:rsid w:val="009F7C03"/>
    <w:rsid w:val="00A00D06"/>
    <w:rsid w:val="00A01093"/>
    <w:rsid w:val="00A03B94"/>
    <w:rsid w:val="00A05693"/>
    <w:rsid w:val="00A05838"/>
    <w:rsid w:val="00A102CC"/>
    <w:rsid w:val="00A14E41"/>
    <w:rsid w:val="00A1614F"/>
    <w:rsid w:val="00A179CB"/>
    <w:rsid w:val="00A17ECC"/>
    <w:rsid w:val="00A17F64"/>
    <w:rsid w:val="00A22AAB"/>
    <w:rsid w:val="00A22CA5"/>
    <w:rsid w:val="00A23E40"/>
    <w:rsid w:val="00A24C71"/>
    <w:rsid w:val="00A27FBF"/>
    <w:rsid w:val="00A32C3B"/>
    <w:rsid w:val="00A34056"/>
    <w:rsid w:val="00A340F0"/>
    <w:rsid w:val="00A37BF5"/>
    <w:rsid w:val="00A4221B"/>
    <w:rsid w:val="00A42CF8"/>
    <w:rsid w:val="00A44825"/>
    <w:rsid w:val="00A45B2D"/>
    <w:rsid w:val="00A45F4F"/>
    <w:rsid w:val="00A52BA7"/>
    <w:rsid w:val="00A53D2C"/>
    <w:rsid w:val="00A54CCA"/>
    <w:rsid w:val="00A55EA1"/>
    <w:rsid w:val="00A600A9"/>
    <w:rsid w:val="00A60690"/>
    <w:rsid w:val="00A636B1"/>
    <w:rsid w:val="00A65A83"/>
    <w:rsid w:val="00A66B6D"/>
    <w:rsid w:val="00A67180"/>
    <w:rsid w:val="00A70080"/>
    <w:rsid w:val="00A7051E"/>
    <w:rsid w:val="00A71050"/>
    <w:rsid w:val="00A71BFF"/>
    <w:rsid w:val="00A7211A"/>
    <w:rsid w:val="00A72719"/>
    <w:rsid w:val="00A731BC"/>
    <w:rsid w:val="00A74567"/>
    <w:rsid w:val="00A74621"/>
    <w:rsid w:val="00A7530F"/>
    <w:rsid w:val="00A757E5"/>
    <w:rsid w:val="00A759A4"/>
    <w:rsid w:val="00A75BD5"/>
    <w:rsid w:val="00A7649C"/>
    <w:rsid w:val="00A771FA"/>
    <w:rsid w:val="00A7786F"/>
    <w:rsid w:val="00A82063"/>
    <w:rsid w:val="00A822CD"/>
    <w:rsid w:val="00A82C40"/>
    <w:rsid w:val="00A8417F"/>
    <w:rsid w:val="00A8567E"/>
    <w:rsid w:val="00A85A67"/>
    <w:rsid w:val="00A86B3A"/>
    <w:rsid w:val="00A91A60"/>
    <w:rsid w:val="00A92DB0"/>
    <w:rsid w:val="00A9420F"/>
    <w:rsid w:val="00AA01AC"/>
    <w:rsid w:val="00AA2C1A"/>
    <w:rsid w:val="00AA55B7"/>
    <w:rsid w:val="00AA5B9E"/>
    <w:rsid w:val="00AA7CB8"/>
    <w:rsid w:val="00AB2407"/>
    <w:rsid w:val="00AB311E"/>
    <w:rsid w:val="00AB429A"/>
    <w:rsid w:val="00AB4426"/>
    <w:rsid w:val="00AB53DF"/>
    <w:rsid w:val="00AB5AA9"/>
    <w:rsid w:val="00AB5C9A"/>
    <w:rsid w:val="00AC1359"/>
    <w:rsid w:val="00AC28E2"/>
    <w:rsid w:val="00AC47DA"/>
    <w:rsid w:val="00AC7FD2"/>
    <w:rsid w:val="00AD1793"/>
    <w:rsid w:val="00AD218B"/>
    <w:rsid w:val="00AD5950"/>
    <w:rsid w:val="00AE0DB4"/>
    <w:rsid w:val="00AE2AAA"/>
    <w:rsid w:val="00AE3C96"/>
    <w:rsid w:val="00AE6A38"/>
    <w:rsid w:val="00AF02A9"/>
    <w:rsid w:val="00AF11E5"/>
    <w:rsid w:val="00AF5203"/>
    <w:rsid w:val="00AF687B"/>
    <w:rsid w:val="00AF6DBD"/>
    <w:rsid w:val="00B00045"/>
    <w:rsid w:val="00B00BD8"/>
    <w:rsid w:val="00B013A6"/>
    <w:rsid w:val="00B01F1C"/>
    <w:rsid w:val="00B02057"/>
    <w:rsid w:val="00B02333"/>
    <w:rsid w:val="00B0246B"/>
    <w:rsid w:val="00B05DDE"/>
    <w:rsid w:val="00B0643B"/>
    <w:rsid w:val="00B07E5C"/>
    <w:rsid w:val="00B10D41"/>
    <w:rsid w:val="00B1313D"/>
    <w:rsid w:val="00B1499A"/>
    <w:rsid w:val="00B157F2"/>
    <w:rsid w:val="00B20935"/>
    <w:rsid w:val="00B22168"/>
    <w:rsid w:val="00B23438"/>
    <w:rsid w:val="00B24895"/>
    <w:rsid w:val="00B319F1"/>
    <w:rsid w:val="00B345A1"/>
    <w:rsid w:val="00B3580F"/>
    <w:rsid w:val="00B36113"/>
    <w:rsid w:val="00B37D45"/>
    <w:rsid w:val="00B4433E"/>
    <w:rsid w:val="00B4603E"/>
    <w:rsid w:val="00B5244E"/>
    <w:rsid w:val="00B53C05"/>
    <w:rsid w:val="00B54DE8"/>
    <w:rsid w:val="00B55375"/>
    <w:rsid w:val="00B55525"/>
    <w:rsid w:val="00B55F56"/>
    <w:rsid w:val="00B5678E"/>
    <w:rsid w:val="00B74BC4"/>
    <w:rsid w:val="00B80C77"/>
    <w:rsid w:val="00B811F7"/>
    <w:rsid w:val="00B822EB"/>
    <w:rsid w:val="00B872C4"/>
    <w:rsid w:val="00B87DED"/>
    <w:rsid w:val="00B900F3"/>
    <w:rsid w:val="00B90144"/>
    <w:rsid w:val="00B94100"/>
    <w:rsid w:val="00B96743"/>
    <w:rsid w:val="00BA0D82"/>
    <w:rsid w:val="00BA20F6"/>
    <w:rsid w:val="00BA4A72"/>
    <w:rsid w:val="00BA5DC6"/>
    <w:rsid w:val="00BA6196"/>
    <w:rsid w:val="00BA7010"/>
    <w:rsid w:val="00BB09CB"/>
    <w:rsid w:val="00BB425E"/>
    <w:rsid w:val="00BB498A"/>
    <w:rsid w:val="00BB4B00"/>
    <w:rsid w:val="00BB4E4B"/>
    <w:rsid w:val="00BB6483"/>
    <w:rsid w:val="00BC0240"/>
    <w:rsid w:val="00BC1967"/>
    <w:rsid w:val="00BC20B4"/>
    <w:rsid w:val="00BC5403"/>
    <w:rsid w:val="00BC6D8C"/>
    <w:rsid w:val="00BC72A9"/>
    <w:rsid w:val="00BC7D58"/>
    <w:rsid w:val="00BD2D48"/>
    <w:rsid w:val="00BD71FE"/>
    <w:rsid w:val="00BD7B56"/>
    <w:rsid w:val="00BE1AFF"/>
    <w:rsid w:val="00BE3155"/>
    <w:rsid w:val="00BE6604"/>
    <w:rsid w:val="00BF04C9"/>
    <w:rsid w:val="00BF248C"/>
    <w:rsid w:val="00BF3399"/>
    <w:rsid w:val="00BF3FEC"/>
    <w:rsid w:val="00C002C5"/>
    <w:rsid w:val="00C100D4"/>
    <w:rsid w:val="00C101D1"/>
    <w:rsid w:val="00C10640"/>
    <w:rsid w:val="00C116D6"/>
    <w:rsid w:val="00C13257"/>
    <w:rsid w:val="00C14113"/>
    <w:rsid w:val="00C14D7F"/>
    <w:rsid w:val="00C15165"/>
    <w:rsid w:val="00C17E9D"/>
    <w:rsid w:val="00C2057D"/>
    <w:rsid w:val="00C21E0F"/>
    <w:rsid w:val="00C2526C"/>
    <w:rsid w:val="00C27009"/>
    <w:rsid w:val="00C27106"/>
    <w:rsid w:val="00C31530"/>
    <w:rsid w:val="00C339FF"/>
    <w:rsid w:val="00C34006"/>
    <w:rsid w:val="00C3483A"/>
    <w:rsid w:val="00C36B4C"/>
    <w:rsid w:val="00C425EE"/>
    <w:rsid w:val="00C426B1"/>
    <w:rsid w:val="00C42733"/>
    <w:rsid w:val="00C44BDE"/>
    <w:rsid w:val="00C44FCD"/>
    <w:rsid w:val="00C456D8"/>
    <w:rsid w:val="00C4774B"/>
    <w:rsid w:val="00C550CB"/>
    <w:rsid w:val="00C56724"/>
    <w:rsid w:val="00C56A28"/>
    <w:rsid w:val="00C6262D"/>
    <w:rsid w:val="00C65B06"/>
    <w:rsid w:val="00C65B1A"/>
    <w:rsid w:val="00C65BD0"/>
    <w:rsid w:val="00C66160"/>
    <w:rsid w:val="00C721AC"/>
    <w:rsid w:val="00C77B22"/>
    <w:rsid w:val="00C801FF"/>
    <w:rsid w:val="00C8055D"/>
    <w:rsid w:val="00C80B10"/>
    <w:rsid w:val="00C818B2"/>
    <w:rsid w:val="00C82028"/>
    <w:rsid w:val="00C84F56"/>
    <w:rsid w:val="00C859CD"/>
    <w:rsid w:val="00C87947"/>
    <w:rsid w:val="00C87F9F"/>
    <w:rsid w:val="00C90D6A"/>
    <w:rsid w:val="00C92BA3"/>
    <w:rsid w:val="00C93350"/>
    <w:rsid w:val="00C954E0"/>
    <w:rsid w:val="00C95F1A"/>
    <w:rsid w:val="00C96048"/>
    <w:rsid w:val="00C96FA4"/>
    <w:rsid w:val="00C97C4C"/>
    <w:rsid w:val="00CA1A6B"/>
    <w:rsid w:val="00CA2110"/>
    <w:rsid w:val="00CA247E"/>
    <w:rsid w:val="00CA3085"/>
    <w:rsid w:val="00CA42FA"/>
    <w:rsid w:val="00CA4BBF"/>
    <w:rsid w:val="00CA6CE8"/>
    <w:rsid w:val="00CA6D21"/>
    <w:rsid w:val="00CA6DE6"/>
    <w:rsid w:val="00CB0060"/>
    <w:rsid w:val="00CB0FE6"/>
    <w:rsid w:val="00CB3DE5"/>
    <w:rsid w:val="00CB4325"/>
    <w:rsid w:val="00CB4626"/>
    <w:rsid w:val="00CB5F8A"/>
    <w:rsid w:val="00CC299B"/>
    <w:rsid w:val="00CC2EF4"/>
    <w:rsid w:val="00CC4516"/>
    <w:rsid w:val="00CC51B7"/>
    <w:rsid w:val="00CC5873"/>
    <w:rsid w:val="00CC63F1"/>
    <w:rsid w:val="00CC72B6"/>
    <w:rsid w:val="00CC73C1"/>
    <w:rsid w:val="00CD1022"/>
    <w:rsid w:val="00CD4410"/>
    <w:rsid w:val="00CD713F"/>
    <w:rsid w:val="00CD7ADD"/>
    <w:rsid w:val="00CE1288"/>
    <w:rsid w:val="00CE1A05"/>
    <w:rsid w:val="00CE2048"/>
    <w:rsid w:val="00CE48FC"/>
    <w:rsid w:val="00CE4BD9"/>
    <w:rsid w:val="00CE5719"/>
    <w:rsid w:val="00CE7069"/>
    <w:rsid w:val="00CE7546"/>
    <w:rsid w:val="00CF29BC"/>
    <w:rsid w:val="00CF6ABE"/>
    <w:rsid w:val="00CF75F8"/>
    <w:rsid w:val="00D0047F"/>
    <w:rsid w:val="00D0218D"/>
    <w:rsid w:val="00D035C1"/>
    <w:rsid w:val="00D039EE"/>
    <w:rsid w:val="00D03E06"/>
    <w:rsid w:val="00D047D1"/>
    <w:rsid w:val="00D04E9F"/>
    <w:rsid w:val="00D05C00"/>
    <w:rsid w:val="00D066EF"/>
    <w:rsid w:val="00D07A6E"/>
    <w:rsid w:val="00D07B7A"/>
    <w:rsid w:val="00D10C60"/>
    <w:rsid w:val="00D13D2B"/>
    <w:rsid w:val="00D14B3C"/>
    <w:rsid w:val="00D158AF"/>
    <w:rsid w:val="00D177E7"/>
    <w:rsid w:val="00D17BB3"/>
    <w:rsid w:val="00D21B76"/>
    <w:rsid w:val="00D23D04"/>
    <w:rsid w:val="00D24F00"/>
    <w:rsid w:val="00D25FB5"/>
    <w:rsid w:val="00D2752A"/>
    <w:rsid w:val="00D31990"/>
    <w:rsid w:val="00D31C1F"/>
    <w:rsid w:val="00D321B5"/>
    <w:rsid w:val="00D33AE6"/>
    <w:rsid w:val="00D348C7"/>
    <w:rsid w:val="00D37E41"/>
    <w:rsid w:val="00D4037C"/>
    <w:rsid w:val="00D40B03"/>
    <w:rsid w:val="00D433CD"/>
    <w:rsid w:val="00D43EC4"/>
    <w:rsid w:val="00D44223"/>
    <w:rsid w:val="00D45DC8"/>
    <w:rsid w:val="00D46BC6"/>
    <w:rsid w:val="00D50C2E"/>
    <w:rsid w:val="00D5257E"/>
    <w:rsid w:val="00D52EE2"/>
    <w:rsid w:val="00D541CA"/>
    <w:rsid w:val="00D56B0F"/>
    <w:rsid w:val="00D613F9"/>
    <w:rsid w:val="00D61A23"/>
    <w:rsid w:val="00D63263"/>
    <w:rsid w:val="00D63DB0"/>
    <w:rsid w:val="00D6426F"/>
    <w:rsid w:val="00D64B91"/>
    <w:rsid w:val="00D70E6F"/>
    <w:rsid w:val="00D73CB6"/>
    <w:rsid w:val="00D77787"/>
    <w:rsid w:val="00D77E39"/>
    <w:rsid w:val="00D8030B"/>
    <w:rsid w:val="00D81672"/>
    <w:rsid w:val="00D821DC"/>
    <w:rsid w:val="00D8540B"/>
    <w:rsid w:val="00D85AEB"/>
    <w:rsid w:val="00D9193D"/>
    <w:rsid w:val="00D91C25"/>
    <w:rsid w:val="00D95760"/>
    <w:rsid w:val="00D95D1D"/>
    <w:rsid w:val="00DA16B0"/>
    <w:rsid w:val="00DA2386"/>
    <w:rsid w:val="00DA2529"/>
    <w:rsid w:val="00DA4FAC"/>
    <w:rsid w:val="00DA7E0C"/>
    <w:rsid w:val="00DA7E25"/>
    <w:rsid w:val="00DB130A"/>
    <w:rsid w:val="00DB20E0"/>
    <w:rsid w:val="00DB2EBB"/>
    <w:rsid w:val="00DB53D8"/>
    <w:rsid w:val="00DB7508"/>
    <w:rsid w:val="00DC0570"/>
    <w:rsid w:val="00DC0782"/>
    <w:rsid w:val="00DC10A1"/>
    <w:rsid w:val="00DC1371"/>
    <w:rsid w:val="00DC2F7E"/>
    <w:rsid w:val="00DC350A"/>
    <w:rsid w:val="00DC53AA"/>
    <w:rsid w:val="00DC5FF7"/>
    <w:rsid w:val="00DC655F"/>
    <w:rsid w:val="00DD0641"/>
    <w:rsid w:val="00DD0B59"/>
    <w:rsid w:val="00DD13A9"/>
    <w:rsid w:val="00DD13F7"/>
    <w:rsid w:val="00DD15BA"/>
    <w:rsid w:val="00DD15FE"/>
    <w:rsid w:val="00DD41BB"/>
    <w:rsid w:val="00DD6BA1"/>
    <w:rsid w:val="00DD6CD1"/>
    <w:rsid w:val="00DD7EBD"/>
    <w:rsid w:val="00DE0A36"/>
    <w:rsid w:val="00DE0D1B"/>
    <w:rsid w:val="00DE239B"/>
    <w:rsid w:val="00DE365D"/>
    <w:rsid w:val="00DE3721"/>
    <w:rsid w:val="00DF12F9"/>
    <w:rsid w:val="00DF45D1"/>
    <w:rsid w:val="00DF5253"/>
    <w:rsid w:val="00DF5290"/>
    <w:rsid w:val="00DF62B6"/>
    <w:rsid w:val="00E00B35"/>
    <w:rsid w:val="00E00EE8"/>
    <w:rsid w:val="00E020EC"/>
    <w:rsid w:val="00E02D67"/>
    <w:rsid w:val="00E042DF"/>
    <w:rsid w:val="00E05183"/>
    <w:rsid w:val="00E07225"/>
    <w:rsid w:val="00E075F4"/>
    <w:rsid w:val="00E07F1F"/>
    <w:rsid w:val="00E1238E"/>
    <w:rsid w:val="00E126FD"/>
    <w:rsid w:val="00E132D6"/>
    <w:rsid w:val="00E162A0"/>
    <w:rsid w:val="00E20FE8"/>
    <w:rsid w:val="00E24B56"/>
    <w:rsid w:val="00E25124"/>
    <w:rsid w:val="00E2552D"/>
    <w:rsid w:val="00E27089"/>
    <w:rsid w:val="00E30711"/>
    <w:rsid w:val="00E30929"/>
    <w:rsid w:val="00E31C34"/>
    <w:rsid w:val="00E32C5D"/>
    <w:rsid w:val="00E337EE"/>
    <w:rsid w:val="00E34264"/>
    <w:rsid w:val="00E345A7"/>
    <w:rsid w:val="00E36387"/>
    <w:rsid w:val="00E402E2"/>
    <w:rsid w:val="00E4106F"/>
    <w:rsid w:val="00E45D6B"/>
    <w:rsid w:val="00E46984"/>
    <w:rsid w:val="00E46DD9"/>
    <w:rsid w:val="00E46E1B"/>
    <w:rsid w:val="00E47D23"/>
    <w:rsid w:val="00E5004D"/>
    <w:rsid w:val="00E50636"/>
    <w:rsid w:val="00E5099A"/>
    <w:rsid w:val="00E518F4"/>
    <w:rsid w:val="00E52657"/>
    <w:rsid w:val="00E5409F"/>
    <w:rsid w:val="00E542D7"/>
    <w:rsid w:val="00E54D68"/>
    <w:rsid w:val="00E55E4E"/>
    <w:rsid w:val="00E56F74"/>
    <w:rsid w:val="00E57DE9"/>
    <w:rsid w:val="00E61456"/>
    <w:rsid w:val="00E61DBB"/>
    <w:rsid w:val="00E6328C"/>
    <w:rsid w:val="00E632CE"/>
    <w:rsid w:val="00E67E73"/>
    <w:rsid w:val="00E7000D"/>
    <w:rsid w:val="00E70BCF"/>
    <w:rsid w:val="00E72C88"/>
    <w:rsid w:val="00E7319E"/>
    <w:rsid w:val="00E745E3"/>
    <w:rsid w:val="00E806F8"/>
    <w:rsid w:val="00E82816"/>
    <w:rsid w:val="00E83918"/>
    <w:rsid w:val="00E84BD8"/>
    <w:rsid w:val="00E87AE9"/>
    <w:rsid w:val="00E90B78"/>
    <w:rsid w:val="00E91012"/>
    <w:rsid w:val="00E91E6E"/>
    <w:rsid w:val="00E92001"/>
    <w:rsid w:val="00E947D5"/>
    <w:rsid w:val="00E94CDF"/>
    <w:rsid w:val="00E96AD4"/>
    <w:rsid w:val="00E97A00"/>
    <w:rsid w:val="00EA0034"/>
    <w:rsid w:val="00EA020E"/>
    <w:rsid w:val="00EA3334"/>
    <w:rsid w:val="00EA4305"/>
    <w:rsid w:val="00EA47E0"/>
    <w:rsid w:val="00EB02BA"/>
    <w:rsid w:val="00EB03C0"/>
    <w:rsid w:val="00EB0754"/>
    <w:rsid w:val="00EB49F6"/>
    <w:rsid w:val="00EB4D93"/>
    <w:rsid w:val="00EB5738"/>
    <w:rsid w:val="00EB5F9F"/>
    <w:rsid w:val="00EC0286"/>
    <w:rsid w:val="00EC0D81"/>
    <w:rsid w:val="00EC53BC"/>
    <w:rsid w:val="00EC5F45"/>
    <w:rsid w:val="00EC6CAB"/>
    <w:rsid w:val="00ED1114"/>
    <w:rsid w:val="00ED24CA"/>
    <w:rsid w:val="00ED29FC"/>
    <w:rsid w:val="00ED2EF8"/>
    <w:rsid w:val="00ED302C"/>
    <w:rsid w:val="00ED4ECC"/>
    <w:rsid w:val="00ED52BE"/>
    <w:rsid w:val="00ED6BC7"/>
    <w:rsid w:val="00ED7102"/>
    <w:rsid w:val="00ED7931"/>
    <w:rsid w:val="00EE231E"/>
    <w:rsid w:val="00EE236E"/>
    <w:rsid w:val="00EE3D4C"/>
    <w:rsid w:val="00EE6488"/>
    <w:rsid w:val="00EE7318"/>
    <w:rsid w:val="00EF0DAC"/>
    <w:rsid w:val="00EF1526"/>
    <w:rsid w:val="00EF318F"/>
    <w:rsid w:val="00EF5A23"/>
    <w:rsid w:val="00EF7EAF"/>
    <w:rsid w:val="00F002E4"/>
    <w:rsid w:val="00F021FA"/>
    <w:rsid w:val="00F02AC6"/>
    <w:rsid w:val="00F02B3C"/>
    <w:rsid w:val="00F10394"/>
    <w:rsid w:val="00F10D1F"/>
    <w:rsid w:val="00F12376"/>
    <w:rsid w:val="00F13A1A"/>
    <w:rsid w:val="00F148A0"/>
    <w:rsid w:val="00F15504"/>
    <w:rsid w:val="00F2115A"/>
    <w:rsid w:val="00F24267"/>
    <w:rsid w:val="00F24777"/>
    <w:rsid w:val="00F25725"/>
    <w:rsid w:val="00F257DF"/>
    <w:rsid w:val="00F26211"/>
    <w:rsid w:val="00F27ABA"/>
    <w:rsid w:val="00F27CF1"/>
    <w:rsid w:val="00F30C49"/>
    <w:rsid w:val="00F3442F"/>
    <w:rsid w:val="00F34491"/>
    <w:rsid w:val="00F357C7"/>
    <w:rsid w:val="00F361A7"/>
    <w:rsid w:val="00F404B8"/>
    <w:rsid w:val="00F40AA6"/>
    <w:rsid w:val="00F41877"/>
    <w:rsid w:val="00F42B79"/>
    <w:rsid w:val="00F4359D"/>
    <w:rsid w:val="00F43DBD"/>
    <w:rsid w:val="00F44023"/>
    <w:rsid w:val="00F458D2"/>
    <w:rsid w:val="00F45AF5"/>
    <w:rsid w:val="00F47C45"/>
    <w:rsid w:val="00F47C58"/>
    <w:rsid w:val="00F55A5C"/>
    <w:rsid w:val="00F568D1"/>
    <w:rsid w:val="00F57C98"/>
    <w:rsid w:val="00F6097B"/>
    <w:rsid w:val="00F615BD"/>
    <w:rsid w:val="00F62E97"/>
    <w:rsid w:val="00F6381D"/>
    <w:rsid w:val="00F64209"/>
    <w:rsid w:val="00F64656"/>
    <w:rsid w:val="00F65410"/>
    <w:rsid w:val="00F658D0"/>
    <w:rsid w:val="00F705D9"/>
    <w:rsid w:val="00F71AE0"/>
    <w:rsid w:val="00F71EDD"/>
    <w:rsid w:val="00F72491"/>
    <w:rsid w:val="00F73678"/>
    <w:rsid w:val="00F749B5"/>
    <w:rsid w:val="00F77501"/>
    <w:rsid w:val="00F80F17"/>
    <w:rsid w:val="00F82690"/>
    <w:rsid w:val="00F836F2"/>
    <w:rsid w:val="00F93650"/>
    <w:rsid w:val="00F93BF5"/>
    <w:rsid w:val="00F94B08"/>
    <w:rsid w:val="00F950B7"/>
    <w:rsid w:val="00F95A80"/>
    <w:rsid w:val="00F96373"/>
    <w:rsid w:val="00FA29A1"/>
    <w:rsid w:val="00FA3FA1"/>
    <w:rsid w:val="00FA75CD"/>
    <w:rsid w:val="00FA7A3F"/>
    <w:rsid w:val="00FB0123"/>
    <w:rsid w:val="00FB287B"/>
    <w:rsid w:val="00FB7236"/>
    <w:rsid w:val="00FB73CA"/>
    <w:rsid w:val="00FC1062"/>
    <w:rsid w:val="00FC1CFE"/>
    <w:rsid w:val="00FC34CD"/>
    <w:rsid w:val="00FC719F"/>
    <w:rsid w:val="00FD0B1A"/>
    <w:rsid w:val="00FD11EC"/>
    <w:rsid w:val="00FD33CE"/>
    <w:rsid w:val="00FD41CD"/>
    <w:rsid w:val="00FD6D3D"/>
    <w:rsid w:val="00FD7312"/>
    <w:rsid w:val="00FE0348"/>
    <w:rsid w:val="00FE132C"/>
    <w:rsid w:val="00FE1D91"/>
    <w:rsid w:val="00FE5A9B"/>
    <w:rsid w:val="00FF0682"/>
    <w:rsid w:val="00FF1788"/>
    <w:rsid w:val="00FF3547"/>
    <w:rsid w:val="00FF4630"/>
    <w:rsid w:val="00FF4D1B"/>
    <w:rsid w:val="00FF4F46"/>
    <w:rsid w:val="00FF61AF"/>
    <w:rsid w:val="00FF6C6F"/>
    <w:rsid w:val="00FF70D9"/>
    <w:rsid w:val="01F80827"/>
    <w:rsid w:val="02C21C2B"/>
    <w:rsid w:val="071BB4F6"/>
    <w:rsid w:val="07F94BD1"/>
    <w:rsid w:val="0CE308F8"/>
    <w:rsid w:val="0F5172F4"/>
    <w:rsid w:val="10D0BC36"/>
    <w:rsid w:val="13EB042B"/>
    <w:rsid w:val="159155BE"/>
    <w:rsid w:val="15AB004A"/>
    <w:rsid w:val="1696F730"/>
    <w:rsid w:val="192CC3E7"/>
    <w:rsid w:val="1D03522F"/>
    <w:rsid w:val="1D1D0EC9"/>
    <w:rsid w:val="1D8FFF59"/>
    <w:rsid w:val="1F5D6FB1"/>
    <w:rsid w:val="1F6E57F9"/>
    <w:rsid w:val="2167CB96"/>
    <w:rsid w:val="22C421F6"/>
    <w:rsid w:val="2328AB9D"/>
    <w:rsid w:val="24493959"/>
    <w:rsid w:val="25C9BFE5"/>
    <w:rsid w:val="26B7B6CA"/>
    <w:rsid w:val="2908B15D"/>
    <w:rsid w:val="2CA4002D"/>
    <w:rsid w:val="31408337"/>
    <w:rsid w:val="32356989"/>
    <w:rsid w:val="3480A8E3"/>
    <w:rsid w:val="35C3EF42"/>
    <w:rsid w:val="372C87F9"/>
    <w:rsid w:val="373B3FBF"/>
    <w:rsid w:val="3DD9B5D7"/>
    <w:rsid w:val="40765B10"/>
    <w:rsid w:val="4090B276"/>
    <w:rsid w:val="40B38447"/>
    <w:rsid w:val="45006351"/>
    <w:rsid w:val="490B999F"/>
    <w:rsid w:val="493EA7A5"/>
    <w:rsid w:val="497D1DD5"/>
    <w:rsid w:val="4A848A07"/>
    <w:rsid w:val="4CB71B0E"/>
    <w:rsid w:val="4F61815D"/>
    <w:rsid w:val="4F6CF65E"/>
    <w:rsid w:val="505D8BDA"/>
    <w:rsid w:val="53457359"/>
    <w:rsid w:val="5C009DBC"/>
    <w:rsid w:val="64A2EE15"/>
    <w:rsid w:val="64ACD5DE"/>
    <w:rsid w:val="65508E85"/>
    <w:rsid w:val="664B45A4"/>
    <w:rsid w:val="67DCEDE0"/>
    <w:rsid w:val="6A2F5624"/>
    <w:rsid w:val="6D93EBAF"/>
    <w:rsid w:val="6F3401B8"/>
    <w:rsid w:val="6F46510F"/>
    <w:rsid w:val="702447AD"/>
    <w:rsid w:val="7207E022"/>
    <w:rsid w:val="728F672A"/>
    <w:rsid w:val="73BFE536"/>
    <w:rsid w:val="763ABE3B"/>
    <w:rsid w:val="7ADB0811"/>
    <w:rsid w:val="7D2D19D2"/>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14:docId w14:val="31309E44"/>
  <w15:chartTrackingRefBased/>
  <w15:docId w15:val="{A237252C-F480-4F1E-9A00-1A40CF0D0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er" w:uiPriority="99"/>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ootnote Text Char Char Char Char,Footnote Text Char1 Char,Footnote Text Char1 Char Char,Footnote Text Char1 Char1 Char Char Char Char,Footnote Text Char2,Footnote Text Char2 Char,Footnote Text Char2 Char Char Char Char,fn"/>
    <w:link w:val="FootnoteTextChar"/>
    <w:rsid w:val="000E3D42"/>
    <w:pPr>
      <w:spacing w:after="120"/>
    </w:pPr>
  </w:style>
  <w:style w:type="character" w:styleId="FootnoteReference">
    <w:name w:val="footnote reference"/>
    <w:aliases w:val="(NECG) Footnote Reference,-E Funotenzeichen,Appel note de bas de p,FR,Footnote Reference/,Footnote Reference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FootnoteTextChar">
    <w:name w:val="Footnote Text Char"/>
    <w:aliases w:val="ALTS FOOTNOTE Char,Footnote Text Char Char Char Char Char,Footnote Text Char1 Char Char Char,Footnote Text Char1 Char Char1,Footnote Text Char1 Char1 Char Char Char Char Char,Footnote Text Char2 Char Char,Footnote Text Char2 Char1"/>
    <w:link w:val="FootnoteText"/>
    <w:rsid w:val="002219FC"/>
  </w:style>
  <w:style w:type="character" w:customStyle="1" w:styleId="ParaNumChar">
    <w:name w:val="ParaNum Char"/>
    <w:link w:val="ParaNum"/>
    <w:locked/>
    <w:rsid w:val="007C58A9"/>
    <w:rPr>
      <w:snapToGrid w:val="0"/>
      <w:kern w:val="28"/>
      <w:sz w:val="22"/>
    </w:rPr>
  </w:style>
  <w:style w:type="paragraph" w:styleId="BodyText">
    <w:name w:val="Body Text"/>
    <w:basedOn w:val="Normal"/>
    <w:link w:val="BodyTextChar"/>
    <w:uiPriority w:val="1"/>
    <w:qFormat/>
    <w:rsid w:val="007C58A9"/>
    <w:pPr>
      <w:ind w:left="120"/>
    </w:pPr>
    <w:rPr>
      <w:snapToGrid/>
      <w:kern w:val="0"/>
      <w:szCs w:val="22"/>
    </w:rPr>
  </w:style>
  <w:style w:type="character" w:customStyle="1" w:styleId="BodyTextChar">
    <w:name w:val="Body Text Char"/>
    <w:basedOn w:val="DefaultParagraphFont"/>
    <w:link w:val="BodyText"/>
    <w:uiPriority w:val="1"/>
    <w:rsid w:val="007C58A9"/>
    <w:rPr>
      <w:sz w:val="22"/>
      <w:szCs w:val="22"/>
    </w:rPr>
  </w:style>
  <w:style w:type="paragraph" w:styleId="ListParagraph">
    <w:name w:val="List Paragraph"/>
    <w:basedOn w:val="Normal"/>
    <w:uiPriority w:val="34"/>
    <w:qFormat/>
    <w:rsid w:val="007C58A9"/>
    <w:pPr>
      <w:ind w:left="720"/>
      <w:contextualSpacing/>
    </w:pPr>
  </w:style>
  <w:style w:type="character" w:customStyle="1" w:styleId="UnresolvedMention1">
    <w:name w:val="Unresolved Mention1"/>
    <w:basedOn w:val="DefaultParagraphFont"/>
    <w:uiPriority w:val="99"/>
    <w:semiHidden/>
    <w:unhideWhenUsed/>
    <w:rsid w:val="00901DDD"/>
    <w:rPr>
      <w:color w:val="605E5C"/>
      <w:shd w:val="clear" w:color="auto" w:fill="E1DFDD"/>
    </w:rPr>
  </w:style>
  <w:style w:type="paragraph" w:styleId="BalloonText">
    <w:name w:val="Balloon Text"/>
    <w:basedOn w:val="Normal"/>
    <w:link w:val="BalloonTextChar"/>
    <w:semiHidden/>
    <w:unhideWhenUsed/>
    <w:rsid w:val="00BA7010"/>
    <w:rPr>
      <w:rFonts w:ascii="Segoe UI" w:hAnsi="Segoe UI" w:cs="Segoe UI"/>
      <w:sz w:val="18"/>
      <w:szCs w:val="18"/>
    </w:rPr>
  </w:style>
  <w:style w:type="character" w:customStyle="1" w:styleId="BalloonTextChar">
    <w:name w:val="Balloon Text Char"/>
    <w:basedOn w:val="DefaultParagraphFont"/>
    <w:link w:val="BalloonText"/>
    <w:semiHidden/>
    <w:rsid w:val="00BA7010"/>
    <w:rPr>
      <w:rFonts w:ascii="Segoe UI" w:hAnsi="Segoe UI" w:cs="Segoe UI"/>
      <w:snapToGrid w:val="0"/>
      <w:kern w:val="28"/>
      <w:sz w:val="18"/>
      <w:szCs w:val="18"/>
    </w:rPr>
  </w:style>
  <w:style w:type="character" w:styleId="CommentReference">
    <w:name w:val="annotation reference"/>
    <w:basedOn w:val="DefaultParagraphFont"/>
    <w:rsid w:val="00833602"/>
    <w:rPr>
      <w:sz w:val="16"/>
      <w:szCs w:val="16"/>
    </w:rPr>
  </w:style>
  <w:style w:type="paragraph" w:styleId="CommentText">
    <w:name w:val="annotation text"/>
    <w:basedOn w:val="Normal"/>
    <w:link w:val="CommentTextChar"/>
    <w:rsid w:val="00833602"/>
    <w:rPr>
      <w:sz w:val="20"/>
    </w:rPr>
  </w:style>
  <w:style w:type="character" w:customStyle="1" w:styleId="CommentTextChar">
    <w:name w:val="Comment Text Char"/>
    <w:basedOn w:val="DefaultParagraphFont"/>
    <w:link w:val="CommentText"/>
    <w:rsid w:val="00833602"/>
    <w:rPr>
      <w:snapToGrid w:val="0"/>
      <w:kern w:val="28"/>
    </w:rPr>
  </w:style>
  <w:style w:type="paragraph" w:styleId="CommentSubject">
    <w:name w:val="annotation subject"/>
    <w:basedOn w:val="CommentText"/>
    <w:next w:val="CommentText"/>
    <w:link w:val="CommentSubjectChar"/>
    <w:rsid w:val="00833602"/>
    <w:rPr>
      <w:b/>
      <w:bCs/>
    </w:rPr>
  </w:style>
  <w:style w:type="character" w:customStyle="1" w:styleId="CommentSubjectChar">
    <w:name w:val="Comment Subject Char"/>
    <w:basedOn w:val="CommentTextChar"/>
    <w:link w:val="CommentSubject"/>
    <w:rsid w:val="00833602"/>
    <w:rPr>
      <w:b/>
      <w:bCs/>
      <w:snapToGrid w:val="0"/>
      <w:kern w:val="28"/>
    </w:rPr>
  </w:style>
  <w:style w:type="paragraph" w:styleId="Revision">
    <w:name w:val="Revision"/>
    <w:hidden/>
    <w:uiPriority w:val="99"/>
    <w:semiHidden/>
    <w:rsid w:val="00833602"/>
    <w:rPr>
      <w:snapToGrid w:val="0"/>
      <w:kern w:val="28"/>
      <w:sz w:val="22"/>
    </w:rPr>
  </w:style>
  <w:style w:type="character" w:customStyle="1" w:styleId="UnresolvedMention2">
    <w:name w:val="Unresolved Mention2"/>
    <w:basedOn w:val="DefaultParagraphFont"/>
    <w:rsid w:val="00DE365D"/>
    <w:rPr>
      <w:color w:val="605E5C"/>
      <w:shd w:val="clear" w:color="auto" w:fill="E1DFDD"/>
    </w:rPr>
  </w:style>
  <w:style w:type="character" w:styleId="FollowedHyperlink">
    <w:name w:val="FollowedHyperlink"/>
    <w:basedOn w:val="DefaultParagraphFont"/>
    <w:rsid w:val="000A6576"/>
    <w:rPr>
      <w:color w:val="954F72" w:themeColor="followedHyperlink"/>
      <w:u w:val="single"/>
    </w:rPr>
  </w:style>
  <w:style w:type="character" w:customStyle="1" w:styleId="markedcontent">
    <w:name w:val="markedcontent"/>
    <w:basedOn w:val="DefaultParagraphFont"/>
    <w:rsid w:val="008B2C45"/>
  </w:style>
  <w:style w:type="character" w:styleId="UnresolvedMention">
    <w:name w:val="Unresolved Mention"/>
    <w:basedOn w:val="DefaultParagraphFont"/>
    <w:rsid w:val="00A65A83"/>
    <w:rPr>
      <w:color w:val="605E5C"/>
      <w:shd w:val="clear" w:color="auto" w:fill="E1DFDD"/>
    </w:rPr>
  </w:style>
  <w:style w:type="paragraph" w:customStyle="1" w:styleId="Default">
    <w:name w:val="Default"/>
    <w:rsid w:val="00835503"/>
    <w:pPr>
      <w:autoSpaceDE w:val="0"/>
      <w:autoSpaceDN w:val="0"/>
      <w:adjustRightInd w:val="0"/>
    </w:pPr>
    <w:rPr>
      <w:rFonts w:ascii="Verdana" w:hAnsi="Verdana" w:cs="Verdana"/>
      <w:color w:val="000000"/>
      <w:sz w:val="24"/>
      <w:szCs w:val="24"/>
    </w:rPr>
  </w:style>
  <w:style w:type="character" w:customStyle="1" w:styleId="cf01">
    <w:name w:val="cf01"/>
    <w:basedOn w:val="DefaultParagraphFont"/>
    <w:rsid w:val="00124B6C"/>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fcc.gov/general/public-safety-support-center" TargetMode="Externa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_rels/footnotes.xml.rels><?xml version="1.0" encoding="utf-8" standalone="yes"?><Relationships xmlns="http://schemas.openxmlformats.org/package/2006/relationships"><Relationship Id="rId1" Type="http://schemas.openxmlformats.org/officeDocument/2006/relationships/hyperlink" Target="https://transition.fcc.gov/pshs/advisory/csric4/CSRIC_IV_WG3_EAS_Plans_Final_Report_032514.pdf" TargetMode="External" /><Relationship Id="rId2" Type="http://schemas.openxmlformats.org/officeDocument/2006/relationships/hyperlink" Target="https://www.missingkids.org/gethelpnow/amber"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