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A3E0B" w:rsidRPr="00DF0B88" w14:paraId="41D17406" w14:textId="77777777">
      <w:pPr>
        <w:jc w:val="right"/>
        <w:rPr>
          <w:rFonts w:cs="Times New Roman"/>
          <w:sz w:val="22"/>
        </w:rPr>
      </w:pPr>
    </w:p>
    <w:p w:rsidR="001A3E0B" w:rsidRPr="00DF0B88" w14:paraId="5331C1AE" w14:textId="052F02A1">
      <w:pPr>
        <w:jc w:val="right"/>
        <w:rPr>
          <w:rFonts w:cs="Times New Roman"/>
          <w:b/>
          <w:sz w:val="22"/>
        </w:rPr>
      </w:pPr>
      <w:r>
        <w:rPr>
          <w:rFonts w:cs="Times New Roman"/>
          <w:b/>
          <w:sz w:val="22"/>
        </w:rPr>
        <w:t>DA 22-1363</w:t>
      </w:r>
    </w:p>
    <w:p w:rsidR="001A3E0B" w:rsidRPr="00DF0B88" w14:paraId="36E019A3" w14:textId="51CBC726">
      <w:pPr>
        <w:spacing w:before="60"/>
        <w:jc w:val="right"/>
        <w:rPr>
          <w:rFonts w:cs="Times New Roman"/>
          <w:b/>
          <w:sz w:val="22"/>
        </w:rPr>
      </w:pPr>
      <w:r w:rsidRPr="00DF0B88">
        <w:rPr>
          <w:rFonts w:cs="Times New Roman"/>
          <w:b/>
          <w:sz w:val="22"/>
        </w:rPr>
        <w:t xml:space="preserve">Released:  </w:t>
      </w:r>
      <w:r w:rsidR="004B7B58">
        <w:rPr>
          <w:rFonts w:cs="Times New Roman"/>
          <w:b/>
          <w:sz w:val="22"/>
        </w:rPr>
        <w:t>December 22, 2022</w:t>
      </w:r>
    </w:p>
    <w:p w:rsidR="001A3E0B" w:rsidRPr="00DF0B88" w:rsidP="000B2511" w14:paraId="4E444B7F" w14:textId="529C6AB8">
      <w:pPr>
        <w:tabs>
          <w:tab w:val="left" w:pos="2220"/>
        </w:tabs>
        <w:rPr>
          <w:rFonts w:cs="Times New Roman"/>
          <w:sz w:val="22"/>
        </w:rPr>
      </w:pPr>
      <w:r>
        <w:rPr>
          <w:rFonts w:cs="Times New Roman"/>
          <w:sz w:val="22"/>
        </w:rPr>
        <w:tab/>
      </w:r>
    </w:p>
    <w:p w:rsidR="004461F1" w:rsidP="004461F1" w14:paraId="277C60F9" w14:textId="742072BB">
      <w:pPr>
        <w:jc w:val="center"/>
        <w:rPr>
          <w:rFonts w:cs="Times New Roman"/>
          <w:b/>
          <w:caps/>
          <w:sz w:val="22"/>
        </w:rPr>
      </w:pPr>
      <w:r w:rsidRPr="00DF0B88">
        <w:rPr>
          <w:rFonts w:cs="Times New Roman"/>
          <w:b/>
          <w:caps/>
          <w:sz w:val="22"/>
        </w:rPr>
        <w:t xml:space="preserve">DOMESTic section 214 application filed for </w:t>
      </w:r>
    </w:p>
    <w:p w:rsidR="004461F1" w:rsidP="004461F1" w14:paraId="6096887B" w14:textId="1BDE5A8F">
      <w:pPr>
        <w:jc w:val="center"/>
        <w:rPr>
          <w:rFonts w:cs="Times New Roman"/>
          <w:b/>
          <w:caps/>
          <w:sz w:val="22"/>
        </w:rPr>
      </w:pPr>
      <w:r>
        <w:rPr>
          <w:rFonts w:cs="Times New Roman"/>
          <w:b/>
          <w:caps/>
          <w:sz w:val="22"/>
        </w:rPr>
        <w:t>T</w:t>
      </w:r>
      <w:r w:rsidRPr="00DF0B88" w:rsidR="00B47072">
        <w:rPr>
          <w:rFonts w:cs="Times New Roman"/>
          <w:b/>
          <w:caps/>
          <w:sz w:val="22"/>
        </w:rPr>
        <w:t xml:space="preserve">he transfer of control of </w:t>
      </w:r>
    </w:p>
    <w:p w:rsidR="001A3E0B" w:rsidP="004461F1" w14:paraId="2D111357" w14:textId="499EDBA2">
      <w:pPr>
        <w:jc w:val="center"/>
        <w:rPr>
          <w:rFonts w:cs="Times New Roman"/>
          <w:b/>
          <w:caps/>
          <w:sz w:val="22"/>
        </w:rPr>
      </w:pPr>
      <w:r w:rsidRPr="00DF0B88">
        <w:rPr>
          <w:rFonts w:cs="Times New Roman"/>
          <w:b/>
          <w:caps/>
          <w:sz w:val="22"/>
        </w:rPr>
        <w:t xml:space="preserve">Wisper ISP, </w:t>
      </w:r>
      <w:r w:rsidRPr="00DF0B88" w:rsidR="00DF0B88">
        <w:rPr>
          <w:rFonts w:cs="Times New Roman"/>
          <w:b/>
          <w:caps/>
          <w:sz w:val="22"/>
        </w:rPr>
        <w:t>LL</w:t>
      </w:r>
      <w:r w:rsidRPr="00DF0B88">
        <w:rPr>
          <w:rFonts w:cs="Times New Roman"/>
          <w:b/>
          <w:caps/>
          <w:sz w:val="22"/>
        </w:rPr>
        <w:t>c to Nathan T. STooke</w:t>
      </w:r>
    </w:p>
    <w:p w:rsidR="004461F1" w:rsidRPr="00DF0B88" w:rsidP="004461F1" w14:paraId="6E5CAB31" w14:textId="77777777">
      <w:pPr>
        <w:jc w:val="center"/>
        <w:rPr>
          <w:rFonts w:cs="Times New Roman"/>
          <w:b/>
          <w:caps/>
          <w:sz w:val="22"/>
        </w:rPr>
      </w:pPr>
    </w:p>
    <w:p w:rsidR="001A3E0B" w:rsidRPr="00DF0B88" w14:paraId="031FC009" w14:textId="053660A3">
      <w:pPr>
        <w:spacing w:after="240"/>
        <w:jc w:val="center"/>
        <w:rPr>
          <w:rFonts w:cs="Times New Roman"/>
          <w:b/>
          <w:sz w:val="22"/>
        </w:rPr>
      </w:pPr>
      <w:r w:rsidRPr="00DF0B88">
        <w:rPr>
          <w:rFonts w:cs="Times New Roman"/>
          <w:b/>
          <w:sz w:val="22"/>
        </w:rPr>
        <w:t>NON-STREAMLINED PLEADING CYCLE ESTABLISHED</w:t>
      </w:r>
    </w:p>
    <w:p w:rsidR="001A3E0B" w:rsidRPr="00DF0B88" w14:paraId="7416BB0F" w14:textId="40573BE8">
      <w:pPr>
        <w:jc w:val="center"/>
        <w:rPr>
          <w:rFonts w:cs="Times New Roman"/>
          <w:b/>
          <w:sz w:val="22"/>
        </w:rPr>
      </w:pPr>
      <w:r w:rsidRPr="00DF0B88">
        <w:rPr>
          <w:rFonts w:cs="Times New Roman"/>
          <w:b/>
          <w:sz w:val="22"/>
        </w:rPr>
        <w:t xml:space="preserve">WC Docket No. </w:t>
      </w:r>
      <w:r w:rsidRPr="00DF0B88" w:rsidR="00597120">
        <w:rPr>
          <w:rFonts w:cs="Times New Roman"/>
          <w:b/>
          <w:sz w:val="22"/>
        </w:rPr>
        <w:t>22-367</w:t>
      </w:r>
    </w:p>
    <w:p w:rsidR="00B47072" w:rsidRPr="00DF0B88" w:rsidP="00B47072" w14:paraId="1C2C8305" w14:textId="7C393074">
      <w:pPr>
        <w:rPr>
          <w:rFonts w:cs="Times New Roman"/>
          <w:b/>
          <w:sz w:val="22"/>
        </w:rPr>
      </w:pPr>
    </w:p>
    <w:p w:rsidR="00B47072" w:rsidRPr="00DF0B88" w:rsidP="00B47072" w14:paraId="3904DE1B" w14:textId="7AEAA777">
      <w:pPr>
        <w:rPr>
          <w:rFonts w:cs="Times New Roman"/>
          <w:b/>
          <w:sz w:val="22"/>
        </w:rPr>
      </w:pPr>
      <w:r w:rsidRPr="00DF0B88">
        <w:rPr>
          <w:rFonts w:cs="Times New Roman"/>
          <w:b/>
          <w:sz w:val="22"/>
        </w:rPr>
        <w:t xml:space="preserve">Comments Due: </w:t>
      </w:r>
      <w:r w:rsidR="004B7B58">
        <w:rPr>
          <w:rFonts w:cs="Times New Roman"/>
          <w:b/>
          <w:sz w:val="22"/>
        </w:rPr>
        <w:t xml:space="preserve"> January 5, 2023</w:t>
      </w:r>
    </w:p>
    <w:p w:rsidR="00B47072" w:rsidRPr="00DF0B88" w:rsidP="00B47072" w14:paraId="7CB51BFD" w14:textId="208699C3">
      <w:pPr>
        <w:rPr>
          <w:rFonts w:cs="Times New Roman"/>
          <w:b/>
          <w:sz w:val="22"/>
        </w:rPr>
      </w:pPr>
      <w:r w:rsidRPr="00DF0B88">
        <w:rPr>
          <w:rFonts w:cs="Times New Roman"/>
          <w:b/>
          <w:sz w:val="22"/>
        </w:rPr>
        <w:t xml:space="preserve">Reply Comments Due: </w:t>
      </w:r>
      <w:r w:rsidR="004B7B58">
        <w:rPr>
          <w:rFonts w:cs="Times New Roman"/>
          <w:b/>
          <w:sz w:val="22"/>
        </w:rPr>
        <w:t xml:space="preserve"> January 12, 2023</w:t>
      </w:r>
    </w:p>
    <w:p w:rsidR="00B47072" w:rsidRPr="00DF0B88" w:rsidP="00B47072" w14:paraId="544A31EF" w14:textId="3D6A7CE9">
      <w:pPr>
        <w:rPr>
          <w:rFonts w:cs="Times New Roman"/>
          <w:b/>
          <w:sz w:val="22"/>
        </w:rPr>
      </w:pPr>
    </w:p>
    <w:p w:rsidR="00B47072" w:rsidRPr="00DF0B88" w:rsidP="00B47072" w14:paraId="3946BD61" w14:textId="528A1927">
      <w:pPr>
        <w:rPr>
          <w:rFonts w:cs="Times New Roman"/>
          <w:bCs/>
          <w:sz w:val="22"/>
        </w:rPr>
      </w:pPr>
      <w:r w:rsidRPr="00DF0B88">
        <w:rPr>
          <w:rFonts w:cs="Times New Roman"/>
          <w:bCs/>
          <w:sz w:val="22"/>
        </w:rPr>
        <w:tab/>
        <w:t xml:space="preserve">By this Public Notice, the Wireline Competition Bureau (Bureau) seeks comment from interested parties on </w:t>
      </w:r>
      <w:r w:rsidR="00626ECD">
        <w:rPr>
          <w:rFonts w:cs="Times New Roman"/>
          <w:bCs/>
          <w:sz w:val="22"/>
        </w:rPr>
        <w:t>an</w:t>
      </w:r>
      <w:r w:rsidRPr="00DF0B88">
        <w:rPr>
          <w:rFonts w:cs="Times New Roman"/>
          <w:bCs/>
          <w:sz w:val="22"/>
        </w:rPr>
        <w:t xml:space="preserve"> application filed by Cable One, Inc. (Cable One</w:t>
      </w:r>
      <w:r w:rsidR="00626ECD">
        <w:rPr>
          <w:rFonts w:cs="Times New Roman"/>
          <w:bCs/>
          <w:sz w:val="22"/>
        </w:rPr>
        <w:t>)</w:t>
      </w:r>
      <w:r w:rsidRPr="00DF0B88" w:rsidR="00597120">
        <w:rPr>
          <w:rFonts w:cs="Times New Roman"/>
          <w:bCs/>
          <w:sz w:val="22"/>
        </w:rPr>
        <w:t>,</w:t>
      </w:r>
      <w:r w:rsidRPr="00DF0B88">
        <w:rPr>
          <w:rFonts w:cs="Times New Roman"/>
          <w:bCs/>
          <w:sz w:val="22"/>
        </w:rPr>
        <w:t xml:space="preserve"> Stephens Wisper</w:t>
      </w:r>
      <w:r w:rsidRPr="00DF0B88" w:rsidR="00890E04">
        <w:rPr>
          <w:rFonts w:cs="Times New Roman"/>
          <w:bCs/>
          <w:sz w:val="22"/>
        </w:rPr>
        <w:t>,</w:t>
      </w:r>
      <w:r w:rsidRPr="00DF0B88">
        <w:rPr>
          <w:rFonts w:cs="Times New Roman"/>
          <w:bCs/>
          <w:sz w:val="22"/>
        </w:rPr>
        <w:t xml:space="preserve"> LLC </w:t>
      </w:r>
      <w:r w:rsidR="00626ECD">
        <w:rPr>
          <w:rFonts w:cs="Times New Roman"/>
          <w:bCs/>
          <w:sz w:val="22"/>
        </w:rPr>
        <w:t>(Stephens)</w:t>
      </w:r>
      <w:r w:rsidRPr="00DF0B88">
        <w:rPr>
          <w:rFonts w:cs="Times New Roman"/>
          <w:bCs/>
          <w:sz w:val="22"/>
        </w:rPr>
        <w:t xml:space="preserve">, Wisper ISP, LLC </w:t>
      </w:r>
      <w:r w:rsidRPr="00DF0B88" w:rsidR="00597120">
        <w:rPr>
          <w:rFonts w:cs="Times New Roman"/>
          <w:bCs/>
          <w:sz w:val="22"/>
        </w:rPr>
        <w:t>(Wisper</w:t>
      </w:r>
      <w:r w:rsidR="00E675AA">
        <w:rPr>
          <w:rFonts w:cs="Times New Roman"/>
          <w:bCs/>
          <w:sz w:val="22"/>
        </w:rPr>
        <w:t xml:space="preserve"> </w:t>
      </w:r>
      <w:r w:rsidRPr="00DF0B88" w:rsidR="00597120">
        <w:rPr>
          <w:rFonts w:cs="Times New Roman"/>
          <w:bCs/>
          <w:sz w:val="22"/>
        </w:rPr>
        <w:t xml:space="preserve">or </w:t>
      </w:r>
      <w:r w:rsidRPr="00DF0B88">
        <w:rPr>
          <w:rFonts w:cs="Times New Roman"/>
          <w:bCs/>
          <w:sz w:val="22"/>
        </w:rPr>
        <w:t xml:space="preserve">Licensee), and Nathan T. </w:t>
      </w:r>
      <w:r w:rsidRPr="00DF0B88">
        <w:rPr>
          <w:rFonts w:cs="Times New Roman"/>
          <w:bCs/>
          <w:sz w:val="22"/>
        </w:rPr>
        <w:t>Stooke</w:t>
      </w:r>
      <w:r w:rsidRPr="00DF0B88">
        <w:rPr>
          <w:rFonts w:cs="Times New Roman"/>
          <w:bCs/>
          <w:sz w:val="22"/>
        </w:rPr>
        <w:t xml:space="preserve"> (</w:t>
      </w:r>
      <w:r w:rsidR="00DF0B88">
        <w:rPr>
          <w:rFonts w:cs="Times New Roman"/>
          <w:bCs/>
          <w:sz w:val="22"/>
        </w:rPr>
        <w:t xml:space="preserve">Mr. </w:t>
      </w:r>
      <w:r w:rsidR="00DF0B88">
        <w:rPr>
          <w:rFonts w:cs="Times New Roman"/>
          <w:bCs/>
          <w:sz w:val="22"/>
        </w:rPr>
        <w:t>Stooke</w:t>
      </w:r>
      <w:r w:rsidR="00DF0B88">
        <w:rPr>
          <w:rFonts w:cs="Times New Roman"/>
          <w:bCs/>
          <w:sz w:val="22"/>
        </w:rPr>
        <w:t xml:space="preserve"> or </w:t>
      </w:r>
      <w:r w:rsidRPr="00DF0B88">
        <w:rPr>
          <w:rFonts w:cs="Times New Roman"/>
          <w:bCs/>
          <w:sz w:val="22"/>
        </w:rPr>
        <w:t>Transferee) (collectively</w:t>
      </w:r>
      <w:r w:rsidRPr="00DF0B88" w:rsidR="00597120">
        <w:rPr>
          <w:rFonts w:cs="Times New Roman"/>
          <w:bCs/>
          <w:sz w:val="22"/>
        </w:rPr>
        <w:t>,</w:t>
      </w:r>
      <w:r w:rsidRPr="00DF0B88">
        <w:rPr>
          <w:rFonts w:cs="Times New Roman"/>
          <w:bCs/>
          <w:sz w:val="22"/>
        </w:rPr>
        <w:t xml:space="preserve"> Applicants)</w:t>
      </w:r>
      <w:r w:rsidRPr="00DF0B88" w:rsidR="00A40DE7">
        <w:rPr>
          <w:rFonts w:cs="Times New Roman"/>
          <w:bCs/>
          <w:sz w:val="22"/>
        </w:rPr>
        <w:t>, pursuant to section 214 of the Communications Act of 1934, as amended, and sections 63.03-04 of the Commission’s rules, requesting consent to transfer</w:t>
      </w:r>
      <w:r w:rsidRPr="00DF0B88" w:rsidR="00890E04">
        <w:rPr>
          <w:rFonts w:cs="Times New Roman"/>
          <w:bCs/>
          <w:sz w:val="22"/>
        </w:rPr>
        <w:t xml:space="preserve"> </w:t>
      </w:r>
      <w:r w:rsidR="009E496B">
        <w:rPr>
          <w:rFonts w:cs="Times New Roman"/>
          <w:bCs/>
          <w:sz w:val="22"/>
        </w:rPr>
        <w:t xml:space="preserve">a </w:t>
      </w:r>
      <w:r w:rsidRPr="00DF0B88" w:rsidR="00890E04">
        <w:rPr>
          <w:rFonts w:cs="Times New Roman"/>
          <w:bCs/>
          <w:sz w:val="22"/>
        </w:rPr>
        <w:t>controlling interest in</w:t>
      </w:r>
      <w:r w:rsidRPr="00DF0B88" w:rsidR="00A40DE7">
        <w:rPr>
          <w:rFonts w:cs="Times New Roman"/>
          <w:bCs/>
          <w:sz w:val="22"/>
        </w:rPr>
        <w:t xml:space="preserve"> Wisper to </w:t>
      </w:r>
      <w:r w:rsidR="00DF0B88">
        <w:rPr>
          <w:rFonts w:cs="Times New Roman"/>
          <w:bCs/>
          <w:sz w:val="22"/>
        </w:rPr>
        <w:t xml:space="preserve">Mr. </w:t>
      </w:r>
      <w:r w:rsidR="00DF0B88">
        <w:rPr>
          <w:rFonts w:cs="Times New Roman"/>
          <w:bCs/>
          <w:sz w:val="22"/>
        </w:rPr>
        <w:t>Stooke</w:t>
      </w:r>
      <w:r w:rsidRPr="00DF0B88" w:rsidR="00DC1368">
        <w:rPr>
          <w:rFonts w:cs="Times New Roman"/>
          <w:bCs/>
          <w:sz w:val="22"/>
        </w:rPr>
        <w:t>.</w:t>
      </w:r>
      <w:r>
        <w:rPr>
          <w:rStyle w:val="FootnoteReference"/>
          <w:rFonts w:cs="Times New Roman"/>
          <w:bCs/>
        </w:rPr>
        <w:footnoteReference w:id="3"/>
      </w:r>
    </w:p>
    <w:p w:rsidR="00DC1368" w:rsidRPr="00DF0B88" w:rsidP="00B47072" w14:paraId="32310202" w14:textId="1D26E06B">
      <w:pPr>
        <w:rPr>
          <w:rFonts w:cs="Times New Roman"/>
          <w:bCs/>
          <w:sz w:val="22"/>
        </w:rPr>
      </w:pPr>
    </w:p>
    <w:p w:rsidR="004461F1" w:rsidRPr="00602122" w:rsidP="00C30B05" w14:paraId="4C442653" w14:textId="7555D207">
      <w:pPr>
        <w:rPr>
          <w:rFonts w:cs="Times New Roman"/>
          <w:bCs/>
          <w:sz w:val="22"/>
        </w:rPr>
      </w:pPr>
      <w:r w:rsidRPr="00DF0B88">
        <w:rPr>
          <w:rFonts w:cs="Times New Roman"/>
          <w:bCs/>
          <w:sz w:val="22"/>
        </w:rPr>
        <w:tab/>
        <w:t xml:space="preserve">Cable One, a </w:t>
      </w:r>
      <w:r w:rsidRPr="00DF0B88" w:rsidR="0079459A">
        <w:rPr>
          <w:rFonts w:cs="Times New Roman"/>
          <w:bCs/>
          <w:sz w:val="22"/>
        </w:rPr>
        <w:t xml:space="preserve">publicly traded Delaware </w:t>
      </w:r>
      <w:r w:rsidRPr="00DF0B88">
        <w:rPr>
          <w:rFonts w:cs="Times New Roman"/>
          <w:bCs/>
          <w:sz w:val="22"/>
        </w:rPr>
        <w:t xml:space="preserve">corporation, </w:t>
      </w:r>
      <w:r w:rsidR="00626ECD">
        <w:rPr>
          <w:rFonts w:cs="Times New Roman"/>
          <w:bCs/>
          <w:sz w:val="22"/>
        </w:rPr>
        <w:t>provides video, broadband, and voice services in 24 states, and</w:t>
      </w:r>
      <w:r w:rsidR="007B6624">
        <w:rPr>
          <w:rFonts w:cs="Times New Roman"/>
          <w:bCs/>
        </w:rPr>
        <w:t xml:space="preserve"> </w:t>
      </w:r>
      <w:r w:rsidRPr="00DF0B88">
        <w:rPr>
          <w:rFonts w:cs="Times New Roman"/>
          <w:bCs/>
          <w:sz w:val="22"/>
        </w:rPr>
        <w:t xml:space="preserve">currently holds </w:t>
      </w:r>
      <w:r w:rsidRPr="00DF0B88" w:rsidR="005439F8">
        <w:rPr>
          <w:rFonts w:cs="Times New Roman"/>
          <w:bCs/>
          <w:sz w:val="22"/>
        </w:rPr>
        <w:t xml:space="preserve">a </w:t>
      </w:r>
      <w:r w:rsidRPr="00DF0B88">
        <w:rPr>
          <w:rFonts w:cs="Times New Roman"/>
          <w:bCs/>
          <w:sz w:val="22"/>
        </w:rPr>
        <w:t>40.40%</w:t>
      </w:r>
      <w:r w:rsidRPr="00DF0B88" w:rsidR="00360682">
        <w:rPr>
          <w:rFonts w:cs="Times New Roman"/>
          <w:bCs/>
          <w:sz w:val="22"/>
        </w:rPr>
        <w:t xml:space="preserve"> ownership</w:t>
      </w:r>
      <w:r w:rsidRPr="00DF0B88">
        <w:rPr>
          <w:rFonts w:cs="Times New Roman"/>
          <w:bCs/>
          <w:sz w:val="22"/>
        </w:rPr>
        <w:t xml:space="preserve"> interest in Wisper</w:t>
      </w:r>
      <w:r w:rsidRPr="00DF0B88" w:rsidR="005439F8">
        <w:rPr>
          <w:rFonts w:cs="Times New Roman"/>
          <w:bCs/>
          <w:sz w:val="22"/>
        </w:rPr>
        <w:t>,</w:t>
      </w:r>
      <w:r w:rsidRPr="00DF0B88">
        <w:rPr>
          <w:rFonts w:cs="Times New Roman"/>
          <w:bCs/>
          <w:sz w:val="22"/>
        </w:rPr>
        <w:t xml:space="preserve"> a Delaware limited liability company.</w:t>
      </w:r>
      <w:r>
        <w:rPr>
          <w:rStyle w:val="FootnoteReference"/>
          <w:rFonts w:cs="Times New Roman"/>
          <w:bCs/>
        </w:rPr>
        <w:footnoteReference w:id="4"/>
      </w:r>
      <w:r w:rsidRPr="00DF0B88" w:rsidR="008E3E86">
        <w:rPr>
          <w:rFonts w:cs="Times New Roman"/>
          <w:bCs/>
          <w:sz w:val="22"/>
        </w:rPr>
        <w:t xml:space="preserve">  </w:t>
      </w:r>
      <w:r w:rsidR="00D35776">
        <w:rPr>
          <w:rFonts w:cs="Times New Roman"/>
          <w:bCs/>
          <w:sz w:val="22"/>
        </w:rPr>
        <w:t xml:space="preserve">Stephens is an Arkansas limited liability company and </w:t>
      </w:r>
      <w:r w:rsidR="00B80E56">
        <w:rPr>
          <w:rFonts w:cs="Times New Roman"/>
          <w:bCs/>
          <w:sz w:val="22"/>
        </w:rPr>
        <w:t>investment entity</w:t>
      </w:r>
      <w:r w:rsidR="00D35776">
        <w:rPr>
          <w:rFonts w:cs="Times New Roman"/>
          <w:bCs/>
          <w:sz w:val="22"/>
        </w:rPr>
        <w:t>.</w:t>
      </w:r>
      <w:r>
        <w:rPr>
          <w:rStyle w:val="FootnoteReference"/>
          <w:rFonts w:cs="Times New Roman"/>
          <w:bCs/>
        </w:rPr>
        <w:footnoteReference w:id="5"/>
      </w:r>
      <w:r w:rsidRPr="00D35776" w:rsidR="00D35776">
        <w:rPr>
          <w:rFonts w:cs="Times New Roman"/>
          <w:bCs/>
          <w:sz w:val="22"/>
        </w:rPr>
        <w:t xml:space="preserve"> </w:t>
      </w:r>
      <w:r w:rsidR="00D35776">
        <w:rPr>
          <w:rFonts w:cs="Times New Roman"/>
          <w:bCs/>
          <w:sz w:val="22"/>
        </w:rPr>
        <w:t xml:space="preserve"> Stephens currently holds an 18.80% ownership interest in Wisper, and is affiliated with Stephens Capital Partners, LLC, an Arkansas limited liability company and investment group.</w:t>
      </w:r>
      <w:r>
        <w:rPr>
          <w:rStyle w:val="FootnoteReference"/>
          <w:rFonts w:cs="Times New Roman"/>
          <w:bCs/>
        </w:rPr>
        <w:footnoteReference w:id="6"/>
      </w:r>
      <w:r>
        <w:rPr>
          <w:rFonts w:cs="Times New Roman"/>
          <w:bCs/>
          <w:sz w:val="22"/>
        </w:rPr>
        <w:t xml:space="preserve">  </w:t>
      </w:r>
      <w:r w:rsidR="00AC50CF">
        <w:rPr>
          <w:rFonts w:cs="Times New Roman"/>
          <w:bCs/>
          <w:sz w:val="22"/>
        </w:rPr>
        <w:t xml:space="preserve">Mr. </w:t>
      </w:r>
      <w:r w:rsidR="00AC50CF">
        <w:rPr>
          <w:rFonts w:cs="Times New Roman"/>
          <w:bCs/>
          <w:sz w:val="22"/>
        </w:rPr>
        <w:t>Stooke</w:t>
      </w:r>
      <w:r w:rsidR="00B41B6E">
        <w:rPr>
          <w:rFonts w:cs="Times New Roman"/>
          <w:bCs/>
          <w:sz w:val="22"/>
        </w:rPr>
        <w:t xml:space="preserve">, a </w:t>
      </w:r>
      <w:r w:rsidRPr="00DF0B88" w:rsidR="007051F4">
        <w:rPr>
          <w:rFonts w:cs="Times New Roman"/>
          <w:bCs/>
          <w:sz w:val="22"/>
        </w:rPr>
        <w:t xml:space="preserve">U.S. </w:t>
      </w:r>
      <w:r w:rsidRPr="00DF0B88" w:rsidR="0079459A">
        <w:rPr>
          <w:rFonts w:cs="Times New Roman"/>
          <w:bCs/>
          <w:sz w:val="22"/>
        </w:rPr>
        <w:t>citizen</w:t>
      </w:r>
      <w:r w:rsidR="00B41B6E">
        <w:rPr>
          <w:rFonts w:cs="Times New Roman"/>
          <w:bCs/>
          <w:sz w:val="22"/>
        </w:rPr>
        <w:t xml:space="preserve">, is </w:t>
      </w:r>
      <w:r w:rsidRPr="00DF0B88" w:rsidR="0079459A">
        <w:rPr>
          <w:rFonts w:cs="Times New Roman"/>
          <w:bCs/>
          <w:sz w:val="22"/>
        </w:rPr>
        <w:t>the founder</w:t>
      </w:r>
      <w:r w:rsidR="00B41B6E">
        <w:rPr>
          <w:rFonts w:cs="Times New Roman"/>
          <w:bCs/>
          <w:sz w:val="22"/>
        </w:rPr>
        <w:t>, president, and chief executive officer</w:t>
      </w:r>
      <w:r w:rsidRPr="00DF0B88" w:rsidR="0079459A">
        <w:rPr>
          <w:rFonts w:cs="Times New Roman"/>
          <w:bCs/>
          <w:sz w:val="22"/>
        </w:rPr>
        <w:t xml:space="preserve"> of </w:t>
      </w:r>
      <w:r w:rsidRPr="00602122" w:rsidR="0079459A">
        <w:rPr>
          <w:rFonts w:cs="Times New Roman"/>
          <w:bCs/>
          <w:sz w:val="22"/>
        </w:rPr>
        <w:t>Wisper.</w:t>
      </w:r>
      <w:r>
        <w:rPr>
          <w:rStyle w:val="FootnoteReference"/>
          <w:rFonts w:cs="Times New Roman"/>
          <w:bCs/>
        </w:rPr>
        <w:footnoteReference w:id="7"/>
      </w:r>
      <w:r w:rsidRPr="00602122" w:rsidR="002C31C0">
        <w:rPr>
          <w:rFonts w:cs="Times New Roman"/>
          <w:bCs/>
          <w:sz w:val="22"/>
        </w:rPr>
        <w:t xml:space="preserve">  </w:t>
      </w:r>
      <w:r w:rsidRPr="00602122" w:rsidR="00D71D49">
        <w:rPr>
          <w:rFonts w:cs="Times New Roman"/>
          <w:bCs/>
          <w:sz w:val="22"/>
        </w:rPr>
        <w:t xml:space="preserve">He </w:t>
      </w:r>
      <w:r w:rsidRPr="00602122" w:rsidR="00652F16">
        <w:rPr>
          <w:rFonts w:cs="Times New Roman"/>
          <w:bCs/>
          <w:sz w:val="22"/>
        </w:rPr>
        <w:t>previously owned 100% of Wisper ISP, Inc</w:t>
      </w:r>
      <w:r w:rsidRPr="00602122" w:rsidR="002F3A94">
        <w:rPr>
          <w:rFonts w:cs="Times New Roman"/>
          <w:bCs/>
          <w:sz w:val="22"/>
        </w:rPr>
        <w:t>.</w:t>
      </w:r>
      <w:r w:rsidRPr="00602122" w:rsidR="00365CF6">
        <w:rPr>
          <w:rFonts w:cs="Times New Roman"/>
          <w:bCs/>
          <w:sz w:val="22"/>
        </w:rPr>
        <w:t>,</w:t>
      </w:r>
      <w:r w:rsidRPr="00602122" w:rsidR="00913BBA">
        <w:rPr>
          <w:rFonts w:cs="Times New Roman"/>
          <w:bCs/>
          <w:sz w:val="22"/>
        </w:rPr>
        <w:t xml:space="preserve"> the predecessor in interest of Wisper</w:t>
      </w:r>
      <w:r w:rsidRPr="00602122" w:rsidR="00D71D49">
        <w:rPr>
          <w:rFonts w:cs="Times New Roman"/>
          <w:bCs/>
          <w:sz w:val="22"/>
        </w:rPr>
        <w:t>,</w:t>
      </w:r>
      <w:r w:rsidRPr="00602122" w:rsidR="00913BBA">
        <w:rPr>
          <w:rFonts w:cs="Times New Roman"/>
          <w:bCs/>
          <w:sz w:val="22"/>
        </w:rPr>
        <w:t xml:space="preserve"> </w:t>
      </w:r>
      <w:r w:rsidRPr="00602122" w:rsidR="00D71D49">
        <w:rPr>
          <w:rFonts w:cs="Times New Roman"/>
          <w:bCs/>
          <w:sz w:val="22"/>
        </w:rPr>
        <w:t xml:space="preserve">but his ownership interest was reduced </w:t>
      </w:r>
      <w:r w:rsidRPr="00602122" w:rsidR="002F3A94">
        <w:rPr>
          <w:rFonts w:cs="Times New Roman"/>
          <w:bCs/>
          <w:sz w:val="22"/>
        </w:rPr>
        <w:t>to 40.8</w:t>
      </w:r>
      <w:r w:rsidR="00B80E56">
        <w:rPr>
          <w:rFonts w:cs="Times New Roman"/>
          <w:bCs/>
          <w:sz w:val="22"/>
        </w:rPr>
        <w:t>0</w:t>
      </w:r>
      <w:r w:rsidRPr="00602122" w:rsidR="002F3A94">
        <w:rPr>
          <w:rFonts w:cs="Times New Roman"/>
          <w:bCs/>
          <w:sz w:val="22"/>
        </w:rPr>
        <w:t xml:space="preserve">% </w:t>
      </w:r>
      <w:r w:rsidRPr="00602122" w:rsidR="00D71D49">
        <w:rPr>
          <w:rFonts w:cs="Times New Roman"/>
          <w:bCs/>
          <w:sz w:val="22"/>
        </w:rPr>
        <w:t>in 2020</w:t>
      </w:r>
      <w:r w:rsidR="00626ECD">
        <w:rPr>
          <w:rFonts w:cs="Times New Roman"/>
          <w:bCs/>
          <w:sz w:val="22"/>
        </w:rPr>
        <w:t xml:space="preserve"> when Cable One and Stephens acquired their ownership interests</w:t>
      </w:r>
      <w:r w:rsidRPr="00602122" w:rsidR="002C31C0">
        <w:rPr>
          <w:rFonts w:cs="Times New Roman"/>
          <w:bCs/>
          <w:sz w:val="22"/>
        </w:rPr>
        <w:t>.</w:t>
      </w:r>
      <w:r>
        <w:rPr>
          <w:rStyle w:val="FootnoteReference"/>
          <w:rFonts w:cs="Times New Roman"/>
          <w:bCs/>
        </w:rPr>
        <w:footnoteReference w:id="8"/>
      </w:r>
    </w:p>
    <w:p w:rsidR="005E1650" w:rsidP="00C30B05" w14:paraId="157715C0" w14:textId="77777777">
      <w:pPr>
        <w:rPr>
          <w:rFonts w:cs="Times New Roman"/>
          <w:bCs/>
          <w:sz w:val="22"/>
        </w:rPr>
      </w:pPr>
    </w:p>
    <w:p w:rsidR="00E56979" w:rsidP="00E56979" w14:paraId="2F871A04" w14:textId="43079164">
      <w:pPr>
        <w:ind w:firstLine="720"/>
        <w:rPr>
          <w:rFonts w:cs="Times New Roman"/>
          <w:bCs/>
          <w:sz w:val="22"/>
        </w:rPr>
      </w:pPr>
      <w:r w:rsidRPr="00DF0B88">
        <w:rPr>
          <w:rFonts w:cs="Times New Roman"/>
          <w:bCs/>
          <w:sz w:val="22"/>
        </w:rPr>
        <w:t>Wisper ISP, Inc.</w:t>
      </w:r>
      <w:r w:rsidR="002572BD">
        <w:rPr>
          <w:rFonts w:cs="Times New Roman"/>
          <w:bCs/>
          <w:sz w:val="22"/>
        </w:rPr>
        <w:t xml:space="preserve"> </w:t>
      </w:r>
      <w:r w:rsidRPr="00DF0B88" w:rsidR="008E3E86">
        <w:rPr>
          <w:rFonts w:cs="Times New Roman"/>
          <w:bCs/>
          <w:sz w:val="22"/>
        </w:rPr>
        <w:t xml:space="preserve">was </w:t>
      </w:r>
      <w:r w:rsidRPr="00DF0B88" w:rsidR="00564FC5">
        <w:rPr>
          <w:rFonts w:cs="Times New Roman"/>
          <w:bCs/>
          <w:sz w:val="22"/>
        </w:rPr>
        <w:t xml:space="preserve">formed as </w:t>
      </w:r>
      <w:r w:rsidRPr="00DF0B88" w:rsidR="008E3E86">
        <w:rPr>
          <w:rFonts w:cs="Times New Roman"/>
          <w:bCs/>
          <w:sz w:val="22"/>
        </w:rPr>
        <w:t>an</w:t>
      </w:r>
      <w:r w:rsidRPr="00DF0B88" w:rsidR="000752CC">
        <w:rPr>
          <w:rFonts w:cs="Times New Roman"/>
          <w:bCs/>
          <w:sz w:val="22"/>
        </w:rPr>
        <w:t xml:space="preserve"> </w:t>
      </w:r>
      <w:r w:rsidRPr="00DF0B88" w:rsidR="005439F8">
        <w:rPr>
          <w:rFonts w:cs="Times New Roman"/>
          <w:bCs/>
          <w:sz w:val="22"/>
        </w:rPr>
        <w:t>Illinois limited liability company</w:t>
      </w:r>
      <w:r w:rsidRPr="00DF0B88" w:rsidR="002C0408">
        <w:rPr>
          <w:rFonts w:cs="Times New Roman"/>
          <w:bCs/>
          <w:sz w:val="22"/>
        </w:rPr>
        <w:t xml:space="preserve"> </w:t>
      </w:r>
      <w:r w:rsidRPr="00DF0B88" w:rsidR="00A21DD2">
        <w:rPr>
          <w:rFonts w:cs="Times New Roman"/>
          <w:bCs/>
          <w:sz w:val="22"/>
        </w:rPr>
        <w:t>in 2003</w:t>
      </w:r>
      <w:r w:rsidRPr="00DF0B88" w:rsidR="001A6E72">
        <w:rPr>
          <w:rFonts w:cs="Times New Roman"/>
          <w:bCs/>
          <w:sz w:val="22"/>
        </w:rPr>
        <w:t xml:space="preserve"> to provide </w:t>
      </w:r>
      <w:r w:rsidRPr="00DF0B88" w:rsidR="002C0408">
        <w:rPr>
          <w:rFonts w:cs="Times New Roman"/>
          <w:bCs/>
          <w:sz w:val="22"/>
        </w:rPr>
        <w:t>residential and business broadband</w:t>
      </w:r>
      <w:r w:rsidRPr="00DF0B88" w:rsidR="005439F8">
        <w:rPr>
          <w:rFonts w:cs="Times New Roman"/>
          <w:bCs/>
          <w:sz w:val="22"/>
        </w:rPr>
        <w:t xml:space="preserve"> services</w:t>
      </w:r>
      <w:r w:rsidRPr="00DF0B88" w:rsidR="00A21DD2">
        <w:rPr>
          <w:rFonts w:cs="Times New Roman"/>
          <w:bCs/>
          <w:sz w:val="22"/>
        </w:rPr>
        <w:t xml:space="preserve"> </w:t>
      </w:r>
      <w:r w:rsidRPr="00DF0B88" w:rsidR="001A6E72">
        <w:rPr>
          <w:rFonts w:cs="Times New Roman"/>
          <w:bCs/>
          <w:sz w:val="22"/>
        </w:rPr>
        <w:t>in rural areas</w:t>
      </w:r>
      <w:r w:rsidRPr="00DF0B88" w:rsidR="005439F8">
        <w:rPr>
          <w:rFonts w:cs="Times New Roman"/>
          <w:bCs/>
          <w:sz w:val="22"/>
        </w:rPr>
        <w:t>.</w:t>
      </w:r>
      <w:r>
        <w:rPr>
          <w:rStyle w:val="FootnoteReference"/>
          <w:rFonts w:cs="Times New Roman"/>
          <w:bCs/>
        </w:rPr>
        <w:footnoteReference w:id="9"/>
      </w:r>
      <w:r w:rsidRPr="00DF0B88" w:rsidR="005439F8">
        <w:rPr>
          <w:rFonts w:cs="Times New Roman"/>
          <w:bCs/>
          <w:sz w:val="22"/>
        </w:rPr>
        <w:t xml:space="preserve"> </w:t>
      </w:r>
      <w:r w:rsidRPr="00DF0B88" w:rsidR="00AE4C9A">
        <w:rPr>
          <w:rFonts w:cs="Times New Roman"/>
          <w:bCs/>
          <w:sz w:val="22"/>
        </w:rPr>
        <w:t xml:space="preserve"> </w:t>
      </w:r>
      <w:r w:rsidR="0076454F">
        <w:rPr>
          <w:rFonts w:cs="Times New Roman"/>
          <w:bCs/>
          <w:sz w:val="22"/>
        </w:rPr>
        <w:t xml:space="preserve">On February 13, 2020, </w:t>
      </w:r>
      <w:r w:rsidR="002572BD">
        <w:rPr>
          <w:rFonts w:cs="Times New Roman"/>
          <w:bCs/>
          <w:sz w:val="22"/>
        </w:rPr>
        <w:t xml:space="preserve">when Mr. </w:t>
      </w:r>
      <w:r w:rsidR="002572BD">
        <w:rPr>
          <w:rFonts w:cs="Times New Roman"/>
          <w:bCs/>
          <w:sz w:val="22"/>
        </w:rPr>
        <w:t>Stooke</w:t>
      </w:r>
      <w:r w:rsidR="002572BD">
        <w:rPr>
          <w:rFonts w:cs="Times New Roman"/>
          <w:bCs/>
          <w:sz w:val="22"/>
        </w:rPr>
        <w:t xml:space="preserve"> was the 100% owner of Wisper ISP, Inc., </w:t>
      </w:r>
      <w:r w:rsidR="0076454F">
        <w:rPr>
          <w:rFonts w:cs="Times New Roman"/>
          <w:bCs/>
          <w:sz w:val="22"/>
        </w:rPr>
        <w:t xml:space="preserve">the Bureau authorized Wisper ISP, Inc. to receive Connect America Fund (CAF) Phase II Auction 903 support </w:t>
      </w:r>
      <w:r w:rsidR="009E496B">
        <w:rPr>
          <w:rFonts w:cs="Times New Roman"/>
          <w:bCs/>
          <w:sz w:val="22"/>
        </w:rPr>
        <w:t>of approximately $220 million to serve</w:t>
      </w:r>
      <w:r w:rsidR="0076454F">
        <w:rPr>
          <w:rFonts w:cs="Times New Roman"/>
          <w:bCs/>
          <w:sz w:val="22"/>
        </w:rPr>
        <w:t xml:space="preserve"> 80,149 locations in Arkansas, </w:t>
      </w:r>
      <w:r w:rsidR="00BF0F8A">
        <w:rPr>
          <w:rFonts w:cs="Times New Roman"/>
          <w:bCs/>
          <w:sz w:val="22"/>
        </w:rPr>
        <w:t xml:space="preserve">Illinois, </w:t>
      </w:r>
      <w:r w:rsidR="0076454F">
        <w:rPr>
          <w:rFonts w:cs="Times New Roman"/>
          <w:bCs/>
          <w:sz w:val="22"/>
        </w:rPr>
        <w:t>Indiana, Kansas, Missouri, and Oklahoma</w:t>
      </w:r>
      <w:r w:rsidRPr="001E4741" w:rsidR="0076454F">
        <w:rPr>
          <w:rFonts w:cs="Times New Roman"/>
          <w:bCs/>
          <w:sz w:val="22"/>
        </w:rPr>
        <w:t>.</w:t>
      </w:r>
      <w:r>
        <w:rPr>
          <w:rStyle w:val="FootnoteReference"/>
          <w:rFonts w:cs="Times New Roman"/>
          <w:bCs/>
        </w:rPr>
        <w:footnoteReference w:id="10"/>
      </w:r>
      <w:r>
        <w:rPr>
          <w:rFonts w:cs="Times New Roman"/>
          <w:bCs/>
          <w:sz w:val="22"/>
        </w:rPr>
        <w:t xml:space="preserve">  </w:t>
      </w:r>
    </w:p>
    <w:p w:rsidR="00E56979" w:rsidP="00E56979" w14:paraId="5E89B702" w14:textId="77777777">
      <w:pPr>
        <w:ind w:firstLine="720"/>
        <w:rPr>
          <w:rFonts w:cs="Times New Roman"/>
          <w:bCs/>
          <w:sz w:val="22"/>
        </w:rPr>
      </w:pPr>
    </w:p>
    <w:p w:rsidR="00296762" w:rsidP="00E56979" w14:paraId="659597CE" w14:textId="5DCF20A5">
      <w:pPr>
        <w:ind w:firstLine="720"/>
        <w:rPr>
          <w:rFonts w:cs="Times New Roman"/>
          <w:bCs/>
          <w:sz w:val="22"/>
        </w:rPr>
      </w:pPr>
      <w:r w:rsidRPr="00DF0B88">
        <w:rPr>
          <w:rFonts w:cs="Times New Roman"/>
          <w:sz w:val="22"/>
        </w:rPr>
        <w:t xml:space="preserve">Wisper </w:t>
      </w:r>
      <w:r w:rsidR="00833158">
        <w:rPr>
          <w:rFonts w:cs="Times New Roman"/>
          <w:sz w:val="22"/>
        </w:rPr>
        <w:t>currently provides</w:t>
      </w:r>
      <w:r w:rsidRPr="00DF0B88">
        <w:rPr>
          <w:rFonts w:cs="Times New Roman"/>
          <w:sz w:val="22"/>
        </w:rPr>
        <w:t xml:space="preserve"> rural fixed wireless and fiber broadband </w:t>
      </w:r>
      <w:r w:rsidR="00833158">
        <w:rPr>
          <w:rFonts w:cs="Times New Roman"/>
          <w:sz w:val="22"/>
        </w:rPr>
        <w:t>services to</w:t>
      </w:r>
      <w:r w:rsidRPr="00DF0B88">
        <w:rPr>
          <w:rFonts w:cs="Times New Roman"/>
          <w:sz w:val="22"/>
        </w:rPr>
        <w:t xml:space="preserve"> “approximately 19,000 subscribers in Arkansas, Illinois, Indiana, Kansas, Missouri, and Oklahoma.</w:t>
      </w:r>
      <w:r w:rsidRPr="00DF0B88" w:rsidR="00890E04">
        <w:rPr>
          <w:rFonts w:cs="Times New Roman"/>
          <w:sz w:val="22"/>
        </w:rPr>
        <w:t>”</w:t>
      </w:r>
      <w:r>
        <w:rPr>
          <w:rStyle w:val="FootnoteReference"/>
          <w:rFonts w:cs="Times New Roman"/>
        </w:rPr>
        <w:footnoteReference w:id="11"/>
      </w:r>
      <w:r w:rsidRPr="00DF0B88" w:rsidR="007051F4">
        <w:rPr>
          <w:rFonts w:cs="Times New Roman"/>
          <w:bCs/>
          <w:sz w:val="22"/>
        </w:rPr>
        <w:t xml:space="preserve">  </w:t>
      </w:r>
      <w:r w:rsidRPr="00DF0B88" w:rsidR="00212349">
        <w:rPr>
          <w:rFonts w:cs="Times New Roman"/>
          <w:bCs/>
          <w:sz w:val="22"/>
        </w:rPr>
        <w:t>In 2020, the Wisper-CABO (Cable One) 904 Consortium participated in the Rural Digital Opportunity Fund</w:t>
      </w:r>
      <w:r w:rsidRPr="00DF0B88" w:rsidR="002539AC">
        <w:rPr>
          <w:rFonts w:cs="Times New Roman"/>
          <w:bCs/>
          <w:sz w:val="22"/>
        </w:rPr>
        <w:t xml:space="preserve"> (RDOF)</w:t>
      </w:r>
      <w:r w:rsidRPr="00DF0B88" w:rsidR="00212349">
        <w:rPr>
          <w:rFonts w:cs="Times New Roman"/>
          <w:bCs/>
          <w:sz w:val="22"/>
        </w:rPr>
        <w:t xml:space="preserve"> Phase I reverse auction.</w:t>
      </w:r>
      <w:r>
        <w:rPr>
          <w:rStyle w:val="FootnoteReference"/>
          <w:rFonts w:cs="Times New Roman"/>
          <w:bCs/>
        </w:rPr>
        <w:footnoteReference w:id="12"/>
      </w:r>
      <w:r w:rsidRPr="00DF0B88" w:rsidR="00212349">
        <w:rPr>
          <w:rFonts w:cs="Times New Roman"/>
          <w:bCs/>
          <w:sz w:val="22"/>
        </w:rPr>
        <w:t xml:space="preserve"> </w:t>
      </w:r>
      <w:r w:rsidRPr="00DF0B88">
        <w:rPr>
          <w:rFonts w:cs="Times New Roman"/>
          <w:bCs/>
          <w:sz w:val="22"/>
        </w:rPr>
        <w:t xml:space="preserve"> </w:t>
      </w:r>
      <w:r w:rsidRPr="00DF0B88" w:rsidR="00E93717">
        <w:rPr>
          <w:rFonts w:cs="Times New Roman"/>
          <w:bCs/>
          <w:sz w:val="22"/>
        </w:rPr>
        <w:t xml:space="preserve">On </w:t>
      </w:r>
      <w:r w:rsidRPr="00DF0B88" w:rsidR="00C271FF">
        <w:rPr>
          <w:rFonts w:cs="Times New Roman"/>
          <w:bCs/>
          <w:sz w:val="22"/>
        </w:rPr>
        <w:t>June 14, 2022</w:t>
      </w:r>
      <w:r w:rsidRPr="00DF0B88" w:rsidR="00E93717">
        <w:rPr>
          <w:rFonts w:cs="Times New Roman"/>
          <w:bCs/>
          <w:sz w:val="22"/>
        </w:rPr>
        <w:t>, the Bureau authorize</w:t>
      </w:r>
      <w:r w:rsidRPr="00893DAF" w:rsidR="00E93717">
        <w:rPr>
          <w:rFonts w:cs="Times New Roman"/>
          <w:bCs/>
          <w:sz w:val="22"/>
        </w:rPr>
        <w:t xml:space="preserve">d </w:t>
      </w:r>
      <w:r w:rsidRPr="00893DAF" w:rsidR="00212349">
        <w:rPr>
          <w:rFonts w:cs="Times New Roman"/>
          <w:sz w:val="22"/>
        </w:rPr>
        <w:t xml:space="preserve">Wisper to </w:t>
      </w:r>
      <w:r w:rsidRPr="00DF0B88" w:rsidR="00212349">
        <w:rPr>
          <w:rFonts w:cs="Times New Roman"/>
          <w:sz w:val="22"/>
        </w:rPr>
        <w:t xml:space="preserve">receive RDOF support for </w:t>
      </w:r>
      <w:r w:rsidR="00B80E56">
        <w:rPr>
          <w:rFonts w:cs="Times New Roman"/>
          <w:sz w:val="22"/>
        </w:rPr>
        <w:t xml:space="preserve">an estimated </w:t>
      </w:r>
      <w:r w:rsidRPr="00DF0B88" w:rsidR="00212349">
        <w:rPr>
          <w:rFonts w:cs="Times New Roman"/>
          <w:sz w:val="22"/>
        </w:rPr>
        <w:t xml:space="preserve">564 locations in Arkansas for a total of $68,032.50; </w:t>
      </w:r>
      <w:r w:rsidR="00B80E56">
        <w:rPr>
          <w:rFonts w:cs="Times New Roman"/>
          <w:sz w:val="22"/>
        </w:rPr>
        <w:t xml:space="preserve">an estimated </w:t>
      </w:r>
      <w:r w:rsidRPr="00DF0B88" w:rsidR="00212349">
        <w:rPr>
          <w:rFonts w:cs="Times New Roman"/>
          <w:sz w:val="22"/>
        </w:rPr>
        <w:t xml:space="preserve">23 locations in Illinois for a total of $81,815.00; and </w:t>
      </w:r>
      <w:r w:rsidR="00B80E56">
        <w:rPr>
          <w:rFonts w:cs="Times New Roman"/>
          <w:sz w:val="22"/>
        </w:rPr>
        <w:t xml:space="preserve">an estimated </w:t>
      </w:r>
      <w:r w:rsidRPr="00DF0B88" w:rsidR="00212349">
        <w:rPr>
          <w:rFonts w:cs="Times New Roman"/>
          <w:sz w:val="22"/>
        </w:rPr>
        <w:t>694 locations in Missouri for a total of $1,069,097.00.</w:t>
      </w:r>
      <w:r>
        <w:rPr>
          <w:rStyle w:val="FootnoteReference"/>
          <w:rFonts w:cs="Times New Roman"/>
        </w:rPr>
        <w:footnoteReference w:id="13"/>
      </w:r>
      <w:r w:rsidRPr="00DF0B88" w:rsidR="00A15FF5">
        <w:rPr>
          <w:rFonts w:cs="Times New Roman"/>
          <w:sz w:val="22"/>
        </w:rPr>
        <w:t xml:space="preserve">  </w:t>
      </w:r>
      <w:r w:rsidRPr="00DF0B88" w:rsidR="006E35C4">
        <w:rPr>
          <w:rFonts w:cs="Times New Roman"/>
          <w:bCs/>
          <w:sz w:val="22"/>
        </w:rPr>
        <w:t xml:space="preserve">Wisper </w:t>
      </w:r>
      <w:r w:rsidR="00440D3A">
        <w:rPr>
          <w:rFonts w:cs="Times New Roman"/>
          <w:bCs/>
          <w:sz w:val="22"/>
        </w:rPr>
        <w:t>is</w:t>
      </w:r>
      <w:r w:rsidRPr="00DF0B88" w:rsidR="006E35C4">
        <w:rPr>
          <w:rFonts w:cs="Times New Roman"/>
          <w:bCs/>
          <w:sz w:val="22"/>
        </w:rPr>
        <w:t xml:space="preserve"> designated as an E</w:t>
      </w:r>
      <w:r w:rsidR="004852DD">
        <w:rPr>
          <w:rFonts w:cs="Times New Roman"/>
          <w:bCs/>
          <w:sz w:val="22"/>
        </w:rPr>
        <w:t>ligible Telecommunications Carrier (E</w:t>
      </w:r>
      <w:r w:rsidRPr="00DF0B88" w:rsidR="006E35C4">
        <w:rPr>
          <w:rFonts w:cs="Times New Roman"/>
          <w:bCs/>
          <w:sz w:val="22"/>
        </w:rPr>
        <w:t>TC</w:t>
      </w:r>
      <w:r w:rsidR="004852DD">
        <w:rPr>
          <w:rFonts w:cs="Times New Roman"/>
          <w:bCs/>
          <w:sz w:val="22"/>
        </w:rPr>
        <w:t>)</w:t>
      </w:r>
      <w:r w:rsidRPr="00DF0B88" w:rsidR="006E35C4">
        <w:rPr>
          <w:rFonts w:cs="Times New Roman"/>
          <w:bCs/>
          <w:sz w:val="22"/>
        </w:rPr>
        <w:t xml:space="preserve"> in Arkansas, Illinois,</w:t>
      </w:r>
      <w:r w:rsidR="00C81439">
        <w:rPr>
          <w:rFonts w:cs="Times New Roman"/>
          <w:bCs/>
          <w:sz w:val="22"/>
        </w:rPr>
        <w:t xml:space="preserve"> Indiana, Kansas,</w:t>
      </w:r>
      <w:r w:rsidRPr="00DF0B88" w:rsidR="006E35C4">
        <w:rPr>
          <w:rFonts w:cs="Times New Roman"/>
          <w:bCs/>
          <w:sz w:val="22"/>
        </w:rPr>
        <w:t xml:space="preserve"> Missouri</w:t>
      </w:r>
      <w:r w:rsidR="00C81439">
        <w:rPr>
          <w:rFonts w:cs="Times New Roman"/>
          <w:bCs/>
          <w:sz w:val="22"/>
        </w:rPr>
        <w:t>, and Oklahoma</w:t>
      </w:r>
      <w:r w:rsidRPr="00DF0B88" w:rsidR="006E35C4">
        <w:rPr>
          <w:rFonts w:cs="Times New Roman"/>
          <w:bCs/>
          <w:sz w:val="22"/>
        </w:rPr>
        <w:t>.</w:t>
      </w:r>
      <w:r>
        <w:rPr>
          <w:rStyle w:val="FootnoteReference"/>
          <w:rFonts w:cs="Times New Roman"/>
          <w:bCs/>
        </w:rPr>
        <w:footnoteReference w:id="14"/>
      </w:r>
    </w:p>
    <w:p w:rsidR="00A5727F" w:rsidRPr="00DF0B88" w:rsidP="00212349" w14:paraId="52084AA4" w14:textId="517E96DA">
      <w:pPr>
        <w:rPr>
          <w:rFonts w:cs="Times New Roman"/>
          <w:bCs/>
          <w:sz w:val="22"/>
        </w:rPr>
      </w:pPr>
    </w:p>
    <w:p w:rsidR="00CC7FC6" w:rsidRPr="00DF0B88" w:rsidP="00B47072" w14:paraId="0CECC14B" w14:textId="76D09F0C">
      <w:pPr>
        <w:rPr>
          <w:rFonts w:cs="Times New Roman"/>
          <w:sz w:val="22"/>
        </w:rPr>
      </w:pPr>
      <w:r w:rsidRPr="00DF0B88">
        <w:rPr>
          <w:rFonts w:cs="Times New Roman"/>
          <w:bCs/>
          <w:sz w:val="22"/>
        </w:rPr>
        <w:tab/>
      </w:r>
      <w:r w:rsidRPr="00DF0B88" w:rsidR="00296762">
        <w:rPr>
          <w:rFonts w:cs="Times New Roman"/>
          <w:sz w:val="22"/>
        </w:rPr>
        <w:t xml:space="preserve">Pursuant to the terms of the proposed transaction, </w:t>
      </w:r>
      <w:r w:rsidRPr="00DF0B88">
        <w:rPr>
          <w:rFonts w:cs="Times New Roman"/>
          <w:bCs/>
          <w:sz w:val="22"/>
        </w:rPr>
        <w:t xml:space="preserve">Cable One and Stephens will transfer their </w:t>
      </w:r>
      <w:r w:rsidRPr="00DF0B88" w:rsidR="006726C3">
        <w:rPr>
          <w:rFonts w:cs="Times New Roman"/>
          <w:bCs/>
          <w:sz w:val="22"/>
        </w:rPr>
        <w:t xml:space="preserve">current </w:t>
      </w:r>
      <w:r w:rsidRPr="00DF0B88">
        <w:rPr>
          <w:rFonts w:cs="Times New Roman"/>
          <w:bCs/>
          <w:sz w:val="22"/>
        </w:rPr>
        <w:t xml:space="preserve">ownership interests in Wisper to </w:t>
      </w:r>
      <w:r w:rsidR="002C12E1">
        <w:rPr>
          <w:rFonts w:cs="Times New Roman"/>
          <w:bCs/>
          <w:sz w:val="22"/>
        </w:rPr>
        <w:t>Mr.</w:t>
      </w:r>
      <w:r w:rsidRPr="00DF0B88">
        <w:rPr>
          <w:rFonts w:cs="Times New Roman"/>
          <w:bCs/>
          <w:sz w:val="22"/>
        </w:rPr>
        <w:t xml:space="preserve"> </w:t>
      </w:r>
      <w:r w:rsidRPr="00DF0B88">
        <w:rPr>
          <w:rFonts w:cs="Times New Roman"/>
          <w:bCs/>
          <w:sz w:val="22"/>
        </w:rPr>
        <w:t>Stooke</w:t>
      </w:r>
      <w:r w:rsidR="00B00D6F">
        <w:rPr>
          <w:rFonts w:cs="Times New Roman"/>
          <w:bCs/>
          <w:sz w:val="22"/>
        </w:rPr>
        <w:t>,</w:t>
      </w:r>
      <w:r w:rsidR="00DE1C88">
        <w:rPr>
          <w:rFonts w:cs="Times New Roman"/>
          <w:bCs/>
          <w:sz w:val="22"/>
        </w:rPr>
        <w:t xml:space="preserve"> resulting in him reacquiring </w:t>
      </w:r>
      <w:r w:rsidR="0098144D">
        <w:rPr>
          <w:rFonts w:cs="Times New Roman"/>
          <w:bCs/>
          <w:sz w:val="22"/>
        </w:rPr>
        <w:t xml:space="preserve">a </w:t>
      </w:r>
      <w:r w:rsidR="00DE1C88">
        <w:rPr>
          <w:rFonts w:cs="Times New Roman"/>
          <w:bCs/>
          <w:sz w:val="22"/>
        </w:rPr>
        <w:t>100% ownership interest in Wisper</w:t>
      </w:r>
      <w:r w:rsidRPr="00DF0B88">
        <w:rPr>
          <w:rFonts w:cs="Times New Roman"/>
          <w:bCs/>
          <w:sz w:val="22"/>
        </w:rPr>
        <w:t>.</w:t>
      </w:r>
      <w:r>
        <w:rPr>
          <w:rStyle w:val="FootnoteReference"/>
          <w:rFonts w:cs="Times New Roman"/>
          <w:bCs/>
        </w:rPr>
        <w:footnoteReference w:id="15"/>
      </w:r>
      <w:r w:rsidRPr="00DF0B88" w:rsidR="003D7763">
        <w:rPr>
          <w:rFonts w:cs="Times New Roman"/>
          <w:sz w:val="22"/>
        </w:rPr>
        <w:t xml:space="preserve">  </w:t>
      </w:r>
      <w:bookmarkStart w:id="0" w:name="_Hlk119313305"/>
      <w:r w:rsidRPr="00DF0B88" w:rsidR="00844EBC">
        <w:rPr>
          <w:rFonts w:cs="Times New Roman"/>
          <w:sz w:val="22"/>
        </w:rPr>
        <w:t>According to Applicants, Bluewater Wisper Ventures LLC</w:t>
      </w:r>
      <w:r>
        <w:rPr>
          <w:rStyle w:val="FootnoteReference"/>
          <w:rFonts w:cs="Times New Roman"/>
        </w:rPr>
        <w:footnoteReference w:id="16"/>
      </w:r>
      <w:r w:rsidRPr="00DF0B88" w:rsidR="00844EBC">
        <w:rPr>
          <w:rFonts w:cs="Times New Roman"/>
          <w:sz w:val="22"/>
        </w:rPr>
        <w:t xml:space="preserve"> will act as the agent for lenders and other parties to a loan agreement (Lenders) to “make term loans available for Wisper to acquire </w:t>
      </w:r>
      <w:r w:rsidR="00FF356D">
        <w:rPr>
          <w:rFonts w:cs="Times New Roman"/>
          <w:sz w:val="22"/>
        </w:rPr>
        <w:t>the [Cable One] and Stephens membership units and fund accelerated deployment in Wisper’s CAF and RDOF areas</w:t>
      </w:r>
      <w:r w:rsidRPr="00DF0B88" w:rsidR="00844EBC">
        <w:rPr>
          <w:rFonts w:cs="Times New Roman"/>
          <w:sz w:val="22"/>
        </w:rPr>
        <w:t>.”</w:t>
      </w:r>
      <w:r>
        <w:rPr>
          <w:rStyle w:val="FootnoteReference"/>
          <w:rFonts w:cs="Times New Roman"/>
        </w:rPr>
        <w:footnoteReference w:id="17"/>
      </w:r>
      <w:bookmarkEnd w:id="0"/>
    </w:p>
    <w:p w:rsidR="005C2899" w:rsidP="00B47072" w14:paraId="1E56B2E6" w14:textId="0650B445">
      <w:pPr>
        <w:rPr>
          <w:rFonts w:cs="Times New Roman"/>
          <w:bCs/>
          <w:sz w:val="22"/>
        </w:rPr>
      </w:pPr>
      <w:bookmarkStart w:id="1" w:name="_Hlk122504232"/>
    </w:p>
    <w:p w:rsidR="00966570" w:rsidRPr="009E496B" w:rsidP="009E496B" w14:paraId="008DAF9B" w14:textId="7A605BCD">
      <w:pPr>
        <w:ind w:firstLine="720"/>
        <w:rPr>
          <w:rFonts w:cs="Times New Roman"/>
          <w:bCs/>
          <w:sz w:val="22"/>
        </w:rPr>
      </w:pPr>
      <w:r w:rsidRPr="00DF0B88">
        <w:rPr>
          <w:rFonts w:cs="Times New Roman"/>
          <w:bCs/>
          <w:sz w:val="22"/>
        </w:rPr>
        <w:t>Applicants assert that the proposed transaction would serve the public interest, convenience, and necessity.</w:t>
      </w:r>
      <w:r>
        <w:rPr>
          <w:rStyle w:val="FootnoteReference"/>
          <w:rFonts w:cs="Times New Roman"/>
          <w:bCs/>
        </w:rPr>
        <w:footnoteReference w:id="18"/>
      </w:r>
      <w:r w:rsidRPr="00DF0B88">
        <w:rPr>
          <w:rFonts w:cs="Times New Roman"/>
          <w:bCs/>
          <w:sz w:val="22"/>
        </w:rPr>
        <w:t xml:space="preserve">  </w:t>
      </w:r>
      <w:r>
        <w:rPr>
          <w:rFonts w:cs="Times New Roman"/>
          <w:bCs/>
          <w:sz w:val="22"/>
        </w:rPr>
        <w:t xml:space="preserve">They contend that </w:t>
      </w:r>
      <w:r w:rsidR="00F343CC">
        <w:rPr>
          <w:rFonts w:cs="Times New Roman"/>
          <w:bCs/>
          <w:sz w:val="22"/>
        </w:rPr>
        <w:t xml:space="preserve">the </w:t>
      </w:r>
      <w:r>
        <w:rPr>
          <w:rFonts w:cs="Times New Roman"/>
          <w:bCs/>
          <w:sz w:val="22"/>
        </w:rPr>
        <w:t xml:space="preserve">post-transaction loan proceeds will exceed the </w:t>
      </w:r>
      <w:r w:rsidR="004D7C8B">
        <w:rPr>
          <w:rFonts w:cs="Times New Roman"/>
          <w:bCs/>
          <w:sz w:val="22"/>
        </w:rPr>
        <w:t xml:space="preserve">amount of </w:t>
      </w:r>
      <w:r>
        <w:rPr>
          <w:rFonts w:cs="Times New Roman"/>
          <w:bCs/>
          <w:sz w:val="22"/>
        </w:rPr>
        <w:t xml:space="preserve">capital that was previously committed to Wisper by Cable One and Stephens, which “will enable Wisper to accelerate </w:t>
      </w:r>
      <w:r>
        <w:rPr>
          <w:rFonts w:cs="Times New Roman"/>
          <w:bCs/>
          <w:sz w:val="22"/>
        </w:rPr>
        <w:t>buildout to its CAF and RDOF locations.”</w:t>
      </w:r>
      <w:r>
        <w:rPr>
          <w:rStyle w:val="FootnoteReference"/>
          <w:rFonts w:cs="Times New Roman"/>
          <w:bCs/>
        </w:rPr>
        <w:footnoteReference w:id="19"/>
      </w:r>
      <w:r>
        <w:rPr>
          <w:rFonts w:cs="Times New Roman"/>
          <w:bCs/>
          <w:sz w:val="22"/>
        </w:rPr>
        <w:t xml:space="preserve">  They also contend that the proposed debt financing arrangement will not impair Wisper’s ability to meet its CAF and RDOF obligations, and will enable Wisper “to </w:t>
      </w:r>
      <w:r w:rsidRPr="00E309BA">
        <w:rPr>
          <w:rFonts w:cs="Times New Roman"/>
          <w:bCs/>
          <w:sz w:val="22"/>
        </w:rPr>
        <w:t>replace its existing letters of credit with new letters of credit at a lower cost.”</w:t>
      </w:r>
      <w:r>
        <w:rPr>
          <w:rStyle w:val="FootnoteReference"/>
          <w:rFonts w:cs="Times New Roman"/>
          <w:bCs/>
        </w:rPr>
        <w:footnoteReference w:id="20"/>
      </w:r>
      <w:r w:rsidRPr="00E309BA">
        <w:rPr>
          <w:rFonts w:cs="Times New Roman"/>
          <w:bCs/>
          <w:sz w:val="22"/>
        </w:rPr>
        <w:t xml:space="preserve">  </w:t>
      </w:r>
      <w:r w:rsidRPr="00E309BA">
        <w:rPr>
          <w:rFonts w:cs="Times New Roman"/>
          <w:sz w:val="22"/>
        </w:rPr>
        <w:t xml:space="preserve">Mr. </w:t>
      </w:r>
      <w:r w:rsidRPr="00E309BA">
        <w:rPr>
          <w:rFonts w:cs="Times New Roman"/>
          <w:sz w:val="22"/>
        </w:rPr>
        <w:t>Stooke</w:t>
      </w:r>
      <w:r w:rsidRPr="00E309BA">
        <w:rPr>
          <w:rFonts w:cs="Times New Roman"/>
          <w:sz w:val="22"/>
        </w:rPr>
        <w:t xml:space="preserve"> also certifies that he will remain responsible for all CAF, RDOF, and ETC associated requirements, and </w:t>
      </w:r>
      <w:r w:rsidRPr="00E309BA" w:rsidR="004D7C8B">
        <w:rPr>
          <w:rFonts w:cs="Times New Roman"/>
          <w:sz w:val="22"/>
        </w:rPr>
        <w:t xml:space="preserve">that he </w:t>
      </w:r>
      <w:r w:rsidRPr="00E309BA">
        <w:rPr>
          <w:rFonts w:cs="Times New Roman"/>
          <w:sz w:val="22"/>
        </w:rPr>
        <w:t>will be subject to established consequences for failing to meet such requirements.</w:t>
      </w:r>
      <w:r>
        <w:rPr>
          <w:rStyle w:val="FootnoteReference"/>
          <w:rFonts w:cs="Times New Roman"/>
        </w:rPr>
        <w:footnoteReference w:id="21"/>
      </w:r>
      <w:r w:rsidRPr="00E309BA">
        <w:rPr>
          <w:rFonts w:cs="Times New Roman"/>
          <w:sz w:val="22"/>
        </w:rPr>
        <w:t xml:space="preserve">  </w:t>
      </w:r>
      <w:bookmarkStart w:id="2" w:name="_Hlk119313335"/>
      <w:r w:rsidRPr="00E309BA" w:rsidR="00755E48">
        <w:rPr>
          <w:rFonts w:cs="Times New Roman"/>
          <w:sz w:val="22"/>
        </w:rPr>
        <w:t>Applicants further maintain that the proposed transaction will not adversely affect competition.</w:t>
      </w:r>
      <w:r>
        <w:rPr>
          <w:rStyle w:val="FootnoteReference"/>
          <w:rFonts w:cs="Times New Roman"/>
        </w:rPr>
        <w:footnoteReference w:id="22"/>
      </w:r>
      <w:r w:rsidRPr="00E309BA" w:rsidR="00755E48">
        <w:rPr>
          <w:rFonts w:cs="Times New Roman"/>
          <w:sz w:val="22"/>
        </w:rPr>
        <w:t xml:space="preserve">  </w:t>
      </w:r>
    </w:p>
    <w:p w:rsidR="00820FEB" w:rsidRPr="00E309BA" w:rsidP="003C06F0" w14:paraId="14437478" w14:textId="77777777">
      <w:pPr>
        <w:rPr>
          <w:rFonts w:cs="Times New Roman"/>
          <w:sz w:val="22"/>
        </w:rPr>
      </w:pPr>
    </w:p>
    <w:bookmarkEnd w:id="1"/>
    <w:bookmarkEnd w:id="2"/>
    <w:p w:rsidR="0070387F" w:rsidRPr="00DF0B88" w:rsidP="0070387F" w14:paraId="3536A9D8" w14:textId="6C6F464F">
      <w:pPr>
        <w:autoSpaceDE w:val="0"/>
        <w:autoSpaceDN w:val="0"/>
        <w:adjustRightInd w:val="0"/>
        <w:spacing w:after="120"/>
        <w:ind w:firstLine="720"/>
        <w:rPr>
          <w:rFonts w:cs="Times New Roman"/>
          <w:sz w:val="22"/>
        </w:rPr>
      </w:pPr>
      <w:r w:rsidRPr="00E309BA">
        <w:rPr>
          <w:rFonts w:cs="Times New Roman"/>
          <w:sz w:val="22"/>
        </w:rPr>
        <w:t xml:space="preserve">Because the proposed transaction </w:t>
      </w:r>
      <w:r w:rsidRPr="00DF0B88">
        <w:rPr>
          <w:rFonts w:cs="Times New Roman"/>
          <w:color w:val="000000"/>
          <w:sz w:val="22"/>
        </w:rPr>
        <w:t>would involve the exchange and assumption of Universal Service Fund high-cost mechanism obligations, in order to sufficiently analyze whether the proposed transaction would serve the public interest, we accept the Application for non-streamlined processing</w:t>
      </w:r>
      <w:r w:rsidRPr="00DF0B88">
        <w:rPr>
          <w:rFonts w:cs="Times New Roman"/>
          <w:bCs/>
          <w:sz w:val="22"/>
        </w:rPr>
        <w:t>.</w:t>
      </w:r>
      <w:r>
        <w:rPr>
          <w:rStyle w:val="FootnoteReference"/>
          <w:rFonts w:cs="Times New Roman"/>
          <w:bCs/>
        </w:rPr>
        <w:footnoteReference w:id="23"/>
      </w:r>
    </w:p>
    <w:p w:rsidR="004534E3" w:rsidRPr="00DF0B88" w:rsidP="00B47072" w14:paraId="55A9B402" w14:textId="77777777">
      <w:pPr>
        <w:rPr>
          <w:rFonts w:cs="Times New Roman"/>
          <w:bCs/>
          <w:sz w:val="22"/>
        </w:rPr>
      </w:pPr>
      <w:r w:rsidRPr="00DF0B88">
        <w:rPr>
          <w:rFonts w:cs="Times New Roman"/>
          <w:bCs/>
          <w:sz w:val="22"/>
        </w:rPr>
        <w:tab/>
        <w:t xml:space="preserve">Domestic Section 214 Application Filed for the Transfer of Control of </w:t>
      </w:r>
    </w:p>
    <w:p w:rsidR="0070387F" w:rsidRPr="00DF0B88" w:rsidP="004534E3" w14:paraId="509547C5" w14:textId="64F6007E">
      <w:pPr>
        <w:ind w:firstLine="720"/>
        <w:rPr>
          <w:rFonts w:cs="Times New Roman"/>
          <w:bCs/>
          <w:sz w:val="22"/>
        </w:rPr>
      </w:pPr>
      <w:r w:rsidRPr="00DF0B88">
        <w:rPr>
          <w:rFonts w:cs="Times New Roman"/>
          <w:bCs/>
          <w:sz w:val="22"/>
        </w:rPr>
        <w:t xml:space="preserve">Wisper ISP, </w:t>
      </w:r>
      <w:r w:rsidRPr="00DF0B88" w:rsidR="00922D79">
        <w:rPr>
          <w:rFonts w:cs="Times New Roman"/>
          <w:bCs/>
          <w:sz w:val="22"/>
        </w:rPr>
        <w:t>LLC</w:t>
      </w:r>
      <w:r w:rsidRPr="00DF0B88">
        <w:rPr>
          <w:rFonts w:cs="Times New Roman"/>
          <w:bCs/>
          <w:sz w:val="22"/>
        </w:rPr>
        <w:t xml:space="preserve"> to Nathan T. </w:t>
      </w:r>
      <w:r w:rsidRPr="00DF0B88">
        <w:rPr>
          <w:rFonts w:cs="Times New Roman"/>
          <w:bCs/>
          <w:sz w:val="22"/>
        </w:rPr>
        <w:t>Stooke</w:t>
      </w:r>
      <w:r w:rsidRPr="00DF0B88">
        <w:rPr>
          <w:rFonts w:cs="Times New Roman"/>
          <w:bCs/>
          <w:sz w:val="22"/>
        </w:rPr>
        <w:t xml:space="preserve">, WC Docket No. </w:t>
      </w:r>
      <w:r w:rsidRPr="00DF0B88" w:rsidR="004534E3">
        <w:rPr>
          <w:rFonts w:cs="Times New Roman"/>
          <w:bCs/>
          <w:sz w:val="22"/>
        </w:rPr>
        <w:t>22</w:t>
      </w:r>
      <w:r w:rsidRPr="00DF0B88">
        <w:rPr>
          <w:rFonts w:cs="Times New Roman"/>
          <w:bCs/>
          <w:sz w:val="22"/>
        </w:rPr>
        <w:t>-</w:t>
      </w:r>
      <w:r w:rsidRPr="00DF0B88" w:rsidR="004534E3">
        <w:rPr>
          <w:rFonts w:cs="Times New Roman"/>
          <w:bCs/>
          <w:sz w:val="22"/>
        </w:rPr>
        <w:t>367</w:t>
      </w:r>
      <w:r w:rsidRPr="00DF0B88">
        <w:rPr>
          <w:rFonts w:cs="Times New Roman"/>
          <w:bCs/>
          <w:sz w:val="22"/>
        </w:rPr>
        <w:t xml:space="preserve"> (filed Oct. 14, 2022).  </w:t>
      </w:r>
    </w:p>
    <w:p w:rsidR="00CC7FC6" w:rsidRPr="00DF0B88" w:rsidP="00B47072" w14:paraId="3C154AD7" w14:textId="6BF354D1">
      <w:pPr>
        <w:rPr>
          <w:rFonts w:cs="Times New Roman"/>
          <w:bCs/>
          <w:sz w:val="22"/>
        </w:rPr>
      </w:pPr>
    </w:p>
    <w:p w:rsidR="0070387F" w:rsidRPr="00DF0B88" w:rsidP="00B47072" w14:paraId="2ECB7BB9" w14:textId="60626D34">
      <w:pPr>
        <w:rPr>
          <w:rFonts w:cs="Times New Roman"/>
          <w:b/>
          <w:sz w:val="22"/>
          <w:u w:val="single"/>
        </w:rPr>
      </w:pPr>
      <w:r w:rsidRPr="00DF0B88">
        <w:rPr>
          <w:rFonts w:cs="Times New Roman"/>
          <w:b/>
          <w:sz w:val="22"/>
          <w:u w:val="single"/>
        </w:rPr>
        <w:t xml:space="preserve">GENERAL INFORMATION </w:t>
      </w:r>
    </w:p>
    <w:p w:rsidR="00F43181" w:rsidRPr="00DF0B88" w14:paraId="68FC3116" w14:textId="63992234">
      <w:pPr>
        <w:rPr>
          <w:rFonts w:cs="Times New Roman"/>
          <w:sz w:val="22"/>
        </w:rPr>
      </w:pPr>
      <w:bookmarkStart w:id="4" w:name="TOChere"/>
    </w:p>
    <w:p w:rsidR="001A3E0B" w:rsidRPr="00DF0B88" w:rsidP="00515003" w14:paraId="191CDBA6" w14:textId="7B7865F2">
      <w:pPr>
        <w:autoSpaceDE w:val="0"/>
        <w:autoSpaceDN w:val="0"/>
        <w:adjustRightInd w:val="0"/>
        <w:spacing w:after="120"/>
        <w:ind w:firstLine="720"/>
        <w:rPr>
          <w:rFonts w:cs="Times New Roman"/>
          <w:sz w:val="22"/>
        </w:rPr>
      </w:pPr>
      <w:r w:rsidRPr="00DF0B88">
        <w:rPr>
          <w:rFonts w:cs="Times New Roman"/>
          <w:sz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bookmarkEnd w:id="4"/>
    <w:p w:rsidR="009074E7" w:rsidRPr="00DF0B88" w:rsidP="009074E7" w14:paraId="7726BF79" w14:textId="1C323401">
      <w:pPr>
        <w:autoSpaceDE w:val="0"/>
        <w:autoSpaceDN w:val="0"/>
        <w:adjustRightInd w:val="0"/>
        <w:spacing w:after="120"/>
        <w:ind w:firstLine="720"/>
        <w:rPr>
          <w:rFonts w:cs="Times New Roman"/>
          <w:sz w:val="22"/>
        </w:rPr>
      </w:pPr>
      <w:r w:rsidRPr="00DF0B88">
        <w:rPr>
          <w:rFonts w:cs="Times New Roman"/>
          <w:sz w:val="22"/>
        </w:rPr>
        <w:t xml:space="preserve">Interested parties may file comments </w:t>
      </w:r>
      <w:r w:rsidRPr="00DF0B88">
        <w:rPr>
          <w:rFonts w:cs="Times New Roman"/>
          <w:b/>
          <w:sz w:val="22"/>
        </w:rPr>
        <w:t xml:space="preserve">on or before </w:t>
      </w:r>
      <w:r w:rsidR="004B7B58">
        <w:rPr>
          <w:rFonts w:cs="Times New Roman"/>
          <w:b/>
          <w:sz w:val="22"/>
        </w:rPr>
        <w:t>January 5, 2023</w:t>
      </w:r>
      <w:r w:rsidRPr="00DF0B88">
        <w:rPr>
          <w:rFonts w:cs="Times New Roman"/>
          <w:sz w:val="22"/>
        </w:rPr>
        <w:t xml:space="preserve">, and reply comments </w:t>
      </w:r>
      <w:r w:rsidRPr="00DF0B88">
        <w:rPr>
          <w:rFonts w:cs="Times New Roman"/>
          <w:b/>
          <w:sz w:val="22"/>
        </w:rPr>
        <w:t xml:space="preserve">on or before </w:t>
      </w:r>
      <w:r w:rsidR="004B7B58">
        <w:rPr>
          <w:rFonts w:cs="Times New Roman"/>
          <w:b/>
          <w:sz w:val="22"/>
        </w:rPr>
        <w:t>January 12, 2023</w:t>
      </w:r>
      <w:r w:rsidRPr="00DF0B88">
        <w:rPr>
          <w:rFonts w:cs="Times New Roman"/>
          <w:bCs/>
          <w:sz w:val="22"/>
        </w:rPr>
        <w:t>.</w:t>
      </w:r>
      <w:r w:rsidRPr="00DF0B88">
        <w:rPr>
          <w:rFonts w:cs="Times New Roman"/>
          <w:b/>
          <w:sz w:val="22"/>
        </w:rPr>
        <w:t xml:space="preserve">  </w:t>
      </w:r>
      <w:r w:rsidRPr="00DF0B88">
        <w:rPr>
          <w:rFonts w:cs="Times New Roman"/>
          <w:sz w:val="22"/>
        </w:rPr>
        <w:t>Comments may be filed using the Commission’s Electronic Comment Filing System (ECFS) or by paper.  </w:t>
      </w:r>
    </w:p>
    <w:p w:rsidR="009074E7" w:rsidRPr="00DF0B88" w:rsidP="009074E7" w14:paraId="248C6A30" w14:textId="77777777">
      <w:pPr>
        <w:numPr>
          <w:ilvl w:val="0"/>
          <w:numId w:val="8"/>
        </w:numPr>
        <w:autoSpaceDE w:val="0"/>
        <w:autoSpaceDN w:val="0"/>
        <w:adjustRightInd w:val="0"/>
        <w:spacing w:after="120"/>
        <w:rPr>
          <w:rFonts w:cs="Times New Roman"/>
          <w:sz w:val="22"/>
        </w:rPr>
      </w:pPr>
      <w:r w:rsidRPr="00DF0B88">
        <w:rPr>
          <w:rFonts w:cs="Times New Roman"/>
          <w:sz w:val="22"/>
        </w:rPr>
        <w:t>Electronic Filers:  Comments may be filed electronically by accessing ECFS at </w:t>
      </w:r>
      <w:hyperlink r:id="rId5" w:history="1">
        <w:r w:rsidRPr="00DF0B88">
          <w:rPr>
            <w:rStyle w:val="Hyperlink"/>
            <w:rFonts w:cs="Times New Roman"/>
            <w:sz w:val="22"/>
          </w:rPr>
          <w:t>https://apps.fcc.gov/ecfs/</w:t>
        </w:r>
      </w:hyperlink>
      <w:r w:rsidRPr="00DF0B88">
        <w:rPr>
          <w:rFonts w:cs="Times New Roman"/>
          <w:sz w:val="22"/>
        </w:rPr>
        <w:t>.</w:t>
      </w:r>
    </w:p>
    <w:p w:rsidR="009074E7" w:rsidRPr="00DF0B88" w:rsidP="009074E7" w14:paraId="39D27633" w14:textId="77777777">
      <w:pPr>
        <w:numPr>
          <w:ilvl w:val="0"/>
          <w:numId w:val="9"/>
        </w:numPr>
        <w:autoSpaceDE w:val="0"/>
        <w:autoSpaceDN w:val="0"/>
        <w:adjustRightInd w:val="0"/>
        <w:spacing w:after="120"/>
        <w:rPr>
          <w:rFonts w:cs="Times New Roman"/>
          <w:sz w:val="22"/>
        </w:rPr>
      </w:pPr>
      <w:r w:rsidRPr="00DF0B88">
        <w:rPr>
          <w:rFonts w:cs="Times New Roman"/>
          <w:i/>
          <w:iCs/>
          <w:sz w:val="22"/>
        </w:rPr>
        <w:t>Paper Filers</w:t>
      </w:r>
      <w:r w:rsidRPr="00DF0B88">
        <w:rPr>
          <w:rFonts w:cs="Times New Roman"/>
          <w:sz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9074E7" w:rsidRPr="00DF0B88" w:rsidP="009074E7" w14:paraId="5A0D564C" w14:textId="77777777">
      <w:pPr>
        <w:numPr>
          <w:ilvl w:val="1"/>
          <w:numId w:val="9"/>
        </w:numPr>
        <w:autoSpaceDE w:val="0"/>
        <w:autoSpaceDN w:val="0"/>
        <w:adjustRightInd w:val="0"/>
        <w:spacing w:after="120"/>
        <w:rPr>
          <w:rFonts w:cs="Times New Roman"/>
          <w:sz w:val="22"/>
        </w:rPr>
      </w:pPr>
      <w:r w:rsidRPr="00DF0B88">
        <w:rPr>
          <w:rFonts w:cs="Times New Roman"/>
          <w:sz w:val="22"/>
        </w:rPr>
        <w:t>Filings can be sent by commercial overnight courier or by first-class or overnight U.S. Postal Service mail.</w:t>
      </w:r>
      <w:r>
        <w:rPr>
          <w:rFonts w:cs="Times New Roman"/>
          <w:sz w:val="22"/>
          <w:vertAlign w:val="superscript"/>
        </w:rPr>
        <w:footnoteReference w:id="24"/>
      </w:r>
      <w:r w:rsidRPr="00DF0B88">
        <w:rPr>
          <w:rFonts w:cs="Times New Roman"/>
          <w:sz w:val="22"/>
        </w:rPr>
        <w:t xml:space="preserve">  All filings must be addressed to the Commission’s Secretary, Office of the Secretary, Federal Communications Commission.</w:t>
      </w:r>
    </w:p>
    <w:p w:rsidR="009074E7" w:rsidRPr="00DF0B88" w:rsidP="009074E7" w14:paraId="4CB47E4C" w14:textId="77777777">
      <w:pPr>
        <w:numPr>
          <w:ilvl w:val="1"/>
          <w:numId w:val="9"/>
        </w:numPr>
        <w:autoSpaceDE w:val="0"/>
        <w:autoSpaceDN w:val="0"/>
        <w:adjustRightInd w:val="0"/>
        <w:spacing w:after="120"/>
        <w:rPr>
          <w:rFonts w:cs="Times New Roman"/>
          <w:sz w:val="22"/>
        </w:rPr>
      </w:pPr>
      <w:r w:rsidRPr="00DF0B88">
        <w:rPr>
          <w:rFonts w:cs="Times New Roman"/>
          <w:sz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9074E7" w:rsidRPr="00DF0B88" w:rsidP="009074E7" w14:paraId="435DF789" w14:textId="77777777">
      <w:pPr>
        <w:autoSpaceDE w:val="0"/>
        <w:autoSpaceDN w:val="0"/>
        <w:adjustRightInd w:val="0"/>
        <w:spacing w:after="120"/>
        <w:ind w:firstLine="720"/>
        <w:rPr>
          <w:rFonts w:cs="Times New Roman"/>
          <w:sz w:val="22"/>
        </w:rPr>
      </w:pPr>
      <w:r w:rsidRPr="00DF0B88">
        <w:rPr>
          <w:rFonts w:cs="Times New Roman"/>
          <w:sz w:val="22"/>
        </w:rPr>
        <w:t>People with Disabilities:  We ask that requests for accommodations be made as soon as possible in order to allow the agency to satisfy such requests whenever possible.  Send an email to </w:t>
      </w:r>
      <w:hyperlink r:id="rId6" w:tgtFrame="_blank" w:history="1">
        <w:r w:rsidRPr="00DF0B88">
          <w:rPr>
            <w:rStyle w:val="Hyperlink"/>
            <w:rFonts w:cs="Times New Roman"/>
            <w:sz w:val="22"/>
          </w:rPr>
          <w:t>fcc504@fcc.gov</w:t>
        </w:r>
      </w:hyperlink>
      <w:r w:rsidRPr="00DF0B88">
        <w:rPr>
          <w:rFonts w:cs="Times New Roman"/>
          <w:sz w:val="22"/>
        </w:rPr>
        <w:t> or call the Consumer and Governmental Affairs Bureau at (202) 418-0530.</w:t>
      </w:r>
    </w:p>
    <w:p w:rsidR="009074E7" w:rsidRPr="00DF0B88" w:rsidP="009074E7" w14:paraId="06EE1904" w14:textId="3E130681">
      <w:pPr>
        <w:autoSpaceDE w:val="0"/>
        <w:autoSpaceDN w:val="0"/>
        <w:adjustRightInd w:val="0"/>
        <w:spacing w:after="120"/>
        <w:ind w:firstLine="720"/>
        <w:rPr>
          <w:rFonts w:cs="Times New Roman"/>
          <w:b/>
          <w:sz w:val="22"/>
        </w:rPr>
      </w:pPr>
      <w:r w:rsidRPr="00DF0B88">
        <w:rPr>
          <w:rFonts w:cs="Times New Roman"/>
          <w:b/>
          <w:sz w:val="22"/>
        </w:rPr>
        <w:t>In addition, email one copy of each pleading to each of the following:</w:t>
      </w:r>
    </w:p>
    <w:p w:rsidR="009074E7" w:rsidRPr="00DF0B88" w:rsidP="009074E7" w14:paraId="7742648C" w14:textId="29C2A19B">
      <w:pPr>
        <w:numPr>
          <w:ilvl w:val="0"/>
          <w:numId w:val="7"/>
        </w:numPr>
        <w:autoSpaceDE w:val="0"/>
        <w:autoSpaceDN w:val="0"/>
        <w:adjustRightInd w:val="0"/>
        <w:spacing w:after="120"/>
        <w:rPr>
          <w:rFonts w:cs="Times New Roman"/>
          <w:sz w:val="22"/>
        </w:rPr>
      </w:pPr>
      <w:r>
        <w:rPr>
          <w:rFonts w:cs="Times New Roman"/>
          <w:sz w:val="22"/>
        </w:rPr>
        <w:t>Tracey Wilson</w:t>
      </w:r>
      <w:r w:rsidRPr="00900883">
        <w:rPr>
          <w:rFonts w:cs="Times New Roman"/>
          <w:sz w:val="22"/>
        </w:rPr>
        <w:t xml:space="preserve">, Competition </w:t>
      </w:r>
      <w:r w:rsidRPr="00DF0B88">
        <w:rPr>
          <w:rFonts w:cs="Times New Roman"/>
          <w:sz w:val="22"/>
        </w:rPr>
        <w:t xml:space="preserve">Policy Division, Wireline Competition Bureau, </w:t>
      </w:r>
      <w:r>
        <w:rPr>
          <w:rFonts w:cs="Times New Roman"/>
          <w:sz w:val="22"/>
        </w:rPr>
        <w:t>tracey.wilson@fcc.gov</w:t>
      </w:r>
      <w:r w:rsidRPr="00DF0B88">
        <w:rPr>
          <w:rFonts w:cs="Times New Roman"/>
          <w:sz w:val="22"/>
        </w:rPr>
        <w:t>;</w:t>
      </w:r>
    </w:p>
    <w:p w:rsidR="009074E7" w:rsidRPr="00DF0B88" w:rsidP="003C270A" w14:paraId="4918549B" w14:textId="1CD0630D">
      <w:pPr>
        <w:numPr>
          <w:ilvl w:val="0"/>
          <w:numId w:val="7"/>
        </w:numPr>
        <w:autoSpaceDE w:val="0"/>
        <w:autoSpaceDN w:val="0"/>
        <w:adjustRightInd w:val="0"/>
        <w:spacing w:after="120"/>
        <w:rPr>
          <w:rFonts w:cs="Times New Roman"/>
          <w:sz w:val="22"/>
        </w:rPr>
      </w:pPr>
      <w:r w:rsidRPr="007F1981">
        <w:rPr>
          <w:rFonts w:cs="Times New Roman"/>
          <w:color w:val="000000" w:themeColor="text1"/>
          <w:sz w:val="22"/>
        </w:rPr>
        <w:t>Merry Wulff</w:t>
      </w:r>
      <w:r w:rsidRPr="007F1981">
        <w:rPr>
          <w:rFonts w:cs="Times New Roman"/>
          <w:color w:val="000000" w:themeColor="text1"/>
          <w:sz w:val="22"/>
        </w:rPr>
        <w:t xml:space="preserve">, </w:t>
      </w:r>
      <w:r w:rsidRPr="00DF0B88">
        <w:rPr>
          <w:rFonts w:cs="Times New Roman"/>
          <w:sz w:val="22"/>
        </w:rPr>
        <w:t xml:space="preserve">Competition Policy Division, Wireline Competition Bureau, </w:t>
      </w:r>
      <w:hyperlink r:id="rId7" w:history="1">
        <w:r w:rsidRPr="00CC0665" w:rsidR="004B7B58">
          <w:rPr>
            <w:rStyle w:val="Hyperlink"/>
            <w:rFonts w:cs="Times New Roman"/>
            <w:sz w:val="22"/>
          </w:rPr>
          <w:t>merry.wulff@fcc.gov</w:t>
        </w:r>
      </w:hyperlink>
      <w:r w:rsidRPr="00DF0B88">
        <w:rPr>
          <w:rFonts w:cs="Times New Roman"/>
          <w:sz w:val="22"/>
        </w:rPr>
        <w:t xml:space="preserve"> and</w:t>
      </w:r>
    </w:p>
    <w:p w:rsidR="009074E7" w:rsidRPr="00DF0B88" w:rsidP="009074E7" w14:paraId="4572A0FD" w14:textId="77777777">
      <w:pPr>
        <w:numPr>
          <w:ilvl w:val="0"/>
          <w:numId w:val="7"/>
        </w:numPr>
        <w:autoSpaceDE w:val="0"/>
        <w:autoSpaceDN w:val="0"/>
        <w:adjustRightInd w:val="0"/>
        <w:spacing w:after="120"/>
        <w:rPr>
          <w:rFonts w:cs="Times New Roman"/>
          <w:sz w:val="22"/>
        </w:rPr>
      </w:pPr>
      <w:r w:rsidRPr="00900883">
        <w:rPr>
          <w:rFonts w:cs="Times New Roman"/>
          <w:sz w:val="22"/>
        </w:rPr>
        <w:t xml:space="preserve">Jim Bird, </w:t>
      </w:r>
      <w:r w:rsidRPr="00DF0B88">
        <w:rPr>
          <w:rFonts w:cs="Times New Roman"/>
          <w:sz w:val="22"/>
        </w:rPr>
        <w:t xml:space="preserve">Office of General Counsel, </w:t>
      </w:r>
      <w:hyperlink r:id="rId8" w:history="1">
        <w:r w:rsidRPr="00DF0B88">
          <w:rPr>
            <w:rStyle w:val="Hyperlink"/>
            <w:rFonts w:cs="Times New Roman"/>
            <w:sz w:val="22"/>
          </w:rPr>
          <w:t>jim.bird@fcc.gov</w:t>
        </w:r>
      </w:hyperlink>
      <w:r w:rsidRPr="00DF0B88">
        <w:rPr>
          <w:rFonts w:cs="Times New Roman"/>
          <w:sz w:val="22"/>
        </w:rPr>
        <w:t>.</w:t>
      </w:r>
    </w:p>
    <w:p w:rsidR="009074E7" w:rsidRPr="00DF0B88" w:rsidP="009074E7" w14:paraId="5996EC37" w14:textId="77777777">
      <w:pPr>
        <w:autoSpaceDE w:val="0"/>
        <w:autoSpaceDN w:val="0"/>
        <w:adjustRightInd w:val="0"/>
        <w:spacing w:after="120"/>
        <w:ind w:firstLine="720"/>
        <w:rPr>
          <w:rFonts w:cs="Times New Roman"/>
          <w:sz w:val="22"/>
        </w:rPr>
      </w:pPr>
      <w:r w:rsidRPr="00DF0B88">
        <w:rPr>
          <w:rFonts w:cs="Times New Roman"/>
          <w:sz w:val="22"/>
        </w:rPr>
        <w:t xml:space="preserve">The proceeding in this Public Notice shall be treated as a “permit-but-disclose” proceeding in accordance with the Commission’s </w:t>
      </w:r>
      <w:r w:rsidRPr="00DF0B88">
        <w:rPr>
          <w:rFonts w:cs="Times New Roman"/>
          <w:i/>
          <w:sz w:val="22"/>
        </w:rPr>
        <w:t xml:space="preserve">ex </w:t>
      </w:r>
      <w:r w:rsidRPr="00DF0B88">
        <w:rPr>
          <w:rFonts w:cs="Times New Roman"/>
          <w:i/>
          <w:sz w:val="22"/>
        </w:rPr>
        <w:t>parte</w:t>
      </w:r>
      <w:r w:rsidRPr="00DF0B88">
        <w:rPr>
          <w:rFonts w:cs="Times New Roman"/>
          <w:sz w:val="22"/>
        </w:rPr>
        <w:t xml:space="preserve"> rules.  Persons making </w:t>
      </w:r>
      <w:r w:rsidRPr="00DF0B88">
        <w:rPr>
          <w:rFonts w:cs="Times New Roman"/>
          <w:i/>
          <w:sz w:val="22"/>
        </w:rPr>
        <w:t xml:space="preserve">ex </w:t>
      </w:r>
      <w:r w:rsidRPr="00DF0B88">
        <w:rPr>
          <w:rFonts w:cs="Times New Roman"/>
          <w:i/>
          <w:sz w:val="22"/>
        </w:rPr>
        <w:t>parte</w:t>
      </w:r>
      <w:r w:rsidRPr="00DF0B88">
        <w:rPr>
          <w:rFonts w:cs="Times New Roman"/>
          <w:sz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DF0B88">
        <w:rPr>
          <w:rFonts w:cs="Times New Roman"/>
          <w:i/>
          <w:sz w:val="22"/>
        </w:rPr>
        <w:t xml:space="preserve">ex </w:t>
      </w:r>
      <w:r w:rsidRPr="00DF0B88">
        <w:rPr>
          <w:rFonts w:cs="Times New Roman"/>
          <w:i/>
          <w:sz w:val="22"/>
        </w:rPr>
        <w:t>parte</w:t>
      </w:r>
      <w:r w:rsidRPr="00DF0B88">
        <w:rPr>
          <w:rFonts w:cs="Times New Roman"/>
          <w:sz w:val="22"/>
        </w:rPr>
        <w:t xml:space="preserve"> presentations are reminded that memoranda summarizing the presentation must (1) list all persons attending or otherwise participating in the meeting at which the </w:t>
      </w:r>
      <w:r w:rsidRPr="00DF0B88">
        <w:rPr>
          <w:rFonts w:cs="Times New Roman"/>
          <w:i/>
          <w:sz w:val="22"/>
        </w:rPr>
        <w:t xml:space="preserve">ex </w:t>
      </w:r>
      <w:r w:rsidRPr="00DF0B88">
        <w:rPr>
          <w:rFonts w:cs="Times New Roman"/>
          <w:i/>
          <w:sz w:val="22"/>
        </w:rPr>
        <w:t>parte</w:t>
      </w:r>
      <w:r w:rsidRPr="00DF0B88">
        <w:rPr>
          <w:rFonts w:cs="Times New Roman"/>
          <w:sz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F0B88">
        <w:rPr>
          <w:rFonts w:cs="Times New Roman"/>
          <w:i/>
          <w:sz w:val="22"/>
        </w:rPr>
        <w:t xml:space="preserve">ex </w:t>
      </w:r>
      <w:r w:rsidRPr="00DF0B88">
        <w:rPr>
          <w:rFonts w:cs="Times New Roman"/>
          <w:i/>
          <w:sz w:val="22"/>
        </w:rPr>
        <w:t>parte</w:t>
      </w:r>
      <w:r w:rsidRPr="00DF0B88">
        <w:rPr>
          <w:rFonts w:cs="Times New Roman"/>
          <w:sz w:val="22"/>
        </w:rPr>
        <w:t xml:space="preserve"> meetings are deemed to be written </w:t>
      </w:r>
      <w:r w:rsidRPr="00DF0B88">
        <w:rPr>
          <w:rFonts w:cs="Times New Roman"/>
          <w:i/>
          <w:sz w:val="22"/>
        </w:rPr>
        <w:t xml:space="preserve">ex </w:t>
      </w:r>
      <w:r w:rsidRPr="00DF0B88">
        <w:rPr>
          <w:rFonts w:cs="Times New Roman"/>
          <w:i/>
          <w:sz w:val="22"/>
        </w:rPr>
        <w:t>parte</w:t>
      </w:r>
      <w:r w:rsidRPr="00DF0B88">
        <w:rPr>
          <w:rFonts w:cs="Times New Roman"/>
          <w:sz w:val="22"/>
        </w:rPr>
        <w:t xml:space="preserve"> presentations and must be filed consistent with rule 1.1206(b).</w:t>
      </w:r>
      <w:r>
        <w:rPr>
          <w:rStyle w:val="FootnoteReference"/>
          <w:rFonts w:cs="Times New Roman"/>
        </w:rPr>
        <w:footnoteReference w:id="25"/>
      </w:r>
      <w:r w:rsidRPr="00DF0B88">
        <w:rPr>
          <w:rFonts w:cs="Times New Roman"/>
          <w:sz w:val="22"/>
        </w:rPr>
        <w:t xml:space="preserve">  Participants in this proceeding should familiarize themselves with the Commission’s </w:t>
      </w:r>
      <w:r w:rsidRPr="00DF0B88">
        <w:rPr>
          <w:rFonts w:cs="Times New Roman"/>
          <w:i/>
          <w:sz w:val="22"/>
        </w:rPr>
        <w:t xml:space="preserve">ex </w:t>
      </w:r>
      <w:r w:rsidRPr="00DF0B88">
        <w:rPr>
          <w:rFonts w:cs="Times New Roman"/>
          <w:i/>
          <w:sz w:val="22"/>
        </w:rPr>
        <w:t>parte</w:t>
      </w:r>
      <w:r w:rsidRPr="00DF0B88">
        <w:rPr>
          <w:rFonts w:cs="Times New Roman"/>
          <w:sz w:val="22"/>
        </w:rPr>
        <w:t xml:space="preserve"> rules.</w:t>
      </w:r>
    </w:p>
    <w:p w:rsidR="009074E7" w:rsidRPr="00DF0B88" w:rsidP="009074E7" w14:paraId="0DF0DFD0" w14:textId="77777777">
      <w:pPr>
        <w:autoSpaceDE w:val="0"/>
        <w:autoSpaceDN w:val="0"/>
        <w:adjustRightInd w:val="0"/>
        <w:spacing w:after="120"/>
        <w:ind w:firstLine="720"/>
        <w:rPr>
          <w:rFonts w:cs="Times New Roman"/>
          <w:sz w:val="22"/>
        </w:rPr>
      </w:pPr>
      <w:r w:rsidRPr="00DF0B88">
        <w:rPr>
          <w:rFonts w:cs="Times New Roman"/>
          <w:sz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rFonts w:cs="Times New Roman"/>
          <w:sz w:val="22"/>
          <w:vertAlign w:val="superscript"/>
        </w:rPr>
        <w:footnoteReference w:id="26"/>
      </w:r>
      <w:r w:rsidRPr="00DF0B88">
        <w:rPr>
          <w:rFonts w:cs="Times New Roman"/>
          <w:sz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9074E7" w:rsidRPr="00900883" w:rsidP="00900883" w14:paraId="6CC6DC44" w14:textId="4191DE71">
      <w:pPr>
        <w:autoSpaceDE w:val="0"/>
        <w:autoSpaceDN w:val="0"/>
        <w:adjustRightInd w:val="0"/>
        <w:spacing w:after="120"/>
        <w:ind w:firstLine="720"/>
        <w:rPr>
          <w:rFonts w:cs="Times New Roman"/>
          <w:sz w:val="22"/>
        </w:rPr>
      </w:pPr>
      <w:r w:rsidRPr="00900883">
        <w:rPr>
          <w:rFonts w:cs="Times New Roman"/>
          <w:sz w:val="22"/>
        </w:rPr>
        <w:t xml:space="preserve">For further information, please contact </w:t>
      </w:r>
      <w:r w:rsidR="004B7B58">
        <w:rPr>
          <w:rFonts w:cs="Times New Roman"/>
          <w:sz w:val="22"/>
        </w:rPr>
        <w:t xml:space="preserve">Tracey Wilson at (202) 418-1394 or Merry Wulff at </w:t>
      </w:r>
      <w:r w:rsidRPr="00900883">
        <w:rPr>
          <w:rFonts w:cs="Times New Roman"/>
          <w:color w:val="ED7D31" w:themeColor="accent2"/>
          <w:sz w:val="22"/>
        </w:rPr>
        <w:t xml:space="preserve"> </w:t>
      </w:r>
      <w:hyperlink r:id="rId7" w:history="1">
        <w:r w:rsidRPr="00CC0665" w:rsidR="004B7B58">
          <w:rPr>
            <w:rStyle w:val="Hyperlink"/>
            <w:rFonts w:cs="Times New Roman"/>
            <w:sz w:val="22"/>
          </w:rPr>
          <w:t>merry.wulff@fcc.gov</w:t>
        </w:r>
      </w:hyperlink>
      <w:r w:rsidRPr="004B7B58">
        <w:rPr>
          <w:rFonts w:cs="Times New Roman"/>
          <w:color w:val="000000" w:themeColor="text1"/>
          <w:sz w:val="22"/>
        </w:rPr>
        <w:t xml:space="preserve">, </w:t>
      </w:r>
      <w:r w:rsidRPr="00900883">
        <w:rPr>
          <w:rFonts w:cs="Times New Roman"/>
          <w:sz w:val="22"/>
        </w:rPr>
        <w:t>Wireline Competition Bureau.</w:t>
      </w:r>
    </w:p>
    <w:p w:rsidR="009074E7" w:rsidRPr="00DF0B88" w:rsidP="009074E7" w14:paraId="23FD1544" w14:textId="77777777">
      <w:pPr>
        <w:autoSpaceDE w:val="0"/>
        <w:autoSpaceDN w:val="0"/>
        <w:adjustRightInd w:val="0"/>
        <w:spacing w:after="120"/>
        <w:ind w:firstLine="720"/>
        <w:jc w:val="center"/>
        <w:rPr>
          <w:rFonts w:cs="Times New Roman"/>
          <w:sz w:val="22"/>
        </w:rPr>
      </w:pPr>
      <w:r w:rsidRPr="00DF0B88">
        <w:rPr>
          <w:rFonts w:cs="Times New Roman"/>
          <w:b/>
          <w:sz w:val="22"/>
        </w:rPr>
        <w:t>-FCC-</w:t>
      </w:r>
    </w:p>
    <w:p w:rsidR="009074E7" w:rsidRPr="00DF0B88" w:rsidP="009074E7" w14:paraId="3F258F38" w14:textId="77777777">
      <w:pPr>
        <w:spacing w:before="120" w:after="240"/>
        <w:rPr>
          <w:rFonts w:cs="Times New Roman"/>
          <w:sz w:val="22"/>
        </w:rPr>
      </w:pPr>
    </w:p>
    <w:p w:rsidR="00B47072" w:rsidRPr="00597120" w14:paraId="03232AE0" w14:textId="77777777"/>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3E0B" w14:paraId="6B928079" w14:textId="77777777">
    <w:pPr>
      <w:pStyle w:val="Footer"/>
      <w:framePr w:wrap="around" w:vAnchor="text" w:hAnchor="margin" w:xAlign="center" w:y="1"/>
    </w:pPr>
    <w:r>
      <w:fldChar w:fldCharType="begin"/>
    </w:r>
    <w:r>
      <w:instrText xml:space="preserve">PAGE  </w:instrText>
    </w:r>
    <w:r>
      <w:fldChar w:fldCharType="separate"/>
    </w:r>
    <w:r>
      <w:fldChar w:fldCharType="end"/>
    </w:r>
  </w:p>
  <w:p w:rsidR="001A3E0B" w14:paraId="6E5791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3E0B" w14:paraId="698BABA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3E0B" w14:paraId="06F5272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457E2" w14:paraId="30BA3DD4" w14:textId="77777777">
      <w:r>
        <w:separator/>
      </w:r>
    </w:p>
  </w:footnote>
  <w:footnote w:type="continuationSeparator" w:id="1">
    <w:p w:rsidR="009457E2" w14:paraId="5E78C9F6" w14:textId="77777777">
      <w:r>
        <w:t xml:space="preserve">(Continued from previous page)  </w:t>
      </w:r>
      <w:r>
        <w:separator/>
      </w:r>
    </w:p>
  </w:footnote>
  <w:footnote w:type="continuationNotice" w:id="2">
    <w:p w:rsidR="009457E2" w14:paraId="30187171" w14:textId="77777777">
      <w:pPr>
        <w:jc w:val="right"/>
      </w:pPr>
      <w:r>
        <w:t>(continued….)</w:t>
      </w:r>
    </w:p>
  </w:footnote>
  <w:footnote w:id="3">
    <w:p w:rsidR="00626ECD" w:rsidRPr="00931D4C" w:rsidP="00626ECD" w14:paraId="4FFF6528" w14:textId="38950A13">
      <w:pPr>
        <w:pStyle w:val="FootnoteText"/>
      </w:pPr>
      <w:r w:rsidRPr="00931D4C">
        <w:rPr>
          <w:rStyle w:val="FootnoteReference"/>
          <w:sz w:val="20"/>
        </w:rPr>
        <w:footnoteRef/>
      </w:r>
      <w:r w:rsidRPr="00931D4C">
        <w:t xml:space="preserve"> </w:t>
      </w:r>
      <w:r w:rsidRPr="00931D4C">
        <w:rPr>
          <w:i/>
        </w:rPr>
        <w:t>See</w:t>
      </w:r>
      <w:r w:rsidRPr="00931D4C">
        <w:t xml:space="preserve"> 47 U.S.C. § 214; 47 CFR §§ 63.03-04; Application of Cable One, Inc., Stephens Wisper LLC, Wisper ISP, LLC, and Nathan T. </w:t>
      </w:r>
      <w:r w:rsidRPr="00931D4C">
        <w:t>Stooke</w:t>
      </w:r>
      <w:r w:rsidRPr="00931D4C">
        <w:t xml:space="preserve"> for Transfer of Control of Domestic Section 214 Authorization, WC Docket No. 22-367 (filed Oct. 14, 2022) (Application).  On December 16, 2022, Applicants filed a supplement to their Application.  Letter from Stephen Coran, Counsel to Wisper ISP, LLC, to Marlene H. Dortch, Secretary, FCC, WC Docket No. 22-367 (filed Dec. 16, 2022) (Supplement).</w:t>
      </w:r>
      <w:r w:rsidR="007F1981">
        <w:t xml:space="preserve">  </w:t>
      </w:r>
      <w:r w:rsidRPr="00DE0BAB" w:rsidR="007F1981">
        <w:t>Applicants also filed applications for the transfer of wireless licenses.  Any action on this domestic section 214 application is without prejudice to Commission action on other related, pending applications</w:t>
      </w:r>
      <w:r w:rsidRPr="00DE0BAB" w:rsidR="007F1981">
        <w:rPr>
          <w:bCs/>
        </w:rPr>
        <w:t>.</w:t>
      </w:r>
    </w:p>
  </w:footnote>
  <w:footnote w:id="4">
    <w:p w:rsidR="00360682" w:rsidRPr="00931D4C" w14:paraId="76CB43EE" w14:textId="4B2C36F1">
      <w:pPr>
        <w:pStyle w:val="FootnoteText"/>
      </w:pPr>
      <w:r w:rsidRPr="00931D4C">
        <w:rPr>
          <w:rStyle w:val="FootnoteReference"/>
          <w:sz w:val="20"/>
        </w:rPr>
        <w:footnoteRef/>
      </w:r>
      <w:r w:rsidRPr="00931D4C">
        <w:t xml:space="preserve"> Application at </w:t>
      </w:r>
      <w:r w:rsidRPr="00931D4C" w:rsidR="007B6624">
        <w:t>2</w:t>
      </w:r>
      <w:r w:rsidRPr="00931D4C" w:rsidR="00E13136">
        <w:t>, 4</w:t>
      </w:r>
      <w:r w:rsidRPr="00931D4C" w:rsidR="00C65640">
        <w:t>, 12</w:t>
      </w:r>
      <w:r w:rsidRPr="00931D4C" w:rsidR="007B6624">
        <w:t xml:space="preserve">, and </w:t>
      </w:r>
      <w:r w:rsidRPr="00931D4C" w:rsidR="007B6624">
        <w:t>Exh</w:t>
      </w:r>
      <w:r w:rsidRPr="00931D4C" w:rsidR="007B6624">
        <w:t>. B (Current Corporate Ownership Structure Chart and Post-Transaction Corporate Ownership Structure Chart).</w:t>
      </w:r>
    </w:p>
  </w:footnote>
  <w:footnote w:id="5">
    <w:p w:rsidR="00D35776" w:rsidRPr="00931D4C" w14:paraId="322B1EEA" w14:textId="3121A7A1">
      <w:pPr>
        <w:pStyle w:val="FootnoteText"/>
      </w:pPr>
      <w:r w:rsidRPr="00931D4C">
        <w:rPr>
          <w:rStyle w:val="FootnoteReference"/>
          <w:sz w:val="20"/>
        </w:rPr>
        <w:footnoteRef/>
      </w:r>
      <w:r w:rsidRPr="00931D4C">
        <w:t xml:space="preserve"> </w:t>
      </w:r>
      <w:r w:rsidR="00E309BA">
        <w:rPr>
          <w:i/>
          <w:iCs/>
        </w:rPr>
        <w:t>Id.</w:t>
      </w:r>
      <w:r w:rsidRPr="00931D4C">
        <w:t xml:space="preserve"> at 2. </w:t>
      </w:r>
    </w:p>
  </w:footnote>
  <w:footnote w:id="6">
    <w:p w:rsidR="00D35776" w:rsidRPr="00931D4C" w:rsidP="00D35776" w14:paraId="0F8844B7" w14:textId="6D010EBE">
      <w:pPr>
        <w:pStyle w:val="FootnoteText"/>
      </w:pPr>
      <w:r w:rsidRPr="00931D4C">
        <w:rPr>
          <w:rStyle w:val="FootnoteReference"/>
          <w:sz w:val="20"/>
        </w:rPr>
        <w:footnoteRef/>
      </w:r>
      <w:r w:rsidRPr="00931D4C">
        <w:t xml:space="preserve"> </w:t>
      </w:r>
      <w:r w:rsidR="00E309BA">
        <w:rPr>
          <w:i/>
          <w:iCs/>
        </w:rPr>
        <w:t>Id</w:t>
      </w:r>
      <w:r w:rsidR="00E309BA">
        <w:t>.</w:t>
      </w:r>
      <w:r w:rsidRPr="00931D4C">
        <w:t xml:space="preserve"> at 2, 4</w:t>
      </w:r>
      <w:r w:rsidRPr="00931D4C" w:rsidR="00C65640">
        <w:t>, 12</w:t>
      </w:r>
      <w:r w:rsidRPr="00931D4C" w:rsidR="00E13136">
        <w:t xml:space="preserve">, and </w:t>
      </w:r>
      <w:r w:rsidRPr="00931D4C" w:rsidR="00E13136">
        <w:t>Exh</w:t>
      </w:r>
      <w:r w:rsidRPr="00931D4C" w:rsidR="00E13136">
        <w:t>. B.</w:t>
      </w:r>
    </w:p>
  </w:footnote>
  <w:footnote w:id="7">
    <w:p w:rsidR="0079459A" w:rsidRPr="00931D4C" w14:paraId="3433B081" w14:textId="6744BC9E">
      <w:pPr>
        <w:pStyle w:val="FootnoteText"/>
      </w:pPr>
      <w:r w:rsidRPr="00931D4C">
        <w:rPr>
          <w:rStyle w:val="FootnoteReference"/>
          <w:sz w:val="20"/>
        </w:rPr>
        <w:footnoteRef/>
      </w:r>
      <w:r w:rsidRPr="00931D4C">
        <w:t xml:space="preserve"> </w:t>
      </w:r>
      <w:r w:rsidR="00E309BA">
        <w:rPr>
          <w:i/>
          <w:iCs/>
        </w:rPr>
        <w:t>Id.</w:t>
      </w:r>
      <w:r w:rsidRPr="00931D4C">
        <w:t xml:space="preserve"> at 4</w:t>
      </w:r>
      <w:r w:rsidRPr="00931D4C" w:rsidR="00B41B6E">
        <w:t xml:space="preserve">; Supplement at 3.  </w:t>
      </w:r>
    </w:p>
  </w:footnote>
  <w:footnote w:id="8">
    <w:p w:rsidR="002C31C0" w:rsidRPr="00931D4C" w14:paraId="24AA3B58" w14:textId="4925370F">
      <w:pPr>
        <w:pStyle w:val="FootnoteText"/>
      </w:pPr>
      <w:r w:rsidRPr="00931D4C">
        <w:rPr>
          <w:rStyle w:val="FootnoteReference"/>
          <w:sz w:val="20"/>
        </w:rPr>
        <w:footnoteRef/>
      </w:r>
      <w:r w:rsidRPr="00931D4C">
        <w:t xml:space="preserve"> Application at </w:t>
      </w:r>
      <w:r w:rsidRPr="00931D4C" w:rsidR="00800E82">
        <w:t xml:space="preserve">2, </w:t>
      </w:r>
      <w:r w:rsidRPr="00931D4C">
        <w:t>4</w:t>
      </w:r>
      <w:r w:rsidRPr="00931D4C" w:rsidR="00C65640">
        <w:t>-5, 12.</w:t>
      </w:r>
    </w:p>
  </w:footnote>
  <w:footnote w:id="9">
    <w:p w:rsidR="005439F8" w:rsidRPr="00931D4C" w14:paraId="699E42E2" w14:textId="03E4B61D">
      <w:pPr>
        <w:pStyle w:val="FootnoteText"/>
      </w:pPr>
      <w:r w:rsidRPr="00931D4C">
        <w:rPr>
          <w:rStyle w:val="FootnoteReference"/>
          <w:sz w:val="20"/>
        </w:rPr>
        <w:footnoteRef/>
      </w:r>
      <w:r w:rsidRPr="00931D4C">
        <w:t xml:space="preserve"> </w:t>
      </w:r>
      <w:r w:rsidR="00E309BA">
        <w:rPr>
          <w:i/>
          <w:iCs/>
        </w:rPr>
        <w:t>Id.</w:t>
      </w:r>
      <w:r w:rsidRPr="00931D4C">
        <w:t xml:space="preserve"> at 2.  </w:t>
      </w:r>
    </w:p>
  </w:footnote>
  <w:footnote w:id="10">
    <w:p w:rsidR="0076454F" w:rsidRPr="00931D4C" w14:paraId="27157E70" w14:textId="0B527137">
      <w:pPr>
        <w:pStyle w:val="FootnoteText"/>
      </w:pPr>
      <w:r w:rsidRPr="00931D4C">
        <w:rPr>
          <w:rStyle w:val="FootnoteReference"/>
          <w:sz w:val="20"/>
        </w:rPr>
        <w:footnoteRef/>
      </w:r>
      <w:r w:rsidRPr="00931D4C">
        <w:t xml:space="preserve"> </w:t>
      </w:r>
      <w:r w:rsidRPr="002572BD" w:rsidR="002572BD">
        <w:rPr>
          <w:i/>
          <w:iCs/>
        </w:rPr>
        <w:t>Id</w:t>
      </w:r>
      <w:r w:rsidR="002572BD">
        <w:t xml:space="preserve">. at 3.  </w:t>
      </w:r>
      <w:r w:rsidRPr="002572BD" w:rsidR="00957E5E">
        <w:rPr>
          <w:i/>
          <w:iCs/>
        </w:rPr>
        <w:t>See</w:t>
      </w:r>
      <w:r w:rsidRPr="00931D4C" w:rsidR="00957E5E">
        <w:rPr>
          <w:i/>
          <w:iCs/>
        </w:rPr>
        <w:t xml:space="preserve"> Connect America Fund Phase II Auction Support Authorized for 1060 Winning Bids</w:t>
      </w:r>
      <w:r w:rsidRPr="00931D4C" w:rsidR="00957E5E">
        <w:t xml:space="preserve">, AU Docket No. 17-182, WC Docket No. 10-90, Public Notice, 35 FCC </w:t>
      </w:r>
      <w:r w:rsidRPr="00931D4C" w:rsidR="00957E5E">
        <w:t>Rcd</w:t>
      </w:r>
      <w:r w:rsidRPr="00931D4C" w:rsidR="00957E5E">
        <w:t xml:space="preserve"> 945, Attach. A (Authorized Long-Form Applicants and Winning Bids) (WCB Feb. 13, 2020) (</w:t>
      </w:r>
      <w:r w:rsidRPr="00931D4C" w:rsidR="00957E5E">
        <w:rPr>
          <w:i/>
          <w:iCs/>
        </w:rPr>
        <w:t>CAF Phase II Public Notice</w:t>
      </w:r>
      <w:r w:rsidRPr="00931D4C" w:rsidR="00957E5E">
        <w:t>).  Applicants state that Wisper has satisfied its 40% service milestone in its CAF locations</w:t>
      </w:r>
      <w:r w:rsidRPr="00931D4C" w:rsidR="00B26187">
        <w:t xml:space="preserve"> and has reduced</w:t>
      </w:r>
      <w:r w:rsidRPr="00931D4C" w:rsidR="00957E5E">
        <w:t xml:space="preserve"> its irrevocable letters of credit by 50%.  Application at 3.</w:t>
      </w:r>
    </w:p>
  </w:footnote>
  <w:footnote w:id="11">
    <w:p w:rsidR="00A21DD2" w:rsidRPr="00931D4C" w:rsidP="00C42157" w14:paraId="7C8ADB17" w14:textId="0592FB7D">
      <w:pPr>
        <w:pStyle w:val="FootnoteText"/>
      </w:pPr>
      <w:r w:rsidRPr="00931D4C">
        <w:rPr>
          <w:rStyle w:val="FootnoteReference"/>
          <w:sz w:val="20"/>
        </w:rPr>
        <w:footnoteRef/>
      </w:r>
      <w:r w:rsidRPr="00931D4C">
        <w:t xml:space="preserve"> </w:t>
      </w:r>
      <w:r w:rsidR="00366C6A">
        <w:t>Application</w:t>
      </w:r>
      <w:r w:rsidRPr="00931D4C">
        <w:t xml:space="preserve"> at 2</w:t>
      </w:r>
      <w:r w:rsidRPr="00931D4C" w:rsidR="00B16E8D">
        <w:t>, 6</w:t>
      </w:r>
      <w:r w:rsidRPr="00931D4C" w:rsidR="007051F4">
        <w:t xml:space="preserve">.  Applicants state that Wisper participates in the Lifeline program and the Affordable Connectivity Program.  </w:t>
      </w:r>
      <w:r w:rsidRPr="00931D4C" w:rsidR="007051F4">
        <w:rPr>
          <w:i/>
          <w:iCs/>
        </w:rPr>
        <w:t xml:space="preserve">Id. </w:t>
      </w:r>
      <w:r w:rsidRPr="00931D4C" w:rsidR="007051F4">
        <w:t xml:space="preserve">at 7. </w:t>
      </w:r>
    </w:p>
  </w:footnote>
  <w:footnote w:id="12">
    <w:p w:rsidR="00212349" w:rsidRPr="00931D4C" w:rsidP="00C42157" w14:paraId="23FDD4BE" w14:textId="261474F7">
      <w:pPr>
        <w:pStyle w:val="FootnoteText"/>
      </w:pPr>
      <w:r w:rsidRPr="00931D4C">
        <w:rPr>
          <w:rStyle w:val="FootnoteReference"/>
          <w:sz w:val="20"/>
        </w:rPr>
        <w:footnoteRef/>
      </w:r>
      <w:r w:rsidRPr="00931D4C">
        <w:t xml:space="preserve"> </w:t>
      </w:r>
      <w:r w:rsidR="00E309BA">
        <w:rPr>
          <w:i/>
          <w:iCs/>
        </w:rPr>
        <w:t>Id.</w:t>
      </w:r>
      <w:r w:rsidRPr="00931D4C" w:rsidR="004C5B67">
        <w:t xml:space="preserve"> at 4. </w:t>
      </w:r>
    </w:p>
  </w:footnote>
  <w:footnote w:id="13">
    <w:p w:rsidR="00922B9D" w:rsidRPr="00931D4C" w:rsidP="002539AC" w14:paraId="5AC303F9" w14:textId="071D51E3">
      <w:pPr>
        <w:autoSpaceDE w:val="0"/>
        <w:autoSpaceDN w:val="0"/>
        <w:adjustRightInd w:val="0"/>
        <w:rPr>
          <w:rFonts w:cs="Times New Roman"/>
          <w:szCs w:val="20"/>
        </w:rPr>
      </w:pPr>
      <w:r w:rsidRPr="00931D4C">
        <w:rPr>
          <w:rStyle w:val="FootnoteReference"/>
          <w:rFonts w:cs="Times New Roman"/>
          <w:sz w:val="20"/>
          <w:szCs w:val="20"/>
        </w:rPr>
        <w:footnoteRef/>
      </w:r>
      <w:r w:rsidRPr="00931D4C">
        <w:rPr>
          <w:rFonts w:cs="Times New Roman"/>
          <w:szCs w:val="20"/>
        </w:rPr>
        <w:t xml:space="preserve"> </w:t>
      </w:r>
      <w:r w:rsidR="002572BD">
        <w:rPr>
          <w:i/>
          <w:iCs/>
        </w:rPr>
        <w:t>Id.</w:t>
      </w:r>
      <w:r w:rsidRPr="00931D4C" w:rsidR="002572BD">
        <w:t xml:space="preserve"> at 4</w:t>
      </w:r>
      <w:r w:rsidR="002572BD">
        <w:t xml:space="preserve">.  </w:t>
      </w:r>
      <w:r w:rsidRPr="00931D4C" w:rsidR="00FB0042">
        <w:rPr>
          <w:rFonts w:cs="Times New Roman"/>
          <w:i/>
          <w:iCs/>
          <w:szCs w:val="20"/>
        </w:rPr>
        <w:t xml:space="preserve">See </w:t>
      </w:r>
      <w:r w:rsidRPr="00931D4C">
        <w:rPr>
          <w:rFonts w:cs="Times New Roman"/>
          <w:i/>
          <w:iCs/>
          <w:szCs w:val="20"/>
        </w:rPr>
        <w:t>Rural Digital Opportunity Fund Support Authorized for 513 Winning Bids; Bid Defaults Announced</w:t>
      </w:r>
      <w:r w:rsidRPr="00931D4C">
        <w:rPr>
          <w:rFonts w:cs="Times New Roman"/>
          <w:szCs w:val="20"/>
        </w:rPr>
        <w:t>,</w:t>
      </w:r>
    </w:p>
    <w:p w:rsidR="003544F2" w:rsidRPr="00931D4C" w:rsidP="00FF37F3" w14:paraId="4A1F3666" w14:textId="11FFD584">
      <w:pPr>
        <w:autoSpaceDE w:val="0"/>
        <w:autoSpaceDN w:val="0"/>
        <w:spacing w:after="120"/>
        <w:rPr>
          <w:rFonts w:cs="Times New Roman"/>
          <w:szCs w:val="20"/>
        </w:rPr>
      </w:pPr>
      <w:r w:rsidRPr="00931D4C">
        <w:rPr>
          <w:rFonts w:cs="Times New Roman"/>
          <w:szCs w:val="20"/>
        </w:rPr>
        <w:t>AU Docket No. 20-34, WC Docket Nos. 19-126 and 10-20, Public Notice, DA 22-634, at</w:t>
      </w:r>
      <w:r w:rsidRPr="00931D4C" w:rsidR="00893DAF">
        <w:rPr>
          <w:rFonts w:cs="Times New Roman"/>
          <w:szCs w:val="20"/>
        </w:rPr>
        <w:t xml:space="preserve"> </w:t>
      </w:r>
      <w:r w:rsidRPr="00931D4C">
        <w:rPr>
          <w:rFonts w:cs="Times New Roman"/>
          <w:szCs w:val="20"/>
        </w:rPr>
        <w:t>8</w:t>
      </w:r>
      <w:r w:rsidRPr="00931D4C" w:rsidR="00893DAF">
        <w:rPr>
          <w:rFonts w:cs="Times New Roman"/>
          <w:szCs w:val="20"/>
        </w:rPr>
        <w:t xml:space="preserve"> and</w:t>
      </w:r>
      <w:r w:rsidRPr="00931D4C">
        <w:rPr>
          <w:rFonts w:cs="Times New Roman"/>
          <w:szCs w:val="20"/>
        </w:rPr>
        <w:t xml:space="preserve"> Attach </w:t>
      </w:r>
      <w:r w:rsidRPr="00931D4C" w:rsidR="003B0A65">
        <w:rPr>
          <w:rFonts w:cs="Times New Roman"/>
          <w:szCs w:val="20"/>
        </w:rPr>
        <w:t>A</w:t>
      </w:r>
      <w:r w:rsidRPr="00931D4C">
        <w:rPr>
          <w:rFonts w:cs="Times New Roman"/>
          <w:szCs w:val="20"/>
        </w:rPr>
        <w:t xml:space="preserve"> (</w:t>
      </w:r>
      <w:r w:rsidRPr="00931D4C" w:rsidR="003B0A65">
        <w:rPr>
          <w:rFonts w:cs="Times New Roman"/>
          <w:szCs w:val="20"/>
        </w:rPr>
        <w:t>WCB</w:t>
      </w:r>
      <w:r w:rsidRPr="00931D4C">
        <w:rPr>
          <w:rFonts w:cs="Times New Roman"/>
          <w:szCs w:val="20"/>
        </w:rPr>
        <w:t xml:space="preserve"> June 14, 2022)</w:t>
      </w:r>
      <w:r w:rsidRPr="00931D4C">
        <w:rPr>
          <w:rFonts w:cs="Times New Roman"/>
          <w:szCs w:val="20"/>
        </w:rPr>
        <w:t xml:space="preserve"> (stating that </w:t>
      </w:r>
      <w:r w:rsidRPr="00931D4C">
        <w:rPr>
          <w:szCs w:val="20"/>
        </w:rPr>
        <w:t>ETCs seeking to transfer control of their domestic authorizations to operate pursuant to section 214 of the Act, or to engage in the sale of assets under section 214 “must first receive approval from the Commission in accordance with sections 63.03 and 63.04 of the Commission’s rules governing the procedures for domestic transfer of control/asset applications.  Transfers of control and assignments of international section 214 authorizations are separately subject to section 63.24 of the Commission’s rules.  Except where the Commission has forborne from the application of section 214, this requirement applies to all transfers of control or asset acquisitions involving ETCs.”).</w:t>
      </w:r>
    </w:p>
  </w:footnote>
  <w:footnote w:id="14">
    <w:p w:rsidR="006E35C4" w:rsidRPr="00931D4C" w:rsidP="00FF37F3" w14:paraId="045235D3" w14:textId="5739D67F">
      <w:pPr>
        <w:pStyle w:val="FootnoteText"/>
      </w:pPr>
      <w:r w:rsidRPr="00931D4C">
        <w:rPr>
          <w:rStyle w:val="FootnoteReference"/>
          <w:sz w:val="20"/>
        </w:rPr>
        <w:footnoteRef/>
      </w:r>
      <w:r w:rsidRPr="00931D4C">
        <w:t xml:space="preserve"> Application at 4</w:t>
      </w:r>
      <w:r w:rsidRPr="00931D4C" w:rsidR="00C81439">
        <w:t>, 6-7, 11.</w:t>
      </w:r>
    </w:p>
  </w:footnote>
  <w:footnote w:id="15">
    <w:p w:rsidR="0099245D" w:rsidRPr="00931D4C" w:rsidP="00FF37F3" w14:paraId="23BCDFEC" w14:textId="54FF99DB">
      <w:pPr>
        <w:spacing w:after="120"/>
        <w:rPr>
          <w:rFonts w:cs="Times New Roman"/>
          <w:bCs/>
          <w:szCs w:val="20"/>
        </w:rPr>
      </w:pPr>
      <w:r w:rsidRPr="00931D4C">
        <w:rPr>
          <w:rStyle w:val="FootnoteReference"/>
          <w:sz w:val="20"/>
          <w:szCs w:val="20"/>
        </w:rPr>
        <w:footnoteRef/>
      </w:r>
      <w:r w:rsidRPr="00931D4C">
        <w:rPr>
          <w:szCs w:val="20"/>
        </w:rPr>
        <w:t xml:space="preserve"> </w:t>
      </w:r>
      <w:r w:rsidR="00E309BA">
        <w:rPr>
          <w:i/>
          <w:iCs/>
          <w:szCs w:val="20"/>
        </w:rPr>
        <w:t>Id.</w:t>
      </w:r>
      <w:r w:rsidRPr="00931D4C">
        <w:rPr>
          <w:szCs w:val="20"/>
        </w:rPr>
        <w:t xml:space="preserve"> at 5</w:t>
      </w:r>
      <w:r w:rsidRPr="00931D4C" w:rsidR="00856621">
        <w:rPr>
          <w:szCs w:val="20"/>
        </w:rPr>
        <w:t xml:space="preserve">, </w:t>
      </w:r>
      <w:r w:rsidRPr="00931D4C" w:rsidR="00913414">
        <w:rPr>
          <w:szCs w:val="20"/>
        </w:rPr>
        <w:t xml:space="preserve">9-10, </w:t>
      </w:r>
      <w:r w:rsidRPr="00931D4C" w:rsidR="00856621">
        <w:rPr>
          <w:szCs w:val="20"/>
        </w:rPr>
        <w:t xml:space="preserve">12 and </w:t>
      </w:r>
      <w:r w:rsidRPr="00931D4C" w:rsidR="00856621">
        <w:rPr>
          <w:szCs w:val="20"/>
        </w:rPr>
        <w:t>Exh</w:t>
      </w:r>
      <w:r w:rsidRPr="00931D4C" w:rsidR="00856621">
        <w:rPr>
          <w:szCs w:val="20"/>
        </w:rPr>
        <w:t>. B</w:t>
      </w:r>
      <w:r w:rsidRPr="00931D4C" w:rsidR="00CC1C7A">
        <w:rPr>
          <w:szCs w:val="20"/>
        </w:rPr>
        <w:t>.</w:t>
      </w:r>
    </w:p>
  </w:footnote>
  <w:footnote w:id="16">
    <w:p w:rsidR="004222EA" w:rsidRPr="00931D4C" w14:paraId="460EFF09" w14:textId="608B8EE6">
      <w:pPr>
        <w:pStyle w:val="FootnoteText"/>
        <w:rPr>
          <w:i/>
          <w:iCs/>
        </w:rPr>
      </w:pPr>
      <w:r w:rsidRPr="00931D4C">
        <w:rPr>
          <w:rStyle w:val="FootnoteReference"/>
          <w:sz w:val="20"/>
        </w:rPr>
        <w:footnoteRef/>
      </w:r>
      <w:r w:rsidRPr="00931D4C">
        <w:t xml:space="preserve"> </w:t>
      </w:r>
      <w:r w:rsidRPr="00931D4C" w:rsidR="00165C7A">
        <w:t xml:space="preserve">Applicants state that </w:t>
      </w:r>
      <w:r w:rsidRPr="00931D4C">
        <w:t>BlueWater</w:t>
      </w:r>
      <w:r w:rsidRPr="00931D4C">
        <w:t xml:space="preserve"> Wisper Ventures LLC is owned and controlled by John Gregg and Randall Mays.  </w:t>
      </w:r>
      <w:r w:rsidRPr="00931D4C" w:rsidR="00B16E8D">
        <w:rPr>
          <w:i/>
          <w:iCs/>
        </w:rPr>
        <w:t xml:space="preserve">Id. </w:t>
      </w:r>
      <w:r w:rsidRPr="00931D4C" w:rsidR="00B16E8D">
        <w:t>Exh</w:t>
      </w:r>
      <w:r w:rsidRPr="00931D4C" w:rsidR="00B16E8D">
        <w:t xml:space="preserve">. A.  </w:t>
      </w:r>
      <w:r w:rsidRPr="00931D4C">
        <w:rPr>
          <w:i/>
          <w:iCs/>
        </w:rPr>
        <w:t xml:space="preserve"> </w:t>
      </w:r>
    </w:p>
  </w:footnote>
  <w:footnote w:id="17">
    <w:p w:rsidR="00844EBC" w:rsidRPr="00931D4C" w:rsidP="00844EBC" w14:paraId="0A35A28C" w14:textId="0D839B64">
      <w:pPr>
        <w:pStyle w:val="FootnoteText"/>
      </w:pPr>
      <w:r w:rsidRPr="00931D4C">
        <w:rPr>
          <w:rStyle w:val="FootnoteReference"/>
          <w:sz w:val="20"/>
        </w:rPr>
        <w:footnoteRef/>
      </w:r>
      <w:r w:rsidRPr="00931D4C">
        <w:t xml:space="preserve"> Application at 5.</w:t>
      </w:r>
    </w:p>
  </w:footnote>
  <w:footnote w:id="18">
    <w:p w:rsidR="00C17F7D" w:rsidRPr="00931D4C" w:rsidP="00C17F7D" w14:paraId="0A7682FA" w14:textId="6B3D40CA">
      <w:pPr>
        <w:pStyle w:val="FootnoteText"/>
      </w:pPr>
      <w:r w:rsidRPr="00931D4C">
        <w:rPr>
          <w:rStyle w:val="FootnoteReference"/>
          <w:sz w:val="20"/>
        </w:rPr>
        <w:footnoteRef/>
      </w:r>
      <w:r w:rsidRPr="00931D4C">
        <w:t xml:space="preserve"> </w:t>
      </w:r>
      <w:r w:rsidRPr="00931D4C" w:rsidR="00B16E8D">
        <w:rPr>
          <w:i/>
          <w:iCs/>
        </w:rPr>
        <w:t xml:space="preserve">Id. </w:t>
      </w:r>
      <w:r w:rsidRPr="00931D4C" w:rsidR="00B16E8D">
        <w:t>at 7-10.</w:t>
      </w:r>
    </w:p>
  </w:footnote>
  <w:footnote w:id="19">
    <w:p w:rsidR="00633C6A" w:rsidRPr="00931D4C" w14:paraId="19F45EB8" w14:textId="7F9F9EC3">
      <w:pPr>
        <w:pStyle w:val="FootnoteText"/>
      </w:pPr>
      <w:r w:rsidRPr="00931D4C">
        <w:rPr>
          <w:rStyle w:val="FootnoteReference"/>
          <w:sz w:val="20"/>
        </w:rPr>
        <w:footnoteRef/>
      </w:r>
      <w:r w:rsidRPr="00931D4C">
        <w:t xml:space="preserve"> </w:t>
      </w:r>
      <w:r w:rsidRPr="00931D4C" w:rsidR="00B16E8D">
        <w:rPr>
          <w:i/>
          <w:iCs/>
        </w:rPr>
        <w:t>Id.</w:t>
      </w:r>
      <w:r w:rsidRPr="00931D4C">
        <w:t xml:space="preserve"> at 5. </w:t>
      </w:r>
    </w:p>
  </w:footnote>
  <w:footnote w:id="20">
    <w:p w:rsidR="00C17F7D" w:rsidRPr="00931D4C" w14:paraId="17B08DD5" w14:textId="74F503D8">
      <w:pPr>
        <w:pStyle w:val="FootnoteText"/>
      </w:pPr>
      <w:r w:rsidRPr="00931D4C">
        <w:rPr>
          <w:rStyle w:val="FootnoteReference"/>
          <w:sz w:val="20"/>
        </w:rPr>
        <w:footnoteRef/>
      </w:r>
      <w:r w:rsidRPr="00931D4C">
        <w:t xml:space="preserve"> </w:t>
      </w:r>
      <w:r w:rsidRPr="00931D4C" w:rsidR="00B16E8D">
        <w:rPr>
          <w:i/>
          <w:iCs/>
        </w:rPr>
        <w:t xml:space="preserve">Id. </w:t>
      </w:r>
      <w:r w:rsidRPr="00931D4C" w:rsidR="00B16E8D">
        <w:t>at</w:t>
      </w:r>
      <w:r w:rsidRPr="00931D4C" w:rsidR="00633C6A">
        <w:t xml:space="preserve"> </w:t>
      </w:r>
      <w:r w:rsidRPr="00931D4C" w:rsidR="005D2ED8">
        <w:t xml:space="preserve">5, </w:t>
      </w:r>
      <w:r w:rsidRPr="00931D4C" w:rsidR="00F343CC">
        <w:t>10</w:t>
      </w:r>
      <w:r w:rsidRPr="00931D4C" w:rsidR="00B16E8D">
        <w:t>.</w:t>
      </w:r>
    </w:p>
  </w:footnote>
  <w:footnote w:id="21">
    <w:p w:rsidR="00C17F7D" w:rsidRPr="00931D4C" w:rsidP="00C17F7D" w14:paraId="2342B5E2" w14:textId="77777777">
      <w:pPr>
        <w:pStyle w:val="FootnoteText"/>
      </w:pPr>
      <w:r w:rsidRPr="00931D4C">
        <w:rPr>
          <w:rStyle w:val="FootnoteReference"/>
          <w:sz w:val="20"/>
        </w:rPr>
        <w:footnoteRef/>
      </w:r>
      <w:r w:rsidRPr="00931D4C">
        <w:t xml:space="preserve"> Supplement at 3. </w:t>
      </w:r>
    </w:p>
  </w:footnote>
  <w:footnote w:id="22">
    <w:p w:rsidR="00755E48" w:rsidRPr="00931D4C" w:rsidP="00755E48" w14:paraId="303AD969" w14:textId="7E694F3D">
      <w:pPr>
        <w:pStyle w:val="FootnoteText"/>
      </w:pPr>
      <w:r w:rsidRPr="00931D4C">
        <w:rPr>
          <w:rStyle w:val="FootnoteReference"/>
          <w:sz w:val="20"/>
        </w:rPr>
        <w:footnoteRef/>
      </w:r>
      <w:r w:rsidRPr="00931D4C">
        <w:t xml:space="preserve"> </w:t>
      </w:r>
      <w:r w:rsidRPr="00931D4C" w:rsidR="00931D4C">
        <w:rPr>
          <w:i/>
          <w:iCs/>
        </w:rPr>
        <w:t xml:space="preserve">Id. </w:t>
      </w:r>
      <w:r w:rsidRPr="00931D4C" w:rsidR="00931D4C">
        <w:t>at</w:t>
      </w:r>
      <w:r w:rsidRPr="00931D4C">
        <w:t xml:space="preserve"> 10-11.</w:t>
      </w:r>
    </w:p>
  </w:footnote>
  <w:footnote w:id="23">
    <w:p w:rsidR="0070387F" w:rsidRPr="00931D4C" w:rsidP="0070387F" w14:paraId="681BAD2D" w14:textId="34036072">
      <w:pPr>
        <w:pStyle w:val="FootnoteText"/>
      </w:pPr>
      <w:r w:rsidRPr="00931D4C">
        <w:rPr>
          <w:rStyle w:val="FootnoteReference"/>
          <w:sz w:val="20"/>
        </w:rPr>
        <w:footnoteRef/>
      </w:r>
      <w:r w:rsidRPr="00931D4C">
        <w:t xml:space="preserve"> </w:t>
      </w:r>
      <w:r w:rsidRPr="00931D4C">
        <w:rPr>
          <w:i/>
          <w:iCs/>
        </w:rPr>
        <w:t xml:space="preserve">See </w:t>
      </w:r>
      <w:r w:rsidRPr="00931D4C">
        <w:t>47 CFR §</w:t>
      </w:r>
      <w:r w:rsidR="00600549">
        <w:t> </w:t>
      </w:r>
      <w:r w:rsidRPr="00931D4C">
        <w:t>63.03(c)(1)(v)</w:t>
      </w:r>
      <w:bookmarkStart w:id="3" w:name="_Hlk98844830"/>
      <w:r w:rsidRPr="00931D4C" w:rsidR="00236FA5">
        <w:t xml:space="preserve">.  </w:t>
      </w:r>
      <w:bookmarkEnd w:id="3"/>
    </w:p>
  </w:footnote>
  <w:footnote w:id="24">
    <w:p w:rsidR="009074E7" w:rsidRPr="00931D4C" w:rsidP="009074E7" w14:paraId="1EF4360E" w14:textId="77777777">
      <w:pPr>
        <w:pStyle w:val="FootnoteText"/>
        <w:rPr>
          <w:u w:val="single"/>
        </w:rPr>
      </w:pPr>
      <w:r w:rsidRPr="00931D4C">
        <w:rPr>
          <w:rStyle w:val="FootnoteReference"/>
          <w:sz w:val="20"/>
        </w:rPr>
        <w:footnoteRef/>
      </w:r>
      <w:r w:rsidRPr="00931D4C">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31D4C">
        <w:rPr>
          <w:rFonts w:eastAsia="Calibri"/>
          <w:i/>
          <w:iCs/>
        </w:rPr>
        <w:t>See FCC Announces Closure of FCC Headquarters Open Window and Change in Hand-Delivery Policy</w:t>
      </w:r>
      <w:r w:rsidRPr="00931D4C">
        <w:rPr>
          <w:rFonts w:eastAsia="Calibri"/>
        </w:rPr>
        <w:t xml:space="preserve">, Public Notice, 35 FCC </w:t>
      </w:r>
      <w:r w:rsidRPr="00931D4C">
        <w:rPr>
          <w:rFonts w:eastAsia="Calibri"/>
        </w:rPr>
        <w:t>Rcd</w:t>
      </w:r>
      <w:r w:rsidRPr="00931D4C">
        <w:rPr>
          <w:rFonts w:eastAsia="Calibri"/>
        </w:rPr>
        <w:t xml:space="preserve"> 2788 (OS 2020).</w:t>
      </w:r>
    </w:p>
  </w:footnote>
  <w:footnote w:id="25">
    <w:p w:rsidR="009074E7" w:rsidRPr="00931D4C" w:rsidP="009074E7" w14:paraId="19CA8158" w14:textId="20842A55">
      <w:pPr>
        <w:pStyle w:val="FootnoteText"/>
      </w:pPr>
      <w:r w:rsidRPr="00931D4C">
        <w:rPr>
          <w:rStyle w:val="FootnoteReference"/>
          <w:sz w:val="20"/>
        </w:rPr>
        <w:footnoteRef/>
      </w:r>
      <w:r w:rsidRPr="00931D4C">
        <w:t xml:space="preserve"> 47 CFR §</w:t>
      </w:r>
      <w:r w:rsidRPr="00931D4C" w:rsidR="00A70E86">
        <w:t> </w:t>
      </w:r>
      <w:r w:rsidRPr="00931D4C">
        <w:t>1.1206(b).</w:t>
      </w:r>
    </w:p>
  </w:footnote>
  <w:footnote w:id="26">
    <w:p w:rsidR="009074E7" w:rsidRPr="00931D4C" w:rsidP="009074E7" w14:paraId="08D0C0AC" w14:textId="2B37D94D">
      <w:pPr>
        <w:pStyle w:val="FootnoteText"/>
      </w:pPr>
      <w:r w:rsidRPr="00931D4C">
        <w:rPr>
          <w:rStyle w:val="FootnoteReference"/>
          <w:sz w:val="20"/>
        </w:rPr>
        <w:footnoteRef/>
      </w:r>
      <w:r w:rsidRPr="00931D4C">
        <w:t xml:space="preserve"> </w:t>
      </w:r>
      <w:r w:rsidRPr="00931D4C">
        <w:rPr>
          <w:i/>
        </w:rPr>
        <w:t>See</w:t>
      </w:r>
      <w:r w:rsidRPr="00931D4C">
        <w:t xml:space="preserve"> </w:t>
      </w:r>
      <w:r w:rsidRPr="00931D4C">
        <w:rPr>
          <w:i/>
          <w:iCs/>
        </w:rPr>
        <w:t>id.</w:t>
      </w:r>
      <w:r w:rsidRPr="00931D4C">
        <w:t xml:space="preserve"> §</w:t>
      </w:r>
      <w:r w:rsidRPr="00931D4C" w:rsidR="00A70E86">
        <w:t> </w:t>
      </w:r>
      <w:r w:rsidRPr="00931D4C">
        <w:t>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3E0B" w14:paraId="4D6CCAAC" w14:textId="19BCBDAC">
    <w:pPr>
      <w:tabs>
        <w:tab w:val="center" w:pos="4680"/>
        <w:tab w:val="right" w:pos="9360"/>
      </w:tabs>
    </w:pPr>
    <w:r>
      <w:rPr>
        <w:b/>
      </w:rPr>
      <w:tab/>
      <w:t>Federal Communications Commission</w:t>
    </w:r>
    <w:r>
      <w:rPr>
        <w:b/>
      </w:rPr>
      <w:tab/>
    </w:r>
    <w:r w:rsidR="009F5FF9">
      <w:rPr>
        <w:b/>
      </w:rPr>
      <w:t>DA 22-1363</w:t>
    </w:r>
  </w:p>
  <w:p w:rsidR="001A3E0B" w14:paraId="61A80E9C" w14:textId="225733A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1A3E0B" w14:paraId="0745669E" w14:textId="77777777">
    <w:pPr>
      <w:spacing w:before="4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3E0B" w14:paraId="039B3391" w14:textId="7D2654E3">
    <w:pPr>
      <w:pStyle w:val="Header"/>
    </w:pPr>
    <w:r>
      <w:rPr>
        <w:noProof/>
      </w:rPr>
      <w:drawing>
        <wp:inline distT="0" distB="0" distL="0" distR="0">
          <wp:extent cx="5943600"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7E55F1"/>
    <w:multiLevelType w:val="hybridMultilevel"/>
    <w:tmpl w:val="977041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E220D0D"/>
    <w:multiLevelType w:val="hybridMultilevel"/>
    <w:tmpl w:val="A44EE72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5"/>
  </w:num>
  <w:num w:numId="4">
    <w:abstractNumId w:val="7"/>
  </w:num>
  <w:num w:numId="5">
    <w:abstractNumId w:val="4"/>
  </w:num>
  <w:num w:numId="6">
    <w:abstractNumId w:val="0"/>
  </w:num>
  <w:num w:numId="7">
    <w:abstractNumId w:val="9"/>
  </w:num>
  <w:num w:numId="8">
    <w:abstractNumId w:val="2"/>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72"/>
    <w:rsid w:val="000125FF"/>
    <w:rsid w:val="00016B9E"/>
    <w:rsid w:val="00030199"/>
    <w:rsid w:val="000464F2"/>
    <w:rsid w:val="000752CC"/>
    <w:rsid w:val="00076BB7"/>
    <w:rsid w:val="000B0EBC"/>
    <w:rsid w:val="000B2511"/>
    <w:rsid w:val="000F445E"/>
    <w:rsid w:val="00121003"/>
    <w:rsid w:val="00140E53"/>
    <w:rsid w:val="00160D35"/>
    <w:rsid w:val="00165C7A"/>
    <w:rsid w:val="001778B1"/>
    <w:rsid w:val="00180C93"/>
    <w:rsid w:val="00191311"/>
    <w:rsid w:val="001A3E0B"/>
    <w:rsid w:val="001A60ED"/>
    <w:rsid w:val="001A6E72"/>
    <w:rsid w:val="001E4741"/>
    <w:rsid w:val="001F3A8F"/>
    <w:rsid w:val="00212349"/>
    <w:rsid w:val="002275CE"/>
    <w:rsid w:val="00227FAD"/>
    <w:rsid w:val="00236FA5"/>
    <w:rsid w:val="002449D9"/>
    <w:rsid w:val="002539AC"/>
    <w:rsid w:val="002572BD"/>
    <w:rsid w:val="00277892"/>
    <w:rsid w:val="00296762"/>
    <w:rsid w:val="002C0408"/>
    <w:rsid w:val="002C12E1"/>
    <w:rsid w:val="002C28B2"/>
    <w:rsid w:val="002C31C0"/>
    <w:rsid w:val="002D1BB2"/>
    <w:rsid w:val="002E6FFA"/>
    <w:rsid w:val="002F3A94"/>
    <w:rsid w:val="002F67C0"/>
    <w:rsid w:val="00315D97"/>
    <w:rsid w:val="00321810"/>
    <w:rsid w:val="00323700"/>
    <w:rsid w:val="00343930"/>
    <w:rsid w:val="00345045"/>
    <w:rsid w:val="003544F2"/>
    <w:rsid w:val="00360682"/>
    <w:rsid w:val="00365CF6"/>
    <w:rsid w:val="00366C6A"/>
    <w:rsid w:val="00367574"/>
    <w:rsid w:val="00386603"/>
    <w:rsid w:val="003A639A"/>
    <w:rsid w:val="003B0A65"/>
    <w:rsid w:val="003C06F0"/>
    <w:rsid w:val="003C270A"/>
    <w:rsid w:val="003D7763"/>
    <w:rsid w:val="00406A32"/>
    <w:rsid w:val="00415648"/>
    <w:rsid w:val="004222EA"/>
    <w:rsid w:val="0043230B"/>
    <w:rsid w:val="00437E4C"/>
    <w:rsid w:val="004409E7"/>
    <w:rsid w:val="00440D3A"/>
    <w:rsid w:val="004461F1"/>
    <w:rsid w:val="004534E3"/>
    <w:rsid w:val="004818B4"/>
    <w:rsid w:val="004852DD"/>
    <w:rsid w:val="004869CB"/>
    <w:rsid w:val="004B7B58"/>
    <w:rsid w:val="004C5B67"/>
    <w:rsid w:val="004D2166"/>
    <w:rsid w:val="004D47FA"/>
    <w:rsid w:val="004D7C8B"/>
    <w:rsid w:val="004E46DC"/>
    <w:rsid w:val="00515003"/>
    <w:rsid w:val="005439F8"/>
    <w:rsid w:val="005569DB"/>
    <w:rsid w:val="00564FC5"/>
    <w:rsid w:val="0058129D"/>
    <w:rsid w:val="00581A9C"/>
    <w:rsid w:val="00594C06"/>
    <w:rsid w:val="00597120"/>
    <w:rsid w:val="005C2899"/>
    <w:rsid w:val="005C6369"/>
    <w:rsid w:val="005D2ED8"/>
    <w:rsid w:val="005E1650"/>
    <w:rsid w:val="005F31AA"/>
    <w:rsid w:val="00600549"/>
    <w:rsid w:val="00601982"/>
    <w:rsid w:val="00602122"/>
    <w:rsid w:val="00610D47"/>
    <w:rsid w:val="00626ECD"/>
    <w:rsid w:val="00633C6A"/>
    <w:rsid w:val="00636A86"/>
    <w:rsid w:val="00650FBF"/>
    <w:rsid w:val="00652F16"/>
    <w:rsid w:val="00664554"/>
    <w:rsid w:val="006726C3"/>
    <w:rsid w:val="006A31FF"/>
    <w:rsid w:val="006B32D4"/>
    <w:rsid w:val="006D76F4"/>
    <w:rsid w:val="006E1CE0"/>
    <w:rsid w:val="006E35C4"/>
    <w:rsid w:val="006E402F"/>
    <w:rsid w:val="0070387F"/>
    <w:rsid w:val="007051F4"/>
    <w:rsid w:val="00750CF6"/>
    <w:rsid w:val="00755E48"/>
    <w:rsid w:val="0076454F"/>
    <w:rsid w:val="0077594F"/>
    <w:rsid w:val="00777772"/>
    <w:rsid w:val="007800BF"/>
    <w:rsid w:val="00787FC8"/>
    <w:rsid w:val="0079459A"/>
    <w:rsid w:val="007B6624"/>
    <w:rsid w:val="007C5527"/>
    <w:rsid w:val="007E59BA"/>
    <w:rsid w:val="007F039F"/>
    <w:rsid w:val="007F1981"/>
    <w:rsid w:val="007F4287"/>
    <w:rsid w:val="00800E82"/>
    <w:rsid w:val="00802265"/>
    <w:rsid w:val="008173C9"/>
    <w:rsid w:val="008207F7"/>
    <w:rsid w:val="00820FEB"/>
    <w:rsid w:val="008269FE"/>
    <w:rsid w:val="00833158"/>
    <w:rsid w:val="00833AE1"/>
    <w:rsid w:val="008426D5"/>
    <w:rsid w:val="0084470E"/>
    <w:rsid w:val="00844EBC"/>
    <w:rsid w:val="0084610F"/>
    <w:rsid w:val="00856621"/>
    <w:rsid w:val="008671C7"/>
    <w:rsid w:val="0087274F"/>
    <w:rsid w:val="008747A8"/>
    <w:rsid w:val="00890E04"/>
    <w:rsid w:val="00893DAF"/>
    <w:rsid w:val="008968DE"/>
    <w:rsid w:val="008D76E7"/>
    <w:rsid w:val="008E3E86"/>
    <w:rsid w:val="00900883"/>
    <w:rsid w:val="00906A7F"/>
    <w:rsid w:val="009074E7"/>
    <w:rsid w:val="00913414"/>
    <w:rsid w:val="00913BBA"/>
    <w:rsid w:val="00922B9D"/>
    <w:rsid w:val="00922D79"/>
    <w:rsid w:val="00922DEF"/>
    <w:rsid w:val="0092309D"/>
    <w:rsid w:val="009248EF"/>
    <w:rsid w:val="00931D4C"/>
    <w:rsid w:val="009457E2"/>
    <w:rsid w:val="00954D2E"/>
    <w:rsid w:val="00957532"/>
    <w:rsid w:val="00957E5E"/>
    <w:rsid w:val="0096498F"/>
    <w:rsid w:val="00966570"/>
    <w:rsid w:val="0098144D"/>
    <w:rsid w:val="00983DD9"/>
    <w:rsid w:val="00986102"/>
    <w:rsid w:val="0099245D"/>
    <w:rsid w:val="009C0943"/>
    <w:rsid w:val="009E36F3"/>
    <w:rsid w:val="009E496B"/>
    <w:rsid w:val="009F5FF9"/>
    <w:rsid w:val="00A025D6"/>
    <w:rsid w:val="00A03D10"/>
    <w:rsid w:val="00A15FF5"/>
    <w:rsid w:val="00A177F2"/>
    <w:rsid w:val="00A21DD2"/>
    <w:rsid w:val="00A333C7"/>
    <w:rsid w:val="00A40DE7"/>
    <w:rsid w:val="00A53FCF"/>
    <w:rsid w:val="00A56AFE"/>
    <w:rsid w:val="00A5727F"/>
    <w:rsid w:val="00A60F1B"/>
    <w:rsid w:val="00A64F0C"/>
    <w:rsid w:val="00A651B4"/>
    <w:rsid w:val="00A70E86"/>
    <w:rsid w:val="00AC50CF"/>
    <w:rsid w:val="00AC50E8"/>
    <w:rsid w:val="00AC53EF"/>
    <w:rsid w:val="00AC6274"/>
    <w:rsid w:val="00AE4C9A"/>
    <w:rsid w:val="00B00D6F"/>
    <w:rsid w:val="00B1154B"/>
    <w:rsid w:val="00B1340F"/>
    <w:rsid w:val="00B16E8D"/>
    <w:rsid w:val="00B26187"/>
    <w:rsid w:val="00B41B6E"/>
    <w:rsid w:val="00B47072"/>
    <w:rsid w:val="00B51392"/>
    <w:rsid w:val="00B53ACA"/>
    <w:rsid w:val="00B54C49"/>
    <w:rsid w:val="00B56E82"/>
    <w:rsid w:val="00B70BC7"/>
    <w:rsid w:val="00B80E56"/>
    <w:rsid w:val="00B87482"/>
    <w:rsid w:val="00BF0F8A"/>
    <w:rsid w:val="00BF4074"/>
    <w:rsid w:val="00BF6618"/>
    <w:rsid w:val="00BF6F2F"/>
    <w:rsid w:val="00C17F7D"/>
    <w:rsid w:val="00C23A91"/>
    <w:rsid w:val="00C271FF"/>
    <w:rsid w:val="00C30B05"/>
    <w:rsid w:val="00C4213B"/>
    <w:rsid w:val="00C42157"/>
    <w:rsid w:val="00C65640"/>
    <w:rsid w:val="00C66FE1"/>
    <w:rsid w:val="00C81439"/>
    <w:rsid w:val="00C85B5F"/>
    <w:rsid w:val="00CC0665"/>
    <w:rsid w:val="00CC1C7A"/>
    <w:rsid w:val="00CC7FC6"/>
    <w:rsid w:val="00CD0FB2"/>
    <w:rsid w:val="00CE529D"/>
    <w:rsid w:val="00CE5C03"/>
    <w:rsid w:val="00CE73C2"/>
    <w:rsid w:val="00CF24C3"/>
    <w:rsid w:val="00D011A1"/>
    <w:rsid w:val="00D10D42"/>
    <w:rsid w:val="00D1243D"/>
    <w:rsid w:val="00D1561D"/>
    <w:rsid w:val="00D35776"/>
    <w:rsid w:val="00D35A6C"/>
    <w:rsid w:val="00D43B13"/>
    <w:rsid w:val="00D57B90"/>
    <w:rsid w:val="00D70354"/>
    <w:rsid w:val="00D71D49"/>
    <w:rsid w:val="00DB0C48"/>
    <w:rsid w:val="00DC1368"/>
    <w:rsid w:val="00DD46DB"/>
    <w:rsid w:val="00DE0BAB"/>
    <w:rsid w:val="00DE1C88"/>
    <w:rsid w:val="00DF0B88"/>
    <w:rsid w:val="00E13136"/>
    <w:rsid w:val="00E309BA"/>
    <w:rsid w:val="00E3123E"/>
    <w:rsid w:val="00E56979"/>
    <w:rsid w:val="00E675AA"/>
    <w:rsid w:val="00E7444F"/>
    <w:rsid w:val="00E93717"/>
    <w:rsid w:val="00EB7AB3"/>
    <w:rsid w:val="00EC4398"/>
    <w:rsid w:val="00ED5AE2"/>
    <w:rsid w:val="00F0737D"/>
    <w:rsid w:val="00F14D4F"/>
    <w:rsid w:val="00F31B6E"/>
    <w:rsid w:val="00F343CC"/>
    <w:rsid w:val="00F43181"/>
    <w:rsid w:val="00F534AA"/>
    <w:rsid w:val="00F54D8A"/>
    <w:rsid w:val="00F63BBB"/>
    <w:rsid w:val="00F7095A"/>
    <w:rsid w:val="00FB0042"/>
    <w:rsid w:val="00FB2B4A"/>
    <w:rsid w:val="00FD752E"/>
    <w:rsid w:val="00FF356D"/>
    <w:rsid w:val="00FF37F3"/>
    <w:rsid w:val="00FF7B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AE1A75B"/>
  <w15:chartTrackingRefBased/>
  <w15:docId w15:val="{7A8920AF-B2EF-4128-AC5B-BA81C6B9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23E"/>
    <w:rPr>
      <w:rFonts w:eastAsiaTheme="minorHAnsi" w:cstheme="minorBidi"/>
      <w:szCs w:val="22"/>
    </w:rPr>
  </w:style>
  <w:style w:type="paragraph" w:styleId="Heading1">
    <w:name w:val="heading 1"/>
    <w:basedOn w:val="Normal"/>
    <w:next w:val="ParaNum"/>
    <w:qFormat/>
    <w:pPr>
      <w:keepNext/>
      <w:widowControl w:val="0"/>
      <w:numPr>
        <w:numId w:val="3"/>
      </w:numPr>
      <w:tabs>
        <w:tab w:val="left" w:pos="720"/>
      </w:tabs>
      <w:suppressAutoHyphens/>
      <w:spacing w:after="120"/>
      <w:outlineLvl w:val="0"/>
    </w:pPr>
    <w:rPr>
      <w:rFonts w:ascii="Times New Roman Bold" w:eastAsia="Times New Roman" w:hAnsi="Times New Roman Bold" w:cs="Times New Roman"/>
      <w:b/>
      <w:caps/>
      <w:snapToGrid w:val="0"/>
      <w:kern w:val="28"/>
      <w:sz w:val="22"/>
      <w:szCs w:val="20"/>
    </w:rPr>
  </w:style>
  <w:style w:type="paragraph" w:styleId="Heading2">
    <w:name w:val="heading 2"/>
    <w:basedOn w:val="Normal"/>
    <w:next w:val="ParaNum"/>
    <w:autoRedefine/>
    <w:qFormat/>
    <w:pPr>
      <w:keepNext/>
      <w:widowControl w:val="0"/>
      <w:numPr>
        <w:ilvl w:val="1"/>
        <w:numId w:val="3"/>
      </w:numPr>
      <w:spacing w:after="120"/>
      <w:outlineLvl w:val="1"/>
    </w:pPr>
    <w:rPr>
      <w:rFonts w:eastAsia="Times New Roman" w:cs="Times New Roman"/>
      <w:b/>
      <w:snapToGrid w:val="0"/>
      <w:kern w:val="28"/>
      <w:sz w:val="22"/>
      <w:szCs w:val="20"/>
    </w:rPr>
  </w:style>
  <w:style w:type="paragraph" w:styleId="Heading3">
    <w:name w:val="heading 3"/>
    <w:basedOn w:val="Normal"/>
    <w:next w:val="ParaNum"/>
    <w:qFormat/>
    <w:pPr>
      <w:keepNext/>
      <w:widowControl w:val="0"/>
      <w:numPr>
        <w:ilvl w:val="2"/>
        <w:numId w:val="3"/>
      </w:numPr>
      <w:tabs>
        <w:tab w:val="left" w:pos="2160"/>
      </w:tabs>
      <w:spacing w:after="120"/>
      <w:outlineLvl w:val="2"/>
    </w:pPr>
    <w:rPr>
      <w:rFonts w:eastAsia="Times New Roman" w:cs="Times New Roman"/>
      <w:b/>
      <w:snapToGrid w:val="0"/>
      <w:kern w:val="28"/>
      <w:sz w:val="22"/>
      <w:szCs w:val="20"/>
    </w:rPr>
  </w:style>
  <w:style w:type="paragraph" w:styleId="Heading4">
    <w:name w:val="heading 4"/>
    <w:basedOn w:val="Normal"/>
    <w:next w:val="ParaNum"/>
    <w:qFormat/>
    <w:pPr>
      <w:keepNext/>
      <w:widowControl w:val="0"/>
      <w:numPr>
        <w:ilvl w:val="3"/>
        <w:numId w:val="3"/>
      </w:numPr>
      <w:tabs>
        <w:tab w:val="left" w:pos="2880"/>
      </w:tabs>
      <w:spacing w:after="120"/>
      <w:outlineLvl w:val="3"/>
    </w:pPr>
    <w:rPr>
      <w:rFonts w:eastAsia="Times New Roman" w:cs="Times New Roman"/>
      <w:b/>
      <w:snapToGrid w:val="0"/>
      <w:kern w:val="28"/>
      <w:sz w:val="22"/>
      <w:szCs w:val="20"/>
    </w:rPr>
  </w:style>
  <w:style w:type="paragraph" w:styleId="Heading5">
    <w:name w:val="heading 5"/>
    <w:basedOn w:val="Normal"/>
    <w:next w:val="ParaNum"/>
    <w:qFormat/>
    <w:pPr>
      <w:keepNext/>
      <w:widowControl w:val="0"/>
      <w:numPr>
        <w:ilvl w:val="4"/>
        <w:numId w:val="3"/>
      </w:numPr>
      <w:tabs>
        <w:tab w:val="left" w:pos="3600"/>
      </w:tabs>
      <w:suppressAutoHyphens/>
      <w:spacing w:after="120"/>
      <w:outlineLvl w:val="4"/>
    </w:pPr>
    <w:rPr>
      <w:rFonts w:eastAsia="Times New Roman" w:cs="Times New Roman"/>
      <w:b/>
      <w:snapToGrid w:val="0"/>
      <w:kern w:val="28"/>
      <w:sz w:val="22"/>
      <w:szCs w:val="20"/>
    </w:rPr>
  </w:style>
  <w:style w:type="paragraph" w:styleId="Heading6">
    <w:name w:val="heading 6"/>
    <w:basedOn w:val="Normal"/>
    <w:next w:val="ParaNum"/>
    <w:qFormat/>
    <w:pPr>
      <w:widowControl w:val="0"/>
      <w:numPr>
        <w:ilvl w:val="5"/>
        <w:numId w:val="3"/>
      </w:numPr>
      <w:tabs>
        <w:tab w:val="left" w:pos="4320"/>
      </w:tabs>
      <w:spacing w:after="120"/>
      <w:outlineLvl w:val="5"/>
    </w:pPr>
    <w:rPr>
      <w:rFonts w:eastAsia="Times New Roman" w:cs="Times New Roman"/>
      <w:b/>
      <w:snapToGrid w:val="0"/>
      <w:kern w:val="28"/>
      <w:sz w:val="22"/>
      <w:szCs w:val="20"/>
    </w:rPr>
  </w:style>
  <w:style w:type="paragraph" w:styleId="Heading7">
    <w:name w:val="heading 7"/>
    <w:basedOn w:val="Normal"/>
    <w:next w:val="ParaNum"/>
    <w:qFormat/>
    <w:pPr>
      <w:widowControl w:val="0"/>
      <w:numPr>
        <w:ilvl w:val="6"/>
        <w:numId w:val="3"/>
      </w:numPr>
      <w:tabs>
        <w:tab w:val="left" w:pos="5040"/>
      </w:tabs>
      <w:spacing w:after="120"/>
      <w:ind w:left="5040" w:hanging="720"/>
      <w:outlineLvl w:val="6"/>
    </w:pPr>
    <w:rPr>
      <w:rFonts w:eastAsia="Times New Roman" w:cs="Times New Roman"/>
      <w:b/>
      <w:snapToGrid w:val="0"/>
      <w:kern w:val="28"/>
      <w:sz w:val="22"/>
      <w:szCs w:val="20"/>
    </w:rPr>
  </w:style>
  <w:style w:type="paragraph" w:styleId="Heading8">
    <w:name w:val="heading 8"/>
    <w:basedOn w:val="Normal"/>
    <w:next w:val="ParaNum"/>
    <w:qFormat/>
    <w:pPr>
      <w:widowControl w:val="0"/>
      <w:numPr>
        <w:ilvl w:val="7"/>
        <w:numId w:val="3"/>
      </w:numPr>
      <w:tabs>
        <w:tab w:val="clear" w:pos="5400"/>
        <w:tab w:val="left" w:pos="5760"/>
      </w:tabs>
      <w:spacing w:after="120"/>
      <w:ind w:left="5760" w:hanging="720"/>
      <w:outlineLvl w:val="7"/>
    </w:pPr>
    <w:rPr>
      <w:rFonts w:eastAsia="Times New Roman" w:cs="Times New Roman"/>
      <w:b/>
      <w:snapToGrid w:val="0"/>
      <w:kern w:val="28"/>
      <w:sz w:val="22"/>
      <w:szCs w:val="20"/>
    </w:rPr>
  </w:style>
  <w:style w:type="paragraph" w:styleId="Heading9">
    <w:name w:val="heading 9"/>
    <w:basedOn w:val="Normal"/>
    <w:next w:val="ParaNum"/>
    <w:qFormat/>
    <w:pPr>
      <w:widowControl w:val="0"/>
      <w:numPr>
        <w:ilvl w:val="8"/>
        <w:numId w:val="3"/>
      </w:numPr>
      <w:tabs>
        <w:tab w:val="clear" w:pos="6120"/>
        <w:tab w:val="left" w:pos="6480"/>
      </w:tabs>
      <w:spacing w:after="120"/>
      <w:ind w:left="6480" w:hanging="720"/>
      <w:outlineLvl w:val="8"/>
    </w:pPr>
    <w:rPr>
      <w:rFonts w:eastAsia="Times New Roman" w:cs="Times New Roman"/>
      <w:b/>
      <w:snapToGrid w:val="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2"/>
      </w:numPr>
      <w:tabs>
        <w:tab w:val="clear" w:pos="1080"/>
        <w:tab w:val="num" w:pos="1440"/>
      </w:tabs>
      <w:spacing w:after="120"/>
    </w:pPr>
    <w:rPr>
      <w:rFonts w:eastAsia="Times New Roman" w:cs="Times New Roman"/>
      <w:snapToGrid w:val="0"/>
      <w:kern w:val="28"/>
      <w:sz w:val="22"/>
      <w:szCs w:val="20"/>
    </w:rPr>
  </w:style>
  <w:style w:type="paragraph" w:styleId="EndnoteText">
    <w:name w:val="endnote text"/>
    <w:basedOn w:val="Normal"/>
    <w:semiHidden/>
    <w:pPr>
      <w:widowControl w:val="0"/>
    </w:pPr>
    <w:rPr>
      <w:rFonts w:eastAsia="Times New Roman" w:cs="Times New Roman"/>
      <w:snapToGrid w:val="0"/>
      <w:kern w:val="28"/>
      <w:szCs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widowControl w:val="0"/>
      <w:tabs>
        <w:tab w:val="left" w:pos="360"/>
        <w:tab w:val="right" w:leader="dot" w:pos="9360"/>
      </w:tabs>
      <w:suppressAutoHyphens/>
      <w:ind w:left="360" w:right="720" w:hanging="360"/>
    </w:pPr>
    <w:rPr>
      <w:rFonts w:eastAsia="Times New Roman" w:cs="Times New Roman"/>
      <w:caps/>
      <w:noProof/>
      <w:snapToGrid w:val="0"/>
      <w:kern w:val="28"/>
      <w:sz w:val="22"/>
      <w:szCs w:val="20"/>
    </w:rPr>
  </w:style>
  <w:style w:type="paragraph" w:styleId="TOC2">
    <w:name w:val="toc 2"/>
    <w:basedOn w:val="Normal"/>
    <w:next w:val="Normal"/>
    <w:semiHidden/>
    <w:pPr>
      <w:widowControl w:val="0"/>
      <w:tabs>
        <w:tab w:val="left" w:pos="720"/>
        <w:tab w:val="right" w:leader="dot" w:pos="9360"/>
      </w:tabs>
      <w:suppressAutoHyphens/>
      <w:ind w:left="720" w:right="720" w:hanging="360"/>
    </w:pPr>
    <w:rPr>
      <w:rFonts w:eastAsia="Times New Roman" w:cs="Times New Roman"/>
      <w:noProof/>
      <w:snapToGrid w:val="0"/>
      <w:kern w:val="28"/>
      <w:sz w:val="22"/>
      <w:szCs w:val="20"/>
    </w:rPr>
  </w:style>
  <w:style w:type="paragraph" w:styleId="TOC3">
    <w:name w:val="toc 3"/>
    <w:basedOn w:val="Normal"/>
    <w:next w:val="Normal"/>
    <w:semiHidden/>
    <w:pPr>
      <w:widowControl w:val="0"/>
      <w:tabs>
        <w:tab w:val="left" w:pos="1080"/>
        <w:tab w:val="right" w:leader="dot" w:pos="9360"/>
      </w:tabs>
      <w:suppressAutoHyphens/>
      <w:ind w:left="1080" w:right="720" w:hanging="360"/>
    </w:pPr>
    <w:rPr>
      <w:rFonts w:eastAsia="Times New Roman" w:cs="Times New Roman"/>
      <w:noProof/>
      <w:snapToGrid w:val="0"/>
      <w:kern w:val="28"/>
      <w:sz w:val="22"/>
      <w:szCs w:val="20"/>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rFonts w:eastAsia="Times New Roman" w:cs="Times New Roman"/>
      <w:noProof/>
      <w:snapToGrid w:val="0"/>
      <w:kern w:val="28"/>
      <w:sz w:val="22"/>
      <w:szCs w:val="20"/>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rFonts w:eastAsia="Times New Roman" w:cs="Times New Roman"/>
      <w:noProof/>
      <w:snapToGrid w:val="0"/>
      <w:kern w:val="28"/>
      <w:sz w:val="22"/>
      <w:szCs w:val="20"/>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rFonts w:eastAsia="Times New Roman" w:cs="Times New Roman"/>
      <w:noProof/>
      <w:snapToGrid w:val="0"/>
      <w:kern w:val="28"/>
      <w:sz w:val="22"/>
      <w:szCs w:val="20"/>
    </w:rPr>
  </w:style>
  <w:style w:type="paragraph" w:styleId="TOC7">
    <w:name w:val="toc 7"/>
    <w:basedOn w:val="Normal"/>
    <w:next w:val="Normal"/>
    <w:autoRedefine/>
    <w:semiHidden/>
    <w:pPr>
      <w:widowControl w:val="0"/>
      <w:tabs>
        <w:tab w:val="left" w:pos="2520"/>
        <w:tab w:val="right" w:leader="dot" w:pos="9360"/>
      </w:tabs>
      <w:suppressAutoHyphens/>
      <w:ind w:left="2520" w:hanging="360"/>
    </w:pPr>
    <w:rPr>
      <w:rFonts w:eastAsia="Times New Roman" w:cs="Times New Roman"/>
      <w:noProof/>
      <w:snapToGrid w:val="0"/>
      <w:kern w:val="28"/>
      <w:sz w:val="22"/>
      <w:szCs w:val="20"/>
    </w:rPr>
  </w:style>
  <w:style w:type="paragraph" w:styleId="TOC8">
    <w:name w:val="toc 8"/>
    <w:basedOn w:val="Normal"/>
    <w:next w:val="Normal"/>
    <w:autoRedefine/>
    <w:semiHidden/>
    <w:pPr>
      <w:widowControl w:val="0"/>
      <w:tabs>
        <w:tab w:val="left" w:pos="2880"/>
        <w:tab w:val="right" w:leader="dot" w:pos="9360"/>
      </w:tabs>
      <w:suppressAutoHyphens/>
      <w:ind w:left="2880" w:hanging="360"/>
    </w:pPr>
    <w:rPr>
      <w:rFonts w:eastAsia="Times New Roman" w:cs="Times New Roman"/>
      <w:noProof/>
      <w:snapToGrid w:val="0"/>
      <w:kern w:val="28"/>
      <w:sz w:val="22"/>
      <w:szCs w:val="20"/>
    </w:rPr>
  </w:style>
  <w:style w:type="paragraph" w:styleId="TOC9">
    <w:name w:val="toc 9"/>
    <w:basedOn w:val="Normal"/>
    <w:next w:val="Normal"/>
    <w:autoRedefine/>
    <w:semiHidden/>
    <w:pPr>
      <w:widowControl w:val="0"/>
      <w:tabs>
        <w:tab w:val="left" w:pos="3240"/>
        <w:tab w:val="right" w:leader="dot" w:pos="9360"/>
      </w:tabs>
      <w:suppressAutoHyphens/>
      <w:ind w:left="3240" w:hanging="360"/>
    </w:pPr>
    <w:rPr>
      <w:rFonts w:eastAsia="Times New Roman" w:cs="Times New Roman"/>
      <w:noProof/>
      <w:snapToGrid w:val="0"/>
      <w:kern w:val="28"/>
      <w:sz w:val="22"/>
      <w:szCs w:val="20"/>
    </w:rPr>
  </w:style>
  <w:style w:type="paragraph" w:styleId="TOAHeading">
    <w:name w:val="toa heading"/>
    <w:basedOn w:val="Normal"/>
    <w:next w:val="Normal"/>
    <w:semiHidden/>
    <w:pPr>
      <w:widowControl w:val="0"/>
      <w:tabs>
        <w:tab w:val="right" w:pos="9360"/>
      </w:tabs>
      <w:suppressAutoHyphens/>
    </w:pPr>
    <w:rPr>
      <w:rFonts w:eastAsia="Times New Roman" w:cs="Times New Roman"/>
      <w:snapToGrid w:val="0"/>
      <w:kern w:val="28"/>
      <w:sz w:val="22"/>
      <w:szCs w:val="20"/>
    </w:rPr>
  </w:style>
  <w:style w:type="character" w:customStyle="1" w:styleId="EquationCaption">
    <w:name w:val="_Equation Caption"/>
  </w:style>
  <w:style w:type="paragraph" w:styleId="Header">
    <w:name w:val="header"/>
    <w:basedOn w:val="Normal"/>
    <w:autoRedefine/>
    <w:pPr>
      <w:widowControl w:val="0"/>
      <w:tabs>
        <w:tab w:val="center" w:pos="4680"/>
        <w:tab w:val="right" w:pos="9360"/>
      </w:tabs>
    </w:pPr>
    <w:rPr>
      <w:rFonts w:ascii="Arial" w:eastAsia="Times New Roman" w:hAnsi="Arial" w:cs="Arial"/>
      <w:b/>
      <w:snapToGrid w:val="0"/>
      <w:kern w:val="28"/>
      <w:sz w:val="96"/>
      <w:szCs w:val="96"/>
    </w:rPr>
  </w:style>
  <w:style w:type="paragraph" w:styleId="Footer">
    <w:name w:val="footer"/>
    <w:basedOn w:val="Normal"/>
    <w:link w:val="FooterChar"/>
    <w:uiPriority w:val="99"/>
    <w:pPr>
      <w:widowControl w:val="0"/>
      <w:tabs>
        <w:tab w:val="center" w:pos="4320"/>
        <w:tab w:val="right" w:pos="8640"/>
      </w:tabs>
    </w:pPr>
    <w:rPr>
      <w:rFonts w:eastAsia="Times New Roman" w:cs="Times New Roman"/>
      <w:snapToGrid w:val="0"/>
      <w:kern w:val="28"/>
      <w:sz w:val="22"/>
      <w:szCs w:val="20"/>
    </w:rPr>
  </w:style>
  <w:style w:type="character" w:styleId="PageNumber">
    <w:name w:val="page number"/>
    <w:basedOn w:val="DefaultParagraphFont"/>
  </w:style>
  <w:style w:type="paragraph" w:styleId="BlockText">
    <w:name w:val="Block Text"/>
    <w:basedOn w:val="Normal"/>
    <w:pPr>
      <w:widowControl w:val="0"/>
      <w:spacing w:after="240"/>
      <w:ind w:left="1440" w:right="1440"/>
    </w:pPr>
    <w:rPr>
      <w:rFonts w:eastAsia="Times New Roman" w:cs="Times New Roman"/>
      <w:snapToGrid w:val="0"/>
      <w:kern w:val="28"/>
      <w:sz w:val="22"/>
      <w:szCs w:val="20"/>
    </w:rPr>
  </w:style>
  <w:style w:type="paragraph" w:customStyle="1" w:styleId="Paratitle">
    <w:name w:val="Para title"/>
    <w:basedOn w:val="Normal"/>
    <w:pPr>
      <w:widowControl w:val="0"/>
      <w:tabs>
        <w:tab w:val="center" w:pos="9270"/>
      </w:tabs>
      <w:spacing w:after="240"/>
    </w:pPr>
    <w:rPr>
      <w:rFonts w:eastAsia="Times New Roman" w:cs="Times New Roman"/>
      <w:snapToGrid w:val="0"/>
      <w:spacing w:val="-2"/>
      <w:kern w:val="28"/>
      <w:sz w:val="22"/>
      <w:szCs w:val="20"/>
    </w:rPr>
  </w:style>
  <w:style w:type="paragraph" w:customStyle="1" w:styleId="Bullet">
    <w:name w:val="Bullet"/>
    <w:basedOn w:val="Normal"/>
    <w:pPr>
      <w:widowControl w:val="0"/>
      <w:numPr>
        <w:numId w:val="1"/>
      </w:numPr>
      <w:tabs>
        <w:tab w:val="clear" w:pos="360"/>
        <w:tab w:val="left" w:pos="2160"/>
      </w:tabs>
      <w:spacing w:after="220"/>
      <w:ind w:left="2160" w:hanging="720"/>
    </w:pPr>
    <w:rPr>
      <w:rFonts w:eastAsia="Times New Roman" w:cs="Times New Roman"/>
      <w:snapToGrid w:val="0"/>
      <w:kern w:val="28"/>
      <w:sz w:val="22"/>
      <w:szCs w:val="20"/>
    </w:r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eastAsia="Times New Roman" w:hAnsi="Times New Roman Bold" w:cs="Times New Roman"/>
      <w:b/>
      <w:caps/>
      <w:snapToGrid w:val="0"/>
      <w:spacing w:val="-2"/>
      <w:kern w:val="28"/>
      <w:sz w:val="22"/>
      <w:szCs w:val="20"/>
    </w:rPr>
  </w:style>
  <w:style w:type="paragraph" w:customStyle="1" w:styleId="StyleBoldCentered">
    <w:name w:val="Style Bold Centered"/>
    <w:basedOn w:val="Normal"/>
    <w:pPr>
      <w:widowControl w:val="0"/>
      <w:jc w:val="center"/>
    </w:pPr>
    <w:rPr>
      <w:rFonts w:ascii="Times New Roman Bold" w:eastAsia="Times New Roman" w:hAnsi="Times New Roman Bold" w:cs="Times New Roman"/>
      <w:b/>
      <w:bCs/>
      <w:caps/>
      <w:snapToGrid w:val="0"/>
      <w:kern w:val="28"/>
      <w:sz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70387F"/>
  </w:style>
  <w:style w:type="character" w:styleId="FollowedHyperlink">
    <w:name w:val="FollowedHyperlink"/>
    <w:basedOn w:val="DefaultParagraphFont"/>
    <w:uiPriority w:val="99"/>
    <w:semiHidden/>
    <w:unhideWhenUsed/>
    <w:rsid w:val="00922B9D"/>
    <w:rPr>
      <w:color w:val="954F72" w:themeColor="followedHyperlink"/>
      <w:u w:val="single"/>
    </w:rPr>
  </w:style>
  <w:style w:type="paragraph" w:styleId="ListParagraph">
    <w:name w:val="List Paragraph"/>
    <w:basedOn w:val="Normal"/>
    <w:uiPriority w:val="34"/>
    <w:qFormat/>
    <w:rsid w:val="00900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apps.fcc.gov/ecfs/" TargetMode="External" /><Relationship Id="rId6" Type="http://schemas.openxmlformats.org/officeDocument/2006/relationships/hyperlink" Target="mailto:fcc504@fcc.gov" TargetMode="External" /><Relationship Id="rId7" Type="http://schemas.openxmlformats.org/officeDocument/2006/relationships/hyperlink" Target="mailto:merry.wulff@fcc.gov" TargetMode="External" /><Relationship Id="rId8" Type="http://schemas.openxmlformats.org/officeDocument/2006/relationships/hyperlink" Target="mailto:jim.bird@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