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32F26" w:rsidP="00E17D8A" w14:paraId="6870F128" w14:textId="6B2EADA2">
      <w:pPr>
        <w:widowControl w:val="0"/>
        <w:autoSpaceDE w:val="0"/>
        <w:autoSpaceDN w:val="0"/>
        <w:adjustRightInd w:val="0"/>
        <w:ind w:left="5760" w:firstLine="720"/>
        <w:outlineLvl w:val="0"/>
        <w:rPr>
          <w:b/>
          <w:bCs/>
          <w:color w:val="000000"/>
        </w:rPr>
      </w:pPr>
      <w:r>
        <w:rPr>
          <w:b/>
          <w:bCs/>
          <w:color w:val="000000"/>
        </w:rPr>
        <w:t xml:space="preserve">DA </w:t>
      </w:r>
      <w:r w:rsidRPr="001777A1" w:rsidR="001777A1">
        <w:rPr>
          <w:b/>
          <w:bCs/>
          <w:color w:val="000000"/>
        </w:rPr>
        <w:t>22-138</w:t>
      </w:r>
      <w:r w:rsidR="00E17D8A">
        <w:rPr>
          <w:b/>
          <w:bCs/>
          <w:color w:val="000000"/>
        </w:rPr>
        <w:t xml:space="preserve"> </w:t>
      </w:r>
    </w:p>
    <w:p w:rsidR="00E17D8A" w:rsidRPr="00477B3D" w:rsidP="00E17D8A" w14:paraId="30F915D2" w14:textId="019C68E6">
      <w:pPr>
        <w:widowControl w:val="0"/>
        <w:autoSpaceDE w:val="0"/>
        <w:autoSpaceDN w:val="0"/>
        <w:adjustRightInd w:val="0"/>
        <w:ind w:left="5760" w:firstLine="720"/>
        <w:outlineLvl w:val="0"/>
        <w:rPr>
          <w:b/>
          <w:bCs/>
          <w:color w:val="000000"/>
          <w:sz w:val="22"/>
          <w:szCs w:val="22"/>
        </w:rPr>
      </w:pPr>
      <w:r w:rsidRPr="00477B3D">
        <w:rPr>
          <w:b/>
          <w:bCs/>
          <w:i/>
          <w:color w:val="000000"/>
          <w:sz w:val="22"/>
          <w:szCs w:val="22"/>
        </w:rPr>
        <w:t>In Reply Refer to</w:t>
      </w:r>
      <w:r w:rsidRPr="00477B3D">
        <w:rPr>
          <w:b/>
          <w:bCs/>
          <w:color w:val="000000"/>
          <w:sz w:val="22"/>
          <w:szCs w:val="22"/>
        </w:rPr>
        <w:t>:</w:t>
      </w:r>
    </w:p>
    <w:p w:rsidR="00E17D8A" w:rsidRPr="00477B3D" w:rsidP="00E17D8A" w14:paraId="5EC6D767" w14:textId="724F79F0">
      <w:pPr>
        <w:widowControl w:val="0"/>
        <w:autoSpaceDE w:val="0"/>
        <w:autoSpaceDN w:val="0"/>
        <w:adjustRightInd w:val="0"/>
        <w:ind w:left="5760" w:firstLine="720"/>
        <w:outlineLvl w:val="0"/>
        <w:rPr>
          <w:b/>
          <w:bCs/>
          <w:color w:val="000000"/>
          <w:sz w:val="22"/>
          <w:szCs w:val="22"/>
        </w:rPr>
      </w:pPr>
      <w:r w:rsidRPr="00477B3D">
        <w:rPr>
          <w:b/>
          <w:bCs/>
          <w:color w:val="000000"/>
          <w:sz w:val="22"/>
          <w:szCs w:val="22"/>
        </w:rPr>
        <w:t>1800B3-CEG</w:t>
      </w:r>
    </w:p>
    <w:p w:rsidR="00D60C1F" w:rsidP="00E17D8A" w14:paraId="56A6679D" w14:textId="77777777">
      <w:pPr>
        <w:suppressAutoHyphens/>
        <w:rPr>
          <w:b/>
          <w:sz w:val="22"/>
          <w:szCs w:val="22"/>
          <w:u w:val="single"/>
        </w:rPr>
      </w:pPr>
    </w:p>
    <w:p w:rsidR="00262E83" w:rsidP="00E17D8A" w14:paraId="2B8B8117" w14:textId="6892DD05">
      <w:pPr>
        <w:tabs>
          <w:tab w:val="left" w:pos="-1440"/>
        </w:tabs>
        <w:suppressAutoHyphens/>
        <w:rPr>
          <w:sz w:val="22"/>
          <w:szCs w:val="22"/>
        </w:rPr>
      </w:pPr>
      <w:r>
        <w:rPr>
          <w:sz w:val="22"/>
          <w:szCs w:val="22"/>
        </w:rPr>
        <w:t>WGBH Education Foundation</w:t>
      </w:r>
    </w:p>
    <w:p w:rsidR="00E17D8A" w:rsidP="00E17D8A" w14:paraId="3CF19B1A" w14:textId="6B31F7D2">
      <w:pPr>
        <w:tabs>
          <w:tab w:val="left" w:pos="-1440"/>
        </w:tabs>
        <w:suppressAutoHyphens/>
        <w:rPr>
          <w:sz w:val="22"/>
          <w:szCs w:val="22"/>
        </w:rPr>
      </w:pPr>
      <w:r>
        <w:rPr>
          <w:sz w:val="22"/>
          <w:szCs w:val="22"/>
        </w:rPr>
        <w:t xml:space="preserve">c/o </w:t>
      </w:r>
      <w:r w:rsidR="000C76B1">
        <w:rPr>
          <w:sz w:val="22"/>
          <w:szCs w:val="22"/>
        </w:rPr>
        <w:t xml:space="preserve">Matthew S. </w:t>
      </w:r>
      <w:r w:rsidR="000C76B1">
        <w:rPr>
          <w:sz w:val="22"/>
          <w:szCs w:val="22"/>
        </w:rPr>
        <w:t>DelNero</w:t>
      </w:r>
      <w:r w:rsidR="00716815">
        <w:rPr>
          <w:sz w:val="22"/>
          <w:szCs w:val="22"/>
        </w:rPr>
        <w:t>, Esq.</w:t>
      </w:r>
    </w:p>
    <w:p w:rsidR="00262E83" w:rsidP="00E17D8A" w14:paraId="46D73F8A" w14:textId="66CB270F">
      <w:pPr>
        <w:tabs>
          <w:tab w:val="left" w:pos="-1440"/>
        </w:tabs>
        <w:suppressAutoHyphens/>
        <w:rPr>
          <w:sz w:val="22"/>
          <w:szCs w:val="22"/>
        </w:rPr>
      </w:pPr>
      <w:r>
        <w:rPr>
          <w:sz w:val="22"/>
          <w:szCs w:val="22"/>
        </w:rPr>
        <w:t>Covington &amp; Burling LLP</w:t>
      </w:r>
    </w:p>
    <w:p w:rsidR="00262E83" w:rsidP="00E17D8A" w14:paraId="078B3FBE" w14:textId="2200A733">
      <w:pPr>
        <w:tabs>
          <w:tab w:val="left" w:pos="-1440"/>
        </w:tabs>
        <w:suppressAutoHyphens/>
        <w:rPr>
          <w:sz w:val="22"/>
          <w:szCs w:val="22"/>
        </w:rPr>
      </w:pPr>
      <w:r>
        <w:rPr>
          <w:sz w:val="22"/>
          <w:szCs w:val="22"/>
        </w:rPr>
        <w:t>850 10</w:t>
      </w:r>
      <w:r w:rsidRPr="000C76B1">
        <w:rPr>
          <w:sz w:val="22"/>
          <w:szCs w:val="22"/>
          <w:vertAlign w:val="superscript"/>
        </w:rPr>
        <w:t>th</w:t>
      </w:r>
      <w:r>
        <w:rPr>
          <w:sz w:val="22"/>
          <w:szCs w:val="22"/>
        </w:rPr>
        <w:t xml:space="preserve"> St NW</w:t>
      </w:r>
    </w:p>
    <w:p w:rsidR="000C76B1" w:rsidP="00E17D8A" w14:paraId="0E1B222D" w14:textId="2187BC98">
      <w:pPr>
        <w:tabs>
          <w:tab w:val="left" w:pos="-1440"/>
        </w:tabs>
        <w:suppressAutoHyphens/>
        <w:rPr>
          <w:sz w:val="22"/>
          <w:szCs w:val="22"/>
        </w:rPr>
      </w:pPr>
      <w:r>
        <w:rPr>
          <w:sz w:val="22"/>
          <w:szCs w:val="22"/>
        </w:rPr>
        <w:t>Washington, DC 20001</w:t>
      </w:r>
    </w:p>
    <w:p w:rsidR="008A2559" w:rsidP="00E17D8A" w14:paraId="0EC7F024" w14:textId="2C88FECA">
      <w:pPr>
        <w:tabs>
          <w:tab w:val="left" w:pos="-1440"/>
        </w:tabs>
        <w:suppressAutoHyphens/>
        <w:rPr>
          <w:sz w:val="22"/>
          <w:szCs w:val="22"/>
        </w:rPr>
      </w:pPr>
      <w:r>
        <w:rPr>
          <w:sz w:val="22"/>
          <w:szCs w:val="22"/>
        </w:rPr>
        <w:t>mdelnero@cov.com</w:t>
      </w:r>
    </w:p>
    <w:p w:rsidR="008A2559" w:rsidP="00E17D8A" w14:paraId="2DF3A73B" w14:textId="77635560">
      <w:pPr>
        <w:tabs>
          <w:tab w:val="left" w:pos="-1440"/>
        </w:tabs>
        <w:suppressAutoHyphens/>
        <w:rPr>
          <w:sz w:val="22"/>
          <w:szCs w:val="22"/>
        </w:rPr>
      </w:pPr>
    </w:p>
    <w:p w:rsidR="008A2559" w:rsidP="00E17D8A" w14:paraId="38CF4700" w14:textId="1CD2E024">
      <w:pPr>
        <w:tabs>
          <w:tab w:val="left" w:pos="-1440"/>
        </w:tabs>
        <w:suppressAutoHyphens/>
        <w:rPr>
          <w:sz w:val="22"/>
          <w:szCs w:val="22"/>
        </w:rPr>
      </w:pPr>
      <w:r>
        <w:rPr>
          <w:sz w:val="22"/>
          <w:szCs w:val="22"/>
        </w:rPr>
        <w:t>Beanpot License Corp.</w:t>
      </w:r>
    </w:p>
    <w:p w:rsidR="008A2559" w:rsidP="00E17D8A" w14:paraId="01316AD9" w14:textId="4966DCA3">
      <w:pPr>
        <w:tabs>
          <w:tab w:val="left" w:pos="-1440"/>
        </w:tabs>
        <w:suppressAutoHyphens/>
        <w:rPr>
          <w:sz w:val="22"/>
          <w:szCs w:val="22"/>
        </w:rPr>
      </w:pPr>
      <w:r>
        <w:rPr>
          <w:sz w:val="22"/>
          <w:szCs w:val="22"/>
        </w:rPr>
        <w:t xml:space="preserve">c/o </w:t>
      </w:r>
      <w:r w:rsidR="00225D12">
        <w:rPr>
          <w:sz w:val="22"/>
          <w:szCs w:val="22"/>
        </w:rPr>
        <w:t>Barry A. Friedman</w:t>
      </w:r>
      <w:r w:rsidR="00716815">
        <w:rPr>
          <w:sz w:val="22"/>
          <w:szCs w:val="22"/>
        </w:rPr>
        <w:t>. Esq.</w:t>
      </w:r>
    </w:p>
    <w:p w:rsidR="008A2559" w:rsidP="00E17D8A" w14:paraId="1371DFF4" w14:textId="58F61279">
      <w:pPr>
        <w:tabs>
          <w:tab w:val="left" w:pos="-1440"/>
        </w:tabs>
        <w:suppressAutoHyphens/>
        <w:rPr>
          <w:sz w:val="22"/>
          <w:szCs w:val="22"/>
        </w:rPr>
      </w:pPr>
      <w:r>
        <w:rPr>
          <w:sz w:val="22"/>
          <w:szCs w:val="22"/>
        </w:rPr>
        <w:t>Thompson Hine LLP</w:t>
      </w:r>
    </w:p>
    <w:p w:rsidR="00225D12" w:rsidP="00E17D8A" w14:paraId="732F8019" w14:textId="4F519EB8">
      <w:pPr>
        <w:tabs>
          <w:tab w:val="left" w:pos="-1440"/>
        </w:tabs>
        <w:suppressAutoHyphens/>
        <w:rPr>
          <w:sz w:val="22"/>
          <w:szCs w:val="22"/>
        </w:rPr>
      </w:pPr>
      <w:r>
        <w:rPr>
          <w:sz w:val="22"/>
          <w:szCs w:val="22"/>
        </w:rPr>
        <w:t>1919 M St NW</w:t>
      </w:r>
    </w:p>
    <w:p w:rsidR="008A2559" w:rsidRPr="00E84111" w:rsidP="00E17D8A" w14:paraId="4E21E366" w14:textId="220C3F23">
      <w:pPr>
        <w:tabs>
          <w:tab w:val="left" w:pos="-1440"/>
        </w:tabs>
        <w:suppressAutoHyphens/>
        <w:rPr>
          <w:sz w:val="22"/>
          <w:szCs w:val="22"/>
        </w:rPr>
      </w:pPr>
      <w:r>
        <w:rPr>
          <w:sz w:val="22"/>
          <w:szCs w:val="22"/>
        </w:rPr>
        <w:t>Washington, DC 20036</w:t>
      </w:r>
    </w:p>
    <w:p w:rsidR="00247B3C" w:rsidP="00262E83" w14:paraId="46CB1C09" w14:textId="52C3E4AB">
      <w:pPr>
        <w:tabs>
          <w:tab w:val="left" w:pos="-1440"/>
        </w:tabs>
        <w:suppressAutoHyphens/>
        <w:rPr>
          <w:sz w:val="22"/>
          <w:szCs w:val="22"/>
        </w:rPr>
      </w:pPr>
      <w:hyperlink r:id="rId5" w:history="1">
        <w:r w:rsidRPr="00247B3C">
          <w:rPr>
            <w:sz w:val="22"/>
            <w:szCs w:val="22"/>
          </w:rPr>
          <w:t>barry.friedman@thompsonhine.com</w:t>
        </w:r>
      </w:hyperlink>
    </w:p>
    <w:p w:rsidR="00247B3C" w:rsidP="00262E83" w14:paraId="4A2030FE" w14:textId="77777777">
      <w:pPr>
        <w:tabs>
          <w:tab w:val="left" w:pos="-1440"/>
        </w:tabs>
        <w:suppressAutoHyphens/>
        <w:rPr>
          <w:sz w:val="22"/>
          <w:szCs w:val="22"/>
        </w:rPr>
      </w:pPr>
    </w:p>
    <w:p w:rsidR="00247B3C" w:rsidP="00262E83" w14:paraId="4F17F614" w14:textId="03A5C016">
      <w:pPr>
        <w:tabs>
          <w:tab w:val="left" w:pos="-1440"/>
        </w:tabs>
        <w:suppressAutoHyphens/>
        <w:rPr>
          <w:sz w:val="22"/>
          <w:szCs w:val="22"/>
        </w:rPr>
      </w:pPr>
      <w:r>
        <w:rPr>
          <w:sz w:val="22"/>
          <w:szCs w:val="22"/>
        </w:rPr>
        <w:t>WJFD-FM, Inc.</w:t>
      </w:r>
    </w:p>
    <w:p w:rsidR="00247B3C" w:rsidP="00262E83" w14:paraId="33FEFD32" w14:textId="790DFDC0">
      <w:pPr>
        <w:tabs>
          <w:tab w:val="left" w:pos="-1440"/>
        </w:tabs>
        <w:suppressAutoHyphens/>
        <w:rPr>
          <w:sz w:val="22"/>
          <w:szCs w:val="22"/>
        </w:rPr>
      </w:pPr>
      <w:r>
        <w:rPr>
          <w:sz w:val="22"/>
          <w:szCs w:val="22"/>
        </w:rPr>
        <w:t>c/o Scott Woodworth, Esq.</w:t>
      </w:r>
    </w:p>
    <w:p w:rsidR="00247B3C" w:rsidP="00262E83" w14:paraId="46960E8B" w14:textId="77777777">
      <w:pPr>
        <w:tabs>
          <w:tab w:val="left" w:pos="-1440"/>
        </w:tabs>
        <w:suppressAutoHyphens/>
        <w:rPr>
          <w:sz w:val="22"/>
          <w:szCs w:val="22"/>
        </w:rPr>
      </w:pPr>
      <w:r>
        <w:rPr>
          <w:sz w:val="22"/>
          <w:szCs w:val="22"/>
        </w:rPr>
        <w:t>Edinger Associates PLLC</w:t>
      </w:r>
    </w:p>
    <w:p w:rsidR="00247B3C" w:rsidP="00262E83" w14:paraId="24098987" w14:textId="77777777">
      <w:pPr>
        <w:tabs>
          <w:tab w:val="left" w:pos="-1440"/>
        </w:tabs>
        <w:suppressAutoHyphens/>
        <w:rPr>
          <w:sz w:val="22"/>
          <w:szCs w:val="22"/>
        </w:rPr>
      </w:pPr>
      <w:r>
        <w:rPr>
          <w:sz w:val="22"/>
          <w:szCs w:val="22"/>
        </w:rPr>
        <w:t>1875 I Street NW, Suite 500</w:t>
      </w:r>
    </w:p>
    <w:p w:rsidR="00225D12" w:rsidP="00262E83" w14:paraId="6C81C96A" w14:textId="28CCB612">
      <w:pPr>
        <w:tabs>
          <w:tab w:val="left" w:pos="-1440"/>
        </w:tabs>
        <w:suppressAutoHyphens/>
        <w:rPr>
          <w:sz w:val="22"/>
          <w:szCs w:val="22"/>
        </w:rPr>
      </w:pPr>
      <w:r>
        <w:rPr>
          <w:sz w:val="22"/>
          <w:szCs w:val="22"/>
        </w:rPr>
        <w:t>Washington, DC 20006</w:t>
      </w:r>
      <w:r w:rsidRPr="00347BFF" w:rsidR="00E17D8A">
        <w:rPr>
          <w:sz w:val="22"/>
          <w:szCs w:val="22"/>
        </w:rPr>
        <w:tab/>
      </w:r>
    </w:p>
    <w:p w:rsidR="00247B3C" w:rsidP="00262E83" w14:paraId="5071AC2D" w14:textId="4E5A3A5A">
      <w:pPr>
        <w:tabs>
          <w:tab w:val="left" w:pos="-1440"/>
        </w:tabs>
        <w:suppressAutoHyphens/>
        <w:rPr>
          <w:sz w:val="22"/>
          <w:szCs w:val="22"/>
        </w:rPr>
      </w:pPr>
      <w:bookmarkStart w:id="0" w:name="_Hlk95394189"/>
      <w:r>
        <w:rPr>
          <w:sz w:val="22"/>
          <w:szCs w:val="22"/>
        </w:rPr>
        <w:t>swoodworth@edingerlaw.net</w:t>
      </w:r>
    </w:p>
    <w:bookmarkEnd w:id="0"/>
    <w:p w:rsidR="00477B3D" w:rsidP="00262E83" w14:paraId="5B770977" w14:textId="77777777">
      <w:pPr>
        <w:tabs>
          <w:tab w:val="left" w:pos="-144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p>
    <w:p w:rsidR="00E17D8A" w:rsidP="00262E83" w14:paraId="0D16C513" w14:textId="2AD24266">
      <w:pPr>
        <w:tabs>
          <w:tab w:val="left" w:pos="-144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sidRPr="00347BFF">
        <w:rPr>
          <w:sz w:val="22"/>
          <w:szCs w:val="22"/>
        </w:rPr>
        <w:t>In re:</w:t>
      </w:r>
      <w:r w:rsidRPr="00347BFF">
        <w:rPr>
          <w:sz w:val="22"/>
          <w:szCs w:val="22"/>
        </w:rPr>
        <w:tab/>
      </w:r>
      <w:r w:rsidR="000C76B1">
        <w:rPr>
          <w:b/>
          <w:bCs/>
          <w:sz w:val="22"/>
          <w:szCs w:val="22"/>
        </w:rPr>
        <w:t>WGBH Education Foundation</w:t>
      </w:r>
    </w:p>
    <w:p w:rsidR="00E17D8A" w:rsidP="00E17D8A" w14:paraId="3D933056" w14:textId="72ACD655">
      <w:pPr>
        <w:tabs>
          <w:tab w:val="left" w:pos="-144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25D12">
        <w:rPr>
          <w:sz w:val="22"/>
          <w:szCs w:val="22"/>
        </w:rPr>
        <w:t>W242AA, Beacon Hill, Massachusetts</w:t>
      </w:r>
    </w:p>
    <w:p w:rsidR="00E17D8A" w:rsidRPr="00347BFF" w:rsidP="00E17D8A" w14:paraId="16FCE160" w14:textId="34D561B7">
      <w:pPr>
        <w:tabs>
          <w:tab w:val="left" w:pos="-144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47BFF">
        <w:rPr>
          <w:sz w:val="22"/>
          <w:szCs w:val="22"/>
        </w:rPr>
        <w:t xml:space="preserve">Facility ID No. </w:t>
      </w:r>
      <w:r w:rsidR="00225D12">
        <w:rPr>
          <w:sz w:val="22"/>
          <w:szCs w:val="22"/>
        </w:rPr>
        <w:t>7</w:t>
      </w:r>
      <w:r w:rsidR="002752FF">
        <w:rPr>
          <w:sz w:val="22"/>
          <w:szCs w:val="22"/>
        </w:rPr>
        <w:t>2093</w:t>
      </w:r>
    </w:p>
    <w:p w:rsidR="00290C98" w:rsidP="00216FCC" w14:paraId="4C57EA80" w14:textId="77777777">
      <w:pPr>
        <w:tabs>
          <w:tab w:val="left" w:pos="-1440"/>
        </w:tabs>
        <w:suppressAutoHyphens/>
        <w:rPr>
          <w:sz w:val="22"/>
          <w:szCs w:val="22"/>
        </w:rPr>
      </w:pPr>
      <w:r w:rsidRPr="00347BFF">
        <w:rPr>
          <w:sz w:val="22"/>
          <w:szCs w:val="22"/>
        </w:rPr>
        <w:tab/>
      </w:r>
      <w:r w:rsidRPr="00347BFF">
        <w:rPr>
          <w:sz w:val="22"/>
          <w:szCs w:val="22"/>
        </w:rPr>
        <w:tab/>
      </w:r>
      <w:r w:rsidRPr="00347BFF">
        <w:rPr>
          <w:sz w:val="22"/>
          <w:szCs w:val="22"/>
        </w:rPr>
        <w:tab/>
      </w:r>
      <w:r w:rsidRPr="00347BFF">
        <w:rPr>
          <w:sz w:val="22"/>
          <w:szCs w:val="22"/>
        </w:rPr>
        <w:tab/>
      </w:r>
      <w:r w:rsidRPr="00347BFF">
        <w:rPr>
          <w:sz w:val="22"/>
          <w:szCs w:val="22"/>
        </w:rPr>
        <w:tab/>
      </w:r>
      <w:r w:rsidR="002F6F6D">
        <w:rPr>
          <w:sz w:val="22"/>
          <w:szCs w:val="22"/>
        </w:rPr>
        <w:tab/>
      </w:r>
      <w:r w:rsidR="00216FCC">
        <w:rPr>
          <w:sz w:val="22"/>
          <w:szCs w:val="22"/>
        </w:rPr>
        <w:t xml:space="preserve">Application </w:t>
      </w:r>
      <w:r w:rsidRPr="00347BFF">
        <w:rPr>
          <w:sz w:val="22"/>
          <w:szCs w:val="22"/>
        </w:rPr>
        <w:t>File No</w:t>
      </w:r>
      <w:r w:rsidR="00EC1353">
        <w:rPr>
          <w:sz w:val="22"/>
          <w:szCs w:val="22"/>
        </w:rPr>
        <w:t>s</w:t>
      </w:r>
      <w:r>
        <w:rPr>
          <w:sz w:val="22"/>
          <w:szCs w:val="22"/>
        </w:rPr>
        <w:t xml:space="preserve">. </w:t>
      </w:r>
      <w:r>
        <w:rPr>
          <w:sz w:val="22"/>
          <w:szCs w:val="22"/>
        </w:rPr>
        <w:t>115764 (filed June 3, 2020)</w:t>
      </w:r>
    </w:p>
    <w:p w:rsidR="00993F69" w:rsidP="00216FCC" w14:paraId="37795CF3" w14:textId="0DA42836">
      <w:pPr>
        <w:tabs>
          <w:tab w:val="left" w:pos="-144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225D12">
        <w:rPr>
          <w:sz w:val="22"/>
          <w:szCs w:val="22"/>
        </w:rPr>
        <w:t>125291</w:t>
      </w:r>
      <w:r w:rsidR="00216FCC">
        <w:rPr>
          <w:sz w:val="22"/>
          <w:szCs w:val="22"/>
        </w:rPr>
        <w:t xml:space="preserve"> (filed </w:t>
      </w:r>
      <w:r w:rsidR="00225D12">
        <w:rPr>
          <w:sz w:val="22"/>
          <w:szCs w:val="22"/>
        </w:rPr>
        <w:t>Nov. 2, 2020</w:t>
      </w:r>
      <w:r w:rsidR="00216FCC">
        <w:rPr>
          <w:sz w:val="22"/>
          <w:szCs w:val="22"/>
        </w:rPr>
        <w:t>)</w:t>
      </w:r>
    </w:p>
    <w:p w:rsidR="00701B25" w:rsidP="00311121" w14:paraId="6EF1B753" w14:textId="77777777">
      <w:pPr>
        <w:tabs>
          <w:tab w:val="left" w:pos="-144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17D8A" w:rsidRPr="00347BFF" w:rsidP="00311121" w14:paraId="17D62A3F" w14:textId="7F0C48A1">
      <w:pPr>
        <w:tabs>
          <w:tab w:val="left" w:pos="-144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Informal Request for Commission Action</w:t>
      </w:r>
      <w:r w:rsidR="00EC1353">
        <w:rPr>
          <w:sz w:val="22"/>
          <w:szCs w:val="22"/>
        </w:rPr>
        <w:tab/>
      </w:r>
      <w:r w:rsidR="00EC1353">
        <w:rPr>
          <w:sz w:val="22"/>
          <w:szCs w:val="22"/>
        </w:rPr>
        <w:tab/>
        <w:t xml:space="preserve">          </w:t>
      </w:r>
    </w:p>
    <w:p w:rsidR="000B4EEC" w:rsidRPr="00225D12" w:rsidP="00E17D8A" w14:paraId="352EE28B" w14:textId="6BEE105F">
      <w:pPr>
        <w:tabs>
          <w:tab w:val="left" w:pos="-1440"/>
        </w:tabs>
        <w:suppressAutoHyphens/>
        <w:spacing w:after="120"/>
        <w:rPr>
          <w:b/>
          <w:bCs/>
          <w:sz w:val="22"/>
          <w:szCs w:val="22"/>
        </w:rPr>
      </w:pPr>
      <w:r w:rsidRPr="00347BFF">
        <w:rPr>
          <w:sz w:val="22"/>
          <w:szCs w:val="22"/>
        </w:rPr>
        <w:tab/>
      </w:r>
      <w:r w:rsidRPr="00347BFF">
        <w:rPr>
          <w:sz w:val="22"/>
          <w:szCs w:val="22"/>
        </w:rPr>
        <w:tab/>
      </w:r>
      <w:r w:rsidRPr="00347BFF">
        <w:rPr>
          <w:sz w:val="22"/>
          <w:szCs w:val="22"/>
        </w:rPr>
        <w:tab/>
      </w:r>
      <w:r w:rsidRPr="00347BFF">
        <w:rPr>
          <w:sz w:val="22"/>
          <w:szCs w:val="22"/>
        </w:rPr>
        <w:tab/>
      </w:r>
      <w:r w:rsidRPr="00347BFF">
        <w:rPr>
          <w:sz w:val="22"/>
          <w:szCs w:val="22"/>
        </w:rPr>
        <w:tab/>
      </w:r>
      <w:r w:rsidRPr="00347BFF">
        <w:rPr>
          <w:sz w:val="22"/>
          <w:szCs w:val="22"/>
        </w:rPr>
        <w:tab/>
      </w:r>
      <w:r w:rsidRPr="00701B25" w:rsidR="00701B25">
        <w:rPr>
          <w:b/>
          <w:bCs/>
          <w:sz w:val="22"/>
          <w:szCs w:val="22"/>
        </w:rPr>
        <w:t>I</w:t>
      </w:r>
      <w:r w:rsidRPr="00225D12" w:rsidR="00225D12">
        <w:rPr>
          <w:b/>
          <w:bCs/>
          <w:sz w:val="22"/>
          <w:szCs w:val="22"/>
        </w:rPr>
        <w:t>nformal Objection</w:t>
      </w:r>
    </w:p>
    <w:p w:rsidR="00E17D8A" w:rsidRPr="00347BFF" w:rsidP="00D377E7" w14:paraId="0CC21226" w14:textId="0A23B706">
      <w:pPr>
        <w:tabs>
          <w:tab w:val="left" w:pos="-1440"/>
          <w:tab w:val="left" w:pos="0"/>
          <w:tab w:val="left" w:pos="720"/>
          <w:tab w:val="left" w:pos="4680"/>
          <w:tab w:val="left" w:pos="5400"/>
          <w:tab w:val="right" w:pos="9360"/>
        </w:tabs>
        <w:suppressAutoHyphens/>
        <w:spacing w:after="120"/>
        <w:rPr>
          <w:sz w:val="22"/>
          <w:szCs w:val="22"/>
        </w:rPr>
      </w:pPr>
      <w:r w:rsidRPr="00347BFF">
        <w:rPr>
          <w:sz w:val="22"/>
          <w:szCs w:val="22"/>
        </w:rPr>
        <w:t>Dear Counsel:</w:t>
      </w:r>
    </w:p>
    <w:p w:rsidR="00A3008F" w:rsidP="00D377E7" w14:paraId="35BA82B2" w14:textId="50517CC2">
      <w:pPr>
        <w:spacing w:after="120"/>
        <w:rPr>
          <w:sz w:val="22"/>
          <w:szCs w:val="22"/>
        </w:rPr>
      </w:pPr>
      <w:r w:rsidRPr="00A3008F">
        <w:rPr>
          <w:sz w:val="22"/>
          <w:szCs w:val="22"/>
        </w:rPr>
        <w:tab/>
      </w:r>
      <w:r w:rsidR="00C67A40">
        <w:rPr>
          <w:sz w:val="22"/>
          <w:szCs w:val="22"/>
        </w:rPr>
        <w:t>We</w:t>
      </w:r>
      <w:r w:rsidR="00256598">
        <w:rPr>
          <w:sz w:val="22"/>
          <w:szCs w:val="22"/>
        </w:rPr>
        <w:t xml:space="preserve"> have before us</w:t>
      </w:r>
      <w:r w:rsidR="002B61B4">
        <w:rPr>
          <w:sz w:val="22"/>
          <w:szCs w:val="22"/>
        </w:rPr>
        <w:t>: (1)</w:t>
      </w:r>
      <w:r w:rsidR="00256598">
        <w:rPr>
          <w:sz w:val="22"/>
          <w:szCs w:val="22"/>
        </w:rPr>
        <w:t xml:space="preserve"> </w:t>
      </w:r>
      <w:r w:rsidR="002B61B4">
        <w:rPr>
          <w:sz w:val="22"/>
          <w:szCs w:val="22"/>
        </w:rPr>
        <w:t xml:space="preserve">a </w:t>
      </w:r>
      <w:r w:rsidR="00290C98">
        <w:rPr>
          <w:sz w:val="22"/>
          <w:szCs w:val="22"/>
        </w:rPr>
        <w:t xml:space="preserve">letter submitted by WGBH Education Foundation (WGBH) on August 18, 2020 (Cancellation Letter), seeking to surrender </w:t>
      </w:r>
      <w:r w:rsidR="00701B25">
        <w:rPr>
          <w:sz w:val="22"/>
          <w:szCs w:val="22"/>
        </w:rPr>
        <w:t>the above-referenced</w:t>
      </w:r>
      <w:r w:rsidR="00290C98">
        <w:rPr>
          <w:sz w:val="22"/>
          <w:szCs w:val="22"/>
        </w:rPr>
        <w:t xml:space="preserve"> </w:t>
      </w:r>
      <w:r w:rsidR="002B61B4">
        <w:rPr>
          <w:sz w:val="22"/>
          <w:szCs w:val="22"/>
        </w:rPr>
        <w:t xml:space="preserve">construction permit </w:t>
      </w:r>
      <w:r w:rsidR="00290C98">
        <w:rPr>
          <w:sz w:val="22"/>
          <w:szCs w:val="22"/>
        </w:rPr>
        <w:t>(WGBH Construction Permit)</w:t>
      </w:r>
      <w:r>
        <w:rPr>
          <w:rStyle w:val="FootnoteReference"/>
          <w:sz w:val="22"/>
          <w:szCs w:val="22"/>
        </w:rPr>
        <w:footnoteReference w:id="2"/>
      </w:r>
      <w:r w:rsidR="00290C98">
        <w:rPr>
          <w:sz w:val="22"/>
          <w:szCs w:val="22"/>
        </w:rPr>
        <w:t xml:space="preserve"> </w:t>
      </w:r>
      <w:r w:rsidR="00343174">
        <w:rPr>
          <w:sz w:val="22"/>
          <w:szCs w:val="22"/>
        </w:rPr>
        <w:t>for</w:t>
      </w:r>
      <w:r w:rsidR="00256598">
        <w:rPr>
          <w:sz w:val="22"/>
          <w:szCs w:val="22"/>
        </w:rPr>
        <w:t xml:space="preserve"> </w:t>
      </w:r>
      <w:r w:rsidR="00093138">
        <w:rPr>
          <w:sz w:val="22"/>
          <w:szCs w:val="22"/>
        </w:rPr>
        <w:t xml:space="preserve">FM translator </w:t>
      </w:r>
      <w:r w:rsidR="00C67A40">
        <w:rPr>
          <w:sz w:val="22"/>
          <w:szCs w:val="22"/>
        </w:rPr>
        <w:t>s</w:t>
      </w:r>
      <w:r w:rsidRPr="00A3008F" w:rsidR="00C67A40">
        <w:rPr>
          <w:sz w:val="22"/>
          <w:szCs w:val="22"/>
        </w:rPr>
        <w:t xml:space="preserve">tation </w:t>
      </w:r>
      <w:r w:rsidR="00093138">
        <w:rPr>
          <w:sz w:val="22"/>
          <w:szCs w:val="22"/>
        </w:rPr>
        <w:t>W242AA</w:t>
      </w:r>
      <w:r w:rsidRPr="00A3008F" w:rsidR="00C67A40">
        <w:rPr>
          <w:sz w:val="22"/>
          <w:szCs w:val="22"/>
        </w:rPr>
        <w:t>,</w:t>
      </w:r>
      <w:r w:rsidR="00093138">
        <w:rPr>
          <w:sz w:val="22"/>
          <w:szCs w:val="22"/>
        </w:rPr>
        <w:t xml:space="preserve"> Beacon Hill, Massachusetts</w:t>
      </w:r>
      <w:r w:rsidR="00C67A40">
        <w:rPr>
          <w:sz w:val="22"/>
          <w:szCs w:val="22"/>
        </w:rPr>
        <w:t xml:space="preserve"> </w:t>
      </w:r>
      <w:r w:rsidRPr="00A3008F" w:rsidR="00C67A40">
        <w:rPr>
          <w:sz w:val="22"/>
          <w:szCs w:val="22"/>
        </w:rPr>
        <w:t>(</w:t>
      </w:r>
      <w:r w:rsidR="000414BB">
        <w:rPr>
          <w:sz w:val="22"/>
          <w:szCs w:val="22"/>
        </w:rPr>
        <w:t>WGBH Translator</w:t>
      </w:r>
      <w:r w:rsidRPr="00A3008F" w:rsidR="00C67A40">
        <w:rPr>
          <w:sz w:val="22"/>
          <w:szCs w:val="22"/>
        </w:rPr>
        <w:t>)</w:t>
      </w:r>
      <w:r w:rsidR="00110A0D">
        <w:rPr>
          <w:sz w:val="22"/>
          <w:szCs w:val="22"/>
        </w:rPr>
        <w:t xml:space="preserve"> and </w:t>
      </w:r>
      <w:r w:rsidR="00B72FBB">
        <w:rPr>
          <w:sz w:val="22"/>
          <w:szCs w:val="22"/>
        </w:rPr>
        <w:t>a</w:t>
      </w:r>
      <w:r w:rsidR="00343174">
        <w:rPr>
          <w:sz w:val="22"/>
          <w:szCs w:val="22"/>
        </w:rPr>
        <w:t>n objection</w:t>
      </w:r>
      <w:r>
        <w:rPr>
          <w:rStyle w:val="FootnoteReference"/>
          <w:sz w:val="22"/>
          <w:szCs w:val="22"/>
        </w:rPr>
        <w:footnoteReference w:id="3"/>
      </w:r>
      <w:r w:rsidR="00343174">
        <w:rPr>
          <w:sz w:val="22"/>
          <w:szCs w:val="22"/>
        </w:rPr>
        <w:t xml:space="preserve"> to the Cancellation Letter</w:t>
      </w:r>
      <w:r w:rsidR="00B72FBB">
        <w:rPr>
          <w:sz w:val="22"/>
          <w:szCs w:val="22"/>
        </w:rPr>
        <w:t xml:space="preserve"> </w:t>
      </w:r>
      <w:r w:rsidR="002F3BD8">
        <w:rPr>
          <w:sz w:val="22"/>
          <w:szCs w:val="22"/>
        </w:rPr>
        <w:t>submitted</w:t>
      </w:r>
      <w:r w:rsidR="00B72FBB">
        <w:rPr>
          <w:sz w:val="22"/>
          <w:szCs w:val="22"/>
        </w:rPr>
        <w:t xml:space="preserve"> by Beanpot License Corp. (Beanpot) on August 24, 2020 (Cancellation </w:t>
      </w:r>
      <w:r w:rsidR="00343174">
        <w:rPr>
          <w:sz w:val="22"/>
          <w:szCs w:val="22"/>
        </w:rPr>
        <w:t>Objection</w:t>
      </w:r>
      <w:r w:rsidR="00B72FBB">
        <w:rPr>
          <w:sz w:val="22"/>
          <w:szCs w:val="22"/>
        </w:rPr>
        <w:t>)</w:t>
      </w:r>
      <w:r w:rsidR="00290C98">
        <w:rPr>
          <w:sz w:val="22"/>
          <w:szCs w:val="22"/>
        </w:rPr>
        <w:t>;</w:t>
      </w:r>
      <w:r>
        <w:rPr>
          <w:rStyle w:val="FootnoteReference"/>
          <w:sz w:val="22"/>
          <w:szCs w:val="22"/>
        </w:rPr>
        <w:footnoteReference w:id="4"/>
      </w:r>
      <w:r w:rsidR="00290C98">
        <w:rPr>
          <w:sz w:val="22"/>
          <w:szCs w:val="22"/>
        </w:rPr>
        <w:t xml:space="preserve"> and (2)</w:t>
      </w:r>
      <w:r w:rsidR="009C78F5">
        <w:rPr>
          <w:sz w:val="22"/>
          <w:szCs w:val="22"/>
        </w:rPr>
        <w:t xml:space="preserve"> </w:t>
      </w:r>
      <w:r w:rsidR="00EC43CF">
        <w:rPr>
          <w:sz w:val="22"/>
          <w:szCs w:val="22"/>
        </w:rPr>
        <w:t>the above-referenced</w:t>
      </w:r>
      <w:r w:rsidR="00343174">
        <w:rPr>
          <w:sz w:val="22"/>
          <w:szCs w:val="22"/>
        </w:rPr>
        <w:t xml:space="preserve"> application to modify the </w:t>
      </w:r>
      <w:r w:rsidR="00343174">
        <w:rPr>
          <w:sz w:val="22"/>
          <w:szCs w:val="22"/>
        </w:rPr>
        <w:t>facilities of the WGBH Translator (Second Modification Application</w:t>
      </w:r>
      <w:r w:rsidR="00EC43CF">
        <w:rPr>
          <w:sz w:val="22"/>
          <w:szCs w:val="22"/>
        </w:rPr>
        <w:t>)</w:t>
      </w:r>
      <w:r w:rsidR="00343174">
        <w:rPr>
          <w:sz w:val="22"/>
          <w:szCs w:val="22"/>
        </w:rPr>
        <w:t xml:space="preserve"> filed by WGBH on </w:t>
      </w:r>
      <w:r w:rsidR="002B61B4">
        <w:rPr>
          <w:sz w:val="22"/>
          <w:szCs w:val="22"/>
        </w:rPr>
        <w:t>November 2, 2020</w:t>
      </w:r>
      <w:r w:rsidR="00343174">
        <w:rPr>
          <w:sz w:val="22"/>
          <w:szCs w:val="22"/>
        </w:rPr>
        <w:t>,</w:t>
      </w:r>
      <w:r>
        <w:rPr>
          <w:rStyle w:val="FootnoteReference"/>
          <w:sz w:val="22"/>
          <w:szCs w:val="22"/>
        </w:rPr>
        <w:footnoteReference w:id="5"/>
      </w:r>
      <w:r w:rsidR="00343174">
        <w:rPr>
          <w:sz w:val="22"/>
          <w:szCs w:val="22"/>
        </w:rPr>
        <w:t xml:space="preserve"> and</w:t>
      </w:r>
      <w:r w:rsidR="006C3025">
        <w:rPr>
          <w:sz w:val="22"/>
          <w:szCs w:val="22"/>
        </w:rPr>
        <w:t xml:space="preserve"> an</w:t>
      </w:r>
      <w:r w:rsidR="00343174">
        <w:rPr>
          <w:sz w:val="22"/>
          <w:szCs w:val="22"/>
        </w:rPr>
        <w:t xml:space="preserve"> informal objection to the Second Modification Application filed by </w:t>
      </w:r>
      <w:r w:rsidRPr="0062354D" w:rsidR="0062354D">
        <w:rPr>
          <w:sz w:val="22"/>
          <w:szCs w:val="22"/>
        </w:rPr>
        <w:t xml:space="preserve">Beanpot </w:t>
      </w:r>
      <w:r w:rsidR="0062354D">
        <w:rPr>
          <w:sz w:val="22"/>
          <w:szCs w:val="22"/>
        </w:rPr>
        <w:t>o</w:t>
      </w:r>
      <w:r w:rsidRPr="0062354D" w:rsidR="0062354D">
        <w:rPr>
          <w:sz w:val="22"/>
          <w:szCs w:val="22"/>
        </w:rPr>
        <w:t>n November 3, 2020</w:t>
      </w:r>
      <w:r w:rsidR="00392BE2">
        <w:rPr>
          <w:sz w:val="22"/>
          <w:szCs w:val="22"/>
        </w:rPr>
        <w:t xml:space="preserve"> </w:t>
      </w:r>
      <w:r w:rsidRPr="0062354D" w:rsidR="0062354D">
        <w:rPr>
          <w:sz w:val="22"/>
          <w:szCs w:val="22"/>
        </w:rPr>
        <w:t>(</w:t>
      </w:r>
      <w:r w:rsidR="00343174">
        <w:rPr>
          <w:sz w:val="22"/>
          <w:szCs w:val="22"/>
        </w:rPr>
        <w:t>Second Modification</w:t>
      </w:r>
      <w:r w:rsidRPr="0062354D" w:rsidR="0062354D">
        <w:rPr>
          <w:sz w:val="22"/>
          <w:szCs w:val="22"/>
        </w:rPr>
        <w:t xml:space="preserve"> Objection)</w:t>
      </w:r>
      <w:r w:rsidR="0062354D">
        <w:rPr>
          <w:sz w:val="22"/>
          <w:szCs w:val="22"/>
        </w:rPr>
        <w:t>.</w:t>
      </w:r>
      <w:r>
        <w:rPr>
          <w:rStyle w:val="FootnoteReference"/>
          <w:sz w:val="22"/>
          <w:szCs w:val="22"/>
        </w:rPr>
        <w:footnoteReference w:id="6"/>
      </w:r>
      <w:r w:rsidR="0062354D">
        <w:rPr>
          <w:sz w:val="22"/>
          <w:szCs w:val="22"/>
        </w:rPr>
        <w:t xml:space="preserve">  </w:t>
      </w:r>
      <w:r w:rsidR="00C67A40">
        <w:rPr>
          <w:sz w:val="22"/>
          <w:szCs w:val="22"/>
        </w:rPr>
        <w:t xml:space="preserve">For the reasons stated below, we deny the </w:t>
      </w:r>
      <w:r w:rsidR="00EC43CF">
        <w:rPr>
          <w:sz w:val="22"/>
          <w:szCs w:val="22"/>
        </w:rPr>
        <w:t>Cancellation Objection</w:t>
      </w:r>
      <w:r w:rsidR="00EC1353">
        <w:rPr>
          <w:sz w:val="22"/>
          <w:szCs w:val="22"/>
        </w:rPr>
        <w:t xml:space="preserve">, </w:t>
      </w:r>
      <w:r w:rsidR="00206493">
        <w:rPr>
          <w:sz w:val="22"/>
          <w:szCs w:val="22"/>
        </w:rPr>
        <w:t xml:space="preserve">cancel the </w:t>
      </w:r>
      <w:r w:rsidR="001F710A">
        <w:rPr>
          <w:sz w:val="22"/>
          <w:szCs w:val="22"/>
        </w:rPr>
        <w:t xml:space="preserve">WGBH </w:t>
      </w:r>
      <w:r w:rsidR="00206493">
        <w:rPr>
          <w:sz w:val="22"/>
          <w:szCs w:val="22"/>
        </w:rPr>
        <w:t>Construction Permit, deny the Second Modification</w:t>
      </w:r>
      <w:r w:rsidRPr="0062354D" w:rsidR="00206493">
        <w:rPr>
          <w:sz w:val="22"/>
          <w:szCs w:val="22"/>
        </w:rPr>
        <w:t xml:space="preserve"> Objection</w:t>
      </w:r>
      <w:r w:rsidR="00EC1353">
        <w:rPr>
          <w:sz w:val="22"/>
          <w:szCs w:val="22"/>
        </w:rPr>
        <w:t>, and</w:t>
      </w:r>
      <w:r w:rsidR="00877A27">
        <w:rPr>
          <w:sz w:val="22"/>
          <w:szCs w:val="22"/>
        </w:rPr>
        <w:t xml:space="preserve"> </w:t>
      </w:r>
      <w:r w:rsidR="00C67A40">
        <w:rPr>
          <w:sz w:val="22"/>
          <w:szCs w:val="22"/>
        </w:rPr>
        <w:t xml:space="preserve">grant the </w:t>
      </w:r>
      <w:r w:rsidR="00856D77">
        <w:rPr>
          <w:sz w:val="22"/>
          <w:szCs w:val="22"/>
        </w:rPr>
        <w:t xml:space="preserve">Second </w:t>
      </w:r>
      <w:r w:rsidR="00970917">
        <w:rPr>
          <w:sz w:val="22"/>
          <w:szCs w:val="22"/>
        </w:rPr>
        <w:t>Modification</w:t>
      </w:r>
      <w:r w:rsidR="00C67A40">
        <w:rPr>
          <w:sz w:val="22"/>
          <w:szCs w:val="22"/>
        </w:rPr>
        <w:t xml:space="preserve"> Application. </w:t>
      </w:r>
    </w:p>
    <w:p w:rsidR="00BC25A1" w:rsidP="00D377E7" w14:paraId="37E07634" w14:textId="042DBAC1">
      <w:pPr>
        <w:spacing w:after="120"/>
        <w:ind w:firstLine="720"/>
        <w:rPr>
          <w:sz w:val="22"/>
          <w:szCs w:val="22"/>
        </w:rPr>
      </w:pPr>
      <w:r w:rsidRPr="00A76621">
        <w:rPr>
          <w:b/>
          <w:bCs/>
          <w:sz w:val="22"/>
          <w:szCs w:val="22"/>
        </w:rPr>
        <w:t xml:space="preserve">Background. </w:t>
      </w:r>
      <w:r>
        <w:rPr>
          <w:sz w:val="22"/>
          <w:szCs w:val="22"/>
        </w:rPr>
        <w:t xml:space="preserve"> </w:t>
      </w:r>
      <w:r w:rsidR="00D97B07">
        <w:rPr>
          <w:i/>
          <w:iCs/>
          <w:sz w:val="22"/>
          <w:szCs w:val="22"/>
        </w:rPr>
        <w:t>Cancellation Letter</w:t>
      </w:r>
      <w:r>
        <w:rPr>
          <w:i/>
          <w:iCs/>
          <w:sz w:val="22"/>
          <w:szCs w:val="22"/>
        </w:rPr>
        <w:t xml:space="preserve">.  </w:t>
      </w:r>
      <w:r w:rsidR="004D62E4">
        <w:rPr>
          <w:sz w:val="22"/>
          <w:szCs w:val="22"/>
        </w:rPr>
        <w:t xml:space="preserve">On June 3, 2020, WGBH filed </w:t>
      </w:r>
      <w:r w:rsidR="00EC1353">
        <w:rPr>
          <w:sz w:val="22"/>
          <w:szCs w:val="22"/>
        </w:rPr>
        <w:t xml:space="preserve">the </w:t>
      </w:r>
      <w:r w:rsidR="00856D77">
        <w:rPr>
          <w:sz w:val="22"/>
          <w:szCs w:val="22"/>
        </w:rPr>
        <w:t>First Modification Application</w:t>
      </w:r>
      <w:r w:rsidR="004D62E4">
        <w:rPr>
          <w:sz w:val="22"/>
          <w:szCs w:val="22"/>
        </w:rPr>
        <w:t xml:space="preserve">, </w:t>
      </w:r>
      <w:r w:rsidR="00856D77">
        <w:rPr>
          <w:sz w:val="22"/>
          <w:szCs w:val="22"/>
        </w:rPr>
        <w:t xml:space="preserve">seeking to move the </w:t>
      </w:r>
      <w:r w:rsidR="000414BB">
        <w:rPr>
          <w:sz w:val="22"/>
          <w:szCs w:val="22"/>
        </w:rPr>
        <w:t>WGBH Translator</w:t>
      </w:r>
      <w:r w:rsidR="00856D77">
        <w:rPr>
          <w:sz w:val="22"/>
          <w:szCs w:val="22"/>
        </w:rPr>
        <w:t xml:space="preserve"> to a</w:t>
      </w:r>
      <w:r w:rsidR="00EC1353">
        <w:rPr>
          <w:sz w:val="22"/>
          <w:szCs w:val="22"/>
        </w:rPr>
        <w:t xml:space="preserve"> </w:t>
      </w:r>
      <w:r w:rsidR="001F710A">
        <w:rPr>
          <w:sz w:val="22"/>
          <w:szCs w:val="22"/>
        </w:rPr>
        <w:t xml:space="preserve">new </w:t>
      </w:r>
      <w:r w:rsidR="000C7834">
        <w:rPr>
          <w:sz w:val="22"/>
          <w:szCs w:val="22"/>
        </w:rPr>
        <w:t xml:space="preserve">site </w:t>
      </w:r>
      <w:r w:rsidR="00EC1353">
        <w:rPr>
          <w:sz w:val="22"/>
          <w:szCs w:val="22"/>
        </w:rPr>
        <w:t>(New MIT Building) immediately adjacent to its licensed site</w:t>
      </w:r>
      <w:r w:rsidR="00856D77">
        <w:rPr>
          <w:sz w:val="22"/>
          <w:szCs w:val="22"/>
        </w:rPr>
        <w:t>.</w:t>
      </w:r>
      <w:r>
        <w:rPr>
          <w:rStyle w:val="FootnoteReference"/>
          <w:sz w:val="22"/>
          <w:szCs w:val="22"/>
        </w:rPr>
        <w:footnoteReference w:id="7"/>
      </w:r>
      <w:r w:rsidR="00856D77">
        <w:rPr>
          <w:sz w:val="22"/>
          <w:szCs w:val="22"/>
        </w:rPr>
        <w:t xml:space="preserve">  </w:t>
      </w:r>
      <w:r w:rsidR="003D0806">
        <w:rPr>
          <w:sz w:val="22"/>
          <w:szCs w:val="22"/>
        </w:rPr>
        <w:t xml:space="preserve">WGBH </w:t>
      </w:r>
      <w:r w:rsidR="00261665">
        <w:rPr>
          <w:sz w:val="22"/>
          <w:szCs w:val="22"/>
        </w:rPr>
        <w:t xml:space="preserve">also </w:t>
      </w:r>
      <w:r w:rsidR="005B5844">
        <w:rPr>
          <w:sz w:val="22"/>
          <w:szCs w:val="22"/>
        </w:rPr>
        <w:t>proposed</w:t>
      </w:r>
      <w:r w:rsidR="003D0806">
        <w:rPr>
          <w:sz w:val="22"/>
          <w:szCs w:val="22"/>
        </w:rPr>
        <w:t xml:space="preserve"> a non-adjacent channel change</w:t>
      </w:r>
      <w:r w:rsidR="005B5844">
        <w:rPr>
          <w:sz w:val="22"/>
          <w:szCs w:val="22"/>
        </w:rPr>
        <w:t xml:space="preserve"> </w:t>
      </w:r>
      <w:r w:rsidR="003D0806">
        <w:rPr>
          <w:sz w:val="22"/>
          <w:szCs w:val="22"/>
        </w:rPr>
        <w:t xml:space="preserve">from </w:t>
      </w:r>
      <w:r w:rsidR="005B5844">
        <w:rPr>
          <w:sz w:val="22"/>
          <w:szCs w:val="22"/>
        </w:rPr>
        <w:t>Channel</w:t>
      </w:r>
      <w:r w:rsidR="003D0806">
        <w:rPr>
          <w:sz w:val="22"/>
          <w:szCs w:val="22"/>
        </w:rPr>
        <w:t xml:space="preserve"> 242 to </w:t>
      </w:r>
      <w:r w:rsidR="005B5844">
        <w:rPr>
          <w:sz w:val="22"/>
          <w:szCs w:val="22"/>
        </w:rPr>
        <w:t>Channel</w:t>
      </w:r>
      <w:r w:rsidR="003D0806">
        <w:rPr>
          <w:sz w:val="22"/>
          <w:szCs w:val="22"/>
        </w:rPr>
        <w:t xml:space="preserve"> 247</w:t>
      </w:r>
      <w:r w:rsidR="005B5844">
        <w:rPr>
          <w:sz w:val="22"/>
          <w:szCs w:val="22"/>
        </w:rPr>
        <w:t xml:space="preserve">, </w:t>
      </w:r>
      <w:r w:rsidR="001F710A">
        <w:rPr>
          <w:sz w:val="22"/>
          <w:szCs w:val="22"/>
        </w:rPr>
        <w:t xml:space="preserve">explaining that </w:t>
      </w:r>
      <w:r w:rsidR="005B5844">
        <w:rPr>
          <w:sz w:val="22"/>
          <w:szCs w:val="22"/>
        </w:rPr>
        <w:t>this</w:t>
      </w:r>
      <w:r w:rsidR="003D0806">
        <w:rPr>
          <w:sz w:val="22"/>
          <w:szCs w:val="22"/>
        </w:rPr>
        <w:t xml:space="preserve"> change would eliminate contour overlap with first-adjacent channel </w:t>
      </w:r>
      <w:r w:rsidR="00296418">
        <w:rPr>
          <w:sz w:val="22"/>
          <w:szCs w:val="22"/>
        </w:rPr>
        <w:t xml:space="preserve">full-service </w:t>
      </w:r>
      <w:r w:rsidR="003D0806">
        <w:rPr>
          <w:sz w:val="22"/>
          <w:szCs w:val="22"/>
        </w:rPr>
        <w:t>station WSRS(FM), Worcester, Massachusetts.</w:t>
      </w:r>
      <w:r>
        <w:rPr>
          <w:rStyle w:val="FootnoteReference"/>
          <w:sz w:val="22"/>
          <w:szCs w:val="22"/>
        </w:rPr>
        <w:footnoteReference w:id="8"/>
      </w:r>
      <w:r w:rsidR="003D0806">
        <w:rPr>
          <w:sz w:val="22"/>
          <w:szCs w:val="22"/>
        </w:rPr>
        <w:t xml:space="preserve">  </w:t>
      </w:r>
      <w:r w:rsidR="00E50470">
        <w:rPr>
          <w:sz w:val="22"/>
          <w:szCs w:val="22"/>
        </w:rPr>
        <w:t xml:space="preserve">The </w:t>
      </w:r>
      <w:r w:rsidR="006B29CA">
        <w:rPr>
          <w:sz w:val="22"/>
          <w:szCs w:val="22"/>
        </w:rPr>
        <w:t xml:space="preserve">Media Bureau granted the </w:t>
      </w:r>
      <w:r w:rsidR="00E50470">
        <w:rPr>
          <w:sz w:val="22"/>
          <w:szCs w:val="22"/>
        </w:rPr>
        <w:t>First Modification Application on June 24, 2020.</w:t>
      </w:r>
      <w:r>
        <w:rPr>
          <w:rStyle w:val="FootnoteReference"/>
          <w:sz w:val="22"/>
          <w:szCs w:val="22"/>
        </w:rPr>
        <w:footnoteReference w:id="9"/>
      </w:r>
      <w:r w:rsidR="00E50470">
        <w:rPr>
          <w:sz w:val="22"/>
          <w:szCs w:val="22"/>
        </w:rPr>
        <w:t xml:space="preserve">  </w:t>
      </w:r>
    </w:p>
    <w:p w:rsidR="00993F69" w:rsidP="00D377E7" w14:paraId="60E7D1E7" w14:textId="4814C9CD">
      <w:pPr>
        <w:spacing w:after="120"/>
        <w:ind w:firstLine="720"/>
        <w:rPr>
          <w:sz w:val="22"/>
          <w:szCs w:val="22"/>
        </w:rPr>
      </w:pPr>
      <w:r>
        <w:rPr>
          <w:sz w:val="22"/>
          <w:szCs w:val="22"/>
        </w:rPr>
        <w:t>On June 25, 2020, Beanpot submitted</w:t>
      </w:r>
      <w:r w:rsidR="0062354D">
        <w:rPr>
          <w:sz w:val="22"/>
          <w:szCs w:val="22"/>
        </w:rPr>
        <w:t xml:space="preserve"> an application</w:t>
      </w:r>
      <w:r w:rsidRPr="0062354D" w:rsidR="0062354D">
        <w:rPr>
          <w:sz w:val="22"/>
          <w:szCs w:val="22"/>
        </w:rPr>
        <w:t xml:space="preserve"> </w:t>
      </w:r>
      <w:r w:rsidR="001F710A">
        <w:rPr>
          <w:sz w:val="22"/>
          <w:szCs w:val="22"/>
        </w:rPr>
        <w:t xml:space="preserve">(Beanpot Modification Application) </w:t>
      </w:r>
      <w:r w:rsidR="0062354D">
        <w:rPr>
          <w:sz w:val="22"/>
          <w:szCs w:val="22"/>
        </w:rPr>
        <w:t>to modify the facilities of FM translator station W243DC, Needham, Massachusetts (Beanpot Translator)</w:t>
      </w:r>
      <w:r w:rsidR="00553F67">
        <w:rPr>
          <w:sz w:val="22"/>
          <w:szCs w:val="22"/>
        </w:rPr>
        <w:t>.</w:t>
      </w:r>
      <w:r>
        <w:rPr>
          <w:rStyle w:val="FootnoteReference"/>
          <w:sz w:val="22"/>
          <w:szCs w:val="22"/>
        </w:rPr>
        <w:footnoteReference w:id="10"/>
      </w:r>
      <w:r w:rsidR="00553F67">
        <w:rPr>
          <w:sz w:val="22"/>
          <w:szCs w:val="22"/>
        </w:rPr>
        <w:t xml:space="preserve">  The Beanpot Modification Application specified</w:t>
      </w:r>
      <w:r w:rsidR="00BC25A1">
        <w:rPr>
          <w:sz w:val="22"/>
          <w:szCs w:val="22"/>
        </w:rPr>
        <w:t xml:space="preserve"> </w:t>
      </w:r>
      <w:r w:rsidR="00C77CA8">
        <w:rPr>
          <w:sz w:val="22"/>
          <w:szCs w:val="22"/>
        </w:rPr>
        <w:t>facilities that</w:t>
      </w:r>
      <w:r w:rsidR="00007487">
        <w:rPr>
          <w:sz w:val="22"/>
          <w:szCs w:val="22"/>
        </w:rPr>
        <w:t xml:space="preserve"> would only be</w:t>
      </w:r>
      <w:r w:rsidR="00E86988">
        <w:rPr>
          <w:sz w:val="22"/>
          <w:szCs w:val="22"/>
        </w:rPr>
        <w:t>come</w:t>
      </w:r>
      <w:r w:rsidR="00007487">
        <w:rPr>
          <w:sz w:val="22"/>
          <w:szCs w:val="22"/>
        </w:rPr>
        <w:t xml:space="preserve"> available if WGBH vacated Channel 242</w:t>
      </w:r>
      <w:r w:rsidR="001D7083">
        <w:rPr>
          <w:sz w:val="22"/>
          <w:szCs w:val="22"/>
        </w:rPr>
        <w:t>.</w:t>
      </w:r>
      <w:r w:rsidR="0062354D">
        <w:rPr>
          <w:sz w:val="22"/>
          <w:szCs w:val="22"/>
        </w:rPr>
        <w:t xml:space="preserve"> </w:t>
      </w:r>
      <w:r w:rsidR="001D7083">
        <w:rPr>
          <w:sz w:val="22"/>
          <w:szCs w:val="22"/>
        </w:rPr>
        <w:t xml:space="preserve"> On July 16, 2020, the Bureau granted the Beanpot Modification Application</w:t>
      </w:r>
      <w:r w:rsidR="00BC25A1">
        <w:rPr>
          <w:sz w:val="22"/>
          <w:szCs w:val="22"/>
        </w:rPr>
        <w:t xml:space="preserve"> (Beanpot </w:t>
      </w:r>
      <w:r w:rsidR="000407B4">
        <w:rPr>
          <w:sz w:val="22"/>
          <w:szCs w:val="22"/>
        </w:rPr>
        <w:t xml:space="preserve">Translator </w:t>
      </w:r>
      <w:r w:rsidR="00BC25A1">
        <w:rPr>
          <w:sz w:val="22"/>
          <w:szCs w:val="22"/>
        </w:rPr>
        <w:t>Construction Permit)</w:t>
      </w:r>
      <w:r w:rsidR="00392BE2">
        <w:rPr>
          <w:sz w:val="22"/>
          <w:szCs w:val="22"/>
        </w:rPr>
        <w:t xml:space="preserve">, </w:t>
      </w:r>
      <w:r w:rsidR="00261665">
        <w:rPr>
          <w:sz w:val="22"/>
          <w:szCs w:val="22"/>
        </w:rPr>
        <w:t xml:space="preserve">the grant of </w:t>
      </w:r>
      <w:r w:rsidR="00392BE2">
        <w:rPr>
          <w:sz w:val="22"/>
          <w:szCs w:val="22"/>
        </w:rPr>
        <w:t>which</w:t>
      </w:r>
      <w:r w:rsidR="00946140">
        <w:rPr>
          <w:sz w:val="22"/>
          <w:szCs w:val="22"/>
        </w:rPr>
        <w:t xml:space="preserve"> </w:t>
      </w:r>
      <w:r w:rsidR="00BC25A1">
        <w:rPr>
          <w:sz w:val="22"/>
          <w:szCs w:val="22"/>
        </w:rPr>
        <w:t>is now final</w:t>
      </w:r>
      <w:r w:rsidR="001D7083">
        <w:rPr>
          <w:sz w:val="22"/>
          <w:szCs w:val="22"/>
        </w:rPr>
        <w:t>.</w:t>
      </w:r>
      <w:r>
        <w:rPr>
          <w:rStyle w:val="FootnoteReference"/>
          <w:sz w:val="22"/>
          <w:szCs w:val="22"/>
        </w:rPr>
        <w:footnoteReference w:id="11"/>
      </w:r>
      <w:r w:rsidR="001819F6">
        <w:rPr>
          <w:sz w:val="22"/>
          <w:szCs w:val="22"/>
        </w:rPr>
        <w:t xml:space="preserve">  </w:t>
      </w:r>
      <w:r w:rsidR="00BC25A1">
        <w:rPr>
          <w:sz w:val="22"/>
          <w:szCs w:val="22"/>
        </w:rPr>
        <w:t xml:space="preserve">The Beanpot </w:t>
      </w:r>
      <w:r w:rsidR="000407B4">
        <w:rPr>
          <w:sz w:val="22"/>
          <w:szCs w:val="22"/>
        </w:rPr>
        <w:t xml:space="preserve">Translator </w:t>
      </w:r>
      <w:r w:rsidR="00BC25A1">
        <w:rPr>
          <w:sz w:val="22"/>
          <w:szCs w:val="22"/>
        </w:rPr>
        <w:t>Construction Permit</w:t>
      </w:r>
      <w:r w:rsidR="001819F6">
        <w:rPr>
          <w:sz w:val="22"/>
          <w:szCs w:val="22"/>
        </w:rPr>
        <w:t xml:space="preserve"> </w:t>
      </w:r>
      <w:r w:rsidR="00933BED">
        <w:rPr>
          <w:sz w:val="22"/>
          <w:szCs w:val="22"/>
        </w:rPr>
        <w:t xml:space="preserve">included a condition that </w:t>
      </w:r>
      <w:r w:rsidR="000414BB">
        <w:rPr>
          <w:sz w:val="22"/>
          <w:szCs w:val="22"/>
        </w:rPr>
        <w:t xml:space="preserve">the Beanpot Translator </w:t>
      </w:r>
      <w:r w:rsidR="00BC25A1">
        <w:rPr>
          <w:sz w:val="22"/>
          <w:szCs w:val="22"/>
        </w:rPr>
        <w:t>may not</w:t>
      </w:r>
      <w:r w:rsidR="00933BED">
        <w:rPr>
          <w:sz w:val="22"/>
          <w:szCs w:val="22"/>
        </w:rPr>
        <w:t xml:space="preserve"> </w:t>
      </w:r>
      <w:r w:rsidR="00E9167D">
        <w:rPr>
          <w:sz w:val="22"/>
          <w:szCs w:val="22"/>
        </w:rPr>
        <w:t xml:space="preserve">operate or </w:t>
      </w:r>
      <w:r w:rsidR="00261665">
        <w:rPr>
          <w:sz w:val="22"/>
          <w:szCs w:val="22"/>
        </w:rPr>
        <w:t xml:space="preserve">be licensed </w:t>
      </w:r>
      <w:r w:rsidR="000414BB">
        <w:rPr>
          <w:sz w:val="22"/>
          <w:szCs w:val="22"/>
        </w:rPr>
        <w:t xml:space="preserve">at </w:t>
      </w:r>
      <w:r w:rsidR="00007487">
        <w:rPr>
          <w:sz w:val="22"/>
          <w:szCs w:val="22"/>
        </w:rPr>
        <w:t>its</w:t>
      </w:r>
      <w:r w:rsidR="000414BB">
        <w:rPr>
          <w:sz w:val="22"/>
          <w:szCs w:val="22"/>
        </w:rPr>
        <w:t xml:space="preserve"> modified facilities</w:t>
      </w:r>
      <w:r w:rsidR="00933BED">
        <w:rPr>
          <w:sz w:val="22"/>
          <w:szCs w:val="22"/>
        </w:rPr>
        <w:t xml:space="preserve"> until </w:t>
      </w:r>
      <w:r w:rsidR="00E9167D">
        <w:rPr>
          <w:sz w:val="22"/>
          <w:szCs w:val="22"/>
        </w:rPr>
        <w:t xml:space="preserve">the </w:t>
      </w:r>
      <w:r w:rsidR="000414BB">
        <w:rPr>
          <w:sz w:val="22"/>
          <w:szCs w:val="22"/>
        </w:rPr>
        <w:t xml:space="preserve">WGBH Translator </w:t>
      </w:r>
      <w:r w:rsidR="00933BED">
        <w:rPr>
          <w:sz w:val="22"/>
          <w:szCs w:val="22"/>
        </w:rPr>
        <w:t>commence</w:t>
      </w:r>
      <w:r w:rsidR="00BC25A1">
        <w:rPr>
          <w:sz w:val="22"/>
          <w:szCs w:val="22"/>
        </w:rPr>
        <w:t>s</w:t>
      </w:r>
      <w:r w:rsidR="00933BED">
        <w:rPr>
          <w:sz w:val="22"/>
          <w:szCs w:val="22"/>
        </w:rPr>
        <w:t xml:space="preserve"> operation or </w:t>
      </w:r>
      <w:r w:rsidR="00BC25A1">
        <w:rPr>
          <w:sz w:val="22"/>
          <w:szCs w:val="22"/>
        </w:rPr>
        <w:t>i</w:t>
      </w:r>
      <w:r w:rsidR="003212A5">
        <w:rPr>
          <w:sz w:val="22"/>
          <w:szCs w:val="22"/>
        </w:rPr>
        <w:t>s</w:t>
      </w:r>
      <w:r w:rsidR="00933BED">
        <w:rPr>
          <w:sz w:val="22"/>
          <w:szCs w:val="22"/>
        </w:rPr>
        <w:t xml:space="preserve"> licensed at </w:t>
      </w:r>
      <w:r w:rsidR="000414BB">
        <w:rPr>
          <w:sz w:val="22"/>
          <w:szCs w:val="22"/>
        </w:rPr>
        <w:t>the facilit</w:t>
      </w:r>
      <w:r w:rsidR="006214F3">
        <w:rPr>
          <w:sz w:val="22"/>
          <w:szCs w:val="22"/>
        </w:rPr>
        <w:t>y</w:t>
      </w:r>
      <w:r w:rsidR="000414BB">
        <w:rPr>
          <w:sz w:val="22"/>
          <w:szCs w:val="22"/>
        </w:rPr>
        <w:t xml:space="preserve"> proposed in the First Modification Application</w:t>
      </w:r>
      <w:r w:rsidR="00C75AF5">
        <w:rPr>
          <w:sz w:val="22"/>
          <w:szCs w:val="22"/>
        </w:rPr>
        <w:t xml:space="preserve"> (Beanpot Contingency Condition)</w:t>
      </w:r>
      <w:r w:rsidR="00933BED">
        <w:rPr>
          <w:sz w:val="22"/>
          <w:szCs w:val="22"/>
        </w:rPr>
        <w:t xml:space="preserve">. </w:t>
      </w:r>
    </w:p>
    <w:p w:rsidR="003E44FB" w:rsidP="00D377E7" w14:paraId="52FB9E16" w14:textId="76E277EE">
      <w:pPr>
        <w:spacing w:after="120"/>
        <w:ind w:firstLine="720"/>
        <w:rPr>
          <w:sz w:val="22"/>
          <w:szCs w:val="22"/>
        </w:rPr>
      </w:pPr>
      <w:r w:rsidRPr="009A6AC9">
        <w:rPr>
          <w:sz w:val="22"/>
          <w:szCs w:val="22"/>
        </w:rPr>
        <w:t xml:space="preserve">On July 27, 2020, </w:t>
      </w:r>
      <w:r w:rsidR="00D3338C">
        <w:rPr>
          <w:sz w:val="22"/>
          <w:szCs w:val="22"/>
        </w:rPr>
        <w:t xml:space="preserve">a full-service licensee, </w:t>
      </w:r>
      <w:r w:rsidRPr="009A6AC9">
        <w:rPr>
          <w:sz w:val="22"/>
          <w:szCs w:val="22"/>
        </w:rPr>
        <w:t>WJFD-FM, Inc.</w:t>
      </w:r>
      <w:r w:rsidR="00885B8B">
        <w:rPr>
          <w:sz w:val="22"/>
          <w:szCs w:val="22"/>
        </w:rPr>
        <w:t xml:space="preserve"> (WJFD)</w:t>
      </w:r>
      <w:r w:rsidR="00D3338C">
        <w:rPr>
          <w:sz w:val="22"/>
          <w:szCs w:val="22"/>
        </w:rPr>
        <w:t>,</w:t>
      </w:r>
      <w:r w:rsidRPr="009A6AC9">
        <w:rPr>
          <w:sz w:val="22"/>
          <w:szCs w:val="22"/>
        </w:rPr>
        <w:t xml:space="preserve"> filed a petition for reconsideration of the grant of the First Modification Application on the basis that it would cause predicted interference to </w:t>
      </w:r>
      <w:r w:rsidR="00D873C7">
        <w:rPr>
          <w:sz w:val="22"/>
          <w:szCs w:val="22"/>
        </w:rPr>
        <w:t xml:space="preserve">station </w:t>
      </w:r>
      <w:r w:rsidRPr="009A6AC9">
        <w:rPr>
          <w:sz w:val="22"/>
          <w:szCs w:val="22"/>
        </w:rPr>
        <w:t>WJFD-FM, New Bedford, Massachusetts (</w:t>
      </w:r>
      <w:r w:rsidR="00D765A1">
        <w:rPr>
          <w:sz w:val="22"/>
          <w:szCs w:val="22"/>
        </w:rPr>
        <w:t>WJFD</w:t>
      </w:r>
      <w:r w:rsidRPr="009A6AC9">
        <w:rPr>
          <w:sz w:val="22"/>
          <w:szCs w:val="22"/>
        </w:rPr>
        <w:t xml:space="preserve"> Petition).</w:t>
      </w:r>
      <w:r>
        <w:rPr>
          <w:rStyle w:val="FootnoteReference"/>
          <w:sz w:val="22"/>
          <w:szCs w:val="22"/>
        </w:rPr>
        <w:footnoteReference w:id="12"/>
      </w:r>
      <w:r w:rsidRPr="009A6AC9">
        <w:rPr>
          <w:sz w:val="22"/>
          <w:szCs w:val="22"/>
        </w:rPr>
        <w:t xml:space="preserve">  On August 6, 2020, </w:t>
      </w:r>
      <w:r w:rsidR="00D873C7">
        <w:rPr>
          <w:sz w:val="22"/>
          <w:szCs w:val="22"/>
        </w:rPr>
        <w:t xml:space="preserve">Beanpot </w:t>
      </w:r>
      <w:r w:rsidRPr="009A6AC9">
        <w:rPr>
          <w:sz w:val="22"/>
          <w:szCs w:val="22"/>
        </w:rPr>
        <w:t xml:space="preserve">filed an opposition to the </w:t>
      </w:r>
      <w:r w:rsidR="00D765A1">
        <w:rPr>
          <w:sz w:val="22"/>
          <w:szCs w:val="22"/>
        </w:rPr>
        <w:t>WJFD</w:t>
      </w:r>
      <w:r w:rsidRPr="009A6AC9">
        <w:rPr>
          <w:sz w:val="22"/>
          <w:szCs w:val="22"/>
        </w:rPr>
        <w:t xml:space="preserve"> Petition.</w:t>
      </w:r>
      <w:r>
        <w:rPr>
          <w:rStyle w:val="FootnoteReference"/>
          <w:sz w:val="22"/>
          <w:szCs w:val="22"/>
        </w:rPr>
        <w:footnoteReference w:id="13"/>
      </w:r>
      <w:r w:rsidRPr="009A6AC9">
        <w:rPr>
          <w:sz w:val="22"/>
          <w:szCs w:val="22"/>
        </w:rPr>
        <w:t xml:space="preserve"> </w:t>
      </w:r>
      <w:r w:rsidR="00007487">
        <w:rPr>
          <w:sz w:val="22"/>
          <w:szCs w:val="22"/>
        </w:rPr>
        <w:t xml:space="preserve"> </w:t>
      </w:r>
      <w:r w:rsidR="00C30992">
        <w:rPr>
          <w:sz w:val="22"/>
          <w:szCs w:val="22"/>
        </w:rPr>
        <w:t xml:space="preserve">On </w:t>
      </w:r>
      <w:r w:rsidR="005B5844">
        <w:rPr>
          <w:sz w:val="22"/>
          <w:szCs w:val="22"/>
        </w:rPr>
        <w:t xml:space="preserve">August 18, 2020, </w:t>
      </w:r>
      <w:r w:rsidR="00ED4399">
        <w:rPr>
          <w:sz w:val="22"/>
          <w:szCs w:val="22"/>
        </w:rPr>
        <w:t xml:space="preserve">WGBH submitted </w:t>
      </w:r>
      <w:r>
        <w:rPr>
          <w:sz w:val="22"/>
          <w:szCs w:val="22"/>
        </w:rPr>
        <w:t xml:space="preserve">the </w:t>
      </w:r>
      <w:r>
        <w:rPr>
          <w:sz w:val="22"/>
          <w:szCs w:val="22"/>
        </w:rPr>
        <w:t>Cancellation Letter,</w:t>
      </w:r>
      <w:r w:rsidR="00ED4399">
        <w:rPr>
          <w:sz w:val="22"/>
          <w:szCs w:val="22"/>
        </w:rPr>
        <w:t xml:space="preserve"> stating that it </w:t>
      </w:r>
      <w:r w:rsidR="00007487">
        <w:rPr>
          <w:sz w:val="22"/>
          <w:szCs w:val="22"/>
        </w:rPr>
        <w:t>intended to</w:t>
      </w:r>
      <w:r w:rsidR="00ED4399">
        <w:rPr>
          <w:sz w:val="22"/>
          <w:szCs w:val="22"/>
        </w:rPr>
        <w:t xml:space="preserve"> continue to operate the </w:t>
      </w:r>
      <w:r w:rsidR="00F21B48">
        <w:rPr>
          <w:sz w:val="22"/>
          <w:szCs w:val="22"/>
        </w:rPr>
        <w:t xml:space="preserve">WGBH </w:t>
      </w:r>
      <w:r w:rsidR="00ED4399">
        <w:rPr>
          <w:sz w:val="22"/>
          <w:szCs w:val="22"/>
        </w:rPr>
        <w:t xml:space="preserve">Translator </w:t>
      </w:r>
      <w:r w:rsidR="00D3338C">
        <w:rPr>
          <w:sz w:val="22"/>
          <w:szCs w:val="22"/>
        </w:rPr>
        <w:t>o</w:t>
      </w:r>
      <w:r w:rsidR="00ED4399">
        <w:rPr>
          <w:sz w:val="22"/>
          <w:szCs w:val="22"/>
        </w:rPr>
        <w:t xml:space="preserve">n </w:t>
      </w:r>
      <w:r w:rsidR="00D3338C">
        <w:rPr>
          <w:sz w:val="22"/>
          <w:szCs w:val="22"/>
        </w:rPr>
        <w:t>C</w:t>
      </w:r>
      <w:r w:rsidR="00ED4399">
        <w:rPr>
          <w:sz w:val="22"/>
          <w:szCs w:val="22"/>
        </w:rPr>
        <w:t xml:space="preserve">hannel 242.  </w:t>
      </w:r>
      <w:bookmarkStart w:id="1" w:name="_Hlk77352184"/>
      <w:r w:rsidR="00DC5F16">
        <w:rPr>
          <w:sz w:val="22"/>
          <w:szCs w:val="22"/>
        </w:rPr>
        <w:t xml:space="preserve">On August 24, 2020, Beanpot submitted </w:t>
      </w:r>
      <w:bookmarkEnd w:id="1"/>
      <w:r w:rsidR="00D3338C">
        <w:rPr>
          <w:sz w:val="22"/>
          <w:szCs w:val="22"/>
        </w:rPr>
        <w:t xml:space="preserve">the Cancellation Objection.  </w:t>
      </w:r>
    </w:p>
    <w:p w:rsidR="003A2F54" w:rsidP="00D377E7" w14:paraId="2310B688" w14:textId="04A9C7B8">
      <w:pPr>
        <w:spacing w:after="120"/>
        <w:ind w:firstLine="720"/>
        <w:rPr>
          <w:sz w:val="22"/>
          <w:szCs w:val="22"/>
        </w:rPr>
      </w:pPr>
      <w:r>
        <w:rPr>
          <w:sz w:val="22"/>
          <w:szCs w:val="22"/>
        </w:rPr>
        <w:t>In the Cancellation Objection</w:t>
      </w:r>
      <w:r w:rsidR="00774EE5">
        <w:rPr>
          <w:sz w:val="22"/>
          <w:szCs w:val="22"/>
        </w:rPr>
        <w:t xml:space="preserve"> and Cancellation Response</w:t>
      </w:r>
      <w:r w:rsidR="006214F3">
        <w:rPr>
          <w:sz w:val="22"/>
          <w:szCs w:val="22"/>
        </w:rPr>
        <w:t xml:space="preserve">, </w:t>
      </w:r>
      <w:r>
        <w:rPr>
          <w:sz w:val="22"/>
          <w:szCs w:val="22"/>
        </w:rPr>
        <w:t xml:space="preserve">Beanpot </w:t>
      </w:r>
      <w:r w:rsidR="0044461D">
        <w:rPr>
          <w:sz w:val="22"/>
          <w:szCs w:val="22"/>
        </w:rPr>
        <w:t>cites to two Bureau decisions</w:t>
      </w:r>
      <w:r w:rsidR="00252AB8">
        <w:rPr>
          <w:sz w:val="22"/>
          <w:szCs w:val="22"/>
        </w:rPr>
        <w:t xml:space="preserve">, </w:t>
      </w:r>
      <w:r w:rsidR="00252AB8">
        <w:rPr>
          <w:i/>
          <w:iCs/>
          <w:sz w:val="22"/>
          <w:szCs w:val="22"/>
        </w:rPr>
        <w:t xml:space="preserve">Krum </w:t>
      </w:r>
      <w:r w:rsidR="00252AB8">
        <w:rPr>
          <w:sz w:val="22"/>
          <w:szCs w:val="22"/>
        </w:rPr>
        <w:t xml:space="preserve">and </w:t>
      </w:r>
      <w:r w:rsidR="00252AB8">
        <w:rPr>
          <w:i/>
          <w:iCs/>
          <w:sz w:val="22"/>
          <w:szCs w:val="22"/>
        </w:rPr>
        <w:t>Price</w:t>
      </w:r>
      <w:r w:rsidR="00252AB8">
        <w:rPr>
          <w:sz w:val="22"/>
          <w:szCs w:val="22"/>
        </w:rPr>
        <w:t xml:space="preserve">, to </w:t>
      </w:r>
      <w:r w:rsidR="0044461D">
        <w:rPr>
          <w:sz w:val="22"/>
          <w:szCs w:val="22"/>
        </w:rPr>
        <w:t>support its claim</w:t>
      </w:r>
      <w:r w:rsidR="00E10643">
        <w:rPr>
          <w:sz w:val="22"/>
          <w:szCs w:val="22"/>
        </w:rPr>
        <w:t xml:space="preserve"> that</w:t>
      </w:r>
      <w:r w:rsidR="0044461D">
        <w:rPr>
          <w:sz w:val="22"/>
          <w:szCs w:val="22"/>
        </w:rPr>
        <w:t xml:space="preserve"> once</w:t>
      </w:r>
      <w:r>
        <w:rPr>
          <w:sz w:val="22"/>
          <w:szCs w:val="22"/>
        </w:rPr>
        <w:t xml:space="preserve"> </w:t>
      </w:r>
      <w:r w:rsidR="0044461D">
        <w:rPr>
          <w:sz w:val="22"/>
          <w:szCs w:val="22"/>
        </w:rPr>
        <w:t xml:space="preserve">the Bureau grants </w:t>
      </w:r>
      <w:r>
        <w:rPr>
          <w:sz w:val="22"/>
          <w:szCs w:val="22"/>
        </w:rPr>
        <w:t xml:space="preserve">a translator modification application, </w:t>
      </w:r>
      <w:r w:rsidR="00D039D6">
        <w:rPr>
          <w:sz w:val="22"/>
          <w:szCs w:val="22"/>
        </w:rPr>
        <w:t xml:space="preserve">the </w:t>
      </w:r>
      <w:r w:rsidR="00553F67">
        <w:rPr>
          <w:sz w:val="22"/>
          <w:szCs w:val="22"/>
        </w:rPr>
        <w:t>applicant</w:t>
      </w:r>
      <w:r w:rsidR="00E10643">
        <w:rPr>
          <w:sz w:val="22"/>
          <w:szCs w:val="22"/>
        </w:rPr>
        <w:t xml:space="preserve"> </w:t>
      </w:r>
      <w:r w:rsidR="0044461D">
        <w:rPr>
          <w:sz w:val="22"/>
          <w:szCs w:val="22"/>
        </w:rPr>
        <w:t xml:space="preserve">must carry out the approved channel change and </w:t>
      </w:r>
      <w:r w:rsidR="00E10643">
        <w:rPr>
          <w:sz w:val="22"/>
          <w:szCs w:val="22"/>
        </w:rPr>
        <w:t>has “at best an implied STA” to continue operating on its original frequency</w:t>
      </w:r>
      <w:r w:rsidR="005F075C">
        <w:rPr>
          <w:sz w:val="22"/>
          <w:szCs w:val="22"/>
        </w:rPr>
        <w:t xml:space="preserve"> while it constructs the new facility</w:t>
      </w:r>
      <w:r w:rsidR="00E10643">
        <w:rPr>
          <w:sz w:val="22"/>
          <w:szCs w:val="22"/>
        </w:rPr>
        <w:t>.</w:t>
      </w:r>
      <w:r>
        <w:rPr>
          <w:rStyle w:val="FootnoteReference"/>
          <w:sz w:val="22"/>
          <w:szCs w:val="22"/>
        </w:rPr>
        <w:footnoteReference w:id="14"/>
      </w:r>
      <w:r w:rsidR="00E10643">
        <w:rPr>
          <w:sz w:val="22"/>
          <w:szCs w:val="22"/>
        </w:rPr>
        <w:t xml:space="preserve">  </w:t>
      </w:r>
      <w:r w:rsidR="007F5A6B">
        <w:rPr>
          <w:sz w:val="22"/>
          <w:szCs w:val="22"/>
        </w:rPr>
        <w:t xml:space="preserve">Beanpot </w:t>
      </w:r>
      <w:r w:rsidR="00963405">
        <w:rPr>
          <w:sz w:val="22"/>
          <w:szCs w:val="22"/>
        </w:rPr>
        <w:t>contends</w:t>
      </w:r>
      <w:r w:rsidR="007F5A6B">
        <w:rPr>
          <w:sz w:val="22"/>
          <w:szCs w:val="22"/>
        </w:rPr>
        <w:t xml:space="preserve"> that “there is no reason why the reasoning contained </w:t>
      </w:r>
      <w:r w:rsidR="00252AB8">
        <w:rPr>
          <w:sz w:val="22"/>
          <w:szCs w:val="22"/>
        </w:rPr>
        <w:t xml:space="preserve">therein </w:t>
      </w:r>
      <w:r w:rsidR="007F5A6B">
        <w:rPr>
          <w:sz w:val="22"/>
          <w:szCs w:val="22"/>
        </w:rPr>
        <w:t>is not applicable to FM translators</w:t>
      </w:r>
      <w:r w:rsidR="00252AB8">
        <w:rPr>
          <w:sz w:val="22"/>
          <w:szCs w:val="22"/>
        </w:rPr>
        <w:t xml:space="preserve"> </w:t>
      </w:r>
      <w:r w:rsidR="007F5A6B">
        <w:rPr>
          <w:sz w:val="22"/>
          <w:szCs w:val="22"/>
        </w:rPr>
        <w:t>.</w:t>
      </w:r>
      <w:r w:rsidR="00252AB8">
        <w:rPr>
          <w:sz w:val="22"/>
          <w:szCs w:val="22"/>
        </w:rPr>
        <w:t xml:space="preserve"> . .</w:t>
      </w:r>
      <w:r w:rsidR="007F5A6B">
        <w:rPr>
          <w:sz w:val="22"/>
          <w:szCs w:val="22"/>
        </w:rPr>
        <w:t>”</w:t>
      </w:r>
      <w:r>
        <w:rPr>
          <w:rStyle w:val="FootnoteReference"/>
          <w:sz w:val="22"/>
          <w:szCs w:val="22"/>
        </w:rPr>
        <w:footnoteReference w:id="15"/>
      </w:r>
      <w:r w:rsidR="007F5A6B">
        <w:rPr>
          <w:sz w:val="22"/>
          <w:szCs w:val="22"/>
        </w:rPr>
        <w:t xml:space="preserve">  </w:t>
      </w:r>
      <w:r w:rsidR="00F65885">
        <w:rPr>
          <w:sz w:val="22"/>
          <w:szCs w:val="22"/>
        </w:rPr>
        <w:t>In this respect</w:t>
      </w:r>
      <w:r w:rsidR="007F5A6B">
        <w:rPr>
          <w:sz w:val="22"/>
          <w:szCs w:val="22"/>
        </w:rPr>
        <w:t>, Beanpot argues, translator applicants, like all applicants, are subject to the basic principle that an applicant must stand “ready, willing, and able” to construct and operate as proposed.</w:t>
      </w:r>
      <w:r>
        <w:rPr>
          <w:rStyle w:val="FootnoteReference"/>
          <w:sz w:val="22"/>
          <w:szCs w:val="22"/>
        </w:rPr>
        <w:footnoteReference w:id="16"/>
      </w:r>
      <w:r w:rsidR="007F5A6B">
        <w:rPr>
          <w:sz w:val="22"/>
          <w:szCs w:val="22"/>
        </w:rPr>
        <w:t xml:space="preserve">  </w:t>
      </w:r>
      <w:r w:rsidR="00F65885">
        <w:rPr>
          <w:sz w:val="22"/>
          <w:szCs w:val="22"/>
        </w:rPr>
        <w:t>Therefore</w:t>
      </w:r>
      <w:r w:rsidR="007F5A6B">
        <w:rPr>
          <w:sz w:val="22"/>
          <w:szCs w:val="22"/>
        </w:rPr>
        <w:t>, Beanpot urges, we should find that</w:t>
      </w:r>
      <w:r w:rsidR="00E10643">
        <w:rPr>
          <w:sz w:val="22"/>
          <w:szCs w:val="22"/>
        </w:rPr>
        <w:t xml:space="preserve"> </w:t>
      </w:r>
      <w:r w:rsidR="007510AC">
        <w:rPr>
          <w:sz w:val="22"/>
          <w:szCs w:val="22"/>
        </w:rPr>
        <w:t xml:space="preserve">WGBH may not surrender the </w:t>
      </w:r>
      <w:r w:rsidR="00DE01E3">
        <w:rPr>
          <w:sz w:val="22"/>
          <w:szCs w:val="22"/>
        </w:rPr>
        <w:t xml:space="preserve">WGBH </w:t>
      </w:r>
      <w:r w:rsidR="007510AC">
        <w:rPr>
          <w:sz w:val="22"/>
          <w:szCs w:val="22"/>
        </w:rPr>
        <w:t xml:space="preserve">Construction Permit and </w:t>
      </w:r>
      <w:r w:rsidRPr="00007487" w:rsidR="007510AC">
        <w:rPr>
          <w:sz w:val="22"/>
          <w:szCs w:val="22"/>
        </w:rPr>
        <w:t xml:space="preserve">must </w:t>
      </w:r>
      <w:r w:rsidR="007510AC">
        <w:rPr>
          <w:sz w:val="22"/>
          <w:szCs w:val="22"/>
        </w:rPr>
        <w:t>construct the facilit</w:t>
      </w:r>
      <w:r w:rsidR="006214F3">
        <w:rPr>
          <w:sz w:val="22"/>
          <w:szCs w:val="22"/>
        </w:rPr>
        <w:t>y</w:t>
      </w:r>
      <w:r w:rsidR="007F5A6B">
        <w:rPr>
          <w:sz w:val="22"/>
          <w:szCs w:val="22"/>
        </w:rPr>
        <w:t xml:space="preserve"> authorized therein</w:t>
      </w:r>
      <w:r w:rsidR="00587CDD">
        <w:rPr>
          <w:sz w:val="22"/>
          <w:szCs w:val="22"/>
        </w:rPr>
        <w:t>: “WGBH’s only course of action at this time is to complete the work on the [WGBH Translator] within the term of its duly awarded and now final permit</w:t>
      </w:r>
      <w:r w:rsidR="00142E10">
        <w:rPr>
          <w:sz w:val="22"/>
          <w:szCs w:val="22"/>
        </w:rPr>
        <w:t>.</w:t>
      </w:r>
      <w:r w:rsidR="00587CDD">
        <w:rPr>
          <w:sz w:val="22"/>
          <w:szCs w:val="22"/>
        </w:rPr>
        <w:t>”</w:t>
      </w:r>
      <w:r>
        <w:rPr>
          <w:rStyle w:val="FootnoteReference"/>
          <w:sz w:val="22"/>
          <w:szCs w:val="22"/>
        </w:rPr>
        <w:footnoteReference w:id="17"/>
      </w:r>
      <w:r w:rsidR="00142E10">
        <w:rPr>
          <w:sz w:val="22"/>
          <w:szCs w:val="22"/>
        </w:rPr>
        <w:t xml:space="preserve"> </w:t>
      </w:r>
      <w:r w:rsidR="003E44FB">
        <w:rPr>
          <w:sz w:val="22"/>
          <w:szCs w:val="22"/>
        </w:rPr>
        <w:t xml:space="preserve"> </w:t>
      </w:r>
      <w:r w:rsidR="005F075C">
        <w:rPr>
          <w:sz w:val="22"/>
          <w:szCs w:val="22"/>
        </w:rPr>
        <w:t>Finally, Beanpot disputes the validity of the predicted interference showing provided in the WJFD Petition and argues that even if interference</w:t>
      </w:r>
      <w:r w:rsidR="00BE2727">
        <w:rPr>
          <w:sz w:val="22"/>
          <w:szCs w:val="22"/>
        </w:rPr>
        <w:t xml:space="preserve"> </w:t>
      </w:r>
      <w:r w:rsidR="00774EE5">
        <w:rPr>
          <w:sz w:val="22"/>
          <w:szCs w:val="22"/>
        </w:rPr>
        <w:t>was</w:t>
      </w:r>
      <w:r w:rsidR="00BE2727">
        <w:rPr>
          <w:sz w:val="22"/>
          <w:szCs w:val="22"/>
        </w:rPr>
        <w:t xml:space="preserve"> shown</w:t>
      </w:r>
      <w:r w:rsidR="005F075C">
        <w:rPr>
          <w:sz w:val="22"/>
          <w:szCs w:val="22"/>
        </w:rPr>
        <w:t>, the correct solution would be for WGBH to</w:t>
      </w:r>
      <w:r w:rsidR="00774EE5">
        <w:rPr>
          <w:sz w:val="22"/>
          <w:szCs w:val="22"/>
        </w:rPr>
        <w:t xml:space="preserve"> address that interference through the modification—not cancellation—of the</w:t>
      </w:r>
      <w:r w:rsidR="005F075C">
        <w:rPr>
          <w:sz w:val="22"/>
          <w:szCs w:val="22"/>
        </w:rPr>
        <w:t xml:space="preserve"> WGBH Construction Permit.</w:t>
      </w:r>
      <w:r>
        <w:rPr>
          <w:rStyle w:val="FootnoteReference"/>
          <w:sz w:val="22"/>
          <w:szCs w:val="22"/>
        </w:rPr>
        <w:footnoteReference w:id="18"/>
      </w:r>
    </w:p>
    <w:p w:rsidR="00885B8B" w:rsidP="00D377E7" w14:paraId="4EE1F040" w14:textId="77BFABAC">
      <w:pPr>
        <w:spacing w:after="120"/>
        <w:ind w:firstLine="720"/>
        <w:rPr>
          <w:sz w:val="22"/>
          <w:szCs w:val="22"/>
        </w:rPr>
      </w:pPr>
      <w:r>
        <w:rPr>
          <w:sz w:val="22"/>
          <w:szCs w:val="22"/>
        </w:rPr>
        <w:t xml:space="preserve">In </w:t>
      </w:r>
      <w:r w:rsidR="003A2F54">
        <w:rPr>
          <w:sz w:val="22"/>
          <w:szCs w:val="22"/>
        </w:rPr>
        <w:t>the Cancellation Reply</w:t>
      </w:r>
      <w:r>
        <w:rPr>
          <w:sz w:val="22"/>
          <w:szCs w:val="22"/>
        </w:rPr>
        <w:t xml:space="preserve">, </w:t>
      </w:r>
      <w:r w:rsidR="00BE2727">
        <w:rPr>
          <w:sz w:val="22"/>
          <w:szCs w:val="22"/>
        </w:rPr>
        <w:t xml:space="preserve">WGBH </w:t>
      </w:r>
      <w:r w:rsidR="00774EE5">
        <w:rPr>
          <w:sz w:val="22"/>
          <w:szCs w:val="22"/>
        </w:rPr>
        <w:t xml:space="preserve">explains </w:t>
      </w:r>
      <w:r w:rsidR="00BE2727">
        <w:rPr>
          <w:sz w:val="22"/>
          <w:szCs w:val="22"/>
        </w:rPr>
        <w:t xml:space="preserve">that </w:t>
      </w:r>
      <w:r w:rsidR="001B4E35">
        <w:rPr>
          <w:sz w:val="22"/>
          <w:szCs w:val="22"/>
        </w:rPr>
        <w:t xml:space="preserve">it has chosen not to change channels because </w:t>
      </w:r>
      <w:r w:rsidR="00BE2727">
        <w:rPr>
          <w:sz w:val="22"/>
          <w:szCs w:val="22"/>
        </w:rPr>
        <w:t>“[</w:t>
      </w:r>
      <w:r w:rsidR="00BE2727">
        <w:rPr>
          <w:sz w:val="22"/>
          <w:szCs w:val="22"/>
        </w:rPr>
        <w:t>i</w:t>
      </w:r>
      <w:r w:rsidR="00BE2727">
        <w:rPr>
          <w:sz w:val="22"/>
          <w:szCs w:val="22"/>
        </w:rPr>
        <w:t>]</w:t>
      </w:r>
      <w:r w:rsidR="00BE2727">
        <w:rPr>
          <w:sz w:val="22"/>
          <w:szCs w:val="22"/>
        </w:rPr>
        <w:t>nformation</w:t>
      </w:r>
      <w:r w:rsidR="00BE2727">
        <w:rPr>
          <w:sz w:val="22"/>
          <w:szCs w:val="22"/>
        </w:rPr>
        <w:t xml:space="preserve"> provided by WJFD has demonstrated to WGBH that it would not be practical for WGBH to build out on channel 247.”</w:t>
      </w:r>
      <w:r>
        <w:rPr>
          <w:rStyle w:val="FootnoteReference"/>
          <w:sz w:val="22"/>
          <w:szCs w:val="22"/>
        </w:rPr>
        <w:footnoteReference w:id="19"/>
      </w:r>
      <w:r w:rsidR="00BE2727">
        <w:rPr>
          <w:sz w:val="22"/>
          <w:szCs w:val="22"/>
        </w:rPr>
        <w:t xml:space="preserve">  </w:t>
      </w:r>
      <w:r>
        <w:rPr>
          <w:sz w:val="22"/>
          <w:szCs w:val="22"/>
        </w:rPr>
        <w:t xml:space="preserve">WGBH </w:t>
      </w:r>
      <w:r w:rsidR="00252AB8">
        <w:rPr>
          <w:sz w:val="22"/>
          <w:szCs w:val="22"/>
        </w:rPr>
        <w:t xml:space="preserve">contends that the process discussed in the </w:t>
      </w:r>
      <w:r w:rsidR="00252AB8">
        <w:rPr>
          <w:i/>
          <w:iCs/>
          <w:sz w:val="22"/>
          <w:szCs w:val="22"/>
        </w:rPr>
        <w:t xml:space="preserve">Krum </w:t>
      </w:r>
      <w:r w:rsidR="00252AB8">
        <w:rPr>
          <w:sz w:val="22"/>
          <w:szCs w:val="22"/>
        </w:rPr>
        <w:t xml:space="preserve">and </w:t>
      </w:r>
      <w:r w:rsidR="00252AB8">
        <w:rPr>
          <w:i/>
          <w:iCs/>
          <w:sz w:val="22"/>
          <w:szCs w:val="22"/>
        </w:rPr>
        <w:t xml:space="preserve">Price </w:t>
      </w:r>
      <w:r w:rsidR="00252AB8">
        <w:rPr>
          <w:sz w:val="22"/>
          <w:szCs w:val="22"/>
        </w:rPr>
        <w:t>cases relates only to full-service stations and that FM translators are not subject to these procedures</w:t>
      </w:r>
      <w:r w:rsidR="001B4E35">
        <w:rPr>
          <w:sz w:val="22"/>
          <w:szCs w:val="22"/>
        </w:rPr>
        <w:t xml:space="preserve">: </w:t>
      </w:r>
      <w:r w:rsidR="00252AB8">
        <w:rPr>
          <w:sz w:val="22"/>
          <w:szCs w:val="22"/>
        </w:rPr>
        <w:t>“</w:t>
      </w:r>
      <w:r w:rsidR="001B4E35">
        <w:rPr>
          <w:sz w:val="22"/>
          <w:szCs w:val="22"/>
        </w:rPr>
        <w:t>A</w:t>
      </w:r>
      <w:r w:rsidRPr="00252AB8" w:rsidR="00252AB8">
        <w:rPr>
          <w:sz w:val="22"/>
          <w:szCs w:val="22"/>
        </w:rPr>
        <w:t>ll of Beanpot’s arguments concerning the</w:t>
      </w:r>
      <w:r w:rsidR="00252AB8">
        <w:rPr>
          <w:sz w:val="22"/>
          <w:szCs w:val="22"/>
        </w:rPr>
        <w:t xml:space="preserve"> </w:t>
      </w:r>
      <w:r w:rsidRPr="00252AB8" w:rsidR="00252AB8">
        <w:rPr>
          <w:sz w:val="22"/>
          <w:szCs w:val="22"/>
        </w:rPr>
        <w:t xml:space="preserve">Table of Allotments, the Commission’s processes, and </w:t>
      </w:r>
      <w:r w:rsidR="00252AB8">
        <w:rPr>
          <w:sz w:val="22"/>
          <w:szCs w:val="22"/>
        </w:rPr>
        <w:t>‘</w:t>
      </w:r>
      <w:r w:rsidRPr="00252AB8" w:rsidR="00252AB8">
        <w:rPr>
          <w:sz w:val="22"/>
          <w:szCs w:val="22"/>
        </w:rPr>
        <w:t xml:space="preserve">implied </w:t>
      </w:r>
      <w:r w:rsidRPr="00252AB8" w:rsidR="00252AB8">
        <w:rPr>
          <w:sz w:val="22"/>
          <w:szCs w:val="22"/>
        </w:rPr>
        <w:t>STAs</w:t>
      </w:r>
      <w:r w:rsidR="00252AB8">
        <w:rPr>
          <w:sz w:val="22"/>
          <w:szCs w:val="22"/>
        </w:rPr>
        <w:t>’</w:t>
      </w:r>
      <w:r w:rsidRPr="00252AB8" w:rsidR="00252AB8">
        <w:rPr>
          <w:sz w:val="22"/>
          <w:szCs w:val="22"/>
        </w:rPr>
        <w:t xml:space="preserve"> concern rules that do not</w:t>
      </w:r>
      <w:r w:rsidR="00252AB8">
        <w:rPr>
          <w:sz w:val="22"/>
          <w:szCs w:val="22"/>
        </w:rPr>
        <w:t xml:space="preserve"> </w:t>
      </w:r>
      <w:r w:rsidRPr="00252AB8" w:rsidR="00252AB8">
        <w:rPr>
          <w:sz w:val="22"/>
          <w:szCs w:val="22"/>
        </w:rPr>
        <w:t>apply to WGBH’s W242AA licensed translator station or to WGBH’s cancellation of a short</w:t>
      </w:r>
      <w:r w:rsidR="00252AB8">
        <w:rPr>
          <w:sz w:val="22"/>
          <w:szCs w:val="22"/>
        </w:rPr>
        <w:t>-</w:t>
      </w:r>
      <w:r w:rsidRPr="00252AB8" w:rsidR="00252AB8">
        <w:rPr>
          <w:sz w:val="22"/>
          <w:szCs w:val="22"/>
        </w:rPr>
        <w:t>lived</w:t>
      </w:r>
      <w:r w:rsidR="00252AB8">
        <w:rPr>
          <w:sz w:val="22"/>
          <w:szCs w:val="22"/>
        </w:rPr>
        <w:t xml:space="preserve"> </w:t>
      </w:r>
      <w:r w:rsidRPr="00252AB8" w:rsidR="00252AB8">
        <w:rPr>
          <w:sz w:val="22"/>
          <w:szCs w:val="22"/>
        </w:rPr>
        <w:t>construction permit concerning the station’s channel of operation.</w:t>
      </w:r>
      <w:r w:rsidR="00252AB8">
        <w:rPr>
          <w:sz w:val="22"/>
          <w:szCs w:val="22"/>
        </w:rPr>
        <w:t>”</w:t>
      </w:r>
      <w:r>
        <w:rPr>
          <w:rStyle w:val="FootnoteReference"/>
          <w:sz w:val="22"/>
          <w:szCs w:val="22"/>
        </w:rPr>
        <w:footnoteReference w:id="20"/>
      </w:r>
      <w:r w:rsidR="00252AB8">
        <w:rPr>
          <w:sz w:val="22"/>
          <w:szCs w:val="22"/>
        </w:rPr>
        <w:t xml:space="preserve">  </w:t>
      </w:r>
      <w:r w:rsidR="001B4E35">
        <w:rPr>
          <w:sz w:val="22"/>
          <w:szCs w:val="22"/>
        </w:rPr>
        <w:t>Therefore</w:t>
      </w:r>
      <w:r w:rsidR="00252AB8">
        <w:rPr>
          <w:sz w:val="22"/>
          <w:szCs w:val="22"/>
        </w:rPr>
        <w:t>, WGBH concludes, the Cancellation Letter is “entirely consistent with the Commission’s rules.”</w:t>
      </w:r>
      <w:r>
        <w:rPr>
          <w:sz w:val="22"/>
          <w:szCs w:val="22"/>
          <w:vertAlign w:val="superscript"/>
        </w:rPr>
        <w:footnoteReference w:id="21"/>
      </w:r>
    </w:p>
    <w:p w:rsidR="007B77B5" w:rsidP="00D377E7" w14:paraId="4A0171C0" w14:textId="53659459">
      <w:pPr>
        <w:spacing w:after="120"/>
        <w:ind w:firstLine="720"/>
        <w:rPr>
          <w:sz w:val="22"/>
          <w:szCs w:val="22"/>
        </w:rPr>
      </w:pPr>
      <w:r>
        <w:rPr>
          <w:sz w:val="22"/>
          <w:szCs w:val="22"/>
        </w:rPr>
        <w:t xml:space="preserve">In a separate procedural argument, </w:t>
      </w:r>
      <w:r w:rsidR="003E44FB">
        <w:rPr>
          <w:sz w:val="22"/>
          <w:szCs w:val="22"/>
        </w:rPr>
        <w:t xml:space="preserve">Beanpot </w:t>
      </w:r>
      <w:r>
        <w:rPr>
          <w:sz w:val="22"/>
          <w:szCs w:val="22"/>
        </w:rPr>
        <w:t>claims</w:t>
      </w:r>
      <w:r w:rsidR="003E44FB">
        <w:rPr>
          <w:sz w:val="22"/>
          <w:szCs w:val="22"/>
        </w:rPr>
        <w:t xml:space="preserve"> that</w:t>
      </w:r>
      <w:r w:rsidRPr="00134DDA" w:rsidR="00134DDA">
        <w:rPr>
          <w:sz w:val="22"/>
          <w:szCs w:val="22"/>
        </w:rPr>
        <w:t xml:space="preserve"> </w:t>
      </w:r>
      <w:r w:rsidR="00134DDA">
        <w:rPr>
          <w:sz w:val="22"/>
          <w:szCs w:val="22"/>
        </w:rPr>
        <w:t>WGBH erred by informally notifying Beanpot rather than formally serving it with the Cancellation Lette</w:t>
      </w:r>
      <w:r w:rsidR="00882CFE">
        <w:rPr>
          <w:sz w:val="22"/>
          <w:szCs w:val="22"/>
        </w:rPr>
        <w:t xml:space="preserve">r as required by the </w:t>
      </w:r>
      <w:r w:rsidR="00882CFE">
        <w:rPr>
          <w:i/>
          <w:iCs/>
          <w:sz w:val="22"/>
          <w:szCs w:val="22"/>
        </w:rPr>
        <w:t xml:space="preserve">ex parte </w:t>
      </w:r>
      <w:r w:rsidR="00882CFE">
        <w:rPr>
          <w:sz w:val="22"/>
          <w:szCs w:val="22"/>
        </w:rPr>
        <w:t>rules.</w:t>
      </w:r>
      <w:r>
        <w:rPr>
          <w:rStyle w:val="FootnoteReference"/>
          <w:sz w:val="22"/>
          <w:szCs w:val="22"/>
        </w:rPr>
        <w:footnoteReference w:id="22"/>
      </w:r>
      <w:r w:rsidR="00134DDA">
        <w:rPr>
          <w:sz w:val="22"/>
          <w:szCs w:val="22"/>
        </w:rPr>
        <w:t xml:space="preserve">  Beanpot </w:t>
      </w:r>
      <w:r w:rsidR="004977F8">
        <w:rPr>
          <w:sz w:val="22"/>
          <w:szCs w:val="22"/>
        </w:rPr>
        <w:t>asserts</w:t>
      </w:r>
      <w:r w:rsidR="00134DDA">
        <w:rPr>
          <w:sz w:val="22"/>
          <w:szCs w:val="22"/>
        </w:rPr>
        <w:t xml:space="preserve"> that</w:t>
      </w:r>
      <w:r w:rsidR="007B7129">
        <w:rPr>
          <w:sz w:val="22"/>
          <w:szCs w:val="22"/>
        </w:rPr>
        <w:t>,</w:t>
      </w:r>
      <w:r w:rsidR="003E44FB">
        <w:rPr>
          <w:sz w:val="22"/>
          <w:szCs w:val="22"/>
        </w:rPr>
        <w:t xml:space="preserve"> as a party to the First Modification Application, </w:t>
      </w:r>
      <w:r w:rsidR="004977F8">
        <w:rPr>
          <w:sz w:val="22"/>
          <w:szCs w:val="22"/>
        </w:rPr>
        <w:t xml:space="preserve">it </w:t>
      </w:r>
      <w:r w:rsidR="002E357B">
        <w:rPr>
          <w:sz w:val="22"/>
          <w:szCs w:val="22"/>
        </w:rPr>
        <w:t>wa</w:t>
      </w:r>
      <w:r w:rsidR="003E44FB">
        <w:rPr>
          <w:sz w:val="22"/>
          <w:szCs w:val="22"/>
        </w:rPr>
        <w:t xml:space="preserve">s entitled to be served with any </w:t>
      </w:r>
      <w:r w:rsidR="004977F8">
        <w:rPr>
          <w:sz w:val="22"/>
          <w:szCs w:val="22"/>
        </w:rPr>
        <w:t>presentations made</w:t>
      </w:r>
      <w:r w:rsidR="003E44FB">
        <w:rPr>
          <w:sz w:val="22"/>
          <w:szCs w:val="22"/>
        </w:rPr>
        <w:t xml:space="preserve"> to the Commission in that proceeding</w:t>
      </w:r>
      <w:r w:rsidR="00134DDA">
        <w:rPr>
          <w:sz w:val="22"/>
          <w:szCs w:val="22"/>
        </w:rPr>
        <w:t>.</w:t>
      </w:r>
      <w:r w:rsidR="003E44FB">
        <w:rPr>
          <w:sz w:val="22"/>
          <w:szCs w:val="22"/>
        </w:rPr>
        <w:t xml:space="preserve"> </w:t>
      </w:r>
      <w:r w:rsidR="00134DDA">
        <w:rPr>
          <w:sz w:val="22"/>
          <w:szCs w:val="22"/>
        </w:rPr>
        <w:t xml:space="preserve"> According to Beanpot, </w:t>
      </w:r>
      <w:r w:rsidR="004977F8">
        <w:rPr>
          <w:sz w:val="22"/>
          <w:szCs w:val="22"/>
        </w:rPr>
        <w:t xml:space="preserve">the Cancellation Letter </w:t>
      </w:r>
      <w:r>
        <w:rPr>
          <w:sz w:val="22"/>
          <w:szCs w:val="22"/>
        </w:rPr>
        <w:t>constitutes</w:t>
      </w:r>
      <w:r w:rsidR="004977F8">
        <w:rPr>
          <w:sz w:val="22"/>
          <w:szCs w:val="22"/>
        </w:rPr>
        <w:t xml:space="preserve"> a presentation on the merits for </w:t>
      </w:r>
      <w:r w:rsidR="004977F8">
        <w:rPr>
          <w:i/>
          <w:iCs/>
          <w:sz w:val="22"/>
          <w:szCs w:val="22"/>
        </w:rPr>
        <w:t xml:space="preserve">ex parte </w:t>
      </w:r>
      <w:r w:rsidR="004977F8">
        <w:rPr>
          <w:sz w:val="22"/>
          <w:szCs w:val="22"/>
        </w:rPr>
        <w:t xml:space="preserve">purposes because </w:t>
      </w:r>
      <w:r w:rsidR="00134DDA">
        <w:rPr>
          <w:sz w:val="22"/>
          <w:szCs w:val="22"/>
        </w:rPr>
        <w:t xml:space="preserve">the </w:t>
      </w:r>
      <w:r w:rsidR="002E357B">
        <w:rPr>
          <w:sz w:val="22"/>
          <w:szCs w:val="22"/>
        </w:rPr>
        <w:t xml:space="preserve">requested </w:t>
      </w:r>
      <w:r w:rsidR="00134DDA">
        <w:rPr>
          <w:sz w:val="22"/>
          <w:szCs w:val="22"/>
        </w:rPr>
        <w:t xml:space="preserve">termination of </w:t>
      </w:r>
      <w:r>
        <w:rPr>
          <w:sz w:val="22"/>
          <w:szCs w:val="22"/>
        </w:rPr>
        <w:t>the</w:t>
      </w:r>
      <w:r w:rsidR="00134DDA">
        <w:rPr>
          <w:sz w:val="22"/>
          <w:szCs w:val="22"/>
        </w:rPr>
        <w:t xml:space="preserve"> </w:t>
      </w:r>
      <w:r>
        <w:rPr>
          <w:sz w:val="22"/>
          <w:szCs w:val="22"/>
        </w:rPr>
        <w:t xml:space="preserve">First Modification Application </w:t>
      </w:r>
      <w:r w:rsidR="00134DDA">
        <w:rPr>
          <w:sz w:val="22"/>
          <w:szCs w:val="22"/>
        </w:rPr>
        <w:t xml:space="preserve">proceeding </w:t>
      </w:r>
      <w:r>
        <w:rPr>
          <w:sz w:val="22"/>
          <w:szCs w:val="22"/>
        </w:rPr>
        <w:t xml:space="preserve">through the cancellation of the WGBH Construction Permit </w:t>
      </w:r>
      <w:r w:rsidR="00134DDA">
        <w:rPr>
          <w:sz w:val="22"/>
          <w:szCs w:val="22"/>
        </w:rPr>
        <w:t>is an “outcome, or consequence”</w:t>
      </w:r>
      <w:r w:rsidR="002E357B">
        <w:rPr>
          <w:sz w:val="22"/>
          <w:szCs w:val="22"/>
        </w:rPr>
        <w:t xml:space="preserve"> of the Cancellation Letter</w:t>
      </w:r>
      <w:r w:rsidR="00134DDA">
        <w:rPr>
          <w:sz w:val="22"/>
          <w:szCs w:val="22"/>
        </w:rPr>
        <w:t>.</w:t>
      </w:r>
      <w:r>
        <w:rPr>
          <w:rStyle w:val="FootnoteReference"/>
          <w:sz w:val="22"/>
          <w:szCs w:val="22"/>
        </w:rPr>
        <w:footnoteReference w:id="23"/>
      </w:r>
      <w:r w:rsidR="00134DDA">
        <w:rPr>
          <w:sz w:val="22"/>
          <w:szCs w:val="22"/>
        </w:rPr>
        <w:t xml:space="preserve">  </w:t>
      </w:r>
    </w:p>
    <w:p w:rsidR="00DC5F16" w:rsidRPr="00354AD6" w:rsidP="00D377E7" w14:paraId="1B6074E4" w14:textId="73308690">
      <w:pPr>
        <w:spacing w:after="120"/>
        <w:ind w:firstLine="720"/>
        <w:rPr>
          <w:sz w:val="22"/>
          <w:szCs w:val="22"/>
        </w:rPr>
      </w:pPr>
      <w:r>
        <w:rPr>
          <w:sz w:val="22"/>
          <w:szCs w:val="22"/>
        </w:rPr>
        <w:t xml:space="preserve">In the Cancellation Supplement, WGBH </w:t>
      </w:r>
      <w:r w:rsidR="007B77B5">
        <w:rPr>
          <w:sz w:val="22"/>
          <w:szCs w:val="22"/>
        </w:rPr>
        <w:t xml:space="preserve">responds </w:t>
      </w:r>
      <w:r>
        <w:rPr>
          <w:sz w:val="22"/>
          <w:szCs w:val="22"/>
        </w:rPr>
        <w:t xml:space="preserve">that the Cancellation Letter </w:t>
      </w:r>
      <w:r w:rsidR="00134DDA">
        <w:rPr>
          <w:sz w:val="22"/>
          <w:szCs w:val="22"/>
        </w:rPr>
        <w:t>was</w:t>
      </w:r>
      <w:r>
        <w:rPr>
          <w:sz w:val="22"/>
          <w:szCs w:val="22"/>
        </w:rPr>
        <w:t xml:space="preserve"> not a “communication directed to the merits or outcome” of the proceeding and </w:t>
      </w:r>
      <w:r w:rsidR="00134DDA">
        <w:rPr>
          <w:sz w:val="22"/>
          <w:szCs w:val="22"/>
        </w:rPr>
        <w:t>t</w:t>
      </w:r>
      <w:r>
        <w:rPr>
          <w:sz w:val="22"/>
          <w:szCs w:val="22"/>
        </w:rPr>
        <w:t xml:space="preserve">hat its “voluntary decision to surrender the permit does not turn a routine notice of that decision into a ‘presentation’ under the </w:t>
      </w:r>
      <w:r>
        <w:rPr>
          <w:i/>
          <w:iCs/>
          <w:sz w:val="22"/>
          <w:szCs w:val="22"/>
        </w:rPr>
        <w:t xml:space="preserve">ex parte </w:t>
      </w:r>
      <w:r>
        <w:rPr>
          <w:sz w:val="22"/>
          <w:szCs w:val="22"/>
        </w:rPr>
        <w:t>rules.”</w:t>
      </w:r>
      <w:r>
        <w:rPr>
          <w:rStyle w:val="FootnoteReference"/>
          <w:sz w:val="22"/>
          <w:szCs w:val="22"/>
        </w:rPr>
        <w:footnoteReference w:id="24"/>
      </w:r>
      <w:r>
        <w:rPr>
          <w:sz w:val="22"/>
          <w:szCs w:val="22"/>
        </w:rPr>
        <w:t xml:space="preserve">  WGBH also </w:t>
      </w:r>
      <w:r w:rsidR="00882CFE">
        <w:rPr>
          <w:sz w:val="22"/>
          <w:szCs w:val="22"/>
        </w:rPr>
        <w:t>states</w:t>
      </w:r>
      <w:r>
        <w:rPr>
          <w:sz w:val="22"/>
          <w:szCs w:val="22"/>
        </w:rPr>
        <w:t xml:space="preserve"> that Beanpot was not prejudiced </w:t>
      </w:r>
      <w:r w:rsidR="004977F8">
        <w:rPr>
          <w:sz w:val="22"/>
          <w:szCs w:val="22"/>
        </w:rPr>
        <w:t xml:space="preserve">by not being served </w:t>
      </w:r>
      <w:r w:rsidR="001028E4">
        <w:rPr>
          <w:sz w:val="22"/>
          <w:szCs w:val="22"/>
        </w:rPr>
        <w:t xml:space="preserve">with a copy of the Cancellation Letter </w:t>
      </w:r>
      <w:r>
        <w:rPr>
          <w:sz w:val="22"/>
          <w:szCs w:val="22"/>
        </w:rPr>
        <w:t xml:space="preserve">because </w:t>
      </w:r>
      <w:r w:rsidR="00CF0E54">
        <w:rPr>
          <w:sz w:val="22"/>
          <w:szCs w:val="22"/>
        </w:rPr>
        <w:t>WGBH directly, albeit informally, notified Beanpot that WGBH</w:t>
      </w:r>
      <w:r w:rsidR="00D463FB">
        <w:rPr>
          <w:sz w:val="22"/>
          <w:szCs w:val="22"/>
        </w:rPr>
        <w:t xml:space="preserve"> had requested</w:t>
      </w:r>
      <w:r>
        <w:rPr>
          <w:sz w:val="22"/>
          <w:szCs w:val="22"/>
        </w:rPr>
        <w:t xml:space="preserve"> cancellation</w:t>
      </w:r>
      <w:r w:rsidR="00D463FB">
        <w:rPr>
          <w:sz w:val="22"/>
          <w:szCs w:val="22"/>
        </w:rPr>
        <w:t xml:space="preserve"> </w:t>
      </w:r>
      <w:r w:rsidR="007B77B5">
        <w:rPr>
          <w:sz w:val="22"/>
          <w:szCs w:val="22"/>
        </w:rPr>
        <w:t>o</w:t>
      </w:r>
      <w:r w:rsidR="00D463FB">
        <w:rPr>
          <w:sz w:val="22"/>
          <w:szCs w:val="22"/>
        </w:rPr>
        <w:t xml:space="preserve">f the </w:t>
      </w:r>
      <w:r w:rsidR="00CF0E54">
        <w:rPr>
          <w:sz w:val="22"/>
          <w:szCs w:val="22"/>
        </w:rPr>
        <w:t>WGBH Construction Permit</w:t>
      </w:r>
      <w:r>
        <w:rPr>
          <w:sz w:val="22"/>
          <w:szCs w:val="22"/>
        </w:rPr>
        <w:t>.</w:t>
      </w:r>
      <w:r>
        <w:rPr>
          <w:rStyle w:val="FootnoteReference"/>
          <w:sz w:val="22"/>
          <w:szCs w:val="22"/>
        </w:rPr>
        <w:footnoteReference w:id="25"/>
      </w:r>
      <w:r>
        <w:rPr>
          <w:sz w:val="22"/>
          <w:szCs w:val="22"/>
        </w:rPr>
        <w:t xml:space="preserve">  </w:t>
      </w:r>
    </w:p>
    <w:p w:rsidR="00C30992" w:rsidP="00D377E7" w14:paraId="4A49F97E" w14:textId="688F5DA5">
      <w:pPr>
        <w:spacing w:after="120"/>
        <w:ind w:firstLine="720"/>
        <w:rPr>
          <w:sz w:val="22"/>
          <w:szCs w:val="22"/>
        </w:rPr>
      </w:pPr>
      <w:r>
        <w:rPr>
          <w:i/>
          <w:iCs/>
          <w:sz w:val="22"/>
          <w:szCs w:val="22"/>
        </w:rPr>
        <w:t xml:space="preserve">Second Modification Application.  </w:t>
      </w:r>
      <w:r w:rsidR="003A3F83">
        <w:rPr>
          <w:sz w:val="22"/>
          <w:szCs w:val="22"/>
        </w:rPr>
        <w:t>O</w:t>
      </w:r>
      <w:r w:rsidR="00ED4399">
        <w:rPr>
          <w:sz w:val="22"/>
          <w:szCs w:val="22"/>
        </w:rPr>
        <w:t xml:space="preserve">n November 2, 2020, WGBH filed </w:t>
      </w:r>
      <w:r w:rsidR="00A36C7C">
        <w:rPr>
          <w:sz w:val="22"/>
          <w:szCs w:val="22"/>
        </w:rPr>
        <w:t xml:space="preserve">the </w:t>
      </w:r>
      <w:r w:rsidR="00ED4399">
        <w:rPr>
          <w:sz w:val="22"/>
          <w:szCs w:val="22"/>
        </w:rPr>
        <w:t xml:space="preserve">Second Modification Application, </w:t>
      </w:r>
      <w:r w:rsidR="00977B9E">
        <w:rPr>
          <w:sz w:val="22"/>
          <w:szCs w:val="22"/>
        </w:rPr>
        <w:t xml:space="preserve">again </w:t>
      </w:r>
      <w:r w:rsidR="003A3F83">
        <w:rPr>
          <w:sz w:val="22"/>
          <w:szCs w:val="22"/>
        </w:rPr>
        <w:t>seeking approval to move to</w:t>
      </w:r>
      <w:r w:rsidR="000C7834">
        <w:rPr>
          <w:sz w:val="22"/>
          <w:szCs w:val="22"/>
        </w:rPr>
        <w:t xml:space="preserve"> the </w:t>
      </w:r>
      <w:r w:rsidR="00977B9E">
        <w:rPr>
          <w:sz w:val="22"/>
          <w:szCs w:val="22"/>
        </w:rPr>
        <w:t xml:space="preserve">New </w:t>
      </w:r>
      <w:r w:rsidR="000C7834">
        <w:rPr>
          <w:sz w:val="22"/>
          <w:szCs w:val="22"/>
        </w:rPr>
        <w:t>MIT Building</w:t>
      </w:r>
      <w:r w:rsidRPr="00E42834" w:rsidR="00E42834">
        <w:rPr>
          <w:sz w:val="22"/>
          <w:szCs w:val="22"/>
        </w:rPr>
        <w:t xml:space="preserve"> </w:t>
      </w:r>
      <w:r w:rsidR="00977B9E">
        <w:rPr>
          <w:sz w:val="22"/>
          <w:szCs w:val="22"/>
        </w:rPr>
        <w:t>but remain</w:t>
      </w:r>
      <w:r w:rsidR="00BC05DE">
        <w:rPr>
          <w:sz w:val="22"/>
          <w:szCs w:val="22"/>
        </w:rPr>
        <w:t>ing</w:t>
      </w:r>
      <w:r w:rsidR="00977B9E">
        <w:rPr>
          <w:sz w:val="22"/>
          <w:szCs w:val="22"/>
        </w:rPr>
        <w:t xml:space="preserve"> </w:t>
      </w:r>
      <w:r w:rsidR="00E42834">
        <w:rPr>
          <w:sz w:val="22"/>
          <w:szCs w:val="22"/>
        </w:rPr>
        <w:t>on channel 242</w:t>
      </w:r>
      <w:r w:rsidR="00BC05DE">
        <w:rPr>
          <w:sz w:val="22"/>
          <w:szCs w:val="22"/>
        </w:rPr>
        <w:t>,</w:t>
      </w:r>
      <w:r w:rsidR="00977B9E">
        <w:rPr>
          <w:sz w:val="22"/>
          <w:szCs w:val="22"/>
        </w:rPr>
        <w:t xml:space="preserve"> operat</w:t>
      </w:r>
      <w:r w:rsidR="00BC05DE">
        <w:rPr>
          <w:sz w:val="22"/>
          <w:szCs w:val="22"/>
        </w:rPr>
        <w:t>ing</w:t>
      </w:r>
      <w:r w:rsidR="00977B9E">
        <w:rPr>
          <w:sz w:val="22"/>
          <w:szCs w:val="22"/>
        </w:rPr>
        <w:t xml:space="preserve"> at a lower</w:t>
      </w:r>
      <w:r w:rsidR="0009384E">
        <w:rPr>
          <w:sz w:val="22"/>
          <w:szCs w:val="22"/>
        </w:rPr>
        <w:t xml:space="preserve"> </w:t>
      </w:r>
      <w:r w:rsidR="000C7834">
        <w:rPr>
          <w:sz w:val="22"/>
          <w:szCs w:val="22"/>
        </w:rPr>
        <w:t>power (</w:t>
      </w:r>
      <w:r w:rsidR="00C3518F">
        <w:rPr>
          <w:sz w:val="22"/>
          <w:szCs w:val="22"/>
        </w:rPr>
        <w:t>3</w:t>
      </w:r>
      <w:r w:rsidR="000C7834">
        <w:rPr>
          <w:sz w:val="22"/>
          <w:szCs w:val="22"/>
        </w:rPr>
        <w:t xml:space="preserve"> </w:t>
      </w:r>
      <w:r w:rsidR="00C3518F">
        <w:rPr>
          <w:sz w:val="22"/>
          <w:szCs w:val="22"/>
        </w:rPr>
        <w:t xml:space="preserve">watts </w:t>
      </w:r>
      <w:r w:rsidR="000C7834">
        <w:rPr>
          <w:sz w:val="22"/>
          <w:szCs w:val="22"/>
        </w:rPr>
        <w:t>ERP</w:t>
      </w:r>
      <w:r w:rsidR="00C3518F">
        <w:rPr>
          <w:sz w:val="22"/>
          <w:szCs w:val="22"/>
        </w:rPr>
        <w:t>)</w:t>
      </w:r>
      <w:r w:rsidR="00BC05DE">
        <w:rPr>
          <w:sz w:val="22"/>
          <w:szCs w:val="22"/>
        </w:rPr>
        <w:t>, and</w:t>
      </w:r>
      <w:r w:rsidR="002E357B">
        <w:rPr>
          <w:sz w:val="22"/>
          <w:szCs w:val="22"/>
        </w:rPr>
        <w:t xml:space="preserve"> </w:t>
      </w:r>
      <w:r w:rsidR="005C75C4">
        <w:rPr>
          <w:sz w:val="22"/>
          <w:szCs w:val="22"/>
        </w:rPr>
        <w:t>re</w:t>
      </w:r>
      <w:r w:rsidR="0009384E">
        <w:rPr>
          <w:sz w:val="22"/>
          <w:szCs w:val="22"/>
        </w:rPr>
        <w:t>broadcast</w:t>
      </w:r>
      <w:r w:rsidR="00BC05DE">
        <w:rPr>
          <w:sz w:val="22"/>
          <w:szCs w:val="22"/>
        </w:rPr>
        <w:t>ing</w:t>
      </w:r>
      <w:r w:rsidR="0009384E">
        <w:rPr>
          <w:sz w:val="22"/>
          <w:szCs w:val="22"/>
        </w:rPr>
        <w:t xml:space="preserve"> a </w:t>
      </w:r>
      <w:r w:rsidR="000C7834">
        <w:rPr>
          <w:sz w:val="22"/>
          <w:szCs w:val="22"/>
        </w:rPr>
        <w:t xml:space="preserve">different primary station (WGBH, Boston, Massachusetts, </w:t>
      </w:r>
      <w:r w:rsidR="003A3F83">
        <w:rPr>
          <w:sz w:val="22"/>
          <w:szCs w:val="22"/>
        </w:rPr>
        <w:t xml:space="preserve">in lieu of </w:t>
      </w:r>
      <w:r w:rsidR="000C7834">
        <w:rPr>
          <w:sz w:val="22"/>
          <w:szCs w:val="22"/>
        </w:rPr>
        <w:t xml:space="preserve">WCRB, Lowell, Massachusetts). </w:t>
      </w:r>
      <w:r w:rsidR="00B67F8B">
        <w:rPr>
          <w:sz w:val="22"/>
          <w:szCs w:val="22"/>
        </w:rPr>
        <w:t xml:space="preserve"> </w:t>
      </w:r>
      <w:r w:rsidR="003A3F83">
        <w:rPr>
          <w:sz w:val="22"/>
          <w:szCs w:val="22"/>
        </w:rPr>
        <w:t xml:space="preserve">In the Second Modification Application, </w:t>
      </w:r>
      <w:r w:rsidR="000414BB">
        <w:rPr>
          <w:sz w:val="22"/>
          <w:szCs w:val="22"/>
        </w:rPr>
        <w:t xml:space="preserve">WGBH </w:t>
      </w:r>
      <w:r w:rsidR="00E9167D">
        <w:rPr>
          <w:sz w:val="22"/>
          <w:szCs w:val="22"/>
        </w:rPr>
        <w:t>asserts</w:t>
      </w:r>
      <w:r w:rsidR="000414BB">
        <w:rPr>
          <w:sz w:val="22"/>
          <w:szCs w:val="22"/>
        </w:rPr>
        <w:t xml:space="preserve"> that </w:t>
      </w:r>
      <w:r w:rsidR="003A3F83">
        <w:rPr>
          <w:sz w:val="22"/>
          <w:szCs w:val="22"/>
        </w:rPr>
        <w:t xml:space="preserve">the proposed facilities will not cause any </w:t>
      </w:r>
      <w:r w:rsidR="000414BB">
        <w:rPr>
          <w:sz w:val="22"/>
          <w:szCs w:val="22"/>
        </w:rPr>
        <w:t>prohibited contour overlap with the licensed Beanpot Translator</w:t>
      </w:r>
      <w:r w:rsidR="00DD4AEC">
        <w:rPr>
          <w:sz w:val="22"/>
          <w:szCs w:val="22"/>
        </w:rPr>
        <w:t>.</w:t>
      </w:r>
      <w:r>
        <w:rPr>
          <w:rStyle w:val="FootnoteReference"/>
          <w:sz w:val="22"/>
          <w:szCs w:val="22"/>
        </w:rPr>
        <w:footnoteReference w:id="26"/>
      </w:r>
      <w:r w:rsidR="00DD4AEC">
        <w:rPr>
          <w:sz w:val="22"/>
          <w:szCs w:val="22"/>
        </w:rPr>
        <w:t xml:space="preserve">  It also </w:t>
      </w:r>
      <w:r w:rsidR="00E9167D">
        <w:rPr>
          <w:sz w:val="22"/>
          <w:szCs w:val="22"/>
        </w:rPr>
        <w:t>states</w:t>
      </w:r>
      <w:r w:rsidR="00DD4AEC">
        <w:rPr>
          <w:sz w:val="22"/>
          <w:szCs w:val="22"/>
        </w:rPr>
        <w:t xml:space="preserve"> </w:t>
      </w:r>
      <w:r w:rsidR="000414BB">
        <w:rPr>
          <w:sz w:val="22"/>
          <w:szCs w:val="22"/>
        </w:rPr>
        <w:t xml:space="preserve">that the proposed WGBH Translator facilities would comply with section 74.1204(c) with respect to the </w:t>
      </w:r>
      <w:r w:rsidR="00453734">
        <w:rPr>
          <w:sz w:val="22"/>
          <w:szCs w:val="22"/>
        </w:rPr>
        <w:t xml:space="preserve">first adjacent channel </w:t>
      </w:r>
      <w:r w:rsidR="000414BB">
        <w:rPr>
          <w:sz w:val="22"/>
          <w:szCs w:val="22"/>
        </w:rPr>
        <w:t>facilit</w:t>
      </w:r>
      <w:r w:rsidR="00CA48E0">
        <w:rPr>
          <w:sz w:val="22"/>
          <w:szCs w:val="22"/>
        </w:rPr>
        <w:t>y</w:t>
      </w:r>
      <w:r w:rsidR="000414BB">
        <w:rPr>
          <w:sz w:val="22"/>
          <w:szCs w:val="22"/>
        </w:rPr>
        <w:t xml:space="preserve"> authorized in the Beanpot Modification Application</w:t>
      </w:r>
      <w:r w:rsidR="00DD4AEC">
        <w:rPr>
          <w:sz w:val="22"/>
          <w:szCs w:val="22"/>
        </w:rPr>
        <w:t xml:space="preserve"> because the area of existing overlap </w:t>
      </w:r>
      <w:r w:rsidR="00CA48E0">
        <w:rPr>
          <w:sz w:val="22"/>
          <w:szCs w:val="22"/>
        </w:rPr>
        <w:t xml:space="preserve">between the proposed WGBH Translator and the proposed Beanpot Translator </w:t>
      </w:r>
      <w:r w:rsidR="00DD4AEC">
        <w:rPr>
          <w:sz w:val="22"/>
          <w:szCs w:val="22"/>
        </w:rPr>
        <w:t xml:space="preserve">would not increase </w:t>
      </w:r>
      <w:r w:rsidR="00CA48E0">
        <w:rPr>
          <w:sz w:val="22"/>
          <w:szCs w:val="22"/>
        </w:rPr>
        <w:t xml:space="preserve">as compared to the existing overlap between the licensed WGBH Translator and the proposed Beanpot Translator </w:t>
      </w:r>
      <w:r w:rsidR="00DD4AEC">
        <w:rPr>
          <w:sz w:val="22"/>
          <w:szCs w:val="22"/>
        </w:rPr>
        <w:t xml:space="preserve">(in fact, would </w:t>
      </w:r>
      <w:r w:rsidR="00E9167D">
        <w:rPr>
          <w:sz w:val="22"/>
          <w:szCs w:val="22"/>
        </w:rPr>
        <w:t xml:space="preserve">slightly </w:t>
      </w:r>
      <w:r w:rsidR="00DD4AEC">
        <w:rPr>
          <w:sz w:val="22"/>
          <w:szCs w:val="22"/>
        </w:rPr>
        <w:t>decrease</w:t>
      </w:r>
      <w:r w:rsidR="00E9167D">
        <w:rPr>
          <w:sz w:val="22"/>
          <w:szCs w:val="22"/>
        </w:rPr>
        <w:t>)</w:t>
      </w:r>
      <w:r w:rsidR="000414BB">
        <w:rPr>
          <w:sz w:val="22"/>
          <w:szCs w:val="22"/>
        </w:rPr>
        <w:t>.</w:t>
      </w:r>
      <w:r>
        <w:rPr>
          <w:rStyle w:val="FootnoteReference"/>
          <w:sz w:val="22"/>
          <w:szCs w:val="22"/>
        </w:rPr>
        <w:footnoteReference w:id="27"/>
      </w:r>
      <w:r w:rsidR="00E9167D">
        <w:rPr>
          <w:sz w:val="22"/>
          <w:szCs w:val="22"/>
        </w:rPr>
        <w:t xml:space="preserve">  </w:t>
      </w:r>
      <w:r w:rsidR="00EB7044">
        <w:rPr>
          <w:sz w:val="22"/>
          <w:szCs w:val="22"/>
        </w:rPr>
        <w:t>In any case, WGBH argues</w:t>
      </w:r>
      <w:r w:rsidR="00F21B48">
        <w:rPr>
          <w:sz w:val="22"/>
          <w:szCs w:val="22"/>
        </w:rPr>
        <w:t xml:space="preserve">, the </w:t>
      </w:r>
      <w:r w:rsidR="00CA48E0">
        <w:rPr>
          <w:sz w:val="22"/>
          <w:szCs w:val="22"/>
        </w:rPr>
        <w:t xml:space="preserve">proposed </w:t>
      </w:r>
      <w:r w:rsidR="00F21B48">
        <w:rPr>
          <w:sz w:val="22"/>
          <w:szCs w:val="22"/>
        </w:rPr>
        <w:t xml:space="preserve">Beanpot Translator </w:t>
      </w:r>
      <w:r w:rsidR="00CA48E0">
        <w:rPr>
          <w:sz w:val="22"/>
          <w:szCs w:val="22"/>
        </w:rPr>
        <w:t>is</w:t>
      </w:r>
      <w:r w:rsidR="00F21B48">
        <w:rPr>
          <w:sz w:val="22"/>
          <w:szCs w:val="22"/>
        </w:rPr>
        <w:t xml:space="preserve"> required to protect the WGHB Translator</w:t>
      </w:r>
      <w:r w:rsidRPr="00D463FB" w:rsidR="00D463FB">
        <w:rPr>
          <w:sz w:val="22"/>
          <w:szCs w:val="22"/>
        </w:rPr>
        <w:t xml:space="preserve"> </w:t>
      </w:r>
      <w:r w:rsidR="00D463FB">
        <w:rPr>
          <w:sz w:val="22"/>
          <w:szCs w:val="22"/>
        </w:rPr>
        <w:t>under the terms of the Beanpot Translator Construction Permit</w:t>
      </w:r>
      <w:r w:rsidR="00F21B48">
        <w:rPr>
          <w:sz w:val="22"/>
          <w:szCs w:val="22"/>
        </w:rPr>
        <w:t>.</w:t>
      </w:r>
      <w:r>
        <w:rPr>
          <w:rStyle w:val="FootnoteReference"/>
          <w:sz w:val="22"/>
          <w:szCs w:val="22"/>
        </w:rPr>
        <w:footnoteReference w:id="28"/>
      </w:r>
    </w:p>
    <w:p w:rsidR="00DF5108" w:rsidP="00D377E7" w14:paraId="1230B454" w14:textId="44CB531E">
      <w:pPr>
        <w:spacing w:after="120"/>
        <w:ind w:firstLine="720"/>
        <w:rPr>
          <w:sz w:val="22"/>
          <w:szCs w:val="22"/>
        </w:rPr>
      </w:pPr>
      <w:r>
        <w:rPr>
          <w:sz w:val="22"/>
          <w:szCs w:val="22"/>
        </w:rPr>
        <w:t xml:space="preserve">In the </w:t>
      </w:r>
      <w:r w:rsidR="00BC05DE">
        <w:rPr>
          <w:sz w:val="22"/>
          <w:szCs w:val="22"/>
        </w:rPr>
        <w:t>Second Modification Objection</w:t>
      </w:r>
      <w:r>
        <w:rPr>
          <w:sz w:val="22"/>
          <w:szCs w:val="22"/>
        </w:rPr>
        <w:t>, Beanpot</w:t>
      </w:r>
      <w:r w:rsidR="00882CFE">
        <w:rPr>
          <w:sz w:val="22"/>
          <w:szCs w:val="22"/>
        </w:rPr>
        <w:t xml:space="preserve"> </w:t>
      </w:r>
      <w:r w:rsidR="00B34C55">
        <w:rPr>
          <w:sz w:val="22"/>
          <w:szCs w:val="22"/>
        </w:rPr>
        <w:t>reiterates</w:t>
      </w:r>
      <w:r w:rsidR="00CE6649">
        <w:rPr>
          <w:sz w:val="22"/>
          <w:szCs w:val="22"/>
        </w:rPr>
        <w:t xml:space="preserve"> </w:t>
      </w:r>
      <w:r>
        <w:rPr>
          <w:sz w:val="22"/>
          <w:szCs w:val="22"/>
        </w:rPr>
        <w:t>that</w:t>
      </w:r>
      <w:r w:rsidR="00156E14">
        <w:rPr>
          <w:sz w:val="22"/>
          <w:szCs w:val="22"/>
        </w:rPr>
        <w:t xml:space="preserve"> </w:t>
      </w:r>
      <w:r w:rsidR="003570D7">
        <w:rPr>
          <w:sz w:val="22"/>
          <w:szCs w:val="22"/>
        </w:rPr>
        <w:t>“there is no option, once an application is granted, to return to a previously occupied channel</w:t>
      </w:r>
      <w:r>
        <w:rPr>
          <w:sz w:val="22"/>
          <w:szCs w:val="22"/>
        </w:rPr>
        <w:t>.</w:t>
      </w:r>
      <w:r w:rsidR="003570D7">
        <w:rPr>
          <w:sz w:val="22"/>
          <w:szCs w:val="22"/>
        </w:rPr>
        <w:t>”</w:t>
      </w:r>
      <w:r>
        <w:rPr>
          <w:rStyle w:val="FootnoteReference"/>
          <w:sz w:val="22"/>
          <w:szCs w:val="22"/>
        </w:rPr>
        <w:footnoteReference w:id="29"/>
      </w:r>
      <w:r w:rsidR="00156E14">
        <w:rPr>
          <w:sz w:val="22"/>
          <w:szCs w:val="22"/>
        </w:rPr>
        <w:t xml:space="preserve"> </w:t>
      </w:r>
      <w:r w:rsidR="009225A9">
        <w:rPr>
          <w:sz w:val="22"/>
          <w:szCs w:val="22"/>
        </w:rPr>
        <w:t xml:space="preserve"> </w:t>
      </w:r>
      <w:r w:rsidR="00CE6649">
        <w:rPr>
          <w:sz w:val="22"/>
          <w:szCs w:val="22"/>
        </w:rPr>
        <w:t>A</w:t>
      </w:r>
      <w:r w:rsidR="009225A9">
        <w:rPr>
          <w:sz w:val="22"/>
          <w:szCs w:val="22"/>
        </w:rPr>
        <w:t>ccording to Beanpot, the</w:t>
      </w:r>
      <w:r w:rsidR="00FD0E3F">
        <w:rPr>
          <w:sz w:val="22"/>
          <w:szCs w:val="22"/>
        </w:rPr>
        <w:t xml:space="preserve"> Beanpot Translator is only required to protect the WGBH Translator “while it operated under its implied STA on </w:t>
      </w:r>
      <w:r w:rsidR="00FD0E3F">
        <w:rPr>
          <w:sz w:val="22"/>
          <w:szCs w:val="22"/>
        </w:rPr>
        <w:t>Channel 242” and that such protection “certainly would not apply to any further license modification on its former channel.”</w:t>
      </w:r>
      <w:r>
        <w:rPr>
          <w:rStyle w:val="FootnoteReference"/>
          <w:sz w:val="22"/>
          <w:szCs w:val="22"/>
        </w:rPr>
        <w:footnoteReference w:id="30"/>
      </w:r>
      <w:r w:rsidR="00FD0E3F">
        <w:rPr>
          <w:sz w:val="22"/>
          <w:szCs w:val="22"/>
        </w:rPr>
        <w:t xml:space="preserve"> </w:t>
      </w:r>
    </w:p>
    <w:p w:rsidR="00DF5108" w:rsidP="00D377E7" w14:paraId="3DF4F3F6" w14:textId="2931E717">
      <w:pPr>
        <w:spacing w:after="120"/>
        <w:ind w:firstLine="720"/>
        <w:rPr>
          <w:sz w:val="22"/>
          <w:szCs w:val="22"/>
        </w:rPr>
      </w:pPr>
      <w:r>
        <w:rPr>
          <w:sz w:val="22"/>
          <w:szCs w:val="22"/>
        </w:rPr>
        <w:t>Beanpot also argues that the Second Modification Application is</w:t>
      </w:r>
      <w:r w:rsidR="001C1F7F">
        <w:rPr>
          <w:sz w:val="22"/>
          <w:szCs w:val="22"/>
        </w:rPr>
        <w:t xml:space="preserve"> </w:t>
      </w:r>
      <w:r>
        <w:rPr>
          <w:sz w:val="22"/>
          <w:szCs w:val="22"/>
        </w:rPr>
        <w:t xml:space="preserve">prohibited </w:t>
      </w:r>
      <w:r w:rsidR="001028E4">
        <w:rPr>
          <w:sz w:val="22"/>
          <w:szCs w:val="22"/>
        </w:rPr>
        <w:t xml:space="preserve">as a multiple application </w:t>
      </w:r>
      <w:r>
        <w:rPr>
          <w:sz w:val="22"/>
          <w:szCs w:val="22"/>
        </w:rPr>
        <w:t>under section 73.3520 of the rules</w:t>
      </w:r>
      <w:r w:rsidR="001C1F7F">
        <w:rPr>
          <w:sz w:val="22"/>
          <w:szCs w:val="22"/>
        </w:rPr>
        <w:t>, which sta</w:t>
      </w:r>
      <w:r w:rsidRPr="001C1F7F" w:rsidR="001C1F7F">
        <w:rPr>
          <w:sz w:val="22"/>
          <w:szCs w:val="22"/>
        </w:rPr>
        <w:t>tes that “Where there is one application for new or additional facilities pending, no other application for new or additional facilities for a station of the same class to serve the same community may be filed by the same applicant, or successor or assignee, or on behalf of, or for the benefit of the original parties in interest.</w:t>
      </w:r>
      <w:r w:rsidR="00CC7648">
        <w:rPr>
          <w:sz w:val="22"/>
          <w:szCs w:val="22"/>
        </w:rPr>
        <w:t xml:space="preserve"> </w:t>
      </w:r>
      <w:r w:rsidRPr="001C1F7F" w:rsidR="001C1F7F">
        <w:rPr>
          <w:sz w:val="22"/>
          <w:szCs w:val="22"/>
        </w:rPr>
        <w:t xml:space="preserve"> Multiple applications may not be filed simultaneously.”</w:t>
      </w:r>
      <w:r>
        <w:rPr>
          <w:rStyle w:val="FootnoteReference"/>
          <w:sz w:val="22"/>
          <w:szCs w:val="22"/>
        </w:rPr>
        <w:footnoteReference w:id="31"/>
      </w:r>
      <w:r w:rsidR="001C1F7F">
        <w:rPr>
          <w:sz w:val="22"/>
          <w:szCs w:val="22"/>
        </w:rPr>
        <w:t xml:space="preserve">  </w:t>
      </w:r>
      <w:r w:rsidRPr="001C1F7F" w:rsidR="001C1F7F">
        <w:rPr>
          <w:sz w:val="22"/>
          <w:szCs w:val="22"/>
        </w:rPr>
        <w:t>Beanpot concedes</w:t>
      </w:r>
      <w:r w:rsidR="001C1F7F">
        <w:rPr>
          <w:sz w:val="22"/>
          <w:szCs w:val="22"/>
        </w:rPr>
        <w:t>, however</w:t>
      </w:r>
      <w:r w:rsidR="00EC1353">
        <w:rPr>
          <w:sz w:val="22"/>
          <w:szCs w:val="22"/>
        </w:rPr>
        <w:t>,</w:t>
      </w:r>
      <w:r w:rsidRPr="001C1F7F" w:rsidR="001C1F7F">
        <w:rPr>
          <w:sz w:val="22"/>
          <w:szCs w:val="22"/>
        </w:rPr>
        <w:t xml:space="preserve"> that </w:t>
      </w:r>
      <w:r w:rsidR="00EC1353">
        <w:rPr>
          <w:sz w:val="22"/>
          <w:szCs w:val="22"/>
        </w:rPr>
        <w:t xml:space="preserve">an </w:t>
      </w:r>
      <w:r w:rsidRPr="001C1F7F" w:rsidR="001C1F7F">
        <w:rPr>
          <w:sz w:val="22"/>
          <w:szCs w:val="22"/>
        </w:rPr>
        <w:t xml:space="preserve">applicant </w:t>
      </w:r>
      <w:r w:rsidR="00EC1353">
        <w:rPr>
          <w:sz w:val="22"/>
          <w:szCs w:val="22"/>
        </w:rPr>
        <w:t>may</w:t>
      </w:r>
      <w:r w:rsidRPr="001C1F7F" w:rsidR="001C1F7F">
        <w:rPr>
          <w:sz w:val="22"/>
          <w:szCs w:val="22"/>
        </w:rPr>
        <w:t xml:space="preserve"> file a second modification application </w:t>
      </w:r>
      <w:r w:rsidR="00C762FE">
        <w:rPr>
          <w:sz w:val="22"/>
          <w:szCs w:val="22"/>
        </w:rPr>
        <w:t xml:space="preserve">without violating </w:t>
      </w:r>
      <w:r w:rsidR="00CE6649">
        <w:rPr>
          <w:sz w:val="22"/>
          <w:szCs w:val="22"/>
        </w:rPr>
        <w:t xml:space="preserve">section 73.3520 </w:t>
      </w:r>
      <w:r w:rsidRPr="001C1F7F" w:rsidR="001C1F7F">
        <w:rPr>
          <w:sz w:val="22"/>
          <w:szCs w:val="22"/>
        </w:rPr>
        <w:t xml:space="preserve">if the first application is </w:t>
      </w:r>
      <w:r w:rsidR="00EC1353">
        <w:rPr>
          <w:sz w:val="22"/>
          <w:szCs w:val="22"/>
        </w:rPr>
        <w:t xml:space="preserve">voluntarily </w:t>
      </w:r>
      <w:r w:rsidRPr="001C1F7F" w:rsidR="001C1F7F">
        <w:rPr>
          <w:sz w:val="22"/>
          <w:szCs w:val="22"/>
        </w:rPr>
        <w:t>dismissed</w:t>
      </w:r>
      <w:r w:rsidR="00EC1353">
        <w:rPr>
          <w:sz w:val="22"/>
          <w:szCs w:val="22"/>
        </w:rPr>
        <w:t xml:space="preserve"> by the applicant, as</w:t>
      </w:r>
      <w:r w:rsidR="00B34C55">
        <w:rPr>
          <w:sz w:val="22"/>
          <w:szCs w:val="22"/>
        </w:rPr>
        <w:t xml:space="preserve"> occurred</w:t>
      </w:r>
      <w:r w:rsidR="00EC1353">
        <w:rPr>
          <w:sz w:val="22"/>
          <w:szCs w:val="22"/>
        </w:rPr>
        <w:t xml:space="preserve"> </w:t>
      </w:r>
      <w:r w:rsidR="00CC7648">
        <w:rPr>
          <w:sz w:val="22"/>
          <w:szCs w:val="22"/>
        </w:rPr>
        <w:t xml:space="preserve">when </w:t>
      </w:r>
      <w:r w:rsidR="00493EC5">
        <w:rPr>
          <w:sz w:val="22"/>
          <w:szCs w:val="22"/>
        </w:rPr>
        <w:t>Beanpot voluntarily dismissed a previous modification application in order to file the Beanpot Modification Application</w:t>
      </w:r>
      <w:r w:rsidR="00B304A2">
        <w:rPr>
          <w:sz w:val="22"/>
          <w:szCs w:val="22"/>
        </w:rPr>
        <w:t xml:space="preserve"> for the Beanpot Translator</w:t>
      </w:r>
      <w:r w:rsidRPr="001C1F7F" w:rsidR="001C1F7F">
        <w:rPr>
          <w:sz w:val="22"/>
          <w:szCs w:val="22"/>
        </w:rPr>
        <w:t>.</w:t>
      </w:r>
      <w:r>
        <w:rPr>
          <w:rStyle w:val="FootnoteReference"/>
          <w:sz w:val="22"/>
          <w:szCs w:val="22"/>
        </w:rPr>
        <w:footnoteReference w:id="32"/>
      </w:r>
    </w:p>
    <w:p w:rsidR="00565525" w:rsidP="00D377E7" w14:paraId="354155F1" w14:textId="5E679FBF">
      <w:pPr>
        <w:spacing w:after="120"/>
        <w:ind w:firstLine="720"/>
        <w:rPr>
          <w:sz w:val="22"/>
          <w:szCs w:val="22"/>
        </w:rPr>
      </w:pPr>
      <w:r>
        <w:rPr>
          <w:sz w:val="22"/>
          <w:szCs w:val="22"/>
        </w:rPr>
        <w:t>Finally, Beanpot contends</w:t>
      </w:r>
      <w:r w:rsidR="00E42834">
        <w:rPr>
          <w:sz w:val="22"/>
          <w:szCs w:val="22"/>
        </w:rPr>
        <w:t xml:space="preserve"> that the Second Modification Application </w:t>
      </w:r>
      <w:r>
        <w:rPr>
          <w:sz w:val="22"/>
          <w:szCs w:val="22"/>
        </w:rPr>
        <w:t xml:space="preserve">is incomplete because it </w:t>
      </w:r>
      <w:r w:rsidR="007930DA">
        <w:rPr>
          <w:sz w:val="22"/>
          <w:szCs w:val="22"/>
        </w:rPr>
        <w:t xml:space="preserve">should have </w:t>
      </w:r>
      <w:r w:rsidR="00A45BB9">
        <w:rPr>
          <w:sz w:val="22"/>
          <w:szCs w:val="22"/>
        </w:rPr>
        <w:t xml:space="preserve">contained an </w:t>
      </w:r>
      <w:r w:rsidR="007930DA">
        <w:rPr>
          <w:sz w:val="22"/>
          <w:szCs w:val="22"/>
        </w:rPr>
        <w:t>acknowledge</w:t>
      </w:r>
      <w:r w:rsidR="00A45BB9">
        <w:rPr>
          <w:sz w:val="22"/>
          <w:szCs w:val="22"/>
        </w:rPr>
        <w:t>ment</w:t>
      </w:r>
      <w:r w:rsidR="007930DA">
        <w:rPr>
          <w:sz w:val="22"/>
          <w:szCs w:val="22"/>
        </w:rPr>
        <w:t xml:space="preserve"> that the </w:t>
      </w:r>
      <w:r w:rsidR="000226B3">
        <w:rPr>
          <w:sz w:val="22"/>
          <w:szCs w:val="22"/>
        </w:rPr>
        <w:t xml:space="preserve">increased power requested in the Beanpot Application was only made possible by the First </w:t>
      </w:r>
      <w:r w:rsidR="002E4B8A">
        <w:rPr>
          <w:sz w:val="22"/>
          <w:szCs w:val="22"/>
        </w:rPr>
        <w:t>Modification Application channel change.</w:t>
      </w:r>
      <w:r>
        <w:rPr>
          <w:rStyle w:val="FootnoteReference"/>
          <w:sz w:val="22"/>
          <w:szCs w:val="22"/>
        </w:rPr>
        <w:footnoteReference w:id="33"/>
      </w:r>
      <w:r w:rsidR="002E4B8A">
        <w:rPr>
          <w:sz w:val="22"/>
          <w:szCs w:val="22"/>
        </w:rPr>
        <w:t xml:space="preserve"> </w:t>
      </w:r>
    </w:p>
    <w:p w:rsidR="001B6D28" w:rsidP="00D377E7" w14:paraId="698EDF1F" w14:textId="6656E353">
      <w:pPr>
        <w:spacing w:after="120"/>
        <w:rPr>
          <w:sz w:val="22"/>
          <w:szCs w:val="22"/>
        </w:rPr>
      </w:pPr>
      <w:r>
        <w:rPr>
          <w:sz w:val="22"/>
          <w:szCs w:val="22"/>
        </w:rPr>
        <w:tab/>
      </w:r>
      <w:r w:rsidRPr="00A76621" w:rsidR="00A76621">
        <w:rPr>
          <w:b/>
          <w:bCs/>
          <w:sz w:val="22"/>
          <w:szCs w:val="22"/>
        </w:rPr>
        <w:t xml:space="preserve">Discussion. </w:t>
      </w:r>
      <w:r w:rsidR="00A76621">
        <w:rPr>
          <w:sz w:val="22"/>
          <w:szCs w:val="22"/>
        </w:rPr>
        <w:t xml:space="preserve"> </w:t>
      </w:r>
      <w:r w:rsidR="00371D01">
        <w:rPr>
          <w:sz w:val="22"/>
          <w:szCs w:val="22"/>
        </w:rPr>
        <w:t xml:space="preserve">We find no merit to Beanpot’s objections to the Cancellation Letter </w:t>
      </w:r>
      <w:r w:rsidR="00B34C55">
        <w:rPr>
          <w:sz w:val="22"/>
          <w:szCs w:val="22"/>
        </w:rPr>
        <w:t xml:space="preserve">and </w:t>
      </w:r>
      <w:r w:rsidR="00371D01">
        <w:rPr>
          <w:sz w:val="22"/>
          <w:szCs w:val="22"/>
        </w:rPr>
        <w:t>Second Modification Application</w:t>
      </w:r>
      <w:r w:rsidR="00EE2863">
        <w:rPr>
          <w:sz w:val="22"/>
          <w:szCs w:val="22"/>
        </w:rPr>
        <w:t xml:space="preserve">, as </w:t>
      </w:r>
      <w:r w:rsidR="00220191">
        <w:rPr>
          <w:sz w:val="22"/>
          <w:szCs w:val="22"/>
        </w:rPr>
        <w:t xml:space="preserve">explained </w:t>
      </w:r>
      <w:r w:rsidR="00EE2863">
        <w:rPr>
          <w:sz w:val="22"/>
          <w:szCs w:val="22"/>
        </w:rPr>
        <w:t>below</w:t>
      </w:r>
      <w:r w:rsidR="00371D01">
        <w:rPr>
          <w:sz w:val="22"/>
          <w:szCs w:val="22"/>
        </w:rPr>
        <w:t xml:space="preserve">.  </w:t>
      </w:r>
    </w:p>
    <w:p w:rsidR="00154992" w:rsidP="00D377E7" w14:paraId="362B2AF0" w14:textId="6BC874C8">
      <w:pPr>
        <w:spacing w:after="120"/>
        <w:ind w:firstLine="720"/>
        <w:rPr>
          <w:sz w:val="22"/>
          <w:szCs w:val="22"/>
        </w:rPr>
      </w:pPr>
      <w:r>
        <w:rPr>
          <w:i/>
          <w:iCs/>
          <w:sz w:val="22"/>
          <w:szCs w:val="22"/>
        </w:rPr>
        <w:t xml:space="preserve">Applicability of full service channel change procedure.  </w:t>
      </w:r>
      <w:r w:rsidR="00220191">
        <w:rPr>
          <w:sz w:val="22"/>
          <w:szCs w:val="22"/>
        </w:rPr>
        <w:t>W</w:t>
      </w:r>
      <w:r w:rsidR="00D60EFF">
        <w:rPr>
          <w:sz w:val="22"/>
          <w:szCs w:val="22"/>
        </w:rPr>
        <w:t xml:space="preserve">e reject </w:t>
      </w:r>
      <w:r w:rsidR="00660715">
        <w:rPr>
          <w:sz w:val="22"/>
          <w:szCs w:val="22"/>
        </w:rPr>
        <w:t>Beanpot’s</w:t>
      </w:r>
      <w:r w:rsidR="00D60EFF">
        <w:rPr>
          <w:sz w:val="22"/>
          <w:szCs w:val="22"/>
        </w:rPr>
        <w:t xml:space="preserve"> </w:t>
      </w:r>
      <w:r w:rsidR="001B0026">
        <w:rPr>
          <w:sz w:val="22"/>
          <w:szCs w:val="22"/>
        </w:rPr>
        <w:t xml:space="preserve">contention </w:t>
      </w:r>
      <w:r w:rsidR="00D60EFF">
        <w:rPr>
          <w:sz w:val="22"/>
          <w:szCs w:val="22"/>
        </w:rPr>
        <w:t xml:space="preserve">that </w:t>
      </w:r>
      <w:r w:rsidR="00BC6789">
        <w:rPr>
          <w:sz w:val="22"/>
          <w:szCs w:val="22"/>
        </w:rPr>
        <w:t xml:space="preserve">the </w:t>
      </w:r>
      <w:r w:rsidR="00220191">
        <w:rPr>
          <w:sz w:val="22"/>
          <w:szCs w:val="22"/>
        </w:rPr>
        <w:t>rules</w:t>
      </w:r>
      <w:r w:rsidR="00D85603">
        <w:rPr>
          <w:sz w:val="22"/>
          <w:szCs w:val="22"/>
        </w:rPr>
        <w:t>, statutory considerations,</w:t>
      </w:r>
      <w:r w:rsidR="001B6D28">
        <w:rPr>
          <w:sz w:val="22"/>
          <w:szCs w:val="22"/>
        </w:rPr>
        <w:t xml:space="preserve"> and policies</w:t>
      </w:r>
      <w:r w:rsidR="007010EF">
        <w:rPr>
          <w:sz w:val="22"/>
          <w:szCs w:val="22"/>
        </w:rPr>
        <w:t xml:space="preserve"> </w:t>
      </w:r>
      <w:r w:rsidR="00180186">
        <w:rPr>
          <w:sz w:val="22"/>
          <w:szCs w:val="22"/>
        </w:rPr>
        <w:t>applicable to</w:t>
      </w:r>
      <w:r w:rsidR="007010EF">
        <w:rPr>
          <w:sz w:val="22"/>
          <w:szCs w:val="22"/>
        </w:rPr>
        <w:t xml:space="preserve"> </w:t>
      </w:r>
      <w:r w:rsidR="00501A60">
        <w:rPr>
          <w:sz w:val="22"/>
          <w:szCs w:val="22"/>
        </w:rPr>
        <w:t xml:space="preserve">full service FM </w:t>
      </w:r>
      <w:r>
        <w:rPr>
          <w:sz w:val="22"/>
          <w:szCs w:val="22"/>
        </w:rPr>
        <w:t xml:space="preserve">commercial </w:t>
      </w:r>
      <w:r w:rsidR="00501A60">
        <w:rPr>
          <w:sz w:val="22"/>
          <w:szCs w:val="22"/>
        </w:rPr>
        <w:t xml:space="preserve">channel </w:t>
      </w:r>
      <w:r w:rsidR="00445EB4">
        <w:rPr>
          <w:sz w:val="22"/>
          <w:szCs w:val="22"/>
        </w:rPr>
        <w:t xml:space="preserve">assignments </w:t>
      </w:r>
      <w:r>
        <w:rPr>
          <w:sz w:val="22"/>
          <w:szCs w:val="22"/>
        </w:rPr>
        <w:t xml:space="preserve">should </w:t>
      </w:r>
      <w:r w:rsidR="00D85603">
        <w:rPr>
          <w:sz w:val="22"/>
          <w:szCs w:val="22"/>
        </w:rPr>
        <w:t>also</w:t>
      </w:r>
      <w:r w:rsidR="006553BC">
        <w:rPr>
          <w:sz w:val="22"/>
          <w:szCs w:val="22"/>
        </w:rPr>
        <w:t xml:space="preserve"> </w:t>
      </w:r>
      <w:r w:rsidR="00883D12">
        <w:rPr>
          <w:sz w:val="22"/>
          <w:szCs w:val="22"/>
        </w:rPr>
        <w:t>govern</w:t>
      </w:r>
      <w:r w:rsidR="00BC6789">
        <w:rPr>
          <w:sz w:val="22"/>
          <w:szCs w:val="22"/>
        </w:rPr>
        <w:t xml:space="preserve"> translator</w:t>
      </w:r>
      <w:r w:rsidR="00883D12">
        <w:rPr>
          <w:sz w:val="22"/>
          <w:szCs w:val="22"/>
        </w:rPr>
        <w:t xml:space="preserve"> channel </w:t>
      </w:r>
      <w:r w:rsidR="007B4BF8">
        <w:rPr>
          <w:sz w:val="22"/>
          <w:szCs w:val="22"/>
        </w:rPr>
        <w:t>changes</w:t>
      </w:r>
      <w:r w:rsidR="00BC6789">
        <w:rPr>
          <w:sz w:val="22"/>
          <w:szCs w:val="22"/>
        </w:rPr>
        <w:t>.</w:t>
      </w:r>
      <w:r w:rsidR="00501A60">
        <w:rPr>
          <w:sz w:val="22"/>
          <w:szCs w:val="22"/>
        </w:rPr>
        <w:t xml:space="preserve">  </w:t>
      </w:r>
      <w:r w:rsidR="00CB4535">
        <w:rPr>
          <w:sz w:val="22"/>
          <w:szCs w:val="22"/>
        </w:rPr>
        <w:t xml:space="preserve">The cases cited by </w:t>
      </w:r>
      <w:r>
        <w:rPr>
          <w:sz w:val="22"/>
          <w:szCs w:val="22"/>
        </w:rPr>
        <w:t xml:space="preserve">Beanpot </w:t>
      </w:r>
      <w:r w:rsidR="00CB4535">
        <w:rPr>
          <w:sz w:val="22"/>
          <w:szCs w:val="22"/>
        </w:rPr>
        <w:t>do not support</w:t>
      </w:r>
      <w:r>
        <w:rPr>
          <w:sz w:val="22"/>
          <w:szCs w:val="22"/>
        </w:rPr>
        <w:t xml:space="preserve"> its suggestion that we extend all or part of the full service channel change process to translators, and we decline to do so, for the reasons set out below.  </w:t>
      </w:r>
    </w:p>
    <w:p w:rsidR="00680BBA" w:rsidP="00D377E7" w14:paraId="0CB6D22A" w14:textId="36022CF5">
      <w:pPr>
        <w:spacing w:after="120"/>
        <w:ind w:firstLine="720"/>
        <w:rPr>
          <w:sz w:val="22"/>
          <w:szCs w:val="22"/>
        </w:rPr>
      </w:pPr>
      <w:r>
        <w:rPr>
          <w:sz w:val="22"/>
          <w:szCs w:val="22"/>
        </w:rPr>
        <w:t xml:space="preserve">In brief, the full service channel change process is as follows.  </w:t>
      </w:r>
      <w:r w:rsidR="00EF273B">
        <w:rPr>
          <w:sz w:val="22"/>
          <w:szCs w:val="22"/>
        </w:rPr>
        <w:t>When the Commission grants a</w:t>
      </w:r>
      <w:r w:rsidR="00BD541F">
        <w:rPr>
          <w:sz w:val="22"/>
          <w:szCs w:val="22"/>
        </w:rPr>
        <w:t xml:space="preserve"> channel change</w:t>
      </w:r>
      <w:r w:rsidR="00EF273B">
        <w:rPr>
          <w:sz w:val="22"/>
          <w:szCs w:val="22"/>
        </w:rPr>
        <w:t xml:space="preserve"> modification application</w:t>
      </w:r>
      <w:r w:rsidR="00BD541F">
        <w:rPr>
          <w:sz w:val="22"/>
          <w:szCs w:val="22"/>
        </w:rPr>
        <w:t xml:space="preserve"> for</w:t>
      </w:r>
      <w:r w:rsidR="00EF273B">
        <w:rPr>
          <w:sz w:val="22"/>
          <w:szCs w:val="22"/>
        </w:rPr>
        <w:t xml:space="preserve"> a full-service FM commercial station</w:t>
      </w:r>
      <w:r w:rsidR="00BD541F">
        <w:rPr>
          <w:sz w:val="22"/>
          <w:szCs w:val="22"/>
        </w:rPr>
        <w:t>, it concurrently modifies the station’s license</w:t>
      </w:r>
      <w:r w:rsidR="00D44511">
        <w:rPr>
          <w:sz w:val="22"/>
          <w:szCs w:val="22"/>
        </w:rPr>
        <w:t xml:space="preserve"> (</w:t>
      </w:r>
      <w:r w:rsidR="00BD541F">
        <w:rPr>
          <w:sz w:val="22"/>
          <w:szCs w:val="22"/>
        </w:rPr>
        <w:t>either by order, letter decision, or as a condition of the resulting construction permit</w:t>
      </w:r>
      <w:r w:rsidR="00D44511">
        <w:rPr>
          <w:sz w:val="22"/>
          <w:szCs w:val="22"/>
        </w:rPr>
        <w:t>)</w:t>
      </w:r>
      <w:r w:rsidR="00BD541F">
        <w:rPr>
          <w:sz w:val="22"/>
          <w:szCs w:val="22"/>
        </w:rPr>
        <w:t>.</w:t>
      </w:r>
      <w:r>
        <w:rPr>
          <w:rStyle w:val="FootnoteReference"/>
          <w:sz w:val="22"/>
          <w:szCs w:val="22"/>
        </w:rPr>
        <w:footnoteReference w:id="34"/>
      </w:r>
      <w:r w:rsidR="00BD541F">
        <w:rPr>
          <w:sz w:val="22"/>
          <w:szCs w:val="22"/>
        </w:rPr>
        <w:t xml:space="preserve"> </w:t>
      </w:r>
      <w:r w:rsidR="00EF273B">
        <w:rPr>
          <w:sz w:val="22"/>
          <w:szCs w:val="22"/>
        </w:rPr>
        <w:t xml:space="preserve"> </w:t>
      </w:r>
      <w:r w:rsidR="00BD541F">
        <w:rPr>
          <w:sz w:val="22"/>
          <w:szCs w:val="22"/>
        </w:rPr>
        <w:t>As</w:t>
      </w:r>
      <w:r w:rsidR="00B73993">
        <w:rPr>
          <w:sz w:val="22"/>
          <w:szCs w:val="22"/>
        </w:rPr>
        <w:t xml:space="preserve"> seen in</w:t>
      </w:r>
      <w:r w:rsidR="00BD541F">
        <w:rPr>
          <w:sz w:val="22"/>
          <w:szCs w:val="22"/>
        </w:rPr>
        <w:t xml:space="preserve"> the </w:t>
      </w:r>
      <w:r w:rsidR="00BD541F">
        <w:rPr>
          <w:i/>
          <w:iCs/>
          <w:sz w:val="22"/>
          <w:szCs w:val="22"/>
        </w:rPr>
        <w:t xml:space="preserve">Krum </w:t>
      </w:r>
      <w:r w:rsidR="00BD541F">
        <w:rPr>
          <w:sz w:val="22"/>
          <w:szCs w:val="22"/>
        </w:rPr>
        <w:t xml:space="preserve">and </w:t>
      </w:r>
      <w:r w:rsidR="00BD541F">
        <w:rPr>
          <w:i/>
          <w:iCs/>
          <w:sz w:val="22"/>
          <w:szCs w:val="22"/>
        </w:rPr>
        <w:t xml:space="preserve">Price </w:t>
      </w:r>
      <w:r w:rsidR="00BD541F">
        <w:rPr>
          <w:sz w:val="22"/>
          <w:szCs w:val="22"/>
        </w:rPr>
        <w:t xml:space="preserve">decisions, this license modification creates an obligation to move to the new (licensed) channel; the station retains only an implied STA to continue to </w:t>
      </w:r>
      <w:r w:rsidR="004C27D8">
        <w:rPr>
          <w:sz w:val="22"/>
          <w:szCs w:val="22"/>
        </w:rPr>
        <w:t>o</w:t>
      </w:r>
      <w:r w:rsidR="00BD541F">
        <w:rPr>
          <w:sz w:val="22"/>
          <w:szCs w:val="22"/>
        </w:rPr>
        <w:t>perate on its former channel</w:t>
      </w:r>
      <w:r w:rsidR="00B43EA7">
        <w:rPr>
          <w:sz w:val="22"/>
          <w:szCs w:val="22"/>
        </w:rPr>
        <w:t>.</w:t>
      </w:r>
      <w:r>
        <w:rPr>
          <w:rStyle w:val="FootnoteReference"/>
          <w:sz w:val="22"/>
          <w:szCs w:val="22"/>
        </w:rPr>
        <w:footnoteReference w:id="35"/>
      </w:r>
      <w:r w:rsidR="00D6756C">
        <w:rPr>
          <w:sz w:val="22"/>
          <w:szCs w:val="22"/>
        </w:rPr>
        <w:t xml:space="preserve">  </w:t>
      </w:r>
      <w:r>
        <w:rPr>
          <w:sz w:val="22"/>
          <w:szCs w:val="22"/>
        </w:rPr>
        <w:t>Th</w:t>
      </w:r>
      <w:r w:rsidR="00CB4535">
        <w:rPr>
          <w:sz w:val="22"/>
          <w:szCs w:val="22"/>
        </w:rPr>
        <w:t>e</w:t>
      </w:r>
      <w:r>
        <w:rPr>
          <w:sz w:val="22"/>
          <w:szCs w:val="22"/>
        </w:rPr>
        <w:t xml:space="preserve"> obligation to change channel inheres whether the </w:t>
      </w:r>
      <w:r w:rsidR="006C3025">
        <w:rPr>
          <w:sz w:val="22"/>
          <w:szCs w:val="22"/>
        </w:rPr>
        <w:t xml:space="preserve">ordered </w:t>
      </w:r>
      <w:r>
        <w:rPr>
          <w:sz w:val="22"/>
          <w:szCs w:val="22"/>
        </w:rPr>
        <w:t>channel change is voluntary or involuntary.</w:t>
      </w:r>
      <w:r>
        <w:rPr>
          <w:rStyle w:val="FootnoteReference"/>
          <w:sz w:val="22"/>
          <w:szCs w:val="22"/>
        </w:rPr>
        <w:footnoteReference w:id="36"/>
      </w:r>
      <w:r>
        <w:rPr>
          <w:sz w:val="22"/>
          <w:szCs w:val="22"/>
        </w:rPr>
        <w:t xml:space="preserve"> </w:t>
      </w:r>
    </w:p>
    <w:p w:rsidR="006667D9" w:rsidP="00D377E7" w14:paraId="0F33785C" w14:textId="0194367D">
      <w:pPr>
        <w:spacing w:after="120"/>
        <w:ind w:firstLine="720"/>
        <w:rPr>
          <w:sz w:val="22"/>
          <w:szCs w:val="22"/>
        </w:rPr>
      </w:pPr>
      <w:r>
        <w:rPr>
          <w:sz w:val="22"/>
          <w:szCs w:val="22"/>
        </w:rPr>
        <w:t>In contrast</w:t>
      </w:r>
      <w:r w:rsidR="00490290">
        <w:rPr>
          <w:sz w:val="22"/>
          <w:szCs w:val="22"/>
        </w:rPr>
        <w:t>, when the Commission issues a construction permit for a translator channel change, the station’s license is not modified until</w:t>
      </w:r>
      <w:r w:rsidR="002B1815">
        <w:rPr>
          <w:sz w:val="22"/>
          <w:szCs w:val="22"/>
        </w:rPr>
        <w:t xml:space="preserve"> the permittee </w:t>
      </w:r>
      <w:r w:rsidR="00490290">
        <w:rPr>
          <w:sz w:val="22"/>
          <w:szCs w:val="22"/>
        </w:rPr>
        <w:t>voluntarily</w:t>
      </w:r>
      <w:r w:rsidR="002B1815">
        <w:rPr>
          <w:sz w:val="22"/>
          <w:szCs w:val="22"/>
        </w:rPr>
        <w:t xml:space="preserve"> construct</w:t>
      </w:r>
      <w:r w:rsidR="00490290">
        <w:rPr>
          <w:sz w:val="22"/>
          <w:szCs w:val="22"/>
        </w:rPr>
        <w:t>s</w:t>
      </w:r>
      <w:r w:rsidR="002B1815">
        <w:rPr>
          <w:sz w:val="22"/>
          <w:szCs w:val="22"/>
        </w:rPr>
        <w:t xml:space="preserve"> </w:t>
      </w:r>
      <w:r w:rsidR="00490290">
        <w:rPr>
          <w:sz w:val="22"/>
          <w:szCs w:val="22"/>
        </w:rPr>
        <w:t>the</w:t>
      </w:r>
      <w:r w:rsidR="002B1815">
        <w:rPr>
          <w:sz w:val="22"/>
          <w:szCs w:val="22"/>
        </w:rPr>
        <w:t xml:space="preserve"> proposed facility and </w:t>
      </w:r>
      <w:r w:rsidR="00BD541F">
        <w:rPr>
          <w:sz w:val="22"/>
          <w:szCs w:val="22"/>
        </w:rPr>
        <w:t xml:space="preserve">applies for </w:t>
      </w:r>
      <w:r w:rsidR="00490290">
        <w:rPr>
          <w:sz w:val="22"/>
          <w:szCs w:val="22"/>
        </w:rPr>
        <w:t xml:space="preserve">a </w:t>
      </w:r>
      <w:r w:rsidR="002B1815">
        <w:rPr>
          <w:sz w:val="22"/>
          <w:szCs w:val="22"/>
        </w:rPr>
        <w:t>license to cover</w:t>
      </w:r>
      <w:r w:rsidR="00CB7437">
        <w:rPr>
          <w:sz w:val="22"/>
          <w:szCs w:val="22"/>
        </w:rPr>
        <w:t xml:space="preserve">. </w:t>
      </w:r>
      <w:r w:rsidR="00DE7367">
        <w:rPr>
          <w:sz w:val="22"/>
          <w:szCs w:val="22"/>
        </w:rPr>
        <w:t xml:space="preserve"> </w:t>
      </w:r>
      <w:r w:rsidR="00490290">
        <w:rPr>
          <w:sz w:val="22"/>
          <w:szCs w:val="22"/>
        </w:rPr>
        <w:t>In this situation</w:t>
      </w:r>
      <w:r w:rsidR="002B1815">
        <w:rPr>
          <w:sz w:val="22"/>
          <w:szCs w:val="22"/>
        </w:rPr>
        <w:t>, the</w:t>
      </w:r>
      <w:r w:rsidR="00D93D3D">
        <w:rPr>
          <w:sz w:val="22"/>
          <w:szCs w:val="22"/>
        </w:rPr>
        <w:t xml:space="preserve"> </w:t>
      </w:r>
      <w:r w:rsidR="00A27088">
        <w:rPr>
          <w:sz w:val="22"/>
          <w:szCs w:val="22"/>
        </w:rPr>
        <w:t xml:space="preserve">consequence </w:t>
      </w:r>
      <w:r w:rsidR="00934715">
        <w:rPr>
          <w:sz w:val="22"/>
          <w:szCs w:val="22"/>
        </w:rPr>
        <w:t>of a</w:t>
      </w:r>
      <w:r w:rsidR="00A27088">
        <w:rPr>
          <w:sz w:val="22"/>
          <w:szCs w:val="22"/>
        </w:rPr>
        <w:t xml:space="preserve"> </w:t>
      </w:r>
      <w:r w:rsidR="00826F74">
        <w:rPr>
          <w:sz w:val="22"/>
          <w:szCs w:val="22"/>
        </w:rPr>
        <w:t xml:space="preserve">failure to construct </w:t>
      </w:r>
      <w:r w:rsidR="00C64D31">
        <w:rPr>
          <w:sz w:val="22"/>
          <w:szCs w:val="22"/>
        </w:rPr>
        <w:t xml:space="preserve">by the </w:t>
      </w:r>
      <w:r>
        <w:rPr>
          <w:sz w:val="22"/>
          <w:szCs w:val="22"/>
        </w:rPr>
        <w:t xml:space="preserve">authorized </w:t>
      </w:r>
      <w:r w:rsidR="00C64D31">
        <w:rPr>
          <w:sz w:val="22"/>
          <w:szCs w:val="22"/>
        </w:rPr>
        <w:t>deadline</w:t>
      </w:r>
      <w:r w:rsidR="00934715">
        <w:rPr>
          <w:sz w:val="22"/>
          <w:szCs w:val="22"/>
        </w:rPr>
        <w:t xml:space="preserve"> is</w:t>
      </w:r>
      <w:r w:rsidR="000979CB">
        <w:rPr>
          <w:sz w:val="22"/>
          <w:szCs w:val="22"/>
        </w:rPr>
        <w:t xml:space="preserve"> merely the</w:t>
      </w:r>
      <w:r w:rsidR="00A27088">
        <w:rPr>
          <w:sz w:val="22"/>
          <w:szCs w:val="22"/>
        </w:rPr>
        <w:t xml:space="preserve"> </w:t>
      </w:r>
      <w:r w:rsidR="00C65C02">
        <w:rPr>
          <w:sz w:val="22"/>
          <w:szCs w:val="22"/>
        </w:rPr>
        <w:t>expiration of  the construction permit</w:t>
      </w:r>
      <w:r w:rsidR="000979CB">
        <w:rPr>
          <w:sz w:val="22"/>
          <w:szCs w:val="22"/>
        </w:rPr>
        <w:t>,</w:t>
      </w:r>
      <w:r w:rsidR="00C65C02">
        <w:rPr>
          <w:sz w:val="22"/>
          <w:szCs w:val="22"/>
        </w:rPr>
        <w:t xml:space="preserve"> without an impact on the underlying license</w:t>
      </w:r>
      <w:r w:rsidR="00180186">
        <w:rPr>
          <w:sz w:val="22"/>
          <w:szCs w:val="22"/>
        </w:rPr>
        <w:t>.</w:t>
      </w:r>
      <w:r>
        <w:rPr>
          <w:rStyle w:val="FootnoteReference"/>
          <w:sz w:val="22"/>
          <w:szCs w:val="22"/>
        </w:rPr>
        <w:footnoteReference w:id="37"/>
      </w:r>
      <w:r w:rsidR="00826F74">
        <w:rPr>
          <w:sz w:val="22"/>
          <w:szCs w:val="22"/>
        </w:rPr>
        <w:t xml:space="preserve">  </w:t>
      </w:r>
      <w:r w:rsidR="00BD541F">
        <w:rPr>
          <w:sz w:val="22"/>
          <w:szCs w:val="22"/>
        </w:rPr>
        <w:t>If</w:t>
      </w:r>
      <w:r w:rsidR="00826F74">
        <w:rPr>
          <w:sz w:val="22"/>
          <w:szCs w:val="22"/>
        </w:rPr>
        <w:t xml:space="preserve"> a </w:t>
      </w:r>
      <w:r w:rsidR="00D93D3D">
        <w:rPr>
          <w:sz w:val="22"/>
          <w:szCs w:val="22"/>
        </w:rPr>
        <w:t xml:space="preserve">translator </w:t>
      </w:r>
      <w:r w:rsidR="00826F74">
        <w:rPr>
          <w:sz w:val="22"/>
          <w:szCs w:val="22"/>
        </w:rPr>
        <w:t xml:space="preserve">permittee </w:t>
      </w:r>
      <w:r w:rsidR="00A41E75">
        <w:rPr>
          <w:sz w:val="22"/>
          <w:szCs w:val="22"/>
        </w:rPr>
        <w:t>determines</w:t>
      </w:r>
      <w:r w:rsidR="00826F74">
        <w:rPr>
          <w:sz w:val="22"/>
          <w:szCs w:val="22"/>
        </w:rPr>
        <w:t xml:space="preserve"> prior to </w:t>
      </w:r>
      <w:r w:rsidR="004B17D6">
        <w:rPr>
          <w:sz w:val="22"/>
          <w:szCs w:val="22"/>
        </w:rPr>
        <w:t xml:space="preserve">permit </w:t>
      </w:r>
      <w:r w:rsidR="00826F74">
        <w:rPr>
          <w:sz w:val="22"/>
          <w:szCs w:val="22"/>
        </w:rPr>
        <w:t xml:space="preserve">expiration that it will not construct as authorized, </w:t>
      </w:r>
      <w:r w:rsidR="002B1815">
        <w:rPr>
          <w:sz w:val="22"/>
          <w:szCs w:val="22"/>
        </w:rPr>
        <w:t>the Commission will routi</w:t>
      </w:r>
      <w:r w:rsidR="00D93D3D">
        <w:rPr>
          <w:sz w:val="22"/>
          <w:szCs w:val="22"/>
        </w:rPr>
        <w:t xml:space="preserve">nely </w:t>
      </w:r>
      <w:r w:rsidR="00D0437A">
        <w:rPr>
          <w:sz w:val="22"/>
          <w:szCs w:val="22"/>
        </w:rPr>
        <w:t>cancel</w:t>
      </w:r>
      <w:r w:rsidR="002B1815">
        <w:rPr>
          <w:sz w:val="22"/>
          <w:szCs w:val="22"/>
        </w:rPr>
        <w:t xml:space="preserve"> its</w:t>
      </w:r>
      <w:r w:rsidR="00CB7437">
        <w:rPr>
          <w:sz w:val="22"/>
          <w:szCs w:val="22"/>
        </w:rPr>
        <w:t xml:space="preserve"> </w:t>
      </w:r>
      <w:r w:rsidR="00D0437A">
        <w:rPr>
          <w:sz w:val="22"/>
          <w:szCs w:val="22"/>
        </w:rPr>
        <w:t xml:space="preserve">construction permit </w:t>
      </w:r>
      <w:r w:rsidR="002B1815">
        <w:rPr>
          <w:sz w:val="22"/>
          <w:szCs w:val="22"/>
        </w:rPr>
        <w:t xml:space="preserve">upon </w:t>
      </w:r>
      <w:r w:rsidR="00D0437A">
        <w:rPr>
          <w:sz w:val="22"/>
          <w:szCs w:val="22"/>
        </w:rPr>
        <w:t>request</w:t>
      </w:r>
      <w:r w:rsidR="00C64D31">
        <w:rPr>
          <w:sz w:val="22"/>
          <w:szCs w:val="22"/>
        </w:rPr>
        <w:t>, thus enabling</w:t>
      </w:r>
      <w:r w:rsidR="00D70F39">
        <w:rPr>
          <w:sz w:val="22"/>
          <w:szCs w:val="22"/>
        </w:rPr>
        <w:t xml:space="preserve"> the same or another applicant to file</w:t>
      </w:r>
      <w:r w:rsidR="00C64D31">
        <w:rPr>
          <w:sz w:val="22"/>
          <w:szCs w:val="22"/>
        </w:rPr>
        <w:t xml:space="preserve"> </w:t>
      </w:r>
      <w:r w:rsidR="00D70F39">
        <w:rPr>
          <w:sz w:val="22"/>
          <w:szCs w:val="22"/>
        </w:rPr>
        <w:t xml:space="preserve">an </w:t>
      </w:r>
      <w:r w:rsidR="00C64D31">
        <w:rPr>
          <w:sz w:val="22"/>
          <w:szCs w:val="22"/>
        </w:rPr>
        <w:t>otherwise mutually exclusive applicatio</w:t>
      </w:r>
      <w:r w:rsidR="00D70F39">
        <w:rPr>
          <w:sz w:val="22"/>
          <w:szCs w:val="22"/>
        </w:rPr>
        <w:t>n</w:t>
      </w:r>
      <w:r w:rsidR="00C64D31">
        <w:rPr>
          <w:sz w:val="22"/>
          <w:szCs w:val="22"/>
        </w:rPr>
        <w:t>.</w:t>
      </w:r>
      <w:r>
        <w:rPr>
          <w:rStyle w:val="FootnoteReference"/>
          <w:sz w:val="22"/>
          <w:szCs w:val="22"/>
        </w:rPr>
        <w:footnoteReference w:id="38"/>
      </w:r>
      <w:r w:rsidR="00C65C02">
        <w:rPr>
          <w:sz w:val="22"/>
          <w:szCs w:val="22"/>
        </w:rPr>
        <w:t xml:space="preserve">  As is the case with </w:t>
      </w:r>
      <w:r w:rsidR="00180186">
        <w:rPr>
          <w:sz w:val="22"/>
          <w:szCs w:val="22"/>
        </w:rPr>
        <w:t xml:space="preserve">a </w:t>
      </w:r>
      <w:r w:rsidR="00C65C02">
        <w:rPr>
          <w:sz w:val="22"/>
          <w:szCs w:val="22"/>
        </w:rPr>
        <w:t xml:space="preserve">failure to construct, a voluntary cancellation of </w:t>
      </w:r>
      <w:r w:rsidR="00180186">
        <w:rPr>
          <w:sz w:val="22"/>
          <w:szCs w:val="22"/>
        </w:rPr>
        <w:t xml:space="preserve">a </w:t>
      </w:r>
      <w:r w:rsidR="00C65C02">
        <w:rPr>
          <w:sz w:val="22"/>
          <w:szCs w:val="22"/>
        </w:rPr>
        <w:t>construction permit does not impact the station</w:t>
      </w:r>
      <w:r w:rsidR="00180186">
        <w:rPr>
          <w:sz w:val="22"/>
          <w:szCs w:val="22"/>
        </w:rPr>
        <w:t>’</w:t>
      </w:r>
      <w:r w:rsidR="00C65C02">
        <w:rPr>
          <w:sz w:val="22"/>
          <w:szCs w:val="22"/>
        </w:rPr>
        <w:t>s previously existing license.</w:t>
      </w:r>
      <w:r w:rsidR="00180186">
        <w:rPr>
          <w:sz w:val="22"/>
          <w:szCs w:val="22"/>
        </w:rPr>
        <w:t xml:space="preserve">  </w:t>
      </w:r>
      <w:r w:rsidR="00B769A8">
        <w:rPr>
          <w:sz w:val="22"/>
          <w:szCs w:val="22"/>
        </w:rPr>
        <w:t>Therefore, in this case</w:t>
      </w:r>
      <w:r w:rsidR="000979CB">
        <w:rPr>
          <w:sz w:val="22"/>
          <w:szCs w:val="22"/>
        </w:rPr>
        <w:t xml:space="preserve">, we find that </w:t>
      </w:r>
      <w:r w:rsidR="00CD0D87">
        <w:rPr>
          <w:sz w:val="22"/>
          <w:szCs w:val="22"/>
        </w:rPr>
        <w:t xml:space="preserve">WGBH is not required to construct the facilities authorized in the </w:t>
      </w:r>
      <w:r w:rsidR="000979CB">
        <w:rPr>
          <w:sz w:val="22"/>
          <w:szCs w:val="22"/>
        </w:rPr>
        <w:t xml:space="preserve">WGBH </w:t>
      </w:r>
      <w:r w:rsidR="00CD0D87">
        <w:rPr>
          <w:sz w:val="22"/>
          <w:szCs w:val="22"/>
        </w:rPr>
        <w:t>Construction Permit</w:t>
      </w:r>
      <w:r w:rsidR="000979CB">
        <w:rPr>
          <w:sz w:val="22"/>
          <w:szCs w:val="22"/>
        </w:rPr>
        <w:t xml:space="preserve"> and may surrender it at will</w:t>
      </w:r>
      <w:r w:rsidR="00CD0D87">
        <w:rPr>
          <w:sz w:val="22"/>
          <w:szCs w:val="22"/>
        </w:rPr>
        <w:t xml:space="preserve">. </w:t>
      </w:r>
    </w:p>
    <w:p w:rsidR="00D0437A" w:rsidP="00D377E7" w14:paraId="41F506FD" w14:textId="6BD6316C">
      <w:pPr>
        <w:spacing w:after="120"/>
        <w:ind w:firstLine="720"/>
        <w:rPr>
          <w:sz w:val="22"/>
          <w:szCs w:val="22"/>
        </w:rPr>
      </w:pPr>
      <w:r>
        <w:rPr>
          <w:i/>
          <w:iCs/>
          <w:sz w:val="22"/>
          <w:szCs w:val="22"/>
        </w:rPr>
        <w:t xml:space="preserve">Multiple applications.  </w:t>
      </w:r>
      <w:r w:rsidR="000979CB">
        <w:rPr>
          <w:sz w:val="22"/>
          <w:szCs w:val="22"/>
        </w:rPr>
        <w:t>S</w:t>
      </w:r>
      <w:r>
        <w:rPr>
          <w:sz w:val="22"/>
          <w:szCs w:val="22"/>
        </w:rPr>
        <w:t>ection 73.3520</w:t>
      </w:r>
      <w:r>
        <w:rPr>
          <w:sz w:val="22"/>
          <w:szCs w:val="22"/>
        </w:rPr>
        <w:t>, which</w:t>
      </w:r>
      <w:r>
        <w:rPr>
          <w:sz w:val="22"/>
          <w:szCs w:val="22"/>
        </w:rPr>
        <w:t xml:space="preserve"> </w:t>
      </w:r>
      <w:r>
        <w:rPr>
          <w:sz w:val="22"/>
          <w:szCs w:val="22"/>
        </w:rPr>
        <w:t xml:space="preserve">prohibits the filing by the same applicant of an application for a station of the same class to serve the same community, </w:t>
      </w:r>
      <w:r w:rsidR="0088526D">
        <w:rPr>
          <w:sz w:val="22"/>
          <w:szCs w:val="22"/>
        </w:rPr>
        <w:t>does not preclude</w:t>
      </w:r>
      <w:r>
        <w:rPr>
          <w:sz w:val="22"/>
          <w:szCs w:val="22"/>
        </w:rPr>
        <w:t xml:space="preserve"> grant of the Second Modification Application</w:t>
      </w:r>
      <w:r w:rsidR="00BA29B7">
        <w:rPr>
          <w:sz w:val="22"/>
          <w:szCs w:val="22"/>
        </w:rPr>
        <w:t>.</w:t>
      </w:r>
      <w:r>
        <w:rPr>
          <w:rStyle w:val="FootnoteReference"/>
          <w:sz w:val="22"/>
          <w:szCs w:val="22"/>
        </w:rPr>
        <w:footnoteReference w:id="39"/>
      </w:r>
      <w:r w:rsidR="00BA29B7">
        <w:rPr>
          <w:sz w:val="22"/>
          <w:szCs w:val="22"/>
        </w:rPr>
        <w:t xml:space="preserve">  </w:t>
      </w:r>
      <w:r>
        <w:rPr>
          <w:sz w:val="22"/>
          <w:szCs w:val="22"/>
        </w:rPr>
        <w:t>Section 73.3520</w:t>
      </w:r>
      <w:r w:rsidR="00BA29B7">
        <w:rPr>
          <w:sz w:val="22"/>
          <w:szCs w:val="22"/>
        </w:rPr>
        <w:t xml:space="preserve"> reflects the Commission’s intent to expedite its processing procedures “by avoiding the disruption of having two inconsistent applications contemporaneously being studie</w:t>
      </w:r>
      <w:r w:rsidR="00654967">
        <w:rPr>
          <w:sz w:val="22"/>
          <w:szCs w:val="22"/>
        </w:rPr>
        <w:t>d</w:t>
      </w:r>
      <w:r w:rsidR="00BA29B7">
        <w:rPr>
          <w:sz w:val="22"/>
          <w:szCs w:val="22"/>
        </w:rPr>
        <w:t xml:space="preserve"> by the staff” when only one can be granted.</w:t>
      </w:r>
      <w:r>
        <w:rPr>
          <w:rStyle w:val="FootnoteReference"/>
          <w:sz w:val="22"/>
          <w:szCs w:val="22"/>
        </w:rPr>
        <w:footnoteReference w:id="40"/>
      </w:r>
      <w:r w:rsidR="00BA29B7">
        <w:rPr>
          <w:sz w:val="22"/>
          <w:szCs w:val="22"/>
        </w:rPr>
        <w:t xml:space="preserve"> </w:t>
      </w:r>
      <w:r w:rsidR="009E5C42">
        <w:rPr>
          <w:sz w:val="22"/>
          <w:szCs w:val="22"/>
        </w:rPr>
        <w:t xml:space="preserve"> </w:t>
      </w:r>
      <w:r w:rsidR="00654967">
        <w:rPr>
          <w:sz w:val="22"/>
          <w:szCs w:val="22"/>
        </w:rPr>
        <w:t>T</w:t>
      </w:r>
      <w:r w:rsidR="009E5C42">
        <w:rPr>
          <w:sz w:val="22"/>
          <w:szCs w:val="22"/>
        </w:rPr>
        <w:t>he Commission has long</w:t>
      </w:r>
      <w:r w:rsidR="00436699">
        <w:rPr>
          <w:sz w:val="22"/>
          <w:szCs w:val="22"/>
        </w:rPr>
        <w:t xml:space="preserve"> allowed applicants</w:t>
      </w:r>
      <w:r w:rsidR="0088526D">
        <w:rPr>
          <w:sz w:val="22"/>
          <w:szCs w:val="22"/>
        </w:rPr>
        <w:t xml:space="preserve"> in all services</w:t>
      </w:r>
      <w:r w:rsidR="00436699">
        <w:rPr>
          <w:sz w:val="22"/>
          <w:szCs w:val="22"/>
        </w:rPr>
        <w:t xml:space="preserve"> to resolve </w:t>
      </w:r>
      <w:r w:rsidR="0062587A">
        <w:rPr>
          <w:sz w:val="22"/>
          <w:szCs w:val="22"/>
        </w:rPr>
        <w:t xml:space="preserve">section 73.3520 </w:t>
      </w:r>
      <w:r w:rsidR="00436699">
        <w:rPr>
          <w:sz w:val="22"/>
          <w:szCs w:val="22"/>
        </w:rPr>
        <w:t>conflicts by choosing not to prosecute one of the applications involved.</w:t>
      </w:r>
      <w:r>
        <w:rPr>
          <w:rStyle w:val="FootnoteReference"/>
          <w:sz w:val="22"/>
          <w:szCs w:val="22"/>
        </w:rPr>
        <w:footnoteReference w:id="41"/>
      </w:r>
      <w:r>
        <w:rPr>
          <w:sz w:val="22"/>
          <w:szCs w:val="22"/>
        </w:rPr>
        <w:t xml:space="preserve"> </w:t>
      </w:r>
      <w:r w:rsidR="00436699">
        <w:rPr>
          <w:sz w:val="22"/>
          <w:szCs w:val="22"/>
        </w:rPr>
        <w:t xml:space="preserve"> </w:t>
      </w:r>
      <w:r w:rsidR="00654967">
        <w:rPr>
          <w:sz w:val="22"/>
          <w:szCs w:val="22"/>
        </w:rPr>
        <w:t xml:space="preserve">Here, </w:t>
      </w:r>
      <w:r w:rsidR="0032149E">
        <w:rPr>
          <w:sz w:val="22"/>
          <w:szCs w:val="22"/>
        </w:rPr>
        <w:t>WGBH</w:t>
      </w:r>
      <w:r>
        <w:rPr>
          <w:sz w:val="22"/>
          <w:szCs w:val="22"/>
        </w:rPr>
        <w:t xml:space="preserve">’s surrender of the WGBH Construction Permit eliminated any conflict with </w:t>
      </w:r>
      <w:r w:rsidR="0032149E">
        <w:rPr>
          <w:sz w:val="22"/>
          <w:szCs w:val="22"/>
        </w:rPr>
        <w:t xml:space="preserve">the Second Modification Application. </w:t>
      </w:r>
    </w:p>
    <w:p w:rsidR="001D35DD" w:rsidP="0097467C" w14:paraId="247A80D9" w14:textId="0EB33F76">
      <w:pPr>
        <w:spacing w:after="120"/>
        <w:ind w:firstLine="720"/>
        <w:rPr>
          <w:sz w:val="22"/>
          <w:szCs w:val="22"/>
        </w:rPr>
      </w:pPr>
      <w:r>
        <w:rPr>
          <w:i/>
          <w:iCs/>
          <w:sz w:val="22"/>
          <w:szCs w:val="22"/>
        </w:rPr>
        <w:t xml:space="preserve">Contingency.  </w:t>
      </w:r>
      <w:r>
        <w:rPr>
          <w:sz w:val="22"/>
          <w:szCs w:val="22"/>
        </w:rPr>
        <w:t xml:space="preserve">We reject Beanpot’s argument that the Second Modification Application should have included </w:t>
      </w:r>
      <w:r w:rsidR="008D2C1F">
        <w:rPr>
          <w:sz w:val="22"/>
          <w:szCs w:val="22"/>
        </w:rPr>
        <w:t xml:space="preserve">more </w:t>
      </w:r>
      <w:r>
        <w:rPr>
          <w:sz w:val="22"/>
          <w:szCs w:val="22"/>
        </w:rPr>
        <w:t xml:space="preserve">information </w:t>
      </w:r>
      <w:r w:rsidR="008D2C1F">
        <w:rPr>
          <w:sz w:val="22"/>
          <w:szCs w:val="22"/>
        </w:rPr>
        <w:t xml:space="preserve">about its </w:t>
      </w:r>
      <w:r w:rsidR="00654967">
        <w:rPr>
          <w:sz w:val="22"/>
          <w:szCs w:val="22"/>
        </w:rPr>
        <w:t>interaction with</w:t>
      </w:r>
      <w:r>
        <w:rPr>
          <w:sz w:val="22"/>
          <w:szCs w:val="22"/>
        </w:rPr>
        <w:t xml:space="preserve"> the Beanpot Modification Application</w:t>
      </w:r>
      <w:r w:rsidR="00C75AF5">
        <w:rPr>
          <w:sz w:val="22"/>
          <w:szCs w:val="22"/>
        </w:rPr>
        <w:t xml:space="preserve">.  As </w:t>
      </w:r>
      <w:r>
        <w:rPr>
          <w:sz w:val="22"/>
          <w:szCs w:val="22"/>
        </w:rPr>
        <w:t xml:space="preserve">the </w:t>
      </w:r>
      <w:r w:rsidR="008D2C1F">
        <w:rPr>
          <w:sz w:val="22"/>
          <w:szCs w:val="22"/>
        </w:rPr>
        <w:t>Beanpot Contingency Condition</w:t>
      </w:r>
      <w:r>
        <w:rPr>
          <w:sz w:val="22"/>
          <w:szCs w:val="22"/>
        </w:rPr>
        <w:t xml:space="preserve"> acknowledges</w:t>
      </w:r>
      <w:r w:rsidR="008D2C1F">
        <w:rPr>
          <w:sz w:val="22"/>
          <w:szCs w:val="22"/>
        </w:rPr>
        <w:t>, the</w:t>
      </w:r>
      <w:r>
        <w:rPr>
          <w:sz w:val="22"/>
          <w:szCs w:val="22"/>
        </w:rPr>
        <w:t xml:space="preserve"> Beanpot Modification Application</w:t>
      </w:r>
      <w:r w:rsidR="008D2C1F">
        <w:rPr>
          <w:sz w:val="22"/>
          <w:szCs w:val="22"/>
        </w:rPr>
        <w:t xml:space="preserve"> </w:t>
      </w:r>
      <w:r>
        <w:rPr>
          <w:sz w:val="22"/>
          <w:szCs w:val="22"/>
        </w:rPr>
        <w:t xml:space="preserve">is </w:t>
      </w:r>
      <w:r w:rsidR="00654967">
        <w:rPr>
          <w:sz w:val="22"/>
          <w:szCs w:val="22"/>
        </w:rPr>
        <w:t xml:space="preserve">in effect </w:t>
      </w:r>
      <w:r w:rsidR="008D2C1F">
        <w:rPr>
          <w:sz w:val="22"/>
          <w:szCs w:val="22"/>
        </w:rPr>
        <w:t>contingent</w:t>
      </w:r>
      <w:r w:rsidRPr="0097149C">
        <w:rPr>
          <w:sz w:val="22"/>
          <w:szCs w:val="22"/>
        </w:rPr>
        <w:t xml:space="preserve"> </w:t>
      </w:r>
      <w:r>
        <w:rPr>
          <w:sz w:val="22"/>
          <w:szCs w:val="22"/>
        </w:rPr>
        <w:t xml:space="preserve">on the construction of the facilities specified in the </w:t>
      </w:r>
      <w:r w:rsidR="008514DB">
        <w:rPr>
          <w:sz w:val="22"/>
          <w:szCs w:val="22"/>
        </w:rPr>
        <w:t>First</w:t>
      </w:r>
      <w:r>
        <w:rPr>
          <w:sz w:val="22"/>
          <w:szCs w:val="22"/>
        </w:rPr>
        <w:t xml:space="preserve"> Modification Application</w:t>
      </w:r>
      <w:r w:rsidR="008D2C1F">
        <w:rPr>
          <w:sz w:val="22"/>
          <w:szCs w:val="22"/>
        </w:rPr>
        <w:t xml:space="preserve">.  </w:t>
      </w:r>
      <w:r w:rsidR="002D563E">
        <w:rPr>
          <w:sz w:val="22"/>
          <w:szCs w:val="22"/>
        </w:rPr>
        <w:t xml:space="preserve">With the exception set out in section 73.3517(e) of the rules (applications with the same filing date, including a contingency agreement, etc.), contingent applications have long been </w:t>
      </w:r>
      <w:r w:rsidR="00F60FE7">
        <w:rPr>
          <w:sz w:val="22"/>
          <w:szCs w:val="22"/>
        </w:rPr>
        <w:t>disallowed</w:t>
      </w:r>
      <w:r>
        <w:rPr>
          <w:rStyle w:val="FootnoteReference"/>
          <w:sz w:val="22"/>
          <w:szCs w:val="22"/>
        </w:rPr>
        <w:footnoteReference w:id="42"/>
      </w:r>
      <w:r w:rsidR="002D563E">
        <w:rPr>
          <w:sz w:val="22"/>
          <w:szCs w:val="22"/>
        </w:rPr>
        <w:t xml:space="preserve"> for the very reason </w:t>
      </w:r>
      <w:r w:rsidR="002D563E">
        <w:rPr>
          <w:sz w:val="22"/>
          <w:szCs w:val="22"/>
        </w:rPr>
        <w:t xml:space="preserve">illustrated by this proceeding, namely, </w:t>
      </w:r>
      <w:r w:rsidR="004A3E90">
        <w:rPr>
          <w:sz w:val="22"/>
          <w:szCs w:val="22"/>
        </w:rPr>
        <w:t>to avoid the administrative burdens</w:t>
      </w:r>
      <w:r w:rsidR="00F74E3B">
        <w:rPr>
          <w:sz w:val="22"/>
          <w:szCs w:val="22"/>
        </w:rPr>
        <w:t xml:space="preserve"> and conflicts</w:t>
      </w:r>
      <w:r w:rsidR="004A3E90">
        <w:rPr>
          <w:sz w:val="22"/>
          <w:szCs w:val="22"/>
        </w:rPr>
        <w:t xml:space="preserve"> associated with </w:t>
      </w:r>
      <w:r w:rsidR="00F74E3B">
        <w:rPr>
          <w:sz w:val="22"/>
          <w:szCs w:val="22"/>
        </w:rPr>
        <w:t xml:space="preserve">follow-up </w:t>
      </w:r>
      <w:r w:rsidR="004A3E90">
        <w:rPr>
          <w:sz w:val="22"/>
          <w:szCs w:val="22"/>
        </w:rPr>
        <w:t xml:space="preserve">applications that are “contingent on the </w:t>
      </w:r>
      <w:r w:rsidR="00F74E3B">
        <w:rPr>
          <w:sz w:val="22"/>
          <w:szCs w:val="22"/>
        </w:rPr>
        <w:t>[first applicant]</w:t>
      </w:r>
      <w:r w:rsidR="004A3E90">
        <w:rPr>
          <w:sz w:val="22"/>
          <w:szCs w:val="22"/>
        </w:rPr>
        <w:t>’s successful prosecution of its application to change channels.”</w:t>
      </w:r>
      <w:r>
        <w:rPr>
          <w:rStyle w:val="FootnoteReference"/>
          <w:sz w:val="22"/>
          <w:szCs w:val="22"/>
        </w:rPr>
        <w:footnoteReference w:id="43"/>
      </w:r>
      <w:r w:rsidR="004A3E90">
        <w:rPr>
          <w:sz w:val="22"/>
          <w:szCs w:val="22"/>
        </w:rPr>
        <w:t xml:space="preserve">  </w:t>
      </w:r>
      <w:r w:rsidR="00F74E3B">
        <w:rPr>
          <w:sz w:val="22"/>
          <w:szCs w:val="22"/>
        </w:rPr>
        <w:t>T</w:t>
      </w:r>
      <w:r w:rsidR="008D2C1F">
        <w:rPr>
          <w:sz w:val="22"/>
          <w:szCs w:val="22"/>
        </w:rPr>
        <w:t>he</w:t>
      </w:r>
      <w:r w:rsidR="00770C30">
        <w:rPr>
          <w:sz w:val="22"/>
          <w:szCs w:val="22"/>
        </w:rPr>
        <w:t xml:space="preserve"> Beanpot Modification Application</w:t>
      </w:r>
      <w:r w:rsidR="008D2C1F">
        <w:rPr>
          <w:sz w:val="22"/>
          <w:szCs w:val="22"/>
        </w:rPr>
        <w:t xml:space="preserve"> </w:t>
      </w:r>
      <w:r w:rsidR="00770C30">
        <w:rPr>
          <w:sz w:val="22"/>
          <w:szCs w:val="22"/>
        </w:rPr>
        <w:t xml:space="preserve">does </w:t>
      </w:r>
      <w:r w:rsidR="008D2C1F">
        <w:rPr>
          <w:sz w:val="22"/>
          <w:szCs w:val="22"/>
        </w:rPr>
        <w:t xml:space="preserve">not meet the </w:t>
      </w:r>
      <w:r w:rsidR="008514DB">
        <w:rPr>
          <w:sz w:val="22"/>
          <w:szCs w:val="22"/>
        </w:rPr>
        <w:t xml:space="preserve">Commission’s </w:t>
      </w:r>
      <w:r w:rsidR="008D2C1F">
        <w:rPr>
          <w:sz w:val="22"/>
          <w:szCs w:val="22"/>
        </w:rPr>
        <w:t xml:space="preserve">requirements </w:t>
      </w:r>
      <w:r w:rsidR="00770C30">
        <w:rPr>
          <w:sz w:val="22"/>
          <w:szCs w:val="22"/>
        </w:rPr>
        <w:t xml:space="preserve">for a </w:t>
      </w:r>
      <w:r w:rsidR="008514DB">
        <w:rPr>
          <w:sz w:val="22"/>
          <w:szCs w:val="22"/>
        </w:rPr>
        <w:t xml:space="preserve">permissible </w:t>
      </w:r>
      <w:r w:rsidR="00770C30">
        <w:rPr>
          <w:sz w:val="22"/>
          <w:szCs w:val="22"/>
        </w:rPr>
        <w:t>contingent application</w:t>
      </w:r>
      <w:r w:rsidR="008514DB">
        <w:rPr>
          <w:sz w:val="22"/>
          <w:szCs w:val="22"/>
        </w:rPr>
        <w:t xml:space="preserve"> as</w:t>
      </w:r>
      <w:r w:rsidR="00770C30">
        <w:rPr>
          <w:sz w:val="22"/>
          <w:szCs w:val="22"/>
        </w:rPr>
        <w:t xml:space="preserve"> </w:t>
      </w:r>
      <w:r w:rsidR="008D2C1F">
        <w:rPr>
          <w:sz w:val="22"/>
          <w:szCs w:val="22"/>
        </w:rPr>
        <w:t xml:space="preserve">set out in </w:t>
      </w:r>
      <w:r w:rsidR="00770C30">
        <w:rPr>
          <w:sz w:val="22"/>
          <w:szCs w:val="22"/>
        </w:rPr>
        <w:t>section 73.3517(e).</w:t>
      </w:r>
      <w:r>
        <w:rPr>
          <w:rStyle w:val="FootnoteReference"/>
          <w:sz w:val="22"/>
          <w:szCs w:val="22"/>
        </w:rPr>
        <w:footnoteReference w:id="44"/>
      </w:r>
      <w:r w:rsidR="00770C30">
        <w:rPr>
          <w:sz w:val="22"/>
          <w:szCs w:val="22"/>
        </w:rPr>
        <w:t xml:space="preserve"> </w:t>
      </w:r>
      <w:r w:rsidR="00D13BCD">
        <w:rPr>
          <w:sz w:val="22"/>
          <w:szCs w:val="22"/>
        </w:rPr>
        <w:t xml:space="preserve"> Therefore, </w:t>
      </w:r>
      <w:r w:rsidR="008514DB">
        <w:rPr>
          <w:sz w:val="22"/>
          <w:szCs w:val="22"/>
        </w:rPr>
        <w:t xml:space="preserve">we find that </w:t>
      </w:r>
      <w:r w:rsidR="00D13BCD">
        <w:rPr>
          <w:sz w:val="22"/>
          <w:szCs w:val="22"/>
        </w:rPr>
        <w:t xml:space="preserve">the Beanpot Construction Permit was issued in error.  </w:t>
      </w:r>
      <w:r w:rsidR="008514DB">
        <w:rPr>
          <w:sz w:val="22"/>
          <w:szCs w:val="22"/>
        </w:rPr>
        <w:t xml:space="preserve">Although </w:t>
      </w:r>
      <w:r w:rsidR="00D13BCD">
        <w:rPr>
          <w:sz w:val="22"/>
          <w:szCs w:val="22"/>
        </w:rPr>
        <w:t xml:space="preserve">grant of the Beanpot Modification Application is final and </w:t>
      </w:r>
      <w:r w:rsidR="008514DB">
        <w:rPr>
          <w:sz w:val="22"/>
          <w:szCs w:val="22"/>
        </w:rPr>
        <w:t xml:space="preserve">not subject to reconsideration, we note that because we are cancelling the WGBH Construction Permit, Beanpot cannot satisfy the Beanpot Contingency Condition.  Therefore, the Beanpot Construction Permit is </w:t>
      </w:r>
      <w:r w:rsidR="00A447B7">
        <w:rPr>
          <w:sz w:val="22"/>
          <w:szCs w:val="22"/>
        </w:rPr>
        <w:t xml:space="preserve">essentially </w:t>
      </w:r>
      <w:r w:rsidR="008514DB">
        <w:rPr>
          <w:sz w:val="22"/>
          <w:szCs w:val="22"/>
        </w:rPr>
        <w:t>a nullity.</w:t>
      </w:r>
      <w:r w:rsidR="00A447B7">
        <w:rPr>
          <w:sz w:val="22"/>
          <w:szCs w:val="22"/>
        </w:rPr>
        <w:t xml:space="preserve"> </w:t>
      </w:r>
    </w:p>
    <w:p w:rsidR="00893730" w:rsidP="00D377E7" w14:paraId="795FE816" w14:textId="267B1290">
      <w:pPr>
        <w:spacing w:after="120"/>
        <w:ind w:firstLine="720"/>
        <w:rPr>
          <w:sz w:val="22"/>
          <w:szCs w:val="22"/>
        </w:rPr>
      </w:pPr>
      <w:r>
        <w:rPr>
          <w:i/>
          <w:iCs/>
          <w:sz w:val="22"/>
          <w:szCs w:val="22"/>
        </w:rPr>
        <w:t>Ex parte</w:t>
      </w:r>
      <w:r w:rsidR="008514DB">
        <w:rPr>
          <w:sz w:val="22"/>
          <w:szCs w:val="22"/>
        </w:rPr>
        <w:t xml:space="preserve"> issues</w:t>
      </w:r>
      <w:r>
        <w:rPr>
          <w:sz w:val="22"/>
          <w:szCs w:val="22"/>
        </w:rPr>
        <w:t xml:space="preserve">.  </w:t>
      </w:r>
      <w:r w:rsidR="00A447B7">
        <w:rPr>
          <w:sz w:val="22"/>
          <w:szCs w:val="22"/>
        </w:rPr>
        <w:t>Because</w:t>
      </w:r>
      <w:r w:rsidR="00F923E4">
        <w:rPr>
          <w:sz w:val="22"/>
          <w:szCs w:val="22"/>
        </w:rPr>
        <w:t xml:space="preserve"> the Cancellation Letter </w:t>
      </w:r>
      <w:r w:rsidR="00A447B7">
        <w:rPr>
          <w:sz w:val="22"/>
          <w:szCs w:val="22"/>
        </w:rPr>
        <w:t>related to</w:t>
      </w:r>
      <w:r w:rsidR="00F923E4">
        <w:rPr>
          <w:sz w:val="22"/>
          <w:szCs w:val="22"/>
        </w:rPr>
        <w:t xml:space="preserve"> the</w:t>
      </w:r>
      <w:r w:rsidR="00A447B7">
        <w:rPr>
          <w:sz w:val="22"/>
          <w:szCs w:val="22"/>
        </w:rPr>
        <w:t xml:space="preserve"> ultimate</w:t>
      </w:r>
      <w:r w:rsidR="00F923E4">
        <w:rPr>
          <w:sz w:val="22"/>
          <w:szCs w:val="22"/>
        </w:rPr>
        <w:t xml:space="preserve"> disposition of the First Modification Application and associated pleadings, </w:t>
      </w:r>
      <w:r w:rsidR="00A447B7">
        <w:rPr>
          <w:sz w:val="22"/>
          <w:szCs w:val="22"/>
        </w:rPr>
        <w:t xml:space="preserve">we find that </w:t>
      </w:r>
      <w:r w:rsidR="00F923E4">
        <w:rPr>
          <w:sz w:val="22"/>
          <w:szCs w:val="22"/>
        </w:rPr>
        <w:t xml:space="preserve">it </w:t>
      </w:r>
      <w:r w:rsidR="00CF15D6">
        <w:rPr>
          <w:sz w:val="22"/>
          <w:szCs w:val="22"/>
        </w:rPr>
        <w:t>constitute</w:t>
      </w:r>
      <w:r w:rsidR="00E55AA8">
        <w:rPr>
          <w:sz w:val="22"/>
          <w:szCs w:val="22"/>
        </w:rPr>
        <w:t>d</w:t>
      </w:r>
      <w:r w:rsidR="00CF15D6">
        <w:rPr>
          <w:sz w:val="22"/>
          <w:szCs w:val="22"/>
        </w:rPr>
        <w:t xml:space="preserve"> a </w:t>
      </w:r>
      <w:r w:rsidR="00F86F74">
        <w:rPr>
          <w:sz w:val="22"/>
          <w:szCs w:val="22"/>
        </w:rPr>
        <w:t xml:space="preserve">form of </w:t>
      </w:r>
      <w:r w:rsidR="00F923E4">
        <w:rPr>
          <w:sz w:val="22"/>
          <w:szCs w:val="22"/>
        </w:rPr>
        <w:t>presentation</w:t>
      </w:r>
      <w:r>
        <w:rPr>
          <w:rStyle w:val="FootnoteReference"/>
          <w:sz w:val="22"/>
          <w:szCs w:val="22"/>
        </w:rPr>
        <w:footnoteReference w:id="45"/>
      </w:r>
      <w:r w:rsidR="00E55AA8">
        <w:rPr>
          <w:sz w:val="22"/>
          <w:szCs w:val="22"/>
        </w:rPr>
        <w:t xml:space="preserve"> </w:t>
      </w:r>
      <w:r w:rsidR="00F923E4">
        <w:rPr>
          <w:sz w:val="22"/>
          <w:szCs w:val="22"/>
        </w:rPr>
        <w:t xml:space="preserve">subject to the </w:t>
      </w:r>
      <w:r w:rsidR="00F923E4">
        <w:rPr>
          <w:i/>
          <w:iCs/>
          <w:sz w:val="22"/>
          <w:szCs w:val="22"/>
        </w:rPr>
        <w:t xml:space="preserve">ex parte </w:t>
      </w:r>
      <w:r w:rsidR="00F923E4">
        <w:rPr>
          <w:sz w:val="22"/>
          <w:szCs w:val="22"/>
        </w:rPr>
        <w:t>rules</w:t>
      </w:r>
      <w:r w:rsidRPr="00334AB1" w:rsidR="006D0B95">
        <w:rPr>
          <w:sz w:val="22"/>
          <w:szCs w:val="22"/>
        </w:rPr>
        <w:t>.</w:t>
      </w:r>
      <w:r>
        <w:rPr>
          <w:rStyle w:val="FootnoteReference"/>
          <w:sz w:val="22"/>
          <w:szCs w:val="22"/>
        </w:rPr>
        <w:footnoteReference w:id="46"/>
      </w:r>
      <w:r w:rsidR="006D0B95">
        <w:rPr>
          <w:sz w:val="22"/>
          <w:szCs w:val="22"/>
        </w:rPr>
        <w:t xml:space="preserve">  </w:t>
      </w:r>
      <w:r w:rsidR="00162E36">
        <w:rPr>
          <w:sz w:val="22"/>
          <w:szCs w:val="22"/>
        </w:rPr>
        <w:t xml:space="preserve">Beanpot was a party to the First Modification Application by virtue of its opposition to the WJFD Petition.  </w:t>
      </w:r>
      <w:r w:rsidR="00F86F74">
        <w:rPr>
          <w:sz w:val="22"/>
          <w:szCs w:val="22"/>
        </w:rPr>
        <w:t xml:space="preserve">Therefore, </w:t>
      </w:r>
      <w:r w:rsidR="000A2EA1">
        <w:rPr>
          <w:sz w:val="22"/>
          <w:szCs w:val="22"/>
        </w:rPr>
        <w:t xml:space="preserve">in this case, </w:t>
      </w:r>
      <w:r w:rsidR="00F923E4">
        <w:rPr>
          <w:sz w:val="22"/>
          <w:szCs w:val="22"/>
        </w:rPr>
        <w:t xml:space="preserve">WGBH </w:t>
      </w:r>
      <w:r w:rsidR="006D0B95">
        <w:rPr>
          <w:sz w:val="22"/>
          <w:szCs w:val="22"/>
        </w:rPr>
        <w:t>should have served Beanpot with a copy of the Cancellation Letter rather than</w:t>
      </w:r>
      <w:r w:rsidR="00F923E4">
        <w:rPr>
          <w:sz w:val="22"/>
          <w:szCs w:val="22"/>
        </w:rPr>
        <w:t xml:space="preserve"> informally notif</w:t>
      </w:r>
      <w:r w:rsidR="006D0B95">
        <w:rPr>
          <w:sz w:val="22"/>
          <w:szCs w:val="22"/>
        </w:rPr>
        <w:t>ying</w:t>
      </w:r>
      <w:r w:rsidR="00F923E4">
        <w:rPr>
          <w:sz w:val="22"/>
          <w:szCs w:val="22"/>
        </w:rPr>
        <w:t xml:space="preserve"> Beanpot of the cancellation request.  However, </w:t>
      </w:r>
      <w:r w:rsidR="002C7D54">
        <w:rPr>
          <w:sz w:val="22"/>
          <w:szCs w:val="22"/>
        </w:rPr>
        <w:t>Beanpot did not offer any</w:t>
      </w:r>
      <w:r w:rsidR="00543FD8">
        <w:rPr>
          <w:sz w:val="22"/>
          <w:szCs w:val="22"/>
        </w:rPr>
        <w:t xml:space="preserve"> evidence that the</w:t>
      </w:r>
      <w:r w:rsidR="00502124">
        <w:rPr>
          <w:sz w:val="22"/>
          <w:szCs w:val="22"/>
        </w:rPr>
        <w:t xml:space="preserve"> omission was willful or repeated </w:t>
      </w:r>
      <w:r w:rsidR="00543FD8">
        <w:rPr>
          <w:sz w:val="22"/>
          <w:szCs w:val="22"/>
        </w:rPr>
        <w:t xml:space="preserve">or that </w:t>
      </w:r>
      <w:r w:rsidR="002C7D54">
        <w:rPr>
          <w:sz w:val="22"/>
          <w:szCs w:val="22"/>
        </w:rPr>
        <w:t xml:space="preserve">it </w:t>
      </w:r>
      <w:r w:rsidR="00543FD8">
        <w:rPr>
          <w:sz w:val="22"/>
          <w:szCs w:val="22"/>
        </w:rPr>
        <w:t xml:space="preserve">was prejudiced by WGBH’s </w:t>
      </w:r>
      <w:r w:rsidR="00F86F74">
        <w:rPr>
          <w:sz w:val="22"/>
          <w:szCs w:val="22"/>
        </w:rPr>
        <w:t>failure to do so</w:t>
      </w:r>
      <w:r w:rsidR="00671625">
        <w:rPr>
          <w:sz w:val="22"/>
          <w:szCs w:val="22"/>
        </w:rPr>
        <w:t>.</w:t>
      </w:r>
      <w:r>
        <w:rPr>
          <w:rStyle w:val="FootnoteReference"/>
          <w:sz w:val="22"/>
          <w:szCs w:val="22"/>
        </w:rPr>
        <w:footnoteReference w:id="47"/>
      </w:r>
      <w:r w:rsidR="00671625">
        <w:rPr>
          <w:sz w:val="22"/>
          <w:szCs w:val="22"/>
        </w:rPr>
        <w:t xml:space="preserve">  </w:t>
      </w:r>
      <w:r w:rsidRPr="00334AB1">
        <w:rPr>
          <w:sz w:val="22"/>
          <w:szCs w:val="22"/>
        </w:rPr>
        <w:t xml:space="preserve">The purpose of the </w:t>
      </w:r>
      <w:r w:rsidRPr="004236D8">
        <w:rPr>
          <w:i/>
          <w:iCs/>
          <w:sz w:val="22"/>
          <w:szCs w:val="22"/>
        </w:rPr>
        <w:t>ex parte </w:t>
      </w:r>
      <w:r w:rsidRPr="00334AB1">
        <w:rPr>
          <w:sz w:val="22"/>
          <w:szCs w:val="22"/>
        </w:rPr>
        <w:t>rules is to ensure that the agency's decisions are fair and impartial and based on a public record free of influence from non-record communications between decision-makers and outside persons.</w:t>
      </w:r>
      <w:r>
        <w:rPr>
          <w:rStyle w:val="FootnoteReference"/>
          <w:sz w:val="22"/>
          <w:szCs w:val="22"/>
        </w:rPr>
        <w:footnoteReference w:id="48"/>
      </w:r>
      <w:r w:rsidRPr="00334AB1">
        <w:rPr>
          <w:sz w:val="22"/>
          <w:szCs w:val="22"/>
        </w:rPr>
        <w:t xml:space="preserve">  </w:t>
      </w:r>
      <w:r w:rsidR="00696B2A">
        <w:rPr>
          <w:sz w:val="22"/>
          <w:szCs w:val="22"/>
        </w:rPr>
        <w:t xml:space="preserve">This purpose was not undermined by WGBH’s failure to formally serve Beanpot with the Cancellation Letter.  </w:t>
      </w:r>
      <w:r w:rsidRPr="007510AC" w:rsidR="007510AC">
        <w:rPr>
          <w:sz w:val="22"/>
          <w:szCs w:val="22"/>
        </w:rPr>
        <w:t xml:space="preserve">However, we </w:t>
      </w:r>
      <w:r w:rsidR="00F86F74">
        <w:rPr>
          <w:sz w:val="22"/>
          <w:szCs w:val="22"/>
        </w:rPr>
        <w:t xml:space="preserve">clarify that the </w:t>
      </w:r>
      <w:r w:rsidR="00F86F74">
        <w:rPr>
          <w:i/>
          <w:iCs/>
          <w:sz w:val="22"/>
          <w:szCs w:val="22"/>
        </w:rPr>
        <w:t xml:space="preserve">ex parte </w:t>
      </w:r>
      <w:r w:rsidR="00F86F74">
        <w:rPr>
          <w:sz w:val="22"/>
          <w:szCs w:val="22"/>
        </w:rPr>
        <w:t xml:space="preserve">rules apply in this situation and </w:t>
      </w:r>
      <w:r w:rsidRPr="007510AC" w:rsidR="007510AC">
        <w:rPr>
          <w:sz w:val="22"/>
          <w:szCs w:val="22"/>
        </w:rPr>
        <w:t>caution WGBH to be more attentive to the</w:t>
      </w:r>
      <w:r w:rsidRPr="00F86F74" w:rsidR="00F86F74">
        <w:rPr>
          <w:sz w:val="22"/>
          <w:szCs w:val="22"/>
        </w:rPr>
        <w:t>se</w:t>
      </w:r>
      <w:r w:rsidRPr="007510AC" w:rsidR="007510AC">
        <w:rPr>
          <w:i/>
          <w:iCs/>
          <w:sz w:val="22"/>
          <w:szCs w:val="22"/>
        </w:rPr>
        <w:t xml:space="preserve"> </w:t>
      </w:r>
      <w:r w:rsidRPr="007510AC" w:rsidR="007510AC">
        <w:rPr>
          <w:sz w:val="22"/>
          <w:szCs w:val="22"/>
        </w:rPr>
        <w:t xml:space="preserve">requirements in the future.  </w:t>
      </w:r>
      <w:r w:rsidR="005F2268">
        <w:rPr>
          <w:sz w:val="22"/>
          <w:szCs w:val="22"/>
        </w:rPr>
        <w:t xml:space="preserve"> </w:t>
      </w:r>
    </w:p>
    <w:p w:rsidR="00F86F74" w:rsidP="00D377E7" w14:paraId="1A7D435A" w14:textId="5CB6A831">
      <w:pPr>
        <w:spacing w:after="120"/>
        <w:ind w:firstLine="720"/>
        <w:rPr>
          <w:sz w:val="22"/>
          <w:szCs w:val="22"/>
        </w:rPr>
      </w:pPr>
      <w:r w:rsidRPr="00600276">
        <w:rPr>
          <w:b/>
          <w:spacing w:val="-2"/>
          <w:sz w:val="22"/>
          <w:szCs w:val="22"/>
        </w:rPr>
        <w:t xml:space="preserve">Conclusion/Actions. </w:t>
      </w:r>
      <w:r>
        <w:rPr>
          <w:sz w:val="22"/>
          <w:szCs w:val="22"/>
        </w:rPr>
        <w:t xml:space="preserve"> For the reasons set forth above, IT IS ORDERED</w:t>
      </w:r>
      <w:r w:rsidRPr="00686431">
        <w:rPr>
          <w:sz w:val="22"/>
          <w:szCs w:val="22"/>
        </w:rPr>
        <w:t xml:space="preserve"> that </w:t>
      </w:r>
      <w:r>
        <w:rPr>
          <w:sz w:val="22"/>
          <w:szCs w:val="22"/>
        </w:rPr>
        <w:t>the Cancellation Objection filed by Beanpot License Corp</w:t>
      </w:r>
      <w:r w:rsidR="00532F26">
        <w:rPr>
          <w:sz w:val="22"/>
          <w:szCs w:val="22"/>
        </w:rPr>
        <w:t>.</w:t>
      </w:r>
      <w:r>
        <w:rPr>
          <w:sz w:val="22"/>
          <w:szCs w:val="22"/>
        </w:rPr>
        <w:t xml:space="preserve"> on </w:t>
      </w:r>
      <w:r w:rsidR="00532F26">
        <w:rPr>
          <w:sz w:val="22"/>
          <w:szCs w:val="22"/>
        </w:rPr>
        <w:t>August 24, 2020, IS DENIED and the WGBH Construction Permit (Application File No. 115764) IS CANCELLED.</w:t>
      </w:r>
    </w:p>
    <w:p w:rsidR="00532F26" w:rsidP="00D377E7" w14:paraId="0036CED6" w14:textId="6F2D83B4">
      <w:pPr>
        <w:spacing w:after="120"/>
        <w:ind w:firstLine="720"/>
        <w:rPr>
          <w:sz w:val="22"/>
          <w:szCs w:val="22"/>
        </w:rPr>
      </w:pPr>
      <w:r>
        <w:rPr>
          <w:sz w:val="22"/>
          <w:szCs w:val="22"/>
        </w:rPr>
        <w:t xml:space="preserve">IT IS FURTHER ORDERED that the Second Modification Objection filed by Beanpot License Corp. on November 3, 2020, IS DENIED and the Second Modification Application (Application File No. 125291) </w:t>
      </w:r>
      <w:r w:rsidR="00DA1AEE">
        <w:rPr>
          <w:sz w:val="22"/>
          <w:szCs w:val="22"/>
        </w:rPr>
        <w:t xml:space="preserve">filed by WGBH on November 2, 2020, </w:t>
      </w:r>
      <w:r>
        <w:rPr>
          <w:sz w:val="22"/>
          <w:szCs w:val="22"/>
        </w:rPr>
        <w:t xml:space="preserve">IS GRANTED. </w:t>
      </w:r>
    </w:p>
    <w:p w:rsidR="000A2EA1" w:rsidP="00D377E7" w14:paraId="402270D3" w14:textId="5D4F25F7">
      <w:pPr>
        <w:spacing w:after="120"/>
        <w:ind w:firstLine="720"/>
        <w:rPr>
          <w:sz w:val="22"/>
          <w:szCs w:val="22"/>
        </w:rPr>
      </w:pPr>
      <w:r>
        <w:rPr>
          <w:sz w:val="22"/>
          <w:szCs w:val="22"/>
        </w:rPr>
        <w:t xml:space="preserve">IT IS FURTHER ORDERED that the petition for reconsideration </w:t>
      </w:r>
      <w:r w:rsidR="00500363">
        <w:rPr>
          <w:sz w:val="22"/>
          <w:szCs w:val="22"/>
        </w:rPr>
        <w:t xml:space="preserve">of the grant of </w:t>
      </w:r>
      <w:r w:rsidR="00500363">
        <w:t xml:space="preserve">Application File No. 115764, </w:t>
      </w:r>
      <w:r>
        <w:rPr>
          <w:sz w:val="22"/>
          <w:szCs w:val="22"/>
        </w:rPr>
        <w:t>filed by</w:t>
      </w:r>
      <w:r w:rsidRPr="000A2EA1">
        <w:rPr>
          <w:sz w:val="22"/>
          <w:szCs w:val="22"/>
        </w:rPr>
        <w:t xml:space="preserve"> </w:t>
      </w:r>
      <w:r w:rsidRPr="009A6AC9">
        <w:rPr>
          <w:sz w:val="22"/>
          <w:szCs w:val="22"/>
        </w:rPr>
        <w:t>WJFD-FM, Inc.</w:t>
      </w:r>
      <w:r>
        <w:rPr>
          <w:sz w:val="22"/>
          <w:szCs w:val="22"/>
        </w:rPr>
        <w:t xml:space="preserve"> on </w:t>
      </w:r>
      <w:r w:rsidRPr="009A6AC9">
        <w:rPr>
          <w:sz w:val="22"/>
          <w:szCs w:val="22"/>
        </w:rPr>
        <w:t xml:space="preserve">July 27, 2020, </w:t>
      </w:r>
      <w:r>
        <w:rPr>
          <w:sz w:val="22"/>
          <w:szCs w:val="22"/>
        </w:rPr>
        <w:t xml:space="preserve">IS DISMISSED as moot. </w:t>
      </w:r>
    </w:p>
    <w:p w:rsidR="00532F26" w:rsidRPr="00A3008F" w:rsidP="00532F26" w14:paraId="00A177FB" w14:textId="68C746F3">
      <w:pPr>
        <w:spacing w:after="240"/>
        <w:rPr>
          <w:sz w:val="22"/>
          <w:szCs w:val="22"/>
        </w:rPr>
      </w:pPr>
      <w:r>
        <w:rPr>
          <w:sz w:val="22"/>
          <w:szCs w:val="22"/>
        </w:rPr>
        <w:tab/>
      </w:r>
      <w:r w:rsidRPr="00A3008F" w:rsidR="00A3008F">
        <w:rPr>
          <w:sz w:val="22"/>
          <w:szCs w:val="22"/>
        </w:rPr>
        <w:tab/>
      </w:r>
      <w:r w:rsidRPr="00A3008F" w:rsidR="00A3008F">
        <w:rPr>
          <w:sz w:val="22"/>
          <w:szCs w:val="22"/>
        </w:rPr>
        <w:tab/>
      </w:r>
      <w:r w:rsidRPr="00A3008F" w:rsidR="00A3008F">
        <w:rPr>
          <w:sz w:val="22"/>
          <w:szCs w:val="22"/>
        </w:rPr>
        <w:tab/>
      </w:r>
      <w:r w:rsidRPr="00A3008F" w:rsidR="00A3008F">
        <w:rPr>
          <w:sz w:val="22"/>
          <w:szCs w:val="22"/>
        </w:rPr>
        <w:tab/>
      </w:r>
      <w:r w:rsidRPr="00A3008F" w:rsidR="00A3008F">
        <w:rPr>
          <w:sz w:val="22"/>
          <w:szCs w:val="22"/>
        </w:rPr>
        <w:tab/>
        <w:t>Sincerely,</w:t>
      </w:r>
      <w:r w:rsidRPr="00A3008F">
        <w:rPr>
          <w:sz w:val="22"/>
          <w:szCs w:val="22"/>
        </w:rPr>
        <w:tab/>
      </w:r>
      <w:r w:rsidRPr="00A3008F">
        <w:rPr>
          <w:sz w:val="22"/>
          <w:szCs w:val="22"/>
        </w:rPr>
        <w:tab/>
      </w:r>
      <w:r w:rsidRPr="00A3008F">
        <w:rPr>
          <w:sz w:val="22"/>
          <w:szCs w:val="22"/>
        </w:rPr>
        <w:tab/>
      </w:r>
      <w:r w:rsidRPr="00A3008F">
        <w:rPr>
          <w:sz w:val="22"/>
          <w:szCs w:val="22"/>
        </w:rPr>
        <w:tab/>
      </w:r>
      <w:r w:rsidRPr="00A3008F">
        <w:rPr>
          <w:sz w:val="22"/>
          <w:szCs w:val="22"/>
        </w:rPr>
        <w:tab/>
      </w:r>
    </w:p>
    <w:p w:rsidR="00532F26" w:rsidRPr="00A3008F" w:rsidP="00532F26" w14:paraId="4D848E0E" w14:textId="77777777">
      <w:pPr>
        <w:widowControl w:val="0"/>
        <w:rPr>
          <w:sz w:val="22"/>
          <w:szCs w:val="22"/>
        </w:rPr>
      </w:pPr>
    </w:p>
    <w:p w:rsidR="00532F26" w:rsidRPr="00A3008F" w:rsidP="00532F26" w14:paraId="714A9FED" w14:textId="77777777">
      <w:pPr>
        <w:widowControl w:val="0"/>
        <w:rPr>
          <w:sz w:val="22"/>
          <w:szCs w:val="22"/>
        </w:rPr>
      </w:pPr>
    </w:p>
    <w:p w:rsidR="00532F26" w:rsidRPr="00A3008F" w:rsidP="00532F26" w14:paraId="56E64188" w14:textId="77777777">
      <w:pPr>
        <w:widowControl w:val="0"/>
        <w:ind w:left="3600" w:firstLine="720"/>
        <w:rPr>
          <w:sz w:val="22"/>
          <w:szCs w:val="22"/>
        </w:rPr>
      </w:pPr>
      <w:r w:rsidRPr="00A3008F">
        <w:rPr>
          <w:sz w:val="22"/>
          <w:szCs w:val="22"/>
        </w:rPr>
        <w:t>Albert Shuldiner</w:t>
      </w:r>
    </w:p>
    <w:p w:rsidR="00532F26" w:rsidRPr="00A3008F" w:rsidP="00532F26" w14:paraId="5A6CD0C0" w14:textId="77777777">
      <w:pPr>
        <w:widowControl w:val="0"/>
        <w:tabs>
          <w:tab w:val="left" w:pos="4320"/>
        </w:tabs>
        <w:rPr>
          <w:sz w:val="22"/>
          <w:szCs w:val="22"/>
          <w:lang w:val="es-ES_tradnl"/>
        </w:rPr>
      </w:pPr>
      <w:r w:rsidRPr="00A3008F">
        <w:rPr>
          <w:sz w:val="22"/>
          <w:szCs w:val="22"/>
        </w:rPr>
        <w:tab/>
        <w:t xml:space="preserve">Chief, </w:t>
      </w:r>
      <w:r w:rsidRPr="00A3008F">
        <w:rPr>
          <w:sz w:val="22"/>
          <w:szCs w:val="22"/>
          <w:lang w:val="es-ES_tradnl"/>
        </w:rPr>
        <w:t xml:space="preserve">Audio </w:t>
      </w:r>
      <w:r w:rsidRPr="00A3008F">
        <w:rPr>
          <w:sz w:val="22"/>
          <w:szCs w:val="22"/>
        </w:rPr>
        <w:t>Division</w:t>
      </w:r>
    </w:p>
    <w:p w:rsidR="00532F26" w:rsidRPr="00A3008F" w:rsidP="00532F26" w14:paraId="1B91477E" w14:textId="77777777">
      <w:pPr>
        <w:widowControl w:val="0"/>
        <w:tabs>
          <w:tab w:val="left" w:pos="360"/>
          <w:tab w:val="left" w:pos="4320"/>
          <w:tab w:val="left" w:pos="4680"/>
          <w:tab w:val="left" w:pos="5400"/>
        </w:tabs>
        <w:rPr>
          <w:sz w:val="22"/>
          <w:szCs w:val="22"/>
          <w:lang w:val="es-ES_tradnl"/>
        </w:rPr>
      </w:pPr>
      <w:r w:rsidRPr="00A3008F">
        <w:rPr>
          <w:sz w:val="22"/>
          <w:szCs w:val="22"/>
          <w:lang w:val="es-ES_tradnl"/>
        </w:rPr>
        <w:tab/>
      </w:r>
      <w:r>
        <w:rPr>
          <w:sz w:val="22"/>
          <w:szCs w:val="22"/>
          <w:lang w:val="es-ES_tradnl"/>
        </w:rPr>
        <w:tab/>
      </w:r>
      <w:r w:rsidRPr="00A3008F">
        <w:rPr>
          <w:sz w:val="22"/>
          <w:szCs w:val="22"/>
          <w:lang w:val="es-ES_tradnl"/>
        </w:rPr>
        <w:t>Media Bureau</w:t>
      </w:r>
    </w:p>
    <w:p w:rsidR="00A3008F" w:rsidRPr="001A10AE" w:rsidP="001A10AE" w14:paraId="0F32318C" w14:textId="77777777">
      <w:pPr>
        <w:spacing w:after="240"/>
        <w:rPr>
          <w:sz w:val="22"/>
          <w:szCs w:val="22"/>
        </w:rPr>
      </w:pPr>
    </w:p>
    <w:p w:rsidR="00A3008F" w:rsidRPr="00A3008F" w:rsidP="00A3008F" w14:paraId="13A38E25" w14:textId="77777777">
      <w:pPr>
        <w:widowControl w:val="0"/>
        <w:tabs>
          <w:tab w:val="left" w:pos="360"/>
          <w:tab w:val="left" w:pos="4320"/>
          <w:tab w:val="left" w:pos="4680"/>
          <w:tab w:val="left" w:pos="5400"/>
        </w:tabs>
        <w:rPr>
          <w:sz w:val="22"/>
          <w:szCs w:val="22"/>
        </w:rPr>
      </w:pPr>
    </w:p>
    <w:p w:rsidR="00204CE3" w:rsidRPr="00E35426" w:rsidP="00A3008F" w14:paraId="12981891" w14:textId="0490E375">
      <w:pPr>
        <w:tabs>
          <w:tab w:val="left" w:pos="6480"/>
          <w:tab w:val="left" w:pos="6792"/>
          <w:tab w:val="left" w:pos="6840"/>
        </w:tabs>
        <w:spacing w:after="120"/>
        <w:rPr>
          <w:sz w:val="22"/>
          <w:szCs w:val="22"/>
        </w:rPr>
      </w:pPr>
    </w:p>
    <w:sectPr>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3405" w14:paraId="6F256E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199D" w14:paraId="5F60771D" w14:textId="77777777">
      <w:r>
        <w:separator/>
      </w:r>
    </w:p>
  </w:footnote>
  <w:footnote w:type="continuationSeparator" w:id="1">
    <w:p w:rsidR="00A5199D" w14:paraId="64E564F0" w14:textId="77777777">
      <w:r>
        <w:continuationSeparator/>
      </w:r>
    </w:p>
  </w:footnote>
  <w:footnote w:id="2">
    <w:p w:rsidR="00343174" w:rsidRPr="00E50470" w:rsidP="00343174" w14:paraId="5C138498" w14:textId="77777777">
      <w:pPr>
        <w:pStyle w:val="FootnoteText"/>
      </w:pPr>
      <w:r>
        <w:rPr>
          <w:rStyle w:val="FootnoteReference"/>
        </w:rPr>
        <w:footnoteRef/>
      </w:r>
      <w:r>
        <w:t xml:space="preserve"> </w:t>
      </w:r>
      <w:r>
        <w:rPr>
          <w:i/>
          <w:iCs/>
        </w:rPr>
        <w:t xml:space="preserve">See </w:t>
      </w:r>
      <w:r>
        <w:t>Application File No. 115764 (First Modification Application).  The First Modification Application was granted</w:t>
      </w:r>
      <w:r w:rsidRPr="00290C98">
        <w:t xml:space="preserve"> on June 24, 2020</w:t>
      </w:r>
      <w:r>
        <w:t>.</w:t>
      </w:r>
      <w:r w:rsidRPr="00290C98">
        <w:t xml:space="preserve"> </w:t>
      </w:r>
      <w:r>
        <w:t xml:space="preserve"> </w:t>
      </w:r>
      <w:r>
        <w:rPr>
          <w:i/>
          <w:iCs/>
        </w:rPr>
        <w:t>Broadcast Actions</w:t>
      </w:r>
      <w:r>
        <w:t xml:space="preserve">, Public Notice, Report No. PN-2-200626-01 (MB June 26, 2020). </w:t>
      </w:r>
    </w:p>
  </w:footnote>
  <w:footnote w:id="3">
    <w:p w:rsidR="00343174" w:rsidP="00343174" w14:paraId="6AA92400" w14:textId="6AE00095">
      <w:pPr>
        <w:pStyle w:val="FootnoteText"/>
      </w:pPr>
      <w:r>
        <w:rPr>
          <w:rStyle w:val="FootnoteReference"/>
        </w:rPr>
        <w:footnoteRef/>
      </w:r>
      <w:r>
        <w:t xml:space="preserve"> </w:t>
      </w:r>
      <w:r w:rsidR="00716815">
        <w:rPr>
          <w:i/>
          <w:iCs/>
        </w:rPr>
        <w:t xml:space="preserve">See </w:t>
      </w:r>
      <w:r w:rsidR="00716815">
        <w:t xml:space="preserve">Pleading File No. </w:t>
      </w:r>
      <w:r w:rsidR="00270E06">
        <w:t>120665.</w:t>
      </w:r>
      <w:r w:rsidR="00716815">
        <w:t xml:space="preserve">  </w:t>
      </w:r>
      <w:r>
        <w:t xml:space="preserve">The Cancellation </w:t>
      </w:r>
      <w:r w:rsidR="00701B25">
        <w:t xml:space="preserve">Objection </w:t>
      </w:r>
      <w:r>
        <w:t>is self-titled as an</w:t>
      </w:r>
      <w:r w:rsidRPr="00110A0D">
        <w:t xml:space="preserve"> “Opposition to Request to Surrender Construction Permit for Cancellation.” </w:t>
      </w:r>
      <w:r>
        <w:t xml:space="preserve"> Although there is no formal process in our rules for objecting to a request to surrender a construction permit, we will consider the Cancellation </w:t>
      </w:r>
      <w:r w:rsidR="00701B25">
        <w:t>Objection</w:t>
      </w:r>
      <w:r>
        <w:t xml:space="preserve"> as an informal request for Commission action</w:t>
      </w:r>
      <w:r w:rsidRPr="00311121">
        <w:t xml:space="preserve"> </w:t>
      </w:r>
      <w:r>
        <w:t xml:space="preserve">under 47 CFR § 1.41. </w:t>
      </w:r>
    </w:p>
  </w:footnote>
  <w:footnote w:id="4">
    <w:p w:rsidR="00110A0D" w:rsidRPr="00270E06" w14:paraId="47D34374" w14:textId="7BACF689">
      <w:pPr>
        <w:pStyle w:val="FootnoteText"/>
      </w:pPr>
      <w:r>
        <w:rPr>
          <w:rStyle w:val="FootnoteReference"/>
        </w:rPr>
        <w:footnoteRef/>
      </w:r>
      <w:r>
        <w:t xml:space="preserve"> On September 4, 2020, WGBH submitted a “Reply to Opposition of Beanpot License Corp”</w:t>
      </w:r>
      <w:r w:rsidR="007E345F">
        <w:t xml:space="preserve"> (Cancellation Reply).</w:t>
      </w:r>
      <w:r>
        <w:t xml:space="preserve">  </w:t>
      </w:r>
      <w:r w:rsidR="006D04F1">
        <w:rPr>
          <w:i/>
          <w:iCs/>
        </w:rPr>
        <w:t xml:space="preserve">See </w:t>
      </w:r>
      <w:r w:rsidR="006D04F1">
        <w:t xml:space="preserve">Pleading File No. </w:t>
      </w:r>
      <w:r w:rsidR="00270E06">
        <w:t xml:space="preserve">121185.  </w:t>
      </w:r>
      <w:r>
        <w:t>On September 8, 2020, Beanpot submitted a “Response to Reply to Opposition to Request to Surrender Construction Permit for Cancellation”</w:t>
      </w:r>
      <w:r w:rsidR="007E345F">
        <w:t xml:space="preserve"> (Cancellation Response).</w:t>
      </w:r>
      <w:r>
        <w:t xml:space="preserve">  </w:t>
      </w:r>
      <w:r w:rsidR="00270E06">
        <w:rPr>
          <w:i/>
          <w:iCs/>
        </w:rPr>
        <w:t xml:space="preserve">See </w:t>
      </w:r>
      <w:r w:rsidR="00270E06">
        <w:t xml:space="preserve">Pleading File No. 121259.  </w:t>
      </w:r>
      <w:r>
        <w:t>On September 15, WGBH submitted a “Submission for the Record”</w:t>
      </w:r>
      <w:r w:rsidR="007E345F">
        <w:t xml:space="preserve"> (Cancellation Supplement).</w:t>
      </w:r>
      <w:r>
        <w:t xml:space="preserve">  </w:t>
      </w:r>
      <w:r w:rsidR="00270E06">
        <w:rPr>
          <w:i/>
          <w:iCs/>
        </w:rPr>
        <w:t xml:space="preserve">See </w:t>
      </w:r>
      <w:r w:rsidR="00270E06">
        <w:t xml:space="preserve">Pleadings File No. 121680.  </w:t>
      </w:r>
      <w:r>
        <w:t>On September 21, 2020, Beanpot submitted a “Further Reply”</w:t>
      </w:r>
      <w:r w:rsidR="007E345F">
        <w:t xml:space="preserve"> (Cancellation Supplement Reply).</w:t>
      </w:r>
      <w:r>
        <w:t xml:space="preserve"> </w:t>
      </w:r>
      <w:r w:rsidR="00270E06">
        <w:t xml:space="preserve"> </w:t>
      </w:r>
      <w:r w:rsidR="00270E06">
        <w:rPr>
          <w:i/>
          <w:iCs/>
        </w:rPr>
        <w:t xml:space="preserve">See </w:t>
      </w:r>
      <w:r w:rsidR="00270E06">
        <w:t>Pleading File No. 121926.</w:t>
      </w:r>
    </w:p>
  </w:footnote>
  <w:footnote w:id="5">
    <w:p w:rsidR="002C6FF4" w:rsidRPr="002C6FF4" w:rsidP="002C6FF4" w14:paraId="0CBA0F3B" w14:textId="77777777">
      <w:pPr>
        <w:pStyle w:val="FootnoteText"/>
      </w:pPr>
      <w:r>
        <w:rPr>
          <w:rStyle w:val="FootnoteReference"/>
        </w:rPr>
        <w:footnoteRef/>
      </w:r>
      <w:r>
        <w:t xml:space="preserve"> </w:t>
      </w:r>
      <w:r>
        <w:rPr>
          <w:i/>
          <w:iCs/>
        </w:rPr>
        <w:t xml:space="preserve">See </w:t>
      </w:r>
      <w:r>
        <w:t xml:space="preserve">Application File No. 125291. </w:t>
      </w:r>
    </w:p>
  </w:footnote>
  <w:footnote w:id="6">
    <w:p w:rsidR="0062354D" w:rsidP="0062354D" w14:paraId="27390C2D" w14:textId="7A131D55">
      <w:pPr>
        <w:pStyle w:val="FootnoteText"/>
      </w:pPr>
      <w:r>
        <w:rPr>
          <w:rStyle w:val="FootnoteReference"/>
        </w:rPr>
        <w:footnoteRef/>
      </w:r>
      <w:r>
        <w:t xml:space="preserve"> </w:t>
      </w:r>
      <w:r w:rsidRPr="0062354D">
        <w:t>Pleading File No. 125357</w:t>
      </w:r>
      <w:r>
        <w:t xml:space="preserve">.  </w:t>
      </w:r>
      <w:r w:rsidRPr="006C203B">
        <w:t xml:space="preserve">On November 13, 2020, WGBH filed an opposition to the </w:t>
      </w:r>
      <w:r w:rsidR="00782E8F">
        <w:t>Second Modification Objection</w:t>
      </w:r>
      <w:r w:rsidRPr="006C203B">
        <w:t xml:space="preserve"> </w:t>
      </w:r>
      <w:r>
        <w:t>(Pleading File No. 126021)</w:t>
      </w:r>
      <w:r w:rsidRPr="006C203B">
        <w:t xml:space="preserve"> (</w:t>
      </w:r>
      <w:r w:rsidR="00782E8F">
        <w:t xml:space="preserve">Second Modification </w:t>
      </w:r>
      <w:r w:rsidRPr="006C203B">
        <w:t>Opposition</w:t>
      </w:r>
      <w:r>
        <w:t xml:space="preserve">), </w:t>
      </w:r>
      <w:r w:rsidRPr="006C203B">
        <w:t xml:space="preserve">to which Beanpot replied on November 17, 2020 </w:t>
      </w:r>
      <w:r>
        <w:t>(Pleading File No. 126208)</w:t>
      </w:r>
      <w:r w:rsidRPr="006C203B">
        <w:t xml:space="preserve"> (</w:t>
      </w:r>
      <w:r w:rsidR="00782E8F">
        <w:t xml:space="preserve">Second Modification </w:t>
      </w:r>
      <w:r w:rsidRPr="006C203B">
        <w:t>Reply).</w:t>
      </w:r>
      <w:r>
        <w:t xml:space="preserve">  </w:t>
      </w:r>
    </w:p>
  </w:footnote>
  <w:footnote w:id="7">
    <w:p w:rsidR="00856D77" w14:paraId="443A43C7" w14:textId="79A3586F">
      <w:pPr>
        <w:pStyle w:val="FootnoteText"/>
      </w:pPr>
      <w:r>
        <w:rPr>
          <w:rStyle w:val="FootnoteReference"/>
        </w:rPr>
        <w:footnoteRef/>
      </w:r>
      <w:r>
        <w:t xml:space="preserve"> </w:t>
      </w:r>
      <w:r w:rsidR="00206493">
        <w:t>First Modification Application</w:t>
      </w:r>
      <w:r>
        <w:t xml:space="preserve">, </w:t>
      </w:r>
      <w:r w:rsidR="00206493">
        <w:t>attachment</w:t>
      </w:r>
      <w:r>
        <w:t xml:space="preserve"> entitled “W242AA Engineering Exhibits”</w:t>
      </w:r>
      <w:r w:rsidR="00E50470">
        <w:t xml:space="preserve"> at 1 (First Modification Engineering Exhibit</w:t>
      </w:r>
      <w:r w:rsidR="00782E8F">
        <w:t>)</w:t>
      </w:r>
      <w:r w:rsidR="00E50470">
        <w:t>.</w:t>
      </w:r>
      <w:r w:rsidR="006C203B">
        <w:t xml:space="preserve"> </w:t>
      </w:r>
    </w:p>
  </w:footnote>
  <w:footnote w:id="8">
    <w:p w:rsidR="003D0806" w14:paraId="1B6870B9" w14:textId="0A8485B3">
      <w:pPr>
        <w:pStyle w:val="FootnoteText"/>
      </w:pPr>
      <w:r>
        <w:rPr>
          <w:rStyle w:val="FootnoteReference"/>
        </w:rPr>
        <w:footnoteRef/>
      </w:r>
      <w:r>
        <w:t xml:space="preserve"> </w:t>
      </w:r>
      <w:r w:rsidR="00E50470">
        <w:t xml:space="preserve">First Modification Engineering Exhibit at 1. </w:t>
      </w:r>
    </w:p>
  </w:footnote>
  <w:footnote w:id="9">
    <w:p w:rsidR="00E50470" w:rsidRPr="00E50470" w14:paraId="02193670" w14:textId="0F744C4F">
      <w:pPr>
        <w:pStyle w:val="FootnoteText"/>
      </w:pPr>
      <w:r>
        <w:rPr>
          <w:rStyle w:val="FootnoteReference"/>
        </w:rPr>
        <w:footnoteRef/>
      </w:r>
      <w:r>
        <w:t xml:space="preserve"> </w:t>
      </w:r>
      <w:r>
        <w:rPr>
          <w:i/>
          <w:iCs/>
        </w:rPr>
        <w:t>Broadcast Actions</w:t>
      </w:r>
      <w:r>
        <w:t>, Public Notice</w:t>
      </w:r>
      <w:r w:rsidR="00E45974">
        <w:t>, Report No. PN-2-20062</w:t>
      </w:r>
      <w:r w:rsidR="00C30992">
        <w:t>6</w:t>
      </w:r>
      <w:r w:rsidR="00E45974">
        <w:t xml:space="preserve">-01 (MB June 26, 2020). </w:t>
      </w:r>
    </w:p>
  </w:footnote>
  <w:footnote w:id="10">
    <w:p w:rsidR="00D71B55" w14:paraId="25E6FBF7" w14:textId="0BFDE451">
      <w:pPr>
        <w:pStyle w:val="FootnoteText"/>
      </w:pPr>
      <w:r>
        <w:rPr>
          <w:rStyle w:val="FootnoteReference"/>
        </w:rPr>
        <w:footnoteRef/>
      </w:r>
      <w:r>
        <w:t xml:space="preserve"> </w:t>
      </w:r>
      <w:r w:rsidRPr="00146100">
        <w:t>Application File No. 116539</w:t>
      </w:r>
      <w:r>
        <w:t>.  The Beanpot Modification was not contested and was not the subject of a petition for reconsideration.</w:t>
      </w:r>
    </w:p>
  </w:footnote>
  <w:footnote w:id="11">
    <w:p w:rsidR="001D7083" w:rsidRPr="001D7083" w14:paraId="25F75056" w14:textId="461698D5">
      <w:pPr>
        <w:pStyle w:val="FootnoteText"/>
      </w:pPr>
      <w:r>
        <w:rPr>
          <w:rStyle w:val="FootnoteReference"/>
        </w:rPr>
        <w:footnoteRef/>
      </w:r>
      <w:r>
        <w:t xml:space="preserve"> </w:t>
      </w:r>
      <w:r>
        <w:rPr>
          <w:i/>
          <w:iCs/>
        </w:rPr>
        <w:t>Broadcast Actions</w:t>
      </w:r>
      <w:r>
        <w:t xml:space="preserve">, Public Notice, Report No. </w:t>
      </w:r>
      <w:r w:rsidR="00AB16D1">
        <w:t>PN-2-200720-01 (</w:t>
      </w:r>
      <w:r w:rsidR="000407B4">
        <w:t xml:space="preserve">MB </w:t>
      </w:r>
      <w:r w:rsidR="00AB16D1">
        <w:t>July 20, 2020)</w:t>
      </w:r>
      <w:r w:rsidR="00F21B48">
        <w:t xml:space="preserve"> (Beanpot Translator Construction Permit)</w:t>
      </w:r>
      <w:r w:rsidR="00AB16D1">
        <w:t xml:space="preserve">. </w:t>
      </w:r>
    </w:p>
  </w:footnote>
  <w:footnote w:id="12">
    <w:p w:rsidR="006D04F1" w14:paraId="7708D4AC" w14:textId="461D940B">
      <w:pPr>
        <w:pStyle w:val="FootnoteText"/>
      </w:pPr>
      <w:r>
        <w:rPr>
          <w:rStyle w:val="FootnoteReference"/>
        </w:rPr>
        <w:footnoteRef/>
      </w:r>
      <w:r>
        <w:t xml:space="preserve"> Pleading File No. 118532.</w:t>
      </w:r>
    </w:p>
  </w:footnote>
  <w:footnote w:id="13">
    <w:p w:rsidR="006D04F1" w14:paraId="6629F604" w14:textId="5B705BF3">
      <w:pPr>
        <w:pStyle w:val="FootnoteText"/>
      </w:pPr>
      <w:r>
        <w:rPr>
          <w:rStyle w:val="FootnoteReference"/>
        </w:rPr>
        <w:footnoteRef/>
      </w:r>
      <w:r>
        <w:t xml:space="preserve"> Pleading File No. 120206.</w:t>
      </w:r>
    </w:p>
  </w:footnote>
  <w:footnote w:id="14">
    <w:p w:rsidR="00E10643" w:rsidRPr="00054A26" w:rsidP="00E10643" w14:paraId="583DF6B1" w14:textId="51D14724">
      <w:pPr>
        <w:pStyle w:val="FootnoteText"/>
      </w:pPr>
      <w:r>
        <w:rPr>
          <w:rStyle w:val="FootnoteReference"/>
        </w:rPr>
        <w:footnoteRef/>
      </w:r>
      <w:r>
        <w:t xml:space="preserve"> Cancellation Objection at 2-3 (citing </w:t>
      </w:r>
      <w:r>
        <w:rPr>
          <w:i/>
          <w:iCs/>
        </w:rPr>
        <w:t>Brian M. Madden, Esq.</w:t>
      </w:r>
      <w:r>
        <w:t xml:space="preserve">, Letter Decision, </w:t>
      </w:r>
      <w:r w:rsidR="00F6009D">
        <w:t>25</w:t>
      </w:r>
      <w:r>
        <w:t xml:space="preserve"> FCC Rcd 4765, 4767 (MB 2010)</w:t>
      </w:r>
      <w:r w:rsidR="00296418">
        <w:t xml:space="preserve"> (</w:t>
      </w:r>
      <w:r w:rsidR="00BD541F">
        <w:rPr>
          <w:i/>
          <w:iCs/>
        </w:rPr>
        <w:t>Krum</w:t>
      </w:r>
      <w:r w:rsidR="00296418">
        <w:t>)</w:t>
      </w:r>
      <w:r>
        <w:t>)</w:t>
      </w:r>
      <w:r w:rsidR="00774EE5">
        <w:t>; Cancellation Response at 2</w:t>
      </w:r>
      <w:r w:rsidR="0044461D">
        <w:t xml:space="preserve">  (citing </w:t>
      </w:r>
      <w:r w:rsidR="0044461D">
        <w:rPr>
          <w:i/>
          <w:iCs/>
        </w:rPr>
        <w:t xml:space="preserve">Mark N. </w:t>
      </w:r>
      <w:r w:rsidR="0044461D">
        <w:rPr>
          <w:i/>
          <w:iCs/>
        </w:rPr>
        <w:t>Lipp</w:t>
      </w:r>
      <w:r w:rsidR="0044461D">
        <w:rPr>
          <w:i/>
          <w:iCs/>
        </w:rPr>
        <w:t>, Esq.</w:t>
      </w:r>
      <w:r w:rsidR="0044461D">
        <w:t>, Letter Decision, 31 FCC Rcd 8916, 8921 (MB 2016) (</w:t>
      </w:r>
      <w:r w:rsidR="0044461D">
        <w:rPr>
          <w:i/>
          <w:iCs/>
        </w:rPr>
        <w:t>Price</w:t>
      </w:r>
      <w:r w:rsidR="0044461D">
        <w:t>)</w:t>
      </w:r>
      <w:r w:rsidR="0044461D">
        <w:rPr>
          <w:i/>
          <w:iCs/>
        </w:rPr>
        <w:t xml:space="preserve"> </w:t>
      </w:r>
      <w:r w:rsidR="0044461D">
        <w:t>(</w:t>
      </w:r>
      <w:r w:rsidRPr="001028E4" w:rsidR="0044461D">
        <w:t>“</w:t>
      </w:r>
      <w:r w:rsidR="0012164C">
        <w:t>[</w:t>
      </w:r>
      <w:r w:rsidR="0044461D">
        <w:t>I]</w:t>
      </w:r>
      <w:r w:rsidRPr="001028E4" w:rsidR="0044461D">
        <w:t>n channel substitution situations, the affected station has at best an ‘implied STA’ to remain on its old frequency until it is ready for operation on its new frequency.”</w:t>
      </w:r>
      <w:r w:rsidR="0044461D">
        <w:t>))</w:t>
      </w:r>
      <w:r>
        <w:t>.</w:t>
      </w:r>
      <w:r w:rsidRPr="0044461D" w:rsidR="0044461D">
        <w:t xml:space="preserve"> </w:t>
      </w:r>
      <w:r w:rsidR="0044461D">
        <w:t xml:space="preserve"> Beanpot also notes that, if necessary, the Commission may cancel the implied STA and order the dilatory station to cease broadcasting on its old frequency.</w:t>
      </w:r>
      <w:r w:rsidRPr="0044461D" w:rsidR="0044461D">
        <w:t xml:space="preserve"> </w:t>
      </w:r>
      <w:r w:rsidR="0044461D">
        <w:t xml:space="preserve"> Cancellation Objection at 2</w:t>
      </w:r>
    </w:p>
  </w:footnote>
  <w:footnote w:id="15">
    <w:p w:rsidR="007F5A6B" w:rsidP="007F5A6B" w14:paraId="622CC6D9" w14:textId="45460D80">
      <w:pPr>
        <w:pStyle w:val="FootnoteText"/>
      </w:pPr>
      <w:r>
        <w:rPr>
          <w:rStyle w:val="FootnoteReference"/>
        </w:rPr>
        <w:footnoteRef/>
      </w:r>
      <w:r>
        <w:t xml:space="preserve"> Cancellation Response at 2. </w:t>
      </w:r>
    </w:p>
  </w:footnote>
  <w:footnote w:id="16">
    <w:p w:rsidR="007F5A6B" w:rsidP="00296418" w14:paraId="3C422F01" w14:textId="7F02866F">
      <w:pPr>
        <w:pStyle w:val="FootnoteText"/>
      </w:pPr>
      <w:r>
        <w:rPr>
          <w:rStyle w:val="FootnoteReference"/>
        </w:rPr>
        <w:footnoteRef/>
      </w:r>
      <w:r>
        <w:t xml:space="preserve"> </w:t>
      </w:r>
      <w:r w:rsidR="004C27D8">
        <w:rPr>
          <w:i/>
          <w:iCs/>
        </w:rPr>
        <w:t>Id</w:t>
      </w:r>
      <w:r w:rsidR="004C27D8">
        <w:t>.</w:t>
      </w:r>
      <w:r>
        <w:t xml:space="preserve"> at 2</w:t>
      </w:r>
      <w:r w:rsidRPr="0044461D" w:rsidR="0044461D">
        <w:t xml:space="preserve"> </w:t>
      </w:r>
      <w:r w:rsidR="0044461D">
        <w:t xml:space="preserve">(citing </w:t>
      </w:r>
      <w:r w:rsidR="0044461D">
        <w:rPr>
          <w:i/>
          <w:iCs/>
        </w:rPr>
        <w:t>Pathfinder Communications Corp.</w:t>
      </w:r>
      <w:r w:rsidR="0044461D">
        <w:t>, Memorandum Opinion and Order, 18 FCC Rcd 9272, 9279 (2003))</w:t>
      </w:r>
      <w:r>
        <w:t>.</w:t>
      </w:r>
    </w:p>
  </w:footnote>
  <w:footnote w:id="17">
    <w:p w:rsidR="0066160D" w:rsidRPr="0066160D" w14:paraId="44A57CDF" w14:textId="6454343B">
      <w:pPr>
        <w:pStyle w:val="FootnoteText"/>
      </w:pPr>
      <w:r>
        <w:rPr>
          <w:rStyle w:val="FootnoteReference"/>
        </w:rPr>
        <w:footnoteRef/>
      </w:r>
      <w:r>
        <w:t xml:space="preserve"> </w:t>
      </w:r>
      <w:r w:rsidR="007510AC">
        <w:t>Cancellation Objection at 2-3.</w:t>
      </w:r>
    </w:p>
  </w:footnote>
  <w:footnote w:id="18">
    <w:p w:rsidR="005F075C" w:rsidP="005F075C" w14:paraId="44981B5B" w14:textId="77777777">
      <w:pPr>
        <w:pStyle w:val="FootnoteText"/>
      </w:pPr>
      <w:r>
        <w:rPr>
          <w:rStyle w:val="FootnoteReference"/>
        </w:rPr>
        <w:footnoteRef/>
      </w:r>
      <w:r>
        <w:t xml:space="preserve"> Cancellation Response at 3.</w:t>
      </w:r>
    </w:p>
  </w:footnote>
  <w:footnote w:id="19">
    <w:p w:rsidR="00BE2727" w:rsidRPr="006D75FD" w:rsidP="00BE2727" w14:paraId="6CF3C61F" w14:textId="2A2CC9AB">
      <w:pPr>
        <w:pStyle w:val="FootnoteText"/>
      </w:pPr>
      <w:r>
        <w:rPr>
          <w:rStyle w:val="FootnoteReference"/>
        </w:rPr>
        <w:footnoteRef/>
      </w:r>
      <w:r>
        <w:t xml:space="preserve"> Cancellation Reply at 2.  The parties also debate whether a party may oppose a translator licensee’s decision to surrender a construction permit.  As explained </w:t>
      </w:r>
      <w:r>
        <w:rPr>
          <w:i/>
          <w:iCs/>
        </w:rPr>
        <w:t>supra</w:t>
      </w:r>
      <w:r>
        <w:t>, note 2, we consider</w:t>
      </w:r>
      <w:r w:rsidR="00D97B07">
        <w:t xml:space="preserve"> the</w:t>
      </w:r>
      <w:r>
        <w:t xml:space="preserve"> Cancellation O</w:t>
      </w:r>
      <w:r w:rsidR="00D97B07">
        <w:t>bjection</w:t>
      </w:r>
      <w:r>
        <w:t xml:space="preserve"> as an informal request for Commission action under 47 CFR § 1.41. </w:t>
      </w:r>
    </w:p>
  </w:footnote>
  <w:footnote w:id="20">
    <w:p w:rsidR="001B4E35" w14:paraId="5735CB34" w14:textId="65F32E8E">
      <w:pPr>
        <w:pStyle w:val="FootnoteText"/>
      </w:pPr>
      <w:r>
        <w:rPr>
          <w:rStyle w:val="FootnoteReference"/>
        </w:rPr>
        <w:footnoteRef/>
      </w:r>
      <w:r>
        <w:t xml:space="preserve"> </w:t>
      </w:r>
      <w:r w:rsidR="004C27D8">
        <w:rPr>
          <w:i/>
          <w:iCs/>
        </w:rPr>
        <w:t>Id</w:t>
      </w:r>
      <w:r w:rsidR="004C27D8">
        <w:t>. at 2</w:t>
      </w:r>
      <w:r>
        <w:t>.</w:t>
      </w:r>
    </w:p>
  </w:footnote>
  <w:footnote w:id="21">
    <w:p w:rsidR="00252AB8" w14:paraId="40636F28" w14:textId="6FC11FF8">
      <w:pPr>
        <w:pStyle w:val="FootnoteText"/>
      </w:pPr>
      <w:r>
        <w:rPr>
          <w:rStyle w:val="FootnoteReference"/>
        </w:rPr>
        <w:footnoteRef/>
      </w:r>
      <w:r>
        <w:t xml:space="preserve"> </w:t>
      </w:r>
      <w:r w:rsidR="004C27D8">
        <w:rPr>
          <w:i/>
          <w:iCs/>
        </w:rPr>
        <w:t>Id</w:t>
      </w:r>
      <w:r w:rsidR="004C27D8">
        <w:t>. at 2</w:t>
      </w:r>
      <w:r>
        <w:t>.</w:t>
      </w:r>
    </w:p>
  </w:footnote>
  <w:footnote w:id="22">
    <w:p w:rsidR="00134DDA" w:rsidP="00134DDA" w14:paraId="61B0DD2D" w14:textId="77777777">
      <w:pPr>
        <w:pStyle w:val="FootnoteText"/>
      </w:pPr>
      <w:r>
        <w:rPr>
          <w:rStyle w:val="FootnoteReference"/>
        </w:rPr>
        <w:footnoteRef/>
      </w:r>
      <w:r>
        <w:t xml:space="preserve"> Cancellation Objection at 2 (citing 47 CFR §§ 1.1202(d) and 1.1208). </w:t>
      </w:r>
    </w:p>
  </w:footnote>
  <w:footnote w:id="23">
    <w:p w:rsidR="00134DDA" w:rsidP="00134DDA" w14:paraId="6A5BD2E6" w14:textId="069B7A05">
      <w:pPr>
        <w:pStyle w:val="FootnoteText"/>
      </w:pPr>
      <w:r>
        <w:rPr>
          <w:rStyle w:val="FootnoteReference"/>
        </w:rPr>
        <w:footnoteRef/>
      </w:r>
      <w:r>
        <w:t xml:space="preserve"> Cancellation Supplement Reply at 1 (citing </w:t>
      </w:r>
      <w:r>
        <w:rPr>
          <w:i/>
          <w:iCs/>
        </w:rPr>
        <w:t>Group W. Radio, Inc.</w:t>
      </w:r>
      <w:r>
        <w:t xml:space="preserve">, </w:t>
      </w:r>
      <w:r w:rsidR="001E19A1">
        <w:t xml:space="preserve">Memorandum Opinion and Order, </w:t>
      </w:r>
      <w:r>
        <w:t xml:space="preserve">10 FCC Rcd 1080 (1995); </w:t>
      </w:r>
      <w:r>
        <w:rPr>
          <w:i/>
          <w:iCs/>
        </w:rPr>
        <w:t xml:space="preserve">Choctaw Broadcasting </w:t>
      </w:r>
      <w:r w:rsidR="000E1492">
        <w:rPr>
          <w:i/>
          <w:iCs/>
        </w:rPr>
        <w:t>Corp.</w:t>
      </w:r>
      <w:r>
        <w:t xml:space="preserve">, </w:t>
      </w:r>
      <w:r w:rsidR="000E1492">
        <w:t xml:space="preserve">Memorandum Opinion and Order, </w:t>
      </w:r>
      <w:r>
        <w:t>12 FCC Rcd 8534 (1997)</w:t>
      </w:r>
      <w:r w:rsidR="00502124">
        <w:t xml:space="preserve"> (</w:t>
      </w:r>
      <w:r w:rsidR="00502124">
        <w:rPr>
          <w:i/>
          <w:iCs/>
        </w:rPr>
        <w:t>Choctaw</w:t>
      </w:r>
      <w:r>
        <w:t>)</w:t>
      </w:r>
      <w:r w:rsidR="000E1492">
        <w:t>.</w:t>
      </w:r>
      <w:r>
        <w:t xml:space="preserve"> </w:t>
      </w:r>
    </w:p>
  </w:footnote>
  <w:footnote w:id="24">
    <w:p w:rsidR="00BF3F7B" w14:paraId="1433B1AD" w14:textId="55D9E7C7">
      <w:pPr>
        <w:pStyle w:val="FootnoteText"/>
      </w:pPr>
      <w:r>
        <w:rPr>
          <w:rStyle w:val="FootnoteReference"/>
        </w:rPr>
        <w:footnoteRef/>
      </w:r>
      <w:r>
        <w:t xml:space="preserve"> Cancellation Supplement at 2.</w:t>
      </w:r>
    </w:p>
  </w:footnote>
  <w:footnote w:id="25">
    <w:p w:rsidR="00BF3F7B" w14:paraId="196992FF" w14:textId="2AFC76F6">
      <w:pPr>
        <w:pStyle w:val="FootnoteText"/>
      </w:pPr>
      <w:r>
        <w:rPr>
          <w:rStyle w:val="FootnoteReference"/>
        </w:rPr>
        <w:footnoteRef/>
      </w:r>
      <w:r>
        <w:t xml:space="preserve"> </w:t>
      </w:r>
      <w:r w:rsidR="004C27D8">
        <w:rPr>
          <w:i/>
          <w:iCs/>
        </w:rPr>
        <w:t>Id</w:t>
      </w:r>
      <w:r w:rsidR="004C27D8">
        <w:t>. at 2</w:t>
      </w:r>
      <w:r w:rsidRPr="0044461D" w:rsidR="004C27D8">
        <w:t xml:space="preserve"> </w:t>
      </w:r>
      <w:r>
        <w:t>.</w:t>
      </w:r>
    </w:p>
  </w:footnote>
  <w:footnote w:id="26">
    <w:p w:rsidR="00DD4AEC" w14:paraId="47FA76F4" w14:textId="1EEEC807">
      <w:pPr>
        <w:pStyle w:val="FootnoteText"/>
      </w:pPr>
      <w:r>
        <w:rPr>
          <w:rStyle w:val="FootnoteReference"/>
        </w:rPr>
        <w:footnoteRef/>
      </w:r>
      <w:r>
        <w:t xml:space="preserve"> Second Modification Application, Attach. entitled “</w:t>
      </w:r>
      <w:r w:rsidRPr="00DD4AEC">
        <w:t>W242AA engineering exhibits</w:t>
      </w:r>
      <w:r>
        <w:t>”</w:t>
      </w:r>
      <w:r w:rsidR="00F21B48">
        <w:t xml:space="preserve"> (Second Modification Application Engineering Exhibit).</w:t>
      </w:r>
    </w:p>
  </w:footnote>
  <w:footnote w:id="27">
    <w:p w:rsidR="000414BB" w:rsidRPr="00DD4AEC" w14:paraId="664B91FD" w14:textId="0338F519">
      <w:pPr>
        <w:pStyle w:val="FootnoteText"/>
      </w:pPr>
      <w:r>
        <w:rPr>
          <w:rStyle w:val="FootnoteReference"/>
        </w:rPr>
        <w:footnoteRef/>
      </w:r>
      <w:r>
        <w:t xml:space="preserve"> </w:t>
      </w:r>
      <w:r w:rsidR="00DD4AEC">
        <w:rPr>
          <w:i/>
          <w:iCs/>
        </w:rPr>
        <w:t xml:space="preserve">See </w:t>
      </w:r>
      <w:r w:rsidR="00DD4AEC">
        <w:t xml:space="preserve">47 CFR </w:t>
      </w:r>
      <w:r w:rsidR="000F3B9B">
        <w:t xml:space="preserve">§ </w:t>
      </w:r>
      <w:r w:rsidR="00DD4AEC">
        <w:t>74.1204(c) (“</w:t>
      </w:r>
      <w:r w:rsidRPr="00DD4AEC" w:rsidR="00DD4AEC">
        <w:t>An application for a change (other than a change in channel) in the authorized facilities of an FM translator station will be accepted even though overlap of field strength contours would occur with another station in an area where such overlap does not already exist, if:</w:t>
      </w:r>
      <w:r w:rsidR="00DD4AEC">
        <w:t xml:space="preserve"> </w:t>
      </w:r>
      <w:r w:rsidRPr="00DD4AEC" w:rsidR="00DD4AEC">
        <w:t>(1) The total area of overlap with that station would not be increased:</w:t>
      </w:r>
      <w:r w:rsidR="00DD4AEC">
        <w:t xml:space="preserve"> </w:t>
      </w:r>
      <w:r w:rsidRPr="00DD4AEC" w:rsidR="00DD4AEC">
        <w:t>(2) The area of overlap with any other station would not increase;</w:t>
      </w:r>
      <w:r w:rsidR="00DD4AEC">
        <w:t xml:space="preserve"> </w:t>
      </w:r>
      <w:r w:rsidRPr="00DD4AEC" w:rsidR="00DD4AEC">
        <w:t>(3) The area of overlap does not move significantly closer to the station receiving the overlap; and,</w:t>
      </w:r>
      <w:r w:rsidR="00DD4AEC">
        <w:t xml:space="preserve"> </w:t>
      </w:r>
      <w:r w:rsidRPr="00DD4AEC" w:rsidR="00DD4AEC">
        <w:t>(4) No area of overlap would be created with any station with which the overlap does not now exist.</w:t>
      </w:r>
      <w:r w:rsidR="00C1234C">
        <w:t>”).</w:t>
      </w:r>
      <w:r w:rsidR="009907B1">
        <w:t xml:space="preserve">  In making the same showing in the Beanpot Modification Application, Beanpot stated that “[The WGBH Translator] has been omitted from this study, as the building where the translator transmitting facilities are located is being demolished, and this translator is changing frequency to Channel 247D.”  Beanpot Modification Application, Attach. entitled “</w:t>
      </w:r>
      <w:r w:rsidRPr="009907B1" w:rsidR="009907B1">
        <w:t>FM Translator Facilities and Allocation Considerations</w:t>
      </w:r>
      <w:r w:rsidR="009907B1">
        <w:t>.”</w:t>
      </w:r>
    </w:p>
  </w:footnote>
  <w:footnote w:id="28">
    <w:p w:rsidR="00F21B48" w14:paraId="673B3CA6" w14:textId="46391DDC">
      <w:pPr>
        <w:pStyle w:val="FootnoteText"/>
      </w:pPr>
      <w:r>
        <w:rPr>
          <w:rStyle w:val="FootnoteReference"/>
        </w:rPr>
        <w:footnoteRef/>
      </w:r>
      <w:r>
        <w:t xml:space="preserve"> Second Modification Application Engineering Exhibit at 3.</w:t>
      </w:r>
    </w:p>
  </w:footnote>
  <w:footnote w:id="29">
    <w:p w:rsidR="003570D7" w:rsidP="003570D7" w14:paraId="4FEC61E4" w14:textId="4A436AEE">
      <w:pPr>
        <w:pStyle w:val="FootnoteText"/>
      </w:pPr>
      <w:r>
        <w:rPr>
          <w:rStyle w:val="FootnoteReference"/>
        </w:rPr>
        <w:footnoteRef/>
      </w:r>
      <w:r>
        <w:t xml:space="preserve"> </w:t>
      </w:r>
      <w:r w:rsidR="000F3B9B">
        <w:t>Second Modification</w:t>
      </w:r>
      <w:r w:rsidRPr="00DA346B" w:rsidR="00CE6649">
        <w:t xml:space="preserve"> Objection at 3</w:t>
      </w:r>
      <w:r w:rsidR="0044461D">
        <w:t>.</w:t>
      </w:r>
    </w:p>
  </w:footnote>
  <w:footnote w:id="30">
    <w:p w:rsidR="00FD0E3F" w:rsidP="00FD0E3F" w14:paraId="7D4F7406" w14:textId="4FCB9EE4">
      <w:pPr>
        <w:pStyle w:val="FootnoteText"/>
      </w:pPr>
      <w:r>
        <w:rPr>
          <w:rStyle w:val="FootnoteReference"/>
        </w:rPr>
        <w:footnoteRef/>
      </w:r>
      <w:r>
        <w:t xml:space="preserve"> </w:t>
      </w:r>
      <w:r w:rsidR="000F3B9B">
        <w:t xml:space="preserve">Second Modification </w:t>
      </w:r>
      <w:r>
        <w:t>Objection at 4.</w:t>
      </w:r>
    </w:p>
  </w:footnote>
  <w:footnote w:id="31">
    <w:p w:rsidR="00156E14" w:rsidP="00156E14" w14:paraId="65CEF200" w14:textId="5FEE03CE">
      <w:pPr>
        <w:pStyle w:val="FootnoteText"/>
      </w:pPr>
      <w:r>
        <w:rPr>
          <w:rStyle w:val="FootnoteReference"/>
        </w:rPr>
        <w:footnoteRef/>
      </w:r>
      <w:r>
        <w:t xml:space="preserve"> </w:t>
      </w:r>
      <w:r w:rsidR="004C27D8">
        <w:rPr>
          <w:i/>
          <w:iCs/>
        </w:rPr>
        <w:t>Id</w:t>
      </w:r>
      <w:r w:rsidR="004C27D8">
        <w:t xml:space="preserve">. at </w:t>
      </w:r>
      <w:r>
        <w:t>2-3 (citing 47 CFR § 73.3520</w:t>
      </w:r>
      <w:r w:rsidR="001C1F7F">
        <w:t>)</w:t>
      </w:r>
      <w:r>
        <w:t xml:space="preserve">.  </w:t>
      </w:r>
    </w:p>
  </w:footnote>
  <w:footnote w:id="32">
    <w:p w:rsidR="001C1F7F" w:rsidRPr="00493EC5" w14:paraId="285AA4D6" w14:textId="79C31054">
      <w:pPr>
        <w:pStyle w:val="FootnoteText"/>
      </w:pPr>
      <w:r>
        <w:rPr>
          <w:rStyle w:val="FootnoteReference"/>
        </w:rPr>
        <w:footnoteRef/>
      </w:r>
      <w:r>
        <w:t xml:space="preserve"> </w:t>
      </w:r>
      <w:bookmarkStart w:id="2" w:name="_Hlk76722045"/>
      <w:r w:rsidR="004C27D8">
        <w:rPr>
          <w:i/>
          <w:iCs/>
        </w:rPr>
        <w:t>Id</w:t>
      </w:r>
      <w:r w:rsidR="004C27D8">
        <w:t xml:space="preserve">. at </w:t>
      </w:r>
      <w:r>
        <w:t>3, n.3.</w:t>
      </w:r>
      <w:bookmarkEnd w:id="2"/>
      <w:r w:rsidR="00493EC5">
        <w:t xml:space="preserve">  On June 26, 2020, the Bureau cancelled Application File No. BMPFT-20190806AA</w:t>
      </w:r>
      <w:r w:rsidR="00911200">
        <w:t>B</w:t>
      </w:r>
      <w:r w:rsidR="00493EC5">
        <w:t xml:space="preserve"> </w:t>
      </w:r>
      <w:r w:rsidR="00B304A2">
        <w:t xml:space="preserve">(previously granted on September 3, 2019) </w:t>
      </w:r>
      <w:r w:rsidR="00493EC5">
        <w:t xml:space="preserve">at Beanpot’s request.  </w:t>
      </w:r>
      <w:r w:rsidR="00493EC5">
        <w:rPr>
          <w:i/>
          <w:iCs/>
        </w:rPr>
        <w:t>Broadcast Actions</w:t>
      </w:r>
      <w:r w:rsidR="00493EC5">
        <w:t>, Public Notice, Report No. 49771 (MB July 1, 2020)</w:t>
      </w:r>
      <w:r w:rsidR="00A32AFD">
        <w:t xml:space="preserve"> (First Beanpot Application)</w:t>
      </w:r>
      <w:r w:rsidR="00493EC5">
        <w:t xml:space="preserve">. </w:t>
      </w:r>
    </w:p>
  </w:footnote>
  <w:footnote w:id="33">
    <w:p w:rsidR="002E4B8A" w14:paraId="64110A63" w14:textId="1AF070B9">
      <w:pPr>
        <w:pStyle w:val="FootnoteText"/>
      </w:pPr>
      <w:r>
        <w:rPr>
          <w:rStyle w:val="FootnoteReference"/>
        </w:rPr>
        <w:footnoteRef/>
      </w:r>
      <w:r>
        <w:t xml:space="preserve"> </w:t>
      </w:r>
      <w:r w:rsidR="004C27D8">
        <w:rPr>
          <w:i/>
          <w:iCs/>
        </w:rPr>
        <w:t>Id</w:t>
      </w:r>
      <w:r w:rsidR="004C27D8">
        <w:t>.</w:t>
      </w:r>
      <w:r>
        <w:t xml:space="preserve"> at 3-4.</w:t>
      </w:r>
    </w:p>
  </w:footnote>
  <w:footnote w:id="34">
    <w:p w:rsidR="00154992" w:rsidRPr="003730B7" w14:paraId="1C1635E5" w14:textId="528FC9C9">
      <w:pPr>
        <w:pStyle w:val="FootnoteText"/>
        <w:rPr>
          <w:i/>
          <w:iCs/>
        </w:rPr>
      </w:pPr>
      <w:r>
        <w:rPr>
          <w:rStyle w:val="FootnoteReference"/>
        </w:rPr>
        <w:footnoteRef/>
      </w:r>
      <w:r>
        <w:t xml:space="preserve"> </w:t>
      </w:r>
      <w:r w:rsidR="00D44511">
        <w:rPr>
          <w:i/>
          <w:iCs/>
        </w:rPr>
        <w:t xml:space="preserve">See, e.g., </w:t>
      </w:r>
      <w:r w:rsidR="00725F5D">
        <w:rPr>
          <w:i/>
          <w:iCs/>
        </w:rPr>
        <w:t>1998 Biennial Regulatory Review – Streamlining of Radio Technical Rules in Parts 73 and 74 of the Commission’s Rules</w:t>
      </w:r>
      <w:r w:rsidR="00725F5D">
        <w:t>, Notice of Proposed Rulemaking and Order, 13 FCC Rcd 14849, 14855, para. 12, n.22 (1998)</w:t>
      </w:r>
      <w:r w:rsidR="00B73993">
        <w:t xml:space="preserve"> (</w:t>
      </w:r>
      <w:r w:rsidR="00B73993">
        <w:rPr>
          <w:i/>
          <w:iCs/>
        </w:rPr>
        <w:t>1998 Biennial NPRM</w:t>
      </w:r>
      <w:r w:rsidR="00B73993">
        <w:t xml:space="preserve">) (explaining that grant of a </w:t>
      </w:r>
      <w:r w:rsidRPr="00B73993" w:rsidR="00B73993">
        <w:t>one-step FM commercial station application to change channel modifies that station</w:t>
      </w:r>
      <w:r w:rsidR="003730B7">
        <w:t>’s</w:t>
      </w:r>
      <w:r w:rsidRPr="00B73993" w:rsidR="00B73993">
        <w:t xml:space="preserve"> license to </w:t>
      </w:r>
      <w:r w:rsidR="003730B7">
        <w:t>specify</w:t>
      </w:r>
      <w:r w:rsidRPr="00B73993" w:rsidR="00B73993">
        <w:t xml:space="preserve"> the new channel</w:t>
      </w:r>
      <w:r w:rsidR="003730B7">
        <w:t>).</w:t>
      </w:r>
    </w:p>
  </w:footnote>
  <w:footnote w:id="35">
    <w:p w:rsidR="00D6756C" w:rsidRPr="00DE0C09" w:rsidP="00D6756C" w14:paraId="5DC24801" w14:textId="67EE0B9C">
      <w:pPr>
        <w:pStyle w:val="FootnoteText"/>
      </w:pPr>
      <w:r>
        <w:rPr>
          <w:rStyle w:val="FootnoteReference"/>
        </w:rPr>
        <w:footnoteRef/>
      </w:r>
      <w:r>
        <w:t xml:space="preserve"> </w:t>
      </w:r>
      <w:r w:rsidR="006C3025">
        <w:rPr>
          <w:i/>
          <w:iCs/>
        </w:rPr>
        <w:t xml:space="preserve">See </w:t>
      </w:r>
      <w:r w:rsidR="00B73993">
        <w:rPr>
          <w:i/>
          <w:iCs/>
        </w:rPr>
        <w:t>1998 Biennial NPRM</w:t>
      </w:r>
      <w:r w:rsidR="00B73993">
        <w:t>, 13 FCC Rcd at 14855, para. 12, n.22 )</w:t>
      </w:r>
      <w:r w:rsidRPr="00B73993" w:rsidR="00B73993">
        <w:t xml:space="preserve">.  </w:t>
      </w:r>
      <w:r w:rsidR="00B73993">
        <w:t>(“</w:t>
      </w:r>
      <w:r w:rsidRPr="00B73993" w:rsidR="00B73993">
        <w:t>If the permittee fails to timely construct and lets its permit lapse, the permittee is not relieved of the obligation to change to the channel and class specified in the amended Table of Allotments</w:t>
      </w:r>
      <w:r w:rsidR="00B73993">
        <w:t xml:space="preserve">”); </w:t>
      </w:r>
      <w:r w:rsidR="00BD541F">
        <w:rPr>
          <w:i/>
          <w:iCs/>
        </w:rPr>
        <w:t>Krum</w:t>
      </w:r>
      <w:r>
        <w:t>, 25 FCC Rcd at 4767 (holding</w:t>
      </w:r>
      <w:r w:rsidRPr="007010EF">
        <w:t xml:space="preserve"> that where the Commission had issued a permit for a new channel after issuing a report and order modifying the station’s license, the permittee was required to complete construction and operate on the new channel</w:t>
      </w:r>
      <w:r>
        <w:t xml:space="preserve">); </w:t>
      </w:r>
      <w:r w:rsidR="00BD541F">
        <w:rPr>
          <w:i/>
          <w:iCs/>
        </w:rPr>
        <w:t>Price</w:t>
      </w:r>
      <w:r>
        <w:t>, 31 FCC Rcd at 8920-21 (</w:t>
      </w:r>
      <w:r w:rsidRPr="009E7C91">
        <w:t>admonish</w:t>
      </w:r>
      <w:r>
        <w:t>ing</w:t>
      </w:r>
      <w:r w:rsidRPr="009E7C91">
        <w:t xml:space="preserve"> a licensee for failure to </w:t>
      </w:r>
      <w:r w:rsidR="003730B7">
        <w:t>carry out</w:t>
      </w:r>
      <w:r w:rsidRPr="009E7C91">
        <w:t xml:space="preserve"> a channel substitution order</w:t>
      </w:r>
      <w:r>
        <w:t>)</w:t>
      </w:r>
      <w:r w:rsidR="00DE0C09">
        <w:t>.</w:t>
      </w:r>
    </w:p>
  </w:footnote>
  <w:footnote w:id="36">
    <w:p w:rsidR="00680BBA" w:rsidRPr="003730B7" w14:paraId="4BFF2749" w14:textId="3022ABBB">
      <w:pPr>
        <w:pStyle w:val="FootnoteText"/>
      </w:pPr>
      <w:r>
        <w:rPr>
          <w:rStyle w:val="FootnoteReference"/>
        </w:rPr>
        <w:footnoteRef/>
      </w:r>
      <w:r>
        <w:t xml:space="preserve"> </w:t>
      </w:r>
      <w:r>
        <w:rPr>
          <w:i/>
          <w:iCs/>
        </w:rPr>
        <w:t>See Entravision Holdings, LLC</w:t>
      </w:r>
      <w:r>
        <w:t>, Memorandum Opinion and Order, FCC 22-4 (rel. Jan. 25, 2022)</w:t>
      </w:r>
      <w:r w:rsidR="003730B7">
        <w:t xml:space="preserve"> at 8-9, paras. 25-27</w:t>
      </w:r>
      <w:r>
        <w:t xml:space="preserve">.  </w:t>
      </w:r>
    </w:p>
  </w:footnote>
  <w:footnote w:id="37">
    <w:p w:rsidR="00826F74" w14:paraId="73227D6E" w14:textId="6EE1BDD0">
      <w:pPr>
        <w:pStyle w:val="FootnoteText"/>
      </w:pPr>
      <w:r>
        <w:rPr>
          <w:rStyle w:val="FootnoteReference"/>
        </w:rPr>
        <w:footnoteRef/>
      </w:r>
      <w:r>
        <w:t xml:space="preserve"> </w:t>
      </w:r>
      <w:r w:rsidR="00180186">
        <w:rPr>
          <w:i/>
          <w:iCs/>
        </w:rPr>
        <w:t xml:space="preserve">See </w:t>
      </w:r>
      <w:r>
        <w:t>47 CFR § 73.3598(e)</w:t>
      </w:r>
      <w:r w:rsidR="00180186">
        <w:t xml:space="preserve"> (</w:t>
      </w:r>
      <w:r w:rsidRPr="00180186" w:rsidR="00180186">
        <w:t>“Any construction permit for which construction has not been completed and for which an application for license has not been filed, shall be automatically forfeited upon expiration without any further affirmative cancellation by the Commission.”</w:t>
      </w:r>
      <w:r w:rsidR="00180186">
        <w:t>)</w:t>
      </w:r>
      <w:r w:rsidR="00BA1531">
        <w:t>; 47 U.S.C. § 319(b)</w:t>
      </w:r>
      <w:r>
        <w:t>.</w:t>
      </w:r>
    </w:p>
  </w:footnote>
  <w:footnote w:id="38">
    <w:p w:rsidR="00AE3AC3" w:rsidRPr="00A32AFD" w14:paraId="554A0A34" w14:textId="4F628B25">
      <w:pPr>
        <w:pStyle w:val="FootnoteText"/>
      </w:pPr>
      <w:r>
        <w:rPr>
          <w:rStyle w:val="FootnoteReference"/>
        </w:rPr>
        <w:footnoteRef/>
      </w:r>
      <w:r>
        <w:t xml:space="preserve"> </w:t>
      </w:r>
      <w:r w:rsidRPr="00490290" w:rsidR="00A32AFD">
        <w:rPr>
          <w:i/>
          <w:iCs/>
        </w:rPr>
        <w:t>See, e.g.</w:t>
      </w:r>
      <w:r w:rsidR="00A32AFD">
        <w:t xml:space="preserve">, the First Beanpot Application, </w:t>
      </w:r>
      <w:r w:rsidR="00A32AFD">
        <w:rPr>
          <w:i/>
          <w:iCs/>
        </w:rPr>
        <w:t xml:space="preserve">supra </w:t>
      </w:r>
      <w:r w:rsidR="00A32AFD">
        <w:t>note 29.</w:t>
      </w:r>
    </w:p>
  </w:footnote>
  <w:footnote w:id="39">
    <w:p w:rsidR="00BA29B7" w14:paraId="51010C24" w14:textId="23552303">
      <w:pPr>
        <w:pStyle w:val="FootnoteText"/>
      </w:pPr>
      <w:r>
        <w:rPr>
          <w:rStyle w:val="FootnoteReference"/>
        </w:rPr>
        <w:footnoteRef/>
      </w:r>
      <w:r>
        <w:t xml:space="preserve"> 47 CFR § 73.3520.</w:t>
      </w:r>
    </w:p>
  </w:footnote>
  <w:footnote w:id="40">
    <w:p w:rsidR="00BA29B7" w:rsidRPr="00BA29B7" w14:paraId="52477EB5" w14:textId="5D0AB23B">
      <w:pPr>
        <w:pStyle w:val="FootnoteText"/>
      </w:pPr>
      <w:r>
        <w:rPr>
          <w:rStyle w:val="FootnoteReference"/>
        </w:rPr>
        <w:footnoteRef/>
      </w:r>
      <w:r>
        <w:t xml:space="preserve"> </w:t>
      </w:r>
      <w:r>
        <w:rPr>
          <w:i/>
          <w:iCs/>
        </w:rPr>
        <w:t>See, e.g., Radio Representatives, Inc.</w:t>
      </w:r>
      <w:r>
        <w:t>, Hearing Designation Order</w:t>
      </w:r>
      <w:r>
        <w:rPr>
          <w:i/>
          <w:iCs/>
        </w:rPr>
        <w:t>,</w:t>
      </w:r>
      <w:r>
        <w:t xml:space="preserve"> 5 FCC Rcd 1894</w:t>
      </w:r>
      <w:r w:rsidR="006961F7">
        <w:t>, 1896, para. 16</w:t>
      </w:r>
      <w:r>
        <w:t xml:space="preserve"> (1990) (citing </w:t>
      </w:r>
      <w:r>
        <w:rPr>
          <w:i/>
          <w:iCs/>
        </w:rPr>
        <w:t xml:space="preserve">KKAP Broadcasting Co., </w:t>
      </w:r>
      <w:r w:rsidR="006961F7">
        <w:t xml:space="preserve">Letter Decision, </w:t>
      </w:r>
      <w:r>
        <w:t xml:space="preserve">63 FCC.2d 235, 236 (1976)). </w:t>
      </w:r>
    </w:p>
  </w:footnote>
  <w:footnote w:id="41">
    <w:p w:rsidR="00436699" w:rsidRPr="00436699" w14:paraId="046DA029" w14:textId="04B4B8A4">
      <w:pPr>
        <w:pStyle w:val="FootnoteText"/>
      </w:pPr>
      <w:r>
        <w:rPr>
          <w:rStyle w:val="FootnoteReference"/>
        </w:rPr>
        <w:footnoteRef/>
      </w:r>
      <w:r>
        <w:t xml:space="preserve"> </w:t>
      </w:r>
      <w:r>
        <w:rPr>
          <w:i/>
          <w:iCs/>
        </w:rPr>
        <w:t>See American Television of Utah, Inc.</w:t>
      </w:r>
      <w:r>
        <w:t>, Decision Letter, 91 FCC.2d 267, 268 (1982).</w:t>
      </w:r>
    </w:p>
  </w:footnote>
  <w:footnote w:id="42">
    <w:p w:rsidR="002D563E" w:rsidRPr="00457FB7" w14:paraId="57378C96" w14:textId="1F8CC2DD">
      <w:pPr>
        <w:pStyle w:val="FootnoteText"/>
        <w:rPr>
          <w:i/>
          <w:iCs/>
        </w:rPr>
      </w:pPr>
      <w:r>
        <w:rPr>
          <w:rStyle w:val="FootnoteReference"/>
        </w:rPr>
        <w:footnoteRef/>
      </w:r>
      <w:r>
        <w:t xml:space="preserve"> </w:t>
      </w:r>
      <w:r w:rsidR="004A3E90">
        <w:rPr>
          <w:i/>
          <w:iCs/>
        </w:rPr>
        <w:t xml:space="preserve">See </w:t>
      </w:r>
      <w:r w:rsidR="004A3E90">
        <w:t xml:space="preserve">47 CFR § 73.3517 (“Contingent applications for new stations and for changes in facilities of existing stations are not acceptable for filing.”); </w:t>
      </w:r>
      <w:r w:rsidR="00E15865">
        <w:rPr>
          <w:i/>
          <w:iCs/>
        </w:rPr>
        <w:t>1998 Biennial Regulatory Review – Streamlining of Radio Technical Rules in Parts 73 and 74 of the Commission’s Rules</w:t>
      </w:r>
      <w:r w:rsidR="00E15865">
        <w:t>, First Report and Order, 14 FCC Rcd 5272, para. 14, n.44 (1998) (“</w:t>
      </w:r>
      <w:r w:rsidRPr="00E15865" w:rsidR="00E15865">
        <w:t xml:space="preserve">We adopt no change in our current policy of not accepting any application filed </w:t>
      </w:r>
      <w:r w:rsidR="00E15865">
        <w:t>‘</w:t>
      </w:r>
      <w:r w:rsidRPr="00E15865" w:rsidR="00E15865">
        <w:t>contingent</w:t>
      </w:r>
      <w:r w:rsidR="00E15865">
        <w:t>’</w:t>
      </w:r>
      <w:r w:rsidRPr="00E15865" w:rsidR="00E15865">
        <w:t xml:space="preserve"> on the grant of a license application to cover an outstanding permit of another station</w:t>
      </w:r>
      <w:r w:rsidR="00E15865">
        <w:t xml:space="preserve">”); </w:t>
      </w:r>
      <w:r>
        <w:rPr>
          <w:i/>
          <w:iCs/>
        </w:rPr>
        <w:t>Amendment of Sections 1.517 and 1.520 of the Commission’s Rules</w:t>
      </w:r>
      <w:r>
        <w:t xml:space="preserve">, </w:t>
      </w:r>
      <w:r w:rsidR="00457FB7">
        <w:t xml:space="preserve">Report and Order, </w:t>
      </w:r>
      <w:r>
        <w:t>38 FCC.2d 238, 128 (1976</w:t>
      </w:r>
      <w:r w:rsidR="00457FB7">
        <w:t>)</w:t>
      </w:r>
      <w:r w:rsidR="009B03C0">
        <w:t xml:space="preserve"> (“</w:t>
      </w:r>
      <w:r w:rsidR="004A3E90">
        <w:t>[W]hen</w:t>
      </w:r>
      <w:r w:rsidR="009B03C0">
        <w:t xml:space="preserve"> an FM application is contingent on the effectuation of a second station’s facility modification application, in most instances the first station must wait for the grant of the second station’s covering license application before filing a construction permit application”)</w:t>
      </w:r>
      <w:r w:rsidR="004A3E90">
        <w:t>.</w:t>
      </w:r>
    </w:p>
  </w:footnote>
  <w:footnote w:id="43">
    <w:p w:rsidR="004A3E90" w:rsidRPr="004A3E90" w14:paraId="0A49C490" w14:textId="213EA990">
      <w:pPr>
        <w:pStyle w:val="FootnoteText"/>
      </w:pPr>
      <w:r>
        <w:rPr>
          <w:rStyle w:val="FootnoteReference"/>
        </w:rPr>
        <w:footnoteRef/>
      </w:r>
      <w:r>
        <w:t xml:space="preserve"> </w:t>
      </w:r>
      <w:r>
        <w:rPr>
          <w:i/>
          <w:iCs/>
        </w:rPr>
        <w:t>Selma Television Inc.</w:t>
      </w:r>
      <w:r>
        <w:t xml:space="preserve">, Memorandum Opinion and Order, 29 FCC.2d 522, 525, n.5 (1971). </w:t>
      </w:r>
    </w:p>
  </w:footnote>
  <w:footnote w:id="44">
    <w:p w:rsidR="00770C30" w14:paraId="070235BF" w14:textId="7FAB0217">
      <w:pPr>
        <w:pStyle w:val="FootnoteText"/>
      </w:pPr>
      <w:r>
        <w:rPr>
          <w:rStyle w:val="FootnoteReference"/>
        </w:rPr>
        <w:footnoteRef/>
      </w:r>
      <w:r>
        <w:t xml:space="preserve"> 47 CFR § 73.3517(e) (“</w:t>
      </w:r>
      <w:r w:rsidRPr="00770C30">
        <w:t>The Commission will accept up to four contingently related applications filed by FM licensees and/or permittees for minor modification of facilities. Two applications are related if the grant of one is necessary to permit the grant of the second application. Each application must state that it is filed as part of a related group of applications to make changes in facilities, must cross-reference each of the related applications, and must include a copy of the agreement to undertake the coordinated facility modifications. All applications must be filed on the same date.</w:t>
      </w:r>
      <w:r w:rsidR="008F540A">
        <w:t>”)</w:t>
      </w:r>
      <w:r w:rsidR="00E15865">
        <w:t>.</w:t>
      </w:r>
    </w:p>
  </w:footnote>
  <w:footnote w:id="45">
    <w:p w:rsidR="00E55AA8" w14:paraId="03385E92" w14:textId="59E5EF3C">
      <w:pPr>
        <w:pStyle w:val="FootnoteText"/>
      </w:pPr>
      <w:r>
        <w:rPr>
          <w:rStyle w:val="FootnoteReference"/>
        </w:rPr>
        <w:footnoteRef/>
      </w:r>
      <w:r>
        <w:t xml:space="preserve"> </w:t>
      </w:r>
      <w:r>
        <w:rPr>
          <w:i/>
          <w:iCs/>
        </w:rPr>
        <w:t xml:space="preserve">See </w:t>
      </w:r>
      <w:r>
        <w:t>47 CFR § 1.1202(a)</w:t>
      </w:r>
      <w:r w:rsidRPr="00E55AA8">
        <w:t xml:space="preserve"> </w:t>
      </w:r>
      <w:r>
        <w:t>(defining a presentation as a “</w:t>
      </w:r>
      <w:r w:rsidRPr="004236D8">
        <w:t>communication directed to the merits or outcome of a proceeding</w:t>
      </w:r>
      <w:r>
        <w:t>”).</w:t>
      </w:r>
    </w:p>
  </w:footnote>
  <w:footnote w:id="46">
    <w:p w:rsidR="006D0B95" w:rsidP="006D0B95" w14:paraId="6343449B" w14:textId="51524271">
      <w:pPr>
        <w:pStyle w:val="FootnoteText"/>
      </w:pPr>
      <w:r>
        <w:rPr>
          <w:rStyle w:val="FootnoteReference"/>
        </w:rPr>
        <w:footnoteRef/>
      </w:r>
      <w:r>
        <w:t xml:space="preserve"> </w:t>
      </w:r>
      <w:r w:rsidR="00E55AA8">
        <w:rPr>
          <w:i/>
          <w:iCs/>
        </w:rPr>
        <w:t xml:space="preserve">See </w:t>
      </w:r>
      <w:r w:rsidR="00E55AA8">
        <w:t>47 CFR § 1.1202(b).</w:t>
      </w:r>
    </w:p>
  </w:footnote>
  <w:footnote w:id="47">
    <w:p w:rsidR="00502124" w:rsidRPr="00502124" w14:paraId="2F961131" w14:textId="5ECB29F7">
      <w:pPr>
        <w:pStyle w:val="FootnoteText"/>
      </w:pPr>
      <w:r>
        <w:rPr>
          <w:rStyle w:val="FootnoteReference"/>
        </w:rPr>
        <w:footnoteRef/>
      </w:r>
      <w:r>
        <w:t xml:space="preserve"> </w:t>
      </w:r>
      <w:r>
        <w:rPr>
          <w:i/>
          <w:iCs/>
        </w:rPr>
        <w:t>See Choctaw</w:t>
      </w:r>
      <w:r>
        <w:t xml:space="preserve">, 12 FCC Rcd at 8414; </w:t>
      </w:r>
      <w:r>
        <w:rPr>
          <w:i/>
          <w:iCs/>
        </w:rPr>
        <w:t>John F. Garziglia, Esq.</w:t>
      </w:r>
      <w:r>
        <w:t xml:space="preserve">, Letter, 22 FCC Rcd 8409 (2007). </w:t>
      </w:r>
    </w:p>
  </w:footnote>
  <w:footnote w:id="48">
    <w:p w:rsidR="002B12AF" w14:paraId="24CAAB58" w14:textId="76B1BBE1">
      <w:pPr>
        <w:pStyle w:val="FootnoteText"/>
      </w:pPr>
      <w:r>
        <w:rPr>
          <w:rStyle w:val="FootnoteReference"/>
        </w:rPr>
        <w:footnoteRef/>
      </w:r>
      <w:r>
        <w:t xml:space="preserve"> </w:t>
      </w:r>
      <w:r w:rsidRPr="002B12AF">
        <w:rPr>
          <w:i/>
          <w:iCs/>
        </w:rPr>
        <w:t>Ex Parte Communications</w:t>
      </w:r>
      <w:r w:rsidRPr="002B12AF">
        <w:t xml:space="preserve">, </w:t>
      </w:r>
      <w:r>
        <w:t xml:space="preserve">Report and Order, </w:t>
      </w:r>
      <w:r w:rsidRPr="002B12AF">
        <w:t>2 FCC Rcd 3011, 3012 (1987).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151C80AA" w14:textId="0FDD4135">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0180A4D9"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3F40B6F4" w14:textId="77777777">
    <w:pPr>
      <w:pStyle w:val="Header"/>
      <w:tabs>
        <w:tab w:val="clear" w:pos="4320"/>
      </w:tabs>
      <w:jc w:val="center"/>
      <w:rPr>
        <w:sz w:val="22"/>
      </w:rPr>
    </w:pPr>
  </w:p>
  <w:p w:rsidR="002B54DB" w14:paraId="0C187288" w14:textId="482E98DC">
    <w:pPr>
      <w:pStyle w:val="Header"/>
      <w:tabs>
        <w:tab w:val="clear" w:pos="4320"/>
      </w:tabs>
      <w:jc w:val="center"/>
      <w:rPr>
        <w:sz w:val="24"/>
      </w:rPr>
    </w:pPr>
    <w:r>
      <w:rPr>
        <w:sz w:val="24"/>
      </w:rPr>
      <w:t>February 11,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711757"/>
    <w:multiLevelType w:val="hybridMultilevel"/>
    <w:tmpl w:val="016E33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26"/>
    <w:rsid w:val="00004297"/>
    <w:rsid w:val="00007487"/>
    <w:rsid w:val="000226B3"/>
    <w:rsid w:val="00024709"/>
    <w:rsid w:val="00035EA3"/>
    <w:rsid w:val="000407B4"/>
    <w:rsid w:val="000414BB"/>
    <w:rsid w:val="00046F15"/>
    <w:rsid w:val="00054A26"/>
    <w:rsid w:val="00064C77"/>
    <w:rsid w:val="00080271"/>
    <w:rsid w:val="00091FB4"/>
    <w:rsid w:val="00093138"/>
    <w:rsid w:val="0009384E"/>
    <w:rsid w:val="000941FF"/>
    <w:rsid w:val="000979CB"/>
    <w:rsid w:val="000A2EA1"/>
    <w:rsid w:val="000B4EEC"/>
    <w:rsid w:val="000B7C6E"/>
    <w:rsid w:val="000C2D99"/>
    <w:rsid w:val="000C3A2E"/>
    <w:rsid w:val="000C76B1"/>
    <w:rsid w:val="000C7834"/>
    <w:rsid w:val="000D0B37"/>
    <w:rsid w:val="000D4FBF"/>
    <w:rsid w:val="000D7058"/>
    <w:rsid w:val="000D79F0"/>
    <w:rsid w:val="000E1492"/>
    <w:rsid w:val="000F0EED"/>
    <w:rsid w:val="000F2654"/>
    <w:rsid w:val="000F3B9B"/>
    <w:rsid w:val="000F58DD"/>
    <w:rsid w:val="0010080F"/>
    <w:rsid w:val="001028E4"/>
    <w:rsid w:val="00110A0D"/>
    <w:rsid w:val="00111955"/>
    <w:rsid w:val="0012164C"/>
    <w:rsid w:val="0012235C"/>
    <w:rsid w:val="001333F1"/>
    <w:rsid w:val="00134DDA"/>
    <w:rsid w:val="00142E10"/>
    <w:rsid w:val="00146100"/>
    <w:rsid w:val="00154992"/>
    <w:rsid w:val="00156E14"/>
    <w:rsid w:val="00162E36"/>
    <w:rsid w:val="00171094"/>
    <w:rsid w:val="001777A1"/>
    <w:rsid w:val="00180186"/>
    <w:rsid w:val="001819F6"/>
    <w:rsid w:val="00197963"/>
    <w:rsid w:val="001A10AE"/>
    <w:rsid w:val="001A19C2"/>
    <w:rsid w:val="001A607E"/>
    <w:rsid w:val="001A72AE"/>
    <w:rsid w:val="001B0026"/>
    <w:rsid w:val="001B4E35"/>
    <w:rsid w:val="001B6D28"/>
    <w:rsid w:val="001C0777"/>
    <w:rsid w:val="001C1F7F"/>
    <w:rsid w:val="001C7512"/>
    <w:rsid w:val="001D35DD"/>
    <w:rsid w:val="001D7083"/>
    <w:rsid w:val="001E19A1"/>
    <w:rsid w:val="001F3C2D"/>
    <w:rsid w:val="001F710A"/>
    <w:rsid w:val="00201998"/>
    <w:rsid w:val="00204CE3"/>
    <w:rsid w:val="00206493"/>
    <w:rsid w:val="00216992"/>
    <w:rsid w:val="00216FCC"/>
    <w:rsid w:val="00220191"/>
    <w:rsid w:val="00225D12"/>
    <w:rsid w:val="00231695"/>
    <w:rsid w:val="00232A48"/>
    <w:rsid w:val="00234949"/>
    <w:rsid w:val="00247B3C"/>
    <w:rsid w:val="00252AB8"/>
    <w:rsid w:val="00256598"/>
    <w:rsid w:val="00261665"/>
    <w:rsid w:val="00261C9B"/>
    <w:rsid w:val="00262CEE"/>
    <w:rsid w:val="00262E83"/>
    <w:rsid w:val="00270E06"/>
    <w:rsid w:val="00273FEA"/>
    <w:rsid w:val="002752FF"/>
    <w:rsid w:val="00287C8C"/>
    <w:rsid w:val="00290C98"/>
    <w:rsid w:val="0029516D"/>
    <w:rsid w:val="00296418"/>
    <w:rsid w:val="002A7EBA"/>
    <w:rsid w:val="002B12AF"/>
    <w:rsid w:val="002B1815"/>
    <w:rsid w:val="002B1C02"/>
    <w:rsid w:val="002B54DB"/>
    <w:rsid w:val="002B61B4"/>
    <w:rsid w:val="002C3C52"/>
    <w:rsid w:val="002C6FF4"/>
    <w:rsid w:val="002C7D54"/>
    <w:rsid w:val="002D0753"/>
    <w:rsid w:val="002D0A7B"/>
    <w:rsid w:val="002D563E"/>
    <w:rsid w:val="002D66CA"/>
    <w:rsid w:val="002E2E96"/>
    <w:rsid w:val="002E357B"/>
    <w:rsid w:val="002E4B8A"/>
    <w:rsid w:val="002E76A4"/>
    <w:rsid w:val="002F3BD8"/>
    <w:rsid w:val="002F6F6D"/>
    <w:rsid w:val="00311121"/>
    <w:rsid w:val="00314F82"/>
    <w:rsid w:val="003212A5"/>
    <w:rsid w:val="0032149E"/>
    <w:rsid w:val="00334AB1"/>
    <w:rsid w:val="003366BD"/>
    <w:rsid w:val="00343174"/>
    <w:rsid w:val="00347BFF"/>
    <w:rsid w:val="00354AD6"/>
    <w:rsid w:val="003570D7"/>
    <w:rsid w:val="00363526"/>
    <w:rsid w:val="0036766F"/>
    <w:rsid w:val="00370B68"/>
    <w:rsid w:val="00371D01"/>
    <w:rsid w:val="003730B7"/>
    <w:rsid w:val="0038291F"/>
    <w:rsid w:val="00391164"/>
    <w:rsid w:val="00392BE2"/>
    <w:rsid w:val="003949D3"/>
    <w:rsid w:val="003A2F54"/>
    <w:rsid w:val="003A3F83"/>
    <w:rsid w:val="003D0806"/>
    <w:rsid w:val="003D6B3A"/>
    <w:rsid w:val="003E44FB"/>
    <w:rsid w:val="003E74A9"/>
    <w:rsid w:val="003F2941"/>
    <w:rsid w:val="003F5128"/>
    <w:rsid w:val="00406F3F"/>
    <w:rsid w:val="00413352"/>
    <w:rsid w:val="004236D8"/>
    <w:rsid w:val="00423BD8"/>
    <w:rsid w:val="00427F27"/>
    <w:rsid w:val="00436699"/>
    <w:rsid w:val="00436B56"/>
    <w:rsid w:val="004413DB"/>
    <w:rsid w:val="0044461D"/>
    <w:rsid w:val="00445EB4"/>
    <w:rsid w:val="00446035"/>
    <w:rsid w:val="00453734"/>
    <w:rsid w:val="00453E41"/>
    <w:rsid w:val="00454463"/>
    <w:rsid w:val="00454650"/>
    <w:rsid w:val="0045478E"/>
    <w:rsid w:val="00457A56"/>
    <w:rsid w:val="00457FB7"/>
    <w:rsid w:val="004634E5"/>
    <w:rsid w:val="00465AEC"/>
    <w:rsid w:val="00477B3D"/>
    <w:rsid w:val="00490290"/>
    <w:rsid w:val="00491212"/>
    <w:rsid w:val="00493D8D"/>
    <w:rsid w:val="00493EC5"/>
    <w:rsid w:val="0049427F"/>
    <w:rsid w:val="00494758"/>
    <w:rsid w:val="004977F8"/>
    <w:rsid w:val="004A3E90"/>
    <w:rsid w:val="004A5662"/>
    <w:rsid w:val="004A6D25"/>
    <w:rsid w:val="004B0E21"/>
    <w:rsid w:val="004B17D6"/>
    <w:rsid w:val="004C27D8"/>
    <w:rsid w:val="004D3B53"/>
    <w:rsid w:val="004D62E4"/>
    <w:rsid w:val="004E21EE"/>
    <w:rsid w:val="004E3D31"/>
    <w:rsid w:val="004E5F06"/>
    <w:rsid w:val="00500157"/>
    <w:rsid w:val="00500363"/>
    <w:rsid w:val="00501A60"/>
    <w:rsid w:val="00502124"/>
    <w:rsid w:val="00522643"/>
    <w:rsid w:val="00532F26"/>
    <w:rsid w:val="00536B0F"/>
    <w:rsid w:val="00540944"/>
    <w:rsid w:val="00543FD8"/>
    <w:rsid w:val="00553F67"/>
    <w:rsid w:val="00556437"/>
    <w:rsid w:val="00565525"/>
    <w:rsid w:val="00574E95"/>
    <w:rsid w:val="00587117"/>
    <w:rsid w:val="00587CDD"/>
    <w:rsid w:val="00587EEE"/>
    <w:rsid w:val="00591659"/>
    <w:rsid w:val="005B5844"/>
    <w:rsid w:val="005C23EA"/>
    <w:rsid w:val="005C75C4"/>
    <w:rsid w:val="005D7F50"/>
    <w:rsid w:val="005F075C"/>
    <w:rsid w:val="005F0A93"/>
    <w:rsid w:val="005F2268"/>
    <w:rsid w:val="005F2A4F"/>
    <w:rsid w:val="005F6DCC"/>
    <w:rsid w:val="00600276"/>
    <w:rsid w:val="006156A6"/>
    <w:rsid w:val="006214F3"/>
    <w:rsid w:val="00622D71"/>
    <w:rsid w:val="0062354D"/>
    <w:rsid w:val="0062587A"/>
    <w:rsid w:val="00626D98"/>
    <w:rsid w:val="006322D8"/>
    <w:rsid w:val="00632C4A"/>
    <w:rsid w:val="00643D8D"/>
    <w:rsid w:val="0064419C"/>
    <w:rsid w:val="00645D5F"/>
    <w:rsid w:val="00654967"/>
    <w:rsid w:val="006553BC"/>
    <w:rsid w:val="00660715"/>
    <w:rsid w:val="0066160D"/>
    <w:rsid w:val="00662013"/>
    <w:rsid w:val="0066427E"/>
    <w:rsid w:val="006667D9"/>
    <w:rsid w:val="00670D4B"/>
    <w:rsid w:val="00671625"/>
    <w:rsid w:val="006735F9"/>
    <w:rsid w:val="00680BBA"/>
    <w:rsid w:val="0068433D"/>
    <w:rsid w:val="00686431"/>
    <w:rsid w:val="00691B35"/>
    <w:rsid w:val="006922DB"/>
    <w:rsid w:val="006961F7"/>
    <w:rsid w:val="00696B2A"/>
    <w:rsid w:val="006B29CA"/>
    <w:rsid w:val="006B397B"/>
    <w:rsid w:val="006C203B"/>
    <w:rsid w:val="006C3025"/>
    <w:rsid w:val="006D04F1"/>
    <w:rsid w:val="006D0B95"/>
    <w:rsid w:val="006D28C3"/>
    <w:rsid w:val="006D6878"/>
    <w:rsid w:val="006D75FD"/>
    <w:rsid w:val="006E207B"/>
    <w:rsid w:val="006E5332"/>
    <w:rsid w:val="006F4FED"/>
    <w:rsid w:val="006F5CEA"/>
    <w:rsid w:val="007010EF"/>
    <w:rsid w:val="00701B25"/>
    <w:rsid w:val="00712C76"/>
    <w:rsid w:val="00716815"/>
    <w:rsid w:val="0072258B"/>
    <w:rsid w:val="00725F5D"/>
    <w:rsid w:val="00726C31"/>
    <w:rsid w:val="00750192"/>
    <w:rsid w:val="00750CAC"/>
    <w:rsid w:val="007510AC"/>
    <w:rsid w:val="0076161C"/>
    <w:rsid w:val="007618EA"/>
    <w:rsid w:val="00770C30"/>
    <w:rsid w:val="0077449C"/>
    <w:rsid w:val="00774EE5"/>
    <w:rsid w:val="0077726A"/>
    <w:rsid w:val="00782E8F"/>
    <w:rsid w:val="00784070"/>
    <w:rsid w:val="00786619"/>
    <w:rsid w:val="007930DA"/>
    <w:rsid w:val="007A11F2"/>
    <w:rsid w:val="007A3BD7"/>
    <w:rsid w:val="007A405A"/>
    <w:rsid w:val="007B2A8A"/>
    <w:rsid w:val="007B3023"/>
    <w:rsid w:val="007B4BF8"/>
    <w:rsid w:val="007B7129"/>
    <w:rsid w:val="007B77B5"/>
    <w:rsid w:val="007E345F"/>
    <w:rsid w:val="007E39AB"/>
    <w:rsid w:val="007E50C3"/>
    <w:rsid w:val="007E643D"/>
    <w:rsid w:val="007F5806"/>
    <w:rsid w:val="007F5A6B"/>
    <w:rsid w:val="00801903"/>
    <w:rsid w:val="00802652"/>
    <w:rsid w:val="0081127C"/>
    <w:rsid w:val="0081475C"/>
    <w:rsid w:val="00817A51"/>
    <w:rsid w:val="00826F74"/>
    <w:rsid w:val="008514DB"/>
    <w:rsid w:val="00856D77"/>
    <w:rsid w:val="0086633D"/>
    <w:rsid w:val="00877A27"/>
    <w:rsid w:val="00880E38"/>
    <w:rsid w:val="00882CFE"/>
    <w:rsid w:val="00883D12"/>
    <w:rsid w:val="0088526D"/>
    <w:rsid w:val="00885B8B"/>
    <w:rsid w:val="008900DB"/>
    <w:rsid w:val="00893730"/>
    <w:rsid w:val="00893A6A"/>
    <w:rsid w:val="00894991"/>
    <w:rsid w:val="008A2559"/>
    <w:rsid w:val="008C57C4"/>
    <w:rsid w:val="008D2C1F"/>
    <w:rsid w:val="008D40AA"/>
    <w:rsid w:val="008D42BD"/>
    <w:rsid w:val="008E0955"/>
    <w:rsid w:val="008F0DC8"/>
    <w:rsid w:val="008F540A"/>
    <w:rsid w:val="00901D1B"/>
    <w:rsid w:val="00911200"/>
    <w:rsid w:val="00913CBE"/>
    <w:rsid w:val="009225A9"/>
    <w:rsid w:val="00931AD3"/>
    <w:rsid w:val="00932C96"/>
    <w:rsid w:val="00933BED"/>
    <w:rsid w:val="00934715"/>
    <w:rsid w:val="00946140"/>
    <w:rsid w:val="00963405"/>
    <w:rsid w:val="00970917"/>
    <w:rsid w:val="0097149C"/>
    <w:rsid w:val="0097467C"/>
    <w:rsid w:val="009757A0"/>
    <w:rsid w:val="009775A7"/>
    <w:rsid w:val="00977B9E"/>
    <w:rsid w:val="009907B1"/>
    <w:rsid w:val="0099305A"/>
    <w:rsid w:val="00993F69"/>
    <w:rsid w:val="009A6AC9"/>
    <w:rsid w:val="009B03C0"/>
    <w:rsid w:val="009C6847"/>
    <w:rsid w:val="009C78F5"/>
    <w:rsid w:val="009D1B67"/>
    <w:rsid w:val="009E0E82"/>
    <w:rsid w:val="009E172C"/>
    <w:rsid w:val="009E46AD"/>
    <w:rsid w:val="009E5C42"/>
    <w:rsid w:val="009E75C1"/>
    <w:rsid w:val="009E7C91"/>
    <w:rsid w:val="009F0745"/>
    <w:rsid w:val="009F71C4"/>
    <w:rsid w:val="00A011B0"/>
    <w:rsid w:val="00A01E59"/>
    <w:rsid w:val="00A210C7"/>
    <w:rsid w:val="00A21949"/>
    <w:rsid w:val="00A27088"/>
    <w:rsid w:val="00A3008F"/>
    <w:rsid w:val="00A32AFD"/>
    <w:rsid w:val="00A33D9B"/>
    <w:rsid w:val="00A3586B"/>
    <w:rsid w:val="00A36C7C"/>
    <w:rsid w:val="00A41E75"/>
    <w:rsid w:val="00A447B7"/>
    <w:rsid w:val="00A45BB9"/>
    <w:rsid w:val="00A5199D"/>
    <w:rsid w:val="00A52517"/>
    <w:rsid w:val="00A76621"/>
    <w:rsid w:val="00A927A6"/>
    <w:rsid w:val="00A96F8E"/>
    <w:rsid w:val="00AA4652"/>
    <w:rsid w:val="00AB16D1"/>
    <w:rsid w:val="00AB46EB"/>
    <w:rsid w:val="00AB6F1D"/>
    <w:rsid w:val="00AC05DC"/>
    <w:rsid w:val="00AE390F"/>
    <w:rsid w:val="00AE3AC3"/>
    <w:rsid w:val="00AE62A7"/>
    <w:rsid w:val="00AF70DF"/>
    <w:rsid w:val="00B159A4"/>
    <w:rsid w:val="00B304A2"/>
    <w:rsid w:val="00B34C55"/>
    <w:rsid w:val="00B420C1"/>
    <w:rsid w:val="00B42E4F"/>
    <w:rsid w:val="00B4391A"/>
    <w:rsid w:val="00B43EA7"/>
    <w:rsid w:val="00B54224"/>
    <w:rsid w:val="00B56D45"/>
    <w:rsid w:val="00B67F8B"/>
    <w:rsid w:val="00B7244C"/>
    <w:rsid w:val="00B72FBB"/>
    <w:rsid w:val="00B73993"/>
    <w:rsid w:val="00B769A8"/>
    <w:rsid w:val="00B83104"/>
    <w:rsid w:val="00B936C7"/>
    <w:rsid w:val="00BA1531"/>
    <w:rsid w:val="00BA29B7"/>
    <w:rsid w:val="00BA2A00"/>
    <w:rsid w:val="00BB343B"/>
    <w:rsid w:val="00BC05DE"/>
    <w:rsid w:val="00BC25A1"/>
    <w:rsid w:val="00BC6120"/>
    <w:rsid w:val="00BC6789"/>
    <w:rsid w:val="00BC725E"/>
    <w:rsid w:val="00BD541F"/>
    <w:rsid w:val="00BD65AE"/>
    <w:rsid w:val="00BE2727"/>
    <w:rsid w:val="00BE62F4"/>
    <w:rsid w:val="00BF3F7B"/>
    <w:rsid w:val="00C03AEB"/>
    <w:rsid w:val="00C1234C"/>
    <w:rsid w:val="00C22FF3"/>
    <w:rsid w:val="00C2351C"/>
    <w:rsid w:val="00C26A60"/>
    <w:rsid w:val="00C30992"/>
    <w:rsid w:val="00C31D27"/>
    <w:rsid w:val="00C3518F"/>
    <w:rsid w:val="00C57E26"/>
    <w:rsid w:val="00C64D31"/>
    <w:rsid w:val="00C65C02"/>
    <w:rsid w:val="00C67A40"/>
    <w:rsid w:val="00C732B0"/>
    <w:rsid w:val="00C75AF5"/>
    <w:rsid w:val="00C762FE"/>
    <w:rsid w:val="00C77CA8"/>
    <w:rsid w:val="00C81660"/>
    <w:rsid w:val="00C823B3"/>
    <w:rsid w:val="00C93147"/>
    <w:rsid w:val="00C962DA"/>
    <w:rsid w:val="00CA48E0"/>
    <w:rsid w:val="00CA59C3"/>
    <w:rsid w:val="00CB0AAE"/>
    <w:rsid w:val="00CB3CF3"/>
    <w:rsid w:val="00CB4535"/>
    <w:rsid w:val="00CB6555"/>
    <w:rsid w:val="00CB7437"/>
    <w:rsid w:val="00CC22B4"/>
    <w:rsid w:val="00CC7648"/>
    <w:rsid w:val="00CD0D87"/>
    <w:rsid w:val="00CE6649"/>
    <w:rsid w:val="00CE67C3"/>
    <w:rsid w:val="00CF0E54"/>
    <w:rsid w:val="00CF15D6"/>
    <w:rsid w:val="00D039D6"/>
    <w:rsid w:val="00D0437A"/>
    <w:rsid w:val="00D1218D"/>
    <w:rsid w:val="00D13BCD"/>
    <w:rsid w:val="00D14C58"/>
    <w:rsid w:val="00D1556E"/>
    <w:rsid w:val="00D3338C"/>
    <w:rsid w:val="00D35C10"/>
    <w:rsid w:val="00D377E7"/>
    <w:rsid w:val="00D37ED4"/>
    <w:rsid w:val="00D432D5"/>
    <w:rsid w:val="00D43394"/>
    <w:rsid w:val="00D44511"/>
    <w:rsid w:val="00D463FB"/>
    <w:rsid w:val="00D60C1F"/>
    <w:rsid w:val="00D60EFF"/>
    <w:rsid w:val="00D6756C"/>
    <w:rsid w:val="00D70F39"/>
    <w:rsid w:val="00D71B55"/>
    <w:rsid w:val="00D765A1"/>
    <w:rsid w:val="00D77D05"/>
    <w:rsid w:val="00D80F2A"/>
    <w:rsid w:val="00D85603"/>
    <w:rsid w:val="00D873C7"/>
    <w:rsid w:val="00D93D3D"/>
    <w:rsid w:val="00D94CE5"/>
    <w:rsid w:val="00D97B07"/>
    <w:rsid w:val="00DA1939"/>
    <w:rsid w:val="00DA1AEE"/>
    <w:rsid w:val="00DA346B"/>
    <w:rsid w:val="00DA61B8"/>
    <w:rsid w:val="00DB2E2E"/>
    <w:rsid w:val="00DB5985"/>
    <w:rsid w:val="00DC2EA3"/>
    <w:rsid w:val="00DC3A24"/>
    <w:rsid w:val="00DC4FA0"/>
    <w:rsid w:val="00DC5F16"/>
    <w:rsid w:val="00DD4AEC"/>
    <w:rsid w:val="00DD61A3"/>
    <w:rsid w:val="00DD747F"/>
    <w:rsid w:val="00DE01E3"/>
    <w:rsid w:val="00DE0C09"/>
    <w:rsid w:val="00DE5135"/>
    <w:rsid w:val="00DE7367"/>
    <w:rsid w:val="00DF5108"/>
    <w:rsid w:val="00DF7467"/>
    <w:rsid w:val="00E0148B"/>
    <w:rsid w:val="00E06DD5"/>
    <w:rsid w:val="00E10643"/>
    <w:rsid w:val="00E1093B"/>
    <w:rsid w:val="00E15865"/>
    <w:rsid w:val="00E17D8A"/>
    <w:rsid w:val="00E22B2A"/>
    <w:rsid w:val="00E22FBA"/>
    <w:rsid w:val="00E24D67"/>
    <w:rsid w:val="00E25DEB"/>
    <w:rsid w:val="00E3264B"/>
    <w:rsid w:val="00E329EE"/>
    <w:rsid w:val="00E35426"/>
    <w:rsid w:val="00E40D92"/>
    <w:rsid w:val="00E42834"/>
    <w:rsid w:val="00E45974"/>
    <w:rsid w:val="00E46404"/>
    <w:rsid w:val="00E46541"/>
    <w:rsid w:val="00E50312"/>
    <w:rsid w:val="00E50470"/>
    <w:rsid w:val="00E51228"/>
    <w:rsid w:val="00E52398"/>
    <w:rsid w:val="00E5249A"/>
    <w:rsid w:val="00E55AA8"/>
    <w:rsid w:val="00E57B9B"/>
    <w:rsid w:val="00E62CA0"/>
    <w:rsid w:val="00E80E75"/>
    <w:rsid w:val="00E8232F"/>
    <w:rsid w:val="00E84111"/>
    <w:rsid w:val="00E86988"/>
    <w:rsid w:val="00E9167D"/>
    <w:rsid w:val="00EA0105"/>
    <w:rsid w:val="00EA19F3"/>
    <w:rsid w:val="00EA338A"/>
    <w:rsid w:val="00EA46E2"/>
    <w:rsid w:val="00EB7044"/>
    <w:rsid w:val="00EC1353"/>
    <w:rsid w:val="00EC43CF"/>
    <w:rsid w:val="00ED0AC9"/>
    <w:rsid w:val="00ED4399"/>
    <w:rsid w:val="00EE2863"/>
    <w:rsid w:val="00EE58D9"/>
    <w:rsid w:val="00EF273B"/>
    <w:rsid w:val="00EF282D"/>
    <w:rsid w:val="00EF3DBE"/>
    <w:rsid w:val="00F14B15"/>
    <w:rsid w:val="00F14C93"/>
    <w:rsid w:val="00F21B48"/>
    <w:rsid w:val="00F43CDE"/>
    <w:rsid w:val="00F50E47"/>
    <w:rsid w:val="00F54A55"/>
    <w:rsid w:val="00F6009D"/>
    <w:rsid w:val="00F60FE7"/>
    <w:rsid w:val="00F63620"/>
    <w:rsid w:val="00F65885"/>
    <w:rsid w:val="00F74E3B"/>
    <w:rsid w:val="00F82194"/>
    <w:rsid w:val="00F84F0F"/>
    <w:rsid w:val="00F85BB8"/>
    <w:rsid w:val="00F86F74"/>
    <w:rsid w:val="00F923E4"/>
    <w:rsid w:val="00F928B2"/>
    <w:rsid w:val="00FA08FB"/>
    <w:rsid w:val="00FA6256"/>
    <w:rsid w:val="00FC1075"/>
    <w:rsid w:val="00FC1530"/>
    <w:rsid w:val="00FC3513"/>
    <w:rsid w:val="00FC5B2C"/>
    <w:rsid w:val="00FD0E3F"/>
    <w:rsid w:val="00FD68FD"/>
    <w:rsid w:val="00FF00F5"/>
    <w:rsid w:val="00FF70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FA5567"/>
  <w15:chartTrackingRefBased/>
  <w15:docId w15:val="{FE02E5A1-6F79-4460-919C-8B1DCA1C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777A1"/>
  </w:style>
  <w:style w:type="character" w:default="1" w:styleId="DefaultParagraphFont">
    <w:name w:val="Default Paragraph Font"/>
    <w:semiHidden/>
    <w:rsid w:val="001777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77A1"/>
  </w:style>
  <w:style w:type="paragraph" w:styleId="Header">
    <w:name w:val="header"/>
    <w:basedOn w:val="Normal"/>
    <w:semiHidden/>
    <w:rsid w:val="001777A1"/>
    <w:pPr>
      <w:tabs>
        <w:tab w:val="center" w:pos="4320"/>
        <w:tab w:val="right" w:pos="8640"/>
      </w:tabs>
    </w:pPr>
  </w:style>
  <w:style w:type="paragraph" w:styleId="Footer">
    <w:name w:val="footer"/>
    <w:basedOn w:val="Normal"/>
    <w:link w:val="FooterChar"/>
    <w:rsid w:val="001777A1"/>
    <w:pPr>
      <w:tabs>
        <w:tab w:val="center" w:pos="4320"/>
        <w:tab w:val="right" w:pos="8640"/>
      </w:tabs>
    </w:pPr>
  </w:style>
  <w:style w:type="paragraph" w:styleId="FootnoteText">
    <w:name w:val="footnote text"/>
    <w:aliases w:val="Footnote Text Char Char Char4 Char Char,Footnote Text Char1,Footnote Text Char1 Char,Footnote Text Char4 Char1 Char Char,Footnote Text Char7 Char,Footnote Text Char7 Char Char,Footnote Text Char7 Char Char Char Char Char,f,fn,rrfootnote"/>
    <w:basedOn w:val="Normal"/>
    <w:link w:val="FootnoteTextChar"/>
    <w:autoRedefine/>
    <w:rsid w:val="00363526"/>
    <w:pPr>
      <w:widowControl w:val="0"/>
      <w:spacing w:after="120"/>
    </w:pPr>
  </w:style>
  <w:style w:type="character" w:customStyle="1" w:styleId="FootnoteTextChar">
    <w:name w:val="Footnote Text Char"/>
    <w:aliases w:val="Footnote Text Char Char Char4 Char Char Char1,Footnote Text Char1 Char Char1,Footnote Text Char1 Char2,Footnote Text Char4 Char1 Char Char Char1,Footnote Text Char7 Char Char Char Char Char Char1,Footnote Text Char7 Char Char Char1"/>
    <w:link w:val="FootnoteText"/>
    <w:uiPriority w:val="99"/>
    <w:semiHidden/>
    <w:rsid w:val="00363526"/>
    <w:rPr>
      <w:rFonts w:eastAsia="Calibri"/>
    </w:rPr>
  </w:style>
  <w:style w:type="character" w:styleId="FootnoteReference">
    <w:name w:val="footnote reference"/>
    <w:aliases w:val="(NECG) Footnote Reference,Appel note de bas de p,FR,Footnote Reference/,Style 12,Style 124,Style 13,Style 17,Style 3,Style 4,Style 6,fr,o"/>
    <w:uiPriority w:val="99"/>
    <w:rsid w:val="00363526"/>
    <w:rPr>
      <w:rFonts w:cs="Times New Roman"/>
      <w:vertAlign w:val="superscript"/>
    </w:rPr>
  </w:style>
  <w:style w:type="paragraph" w:styleId="BodyTextIndent">
    <w:name w:val="Body Text Indent"/>
    <w:basedOn w:val="Normal"/>
    <w:link w:val="BodyTextIndentChar"/>
    <w:uiPriority w:val="99"/>
    <w:rsid w:val="00363526"/>
    <w:pPr>
      <w:tabs>
        <w:tab w:val="left" w:pos="-720"/>
      </w:tabs>
      <w:suppressAutoHyphens/>
      <w:ind w:firstLine="720"/>
    </w:pPr>
    <w:rPr>
      <w:rFonts w:ascii="CG Times" w:hAnsi="CG Times"/>
      <w:sz w:val="24"/>
    </w:rPr>
  </w:style>
  <w:style w:type="character" w:customStyle="1" w:styleId="BodyTextIndentChar">
    <w:name w:val="Body Text Indent Char"/>
    <w:link w:val="BodyTextIndent"/>
    <w:uiPriority w:val="99"/>
    <w:rsid w:val="00363526"/>
    <w:rPr>
      <w:rFonts w:ascii="CG Times" w:eastAsia="Calibri" w:hAnsi="CG Times"/>
      <w:sz w:val="24"/>
    </w:rPr>
  </w:style>
  <w:style w:type="character" w:styleId="Hyperlink">
    <w:name w:val="Hyperlink"/>
    <w:uiPriority w:val="99"/>
    <w:unhideWhenUsed/>
    <w:rsid w:val="00363526"/>
    <w:rPr>
      <w:color w:val="0563C1"/>
      <w:u w:val="single"/>
    </w:rPr>
  </w:style>
  <w:style w:type="character" w:customStyle="1" w:styleId="UnresolvedMention">
    <w:name w:val="Unresolved Mention"/>
    <w:uiPriority w:val="99"/>
    <w:semiHidden/>
    <w:unhideWhenUsed/>
    <w:rsid w:val="00363526"/>
    <w:rPr>
      <w:color w:val="605E5C"/>
      <w:shd w:val="clear" w:color="auto" w:fill="E1DFDD"/>
    </w:rPr>
  </w:style>
  <w:style w:type="character" w:styleId="FollowedHyperlink">
    <w:name w:val="FollowedHyperlink"/>
    <w:uiPriority w:val="99"/>
    <w:semiHidden/>
    <w:unhideWhenUsed/>
    <w:rsid w:val="00363526"/>
    <w:rPr>
      <w:color w:val="954F72"/>
      <w:u w:val="single"/>
    </w:rPr>
  </w:style>
  <w:style w:type="paragraph" w:styleId="BalloonText">
    <w:name w:val="Balloon Text"/>
    <w:basedOn w:val="Normal"/>
    <w:link w:val="BalloonTextChar"/>
    <w:uiPriority w:val="99"/>
    <w:semiHidden/>
    <w:unhideWhenUsed/>
    <w:rsid w:val="003F5128"/>
    <w:rPr>
      <w:rFonts w:ascii="Segoe UI" w:hAnsi="Segoe UI" w:cs="Segoe UI"/>
      <w:sz w:val="18"/>
      <w:szCs w:val="18"/>
    </w:rPr>
  </w:style>
  <w:style w:type="character" w:customStyle="1" w:styleId="BalloonTextChar">
    <w:name w:val="Balloon Text Char"/>
    <w:link w:val="BalloonText"/>
    <w:uiPriority w:val="99"/>
    <w:semiHidden/>
    <w:rsid w:val="003F5128"/>
    <w:rPr>
      <w:rFonts w:ascii="Segoe UI" w:hAnsi="Segoe UI" w:cs="Segoe UI"/>
      <w:sz w:val="18"/>
      <w:szCs w:val="18"/>
    </w:rPr>
  </w:style>
  <w:style w:type="character" w:styleId="CommentReference">
    <w:name w:val="annotation reference"/>
    <w:basedOn w:val="DefaultParagraphFont"/>
    <w:uiPriority w:val="99"/>
    <w:semiHidden/>
    <w:unhideWhenUsed/>
    <w:rsid w:val="004E3D31"/>
    <w:rPr>
      <w:sz w:val="16"/>
      <w:szCs w:val="16"/>
    </w:rPr>
  </w:style>
  <w:style w:type="paragraph" w:styleId="CommentText">
    <w:name w:val="annotation text"/>
    <w:basedOn w:val="Normal"/>
    <w:link w:val="CommentTextChar"/>
    <w:uiPriority w:val="99"/>
    <w:semiHidden/>
    <w:unhideWhenUsed/>
    <w:rsid w:val="004E3D31"/>
  </w:style>
  <w:style w:type="character" w:customStyle="1" w:styleId="CommentTextChar">
    <w:name w:val="Comment Text Char"/>
    <w:basedOn w:val="DefaultParagraphFont"/>
    <w:link w:val="CommentText"/>
    <w:uiPriority w:val="99"/>
    <w:semiHidden/>
    <w:rsid w:val="004E3D31"/>
  </w:style>
  <w:style w:type="paragraph" w:styleId="CommentSubject">
    <w:name w:val="annotation subject"/>
    <w:basedOn w:val="CommentText"/>
    <w:next w:val="CommentText"/>
    <w:link w:val="CommentSubjectChar"/>
    <w:uiPriority w:val="99"/>
    <w:semiHidden/>
    <w:unhideWhenUsed/>
    <w:rsid w:val="004E3D31"/>
    <w:rPr>
      <w:b/>
      <w:bCs/>
    </w:rPr>
  </w:style>
  <w:style w:type="character" w:customStyle="1" w:styleId="CommentSubjectChar">
    <w:name w:val="Comment Subject Char"/>
    <w:basedOn w:val="CommentTextChar"/>
    <w:link w:val="CommentSubject"/>
    <w:uiPriority w:val="99"/>
    <w:semiHidden/>
    <w:rsid w:val="004E3D31"/>
    <w:rPr>
      <w:b/>
      <w:bCs/>
    </w:rPr>
  </w:style>
  <w:style w:type="character" w:customStyle="1" w:styleId="FootnoteTextChar2">
    <w:name w:val="Footnote Text Char2"/>
    <w:aliases w:val="Footnote Text Char Char Char4 Char Char Char,Footnote Text Char1 Char Char,Footnote Text Char1 Char1,Footnote Text Char4 Char1 Char Char Char,Footnote Text Char7 Char Char Char,Footnote Text Char7 Char Char Char Char Char Char,f Char"/>
    <w:rsid w:val="006922DB"/>
    <w:rPr>
      <w:rFonts w:ascii="Times New Roman" w:eastAsia="Times New Roman" w:hAnsi="Times New Roman" w:cs="Times New Roman"/>
      <w:snapToGrid w:val="0"/>
      <w:sz w:val="20"/>
      <w:szCs w:val="20"/>
    </w:rPr>
  </w:style>
  <w:style w:type="character" w:customStyle="1" w:styleId="FooterChar">
    <w:name w:val="Footer Char"/>
    <w:basedOn w:val="DefaultParagraphFont"/>
    <w:link w:val="Footer"/>
    <w:rsid w:val="0096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arry.friedman@thompsonhine.com"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