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4BF3" w14:paraId="6269C17E" w14:textId="77777777">
      <w:pPr>
        <w:jc w:val="right"/>
        <w:rPr>
          <w:sz w:val="24"/>
        </w:rPr>
      </w:pPr>
    </w:p>
    <w:p w:rsidR="00344BF3" w14:paraId="02EFF0D7" w14:textId="1E5F1C22">
      <w:pPr>
        <w:jc w:val="right"/>
        <w:rPr>
          <w:b/>
          <w:sz w:val="24"/>
        </w:rPr>
      </w:pPr>
      <w:r>
        <w:rPr>
          <w:b/>
          <w:sz w:val="24"/>
        </w:rPr>
        <w:t>DA 2</w:t>
      </w:r>
      <w:r w:rsidR="007564B4">
        <w:rPr>
          <w:b/>
          <w:sz w:val="24"/>
        </w:rPr>
        <w:t>2</w:t>
      </w:r>
      <w:r>
        <w:rPr>
          <w:b/>
          <w:sz w:val="24"/>
        </w:rPr>
        <w:t>-</w:t>
      </w:r>
      <w:r w:rsidR="000327F6">
        <w:rPr>
          <w:b/>
          <w:sz w:val="24"/>
        </w:rPr>
        <w:t>142</w:t>
      </w:r>
    </w:p>
    <w:p w:rsidR="00344BF3" w14:paraId="49F71F41" w14:textId="5D355338">
      <w:pPr>
        <w:spacing w:before="60"/>
        <w:jc w:val="right"/>
        <w:rPr>
          <w:b/>
          <w:sz w:val="24"/>
        </w:rPr>
      </w:pPr>
      <w:r>
        <w:rPr>
          <w:b/>
          <w:sz w:val="24"/>
        </w:rPr>
        <w:t xml:space="preserve">Released:  </w:t>
      </w:r>
      <w:r w:rsidR="00AF1B17">
        <w:rPr>
          <w:b/>
          <w:sz w:val="24"/>
        </w:rPr>
        <w:t>February</w:t>
      </w:r>
      <w:r w:rsidR="00BE21E4">
        <w:rPr>
          <w:b/>
          <w:sz w:val="24"/>
        </w:rPr>
        <w:t xml:space="preserve"> </w:t>
      </w:r>
      <w:r w:rsidR="000327F6">
        <w:rPr>
          <w:b/>
          <w:sz w:val="24"/>
        </w:rPr>
        <w:t>11</w:t>
      </w:r>
      <w:r w:rsidR="00624B0B">
        <w:rPr>
          <w:b/>
          <w:sz w:val="24"/>
        </w:rPr>
        <w:t>, 202</w:t>
      </w:r>
      <w:r w:rsidR="00F22BEF">
        <w:rPr>
          <w:b/>
          <w:sz w:val="24"/>
        </w:rPr>
        <w:t>2</w:t>
      </w:r>
    </w:p>
    <w:p w:rsidR="00344BF3" w14:paraId="2876CE78" w14:textId="77777777">
      <w:pPr>
        <w:jc w:val="right"/>
        <w:rPr>
          <w:sz w:val="24"/>
        </w:rPr>
      </w:pPr>
    </w:p>
    <w:p w:rsidR="00344BF3" w:rsidP="00123CFC" w14:paraId="70DB9181" w14:textId="06A8F38B">
      <w:pPr>
        <w:spacing w:after="240"/>
        <w:jc w:val="center"/>
        <w:rPr>
          <w:rFonts w:ascii="Times New Roman Bold" w:hAnsi="Times New Roman Bold"/>
          <w:b/>
          <w:caps/>
          <w:sz w:val="24"/>
        </w:rPr>
      </w:pPr>
      <w:r w:rsidRPr="00123CFC">
        <w:rPr>
          <w:rFonts w:ascii="Times New Roman Bold" w:hAnsi="Times New Roman Bold"/>
          <w:b/>
          <w:caps/>
          <w:sz w:val="24"/>
        </w:rPr>
        <w:t>MEDIA BUREAU ANNOUNCES FILING OF PETITION FOR DECLARATORY RULING BY</w:t>
      </w:r>
      <w:r>
        <w:rPr>
          <w:rFonts w:ascii="Times New Roman Bold" w:hAnsi="Times New Roman Bold"/>
          <w:b/>
          <w:caps/>
          <w:sz w:val="24"/>
        </w:rPr>
        <w:t xml:space="preserve"> </w:t>
      </w:r>
      <w:r w:rsidRPr="00F0459C" w:rsidR="00F0459C">
        <w:rPr>
          <w:rFonts w:ascii="Times New Roman Bold" w:hAnsi="Times New Roman Bold"/>
          <w:b/>
          <w:caps/>
          <w:sz w:val="24"/>
        </w:rPr>
        <w:t>Spanish Broadcasting System, Inc.</w:t>
      </w:r>
    </w:p>
    <w:p w:rsidR="00344BF3" w14:paraId="2784FBDC" w14:textId="13612825">
      <w:pPr>
        <w:jc w:val="center"/>
        <w:rPr>
          <w:b/>
          <w:sz w:val="24"/>
        </w:rPr>
      </w:pPr>
      <w:r>
        <w:rPr>
          <w:b/>
          <w:sz w:val="24"/>
        </w:rPr>
        <w:t>MB Docket No. 2</w:t>
      </w:r>
      <w:r w:rsidR="002570CD">
        <w:rPr>
          <w:b/>
          <w:sz w:val="24"/>
        </w:rPr>
        <w:t>2</w:t>
      </w:r>
      <w:r>
        <w:rPr>
          <w:b/>
          <w:sz w:val="24"/>
        </w:rPr>
        <w:t>-</w:t>
      </w:r>
      <w:r w:rsidR="000327F6">
        <w:rPr>
          <w:b/>
          <w:sz w:val="24"/>
        </w:rPr>
        <w:t>61</w:t>
      </w:r>
    </w:p>
    <w:p w:rsidR="00344BF3" w14:paraId="33BEE69D" w14:textId="77777777">
      <w:pPr>
        <w:rPr>
          <w:sz w:val="24"/>
        </w:rPr>
      </w:pPr>
      <w:bookmarkStart w:id="0" w:name="TOChere"/>
    </w:p>
    <w:bookmarkEnd w:id="0"/>
    <w:p w:rsidR="00624B0B" w:rsidRPr="00E43CAA" w:rsidP="00624B0B" w14:paraId="220F86D7" w14:textId="2119DC4E">
      <w:pPr>
        <w:widowControl/>
        <w:spacing w:after="160" w:line="259" w:lineRule="auto"/>
        <w:rPr>
          <w:rFonts w:eastAsia="Calibri"/>
          <w:b/>
          <w:snapToGrid/>
          <w:kern w:val="0"/>
          <w:szCs w:val="22"/>
        </w:rPr>
      </w:pPr>
      <w:r w:rsidRPr="00E43CAA">
        <w:rPr>
          <w:rFonts w:eastAsia="Calibri"/>
          <w:b/>
          <w:snapToGrid/>
          <w:kern w:val="0"/>
          <w:szCs w:val="22"/>
        </w:rPr>
        <w:t>Comment</w:t>
      </w:r>
      <w:r w:rsidRPr="00E43CAA">
        <w:rPr>
          <w:rFonts w:eastAsia="Calibri"/>
          <w:b/>
          <w:snapToGrid/>
          <w:kern w:val="0"/>
          <w:szCs w:val="22"/>
        </w:rPr>
        <w:t xml:space="preserve"> Date:  </w:t>
      </w:r>
      <w:r w:rsidR="000327F6">
        <w:rPr>
          <w:rFonts w:eastAsia="Calibri"/>
          <w:b/>
          <w:snapToGrid/>
          <w:kern w:val="0"/>
          <w:szCs w:val="22"/>
        </w:rPr>
        <w:t>March 1</w:t>
      </w:r>
      <w:r w:rsidR="0036067D">
        <w:rPr>
          <w:rFonts w:eastAsia="Calibri"/>
          <w:b/>
          <w:snapToGrid/>
          <w:kern w:val="0"/>
          <w:szCs w:val="22"/>
        </w:rPr>
        <w:t>4</w:t>
      </w:r>
      <w:r w:rsidR="000327F6">
        <w:rPr>
          <w:rFonts w:eastAsia="Calibri"/>
          <w:b/>
          <w:snapToGrid/>
          <w:kern w:val="0"/>
          <w:szCs w:val="22"/>
        </w:rPr>
        <w:t>, 2022</w:t>
      </w:r>
    </w:p>
    <w:p w:rsidR="00624B0B" w:rsidRPr="00E43CAA" w:rsidP="00624B0B" w14:paraId="540FF3D1" w14:textId="4F5617FA">
      <w:pPr>
        <w:widowControl/>
        <w:spacing w:after="160" w:line="259" w:lineRule="auto"/>
        <w:rPr>
          <w:rFonts w:eastAsia="Calibri"/>
          <w:b/>
          <w:snapToGrid/>
          <w:kern w:val="0"/>
          <w:szCs w:val="22"/>
        </w:rPr>
      </w:pPr>
      <w:r w:rsidRPr="00E43CAA">
        <w:rPr>
          <w:rFonts w:eastAsia="Calibri"/>
          <w:b/>
          <w:snapToGrid/>
          <w:kern w:val="0"/>
          <w:szCs w:val="22"/>
        </w:rPr>
        <w:t xml:space="preserve">Reply Date:  </w:t>
      </w:r>
      <w:r w:rsidR="000327F6">
        <w:rPr>
          <w:rFonts w:eastAsia="Calibri"/>
          <w:b/>
          <w:snapToGrid/>
          <w:kern w:val="0"/>
          <w:szCs w:val="22"/>
        </w:rPr>
        <w:t>March 2</w:t>
      </w:r>
      <w:r w:rsidR="0036067D">
        <w:rPr>
          <w:rFonts w:eastAsia="Calibri"/>
          <w:b/>
          <w:snapToGrid/>
          <w:kern w:val="0"/>
          <w:szCs w:val="22"/>
        </w:rPr>
        <w:t>9</w:t>
      </w:r>
      <w:r w:rsidR="000327F6">
        <w:rPr>
          <w:rFonts w:eastAsia="Calibri"/>
          <w:b/>
          <w:snapToGrid/>
          <w:kern w:val="0"/>
          <w:szCs w:val="22"/>
        </w:rPr>
        <w:t>, 2022</w:t>
      </w:r>
    </w:p>
    <w:p w:rsidR="007B74D4" w:rsidP="0001044D" w14:paraId="53E3798B" w14:textId="68BEA20B">
      <w:pPr>
        <w:widowControl/>
        <w:spacing w:after="120"/>
        <w:ind w:firstLine="720"/>
        <w:rPr>
          <w:rFonts w:eastAsia="Calibri"/>
          <w:snapToGrid/>
          <w:color w:val="000000"/>
          <w:kern w:val="0"/>
          <w:szCs w:val="22"/>
        </w:rPr>
      </w:pPr>
      <w:r w:rsidRPr="00F0459C">
        <w:rPr>
          <w:snapToGrid/>
          <w:kern w:val="0"/>
          <w:szCs w:val="22"/>
        </w:rPr>
        <w:t>Spanish Broadcasting System, Inc.</w:t>
      </w:r>
      <w:r>
        <w:rPr>
          <w:snapToGrid/>
          <w:kern w:val="0"/>
          <w:szCs w:val="22"/>
        </w:rPr>
        <w:t xml:space="preserve"> (SBS)</w:t>
      </w:r>
      <w:r w:rsidRPr="004D6C34" w:rsidR="00310BFA">
        <w:rPr>
          <w:snapToGrid/>
          <w:kern w:val="0"/>
          <w:szCs w:val="22"/>
        </w:rPr>
        <w:t>,</w:t>
      </w:r>
      <w:r w:rsidRPr="000F5926" w:rsidR="00310BFA">
        <w:rPr>
          <w:snapToGrid/>
          <w:kern w:val="0"/>
          <w:szCs w:val="22"/>
        </w:rPr>
        <w:t xml:space="preserve"> </w:t>
      </w:r>
      <w:r w:rsidR="00AF0F52">
        <w:rPr>
          <w:snapToGrid/>
          <w:kern w:val="0"/>
          <w:szCs w:val="22"/>
        </w:rPr>
        <w:t>a Delaware corporation that owns</w:t>
      </w:r>
      <w:r w:rsidRPr="006302AF" w:rsidR="00310BFA">
        <w:rPr>
          <w:snapToGrid/>
          <w:kern w:val="0"/>
          <w:szCs w:val="22"/>
        </w:rPr>
        <w:t xml:space="preserve"> </w:t>
      </w:r>
      <w:r w:rsidRPr="004D6C34" w:rsidR="00E15E94">
        <w:rPr>
          <w:snapToGrid/>
          <w:kern w:val="0"/>
          <w:szCs w:val="22"/>
        </w:rPr>
        <w:t xml:space="preserve">certain </w:t>
      </w:r>
      <w:r w:rsidRPr="004D6C34" w:rsidR="00310BFA">
        <w:rPr>
          <w:snapToGrid/>
          <w:kern w:val="0"/>
          <w:szCs w:val="22"/>
        </w:rPr>
        <w:t>broadcast</w:t>
      </w:r>
      <w:r w:rsidRPr="00262043" w:rsidR="0047491F">
        <w:rPr>
          <w:snapToGrid/>
          <w:kern w:val="0"/>
          <w:szCs w:val="22"/>
        </w:rPr>
        <w:t xml:space="preserve"> television </w:t>
      </w:r>
      <w:r w:rsidR="00AF0F52">
        <w:rPr>
          <w:snapToGrid/>
          <w:kern w:val="0"/>
          <w:szCs w:val="22"/>
        </w:rPr>
        <w:t xml:space="preserve">and radio </w:t>
      </w:r>
      <w:r w:rsidRPr="000F5926" w:rsidR="0038065E">
        <w:rPr>
          <w:snapToGrid/>
          <w:kern w:val="0"/>
          <w:szCs w:val="22"/>
        </w:rPr>
        <w:t>licenses</w:t>
      </w:r>
      <w:r w:rsidRPr="000F5926" w:rsidR="00310BFA">
        <w:rPr>
          <w:snapToGrid/>
          <w:kern w:val="0"/>
          <w:szCs w:val="22"/>
        </w:rPr>
        <w:t xml:space="preserve">, has filed a petition for declaratory ruling (Petition) </w:t>
      </w:r>
      <w:r w:rsidRPr="000F5926" w:rsidR="00B04026">
        <w:rPr>
          <w:snapToGrid/>
          <w:kern w:val="0"/>
          <w:szCs w:val="22"/>
        </w:rPr>
        <w:t>requesting that</w:t>
      </w:r>
      <w:r w:rsidRPr="000F5926" w:rsidR="00310BFA">
        <w:rPr>
          <w:snapToGrid/>
          <w:kern w:val="0"/>
          <w:szCs w:val="22"/>
        </w:rPr>
        <w:t xml:space="preserve"> the Federal Communications Commission (Commission)</w:t>
      </w:r>
      <w:r w:rsidRPr="000F5926" w:rsidR="00827FEE">
        <w:rPr>
          <w:snapToGrid/>
          <w:kern w:val="0"/>
          <w:szCs w:val="22"/>
        </w:rPr>
        <w:t xml:space="preserve"> issue a declaratory ruling pursuant to </w:t>
      </w:r>
      <w:r w:rsidRPr="000F5926" w:rsidR="00477B28">
        <w:rPr>
          <w:snapToGrid/>
          <w:kern w:val="0"/>
          <w:szCs w:val="22"/>
        </w:rPr>
        <w:t>s</w:t>
      </w:r>
      <w:r w:rsidRPr="000F5926" w:rsidR="00827FEE">
        <w:rPr>
          <w:snapToGrid/>
          <w:kern w:val="0"/>
          <w:szCs w:val="22"/>
        </w:rPr>
        <w:t>ection 310(b)(4) of the</w:t>
      </w:r>
      <w:r w:rsidRPr="000F5926" w:rsidR="00477B28">
        <w:rPr>
          <w:snapToGrid/>
          <w:kern w:val="0"/>
          <w:szCs w:val="22"/>
        </w:rPr>
        <w:t xml:space="preserve"> </w:t>
      </w:r>
      <w:r w:rsidRPr="000F5926" w:rsidR="00827FEE">
        <w:rPr>
          <w:snapToGrid/>
          <w:kern w:val="0"/>
          <w:szCs w:val="22"/>
        </w:rPr>
        <w:t>Communications Act of 1934, as amended (the Act)</w:t>
      </w:r>
      <w:r w:rsidRPr="000F5926" w:rsidR="00477B28">
        <w:rPr>
          <w:snapToGrid/>
          <w:kern w:val="0"/>
          <w:szCs w:val="22"/>
        </w:rPr>
        <w:t>.</w:t>
      </w:r>
      <w:r>
        <w:rPr>
          <w:rStyle w:val="FootnoteReference"/>
          <w:snapToGrid/>
          <w:kern w:val="0"/>
          <w:szCs w:val="22"/>
        </w:rPr>
        <w:footnoteReference w:id="3"/>
      </w:r>
      <w:r w:rsidRPr="000F5926" w:rsidR="00310BFA">
        <w:rPr>
          <w:snapToGrid/>
          <w:kern w:val="0"/>
          <w:szCs w:val="22"/>
        </w:rPr>
        <w:t xml:space="preserve"> </w:t>
      </w:r>
      <w:bookmarkStart w:id="1" w:name="_Hlk39225405"/>
      <w:r w:rsidRPr="006302AF" w:rsidR="00F05391">
        <w:rPr>
          <w:snapToGrid/>
          <w:kern w:val="0"/>
          <w:szCs w:val="22"/>
        </w:rPr>
        <w:t xml:space="preserve"> </w:t>
      </w:r>
      <w:r w:rsidR="00D06AA9">
        <w:rPr>
          <w:snapToGrid/>
          <w:kern w:val="0"/>
          <w:szCs w:val="22"/>
        </w:rPr>
        <w:t>The Petition seeks</w:t>
      </w:r>
      <w:r w:rsidR="00252FBE">
        <w:rPr>
          <w:snapToGrid/>
          <w:kern w:val="0"/>
          <w:szCs w:val="22"/>
        </w:rPr>
        <w:t xml:space="preserve"> authority</w:t>
      </w:r>
      <w:r w:rsidR="00D06AA9">
        <w:rPr>
          <w:snapToGrid/>
          <w:kern w:val="0"/>
          <w:szCs w:val="22"/>
        </w:rPr>
        <w:t xml:space="preserve"> for foreign investors to </w:t>
      </w:r>
      <w:r w:rsidR="001E105E">
        <w:rPr>
          <w:snapToGrid/>
          <w:kern w:val="0"/>
          <w:szCs w:val="22"/>
        </w:rPr>
        <w:t xml:space="preserve">indirectly </w:t>
      </w:r>
      <w:r w:rsidR="00567338">
        <w:rPr>
          <w:snapToGrid/>
          <w:kern w:val="0"/>
          <w:szCs w:val="22"/>
        </w:rPr>
        <w:t>own</w:t>
      </w:r>
      <w:bookmarkEnd w:id="1"/>
      <w:r w:rsidR="00A84748">
        <w:rPr>
          <w:rFonts w:eastAsia="Calibri"/>
          <w:snapToGrid/>
          <w:color w:val="000000"/>
          <w:kern w:val="0"/>
          <w:szCs w:val="22"/>
        </w:rPr>
        <w:t xml:space="preserve"> </w:t>
      </w:r>
      <w:r w:rsidR="005C3458">
        <w:rPr>
          <w:rFonts w:eastAsia="Calibri"/>
          <w:snapToGrid/>
          <w:color w:val="000000"/>
          <w:kern w:val="0"/>
          <w:szCs w:val="22"/>
        </w:rPr>
        <w:t xml:space="preserve">up to </w:t>
      </w:r>
      <w:r w:rsidR="00D0204F">
        <w:rPr>
          <w:rFonts w:eastAsia="Calibri"/>
          <w:snapToGrid/>
          <w:color w:val="000000"/>
          <w:kern w:val="0"/>
          <w:szCs w:val="22"/>
        </w:rPr>
        <w:t xml:space="preserve">49.99% </w:t>
      </w:r>
      <w:r w:rsidR="0064411A">
        <w:rPr>
          <w:rFonts w:eastAsia="Calibri"/>
          <w:snapToGrid/>
          <w:color w:val="000000"/>
          <w:kern w:val="0"/>
          <w:szCs w:val="22"/>
        </w:rPr>
        <w:t xml:space="preserve">of </w:t>
      </w:r>
      <w:r w:rsidR="00651B01">
        <w:rPr>
          <w:rFonts w:eastAsia="Calibri"/>
          <w:snapToGrid/>
          <w:color w:val="000000"/>
          <w:kern w:val="0"/>
          <w:szCs w:val="22"/>
        </w:rPr>
        <w:t>SBS</w:t>
      </w:r>
      <w:r w:rsidR="0077562F">
        <w:rPr>
          <w:rFonts w:eastAsia="Calibri"/>
          <w:snapToGrid/>
          <w:color w:val="000000"/>
          <w:kern w:val="0"/>
          <w:szCs w:val="22"/>
        </w:rPr>
        <w:t>’</w:t>
      </w:r>
      <w:r w:rsidR="002E346B">
        <w:rPr>
          <w:rFonts w:eastAsia="Calibri"/>
          <w:snapToGrid/>
          <w:color w:val="000000"/>
          <w:kern w:val="0"/>
          <w:szCs w:val="22"/>
        </w:rPr>
        <w:t>s</w:t>
      </w:r>
      <w:r w:rsidR="0077562F">
        <w:rPr>
          <w:rFonts w:eastAsia="Calibri"/>
          <w:snapToGrid/>
          <w:color w:val="000000"/>
          <w:kern w:val="0"/>
          <w:szCs w:val="22"/>
        </w:rPr>
        <w:t xml:space="preserve"> </w:t>
      </w:r>
      <w:r w:rsidRPr="001236FF" w:rsidR="0077562F">
        <w:rPr>
          <w:rFonts w:eastAsia="Calibri"/>
          <w:i/>
          <w:iCs/>
          <w:snapToGrid/>
          <w:color w:val="000000"/>
          <w:kern w:val="0"/>
          <w:szCs w:val="22"/>
        </w:rPr>
        <w:t>equity</w:t>
      </w:r>
      <w:r w:rsidR="003D7148">
        <w:rPr>
          <w:rFonts w:eastAsia="Calibri"/>
          <w:snapToGrid/>
          <w:color w:val="000000"/>
          <w:kern w:val="0"/>
          <w:szCs w:val="22"/>
        </w:rPr>
        <w:t xml:space="preserve"> </w:t>
      </w:r>
      <w:r w:rsidR="00E76893">
        <w:rPr>
          <w:rFonts w:eastAsia="Calibri"/>
          <w:snapToGrid/>
          <w:color w:val="000000"/>
          <w:kern w:val="0"/>
          <w:szCs w:val="22"/>
        </w:rPr>
        <w:t>in the aggregate</w:t>
      </w:r>
      <w:r w:rsidR="00A84748">
        <w:rPr>
          <w:rFonts w:eastAsia="Calibri"/>
          <w:snapToGrid/>
          <w:color w:val="000000"/>
          <w:kern w:val="0"/>
          <w:szCs w:val="22"/>
        </w:rPr>
        <w:t>.</w:t>
      </w:r>
      <w:r>
        <w:rPr>
          <w:rStyle w:val="FootnoteReference"/>
          <w:rFonts w:eastAsia="Calibri"/>
          <w:snapToGrid/>
          <w:kern w:val="0"/>
          <w:szCs w:val="22"/>
        </w:rPr>
        <w:footnoteReference w:id="4"/>
      </w:r>
      <w:r w:rsidR="00CE30DE">
        <w:rPr>
          <w:rFonts w:eastAsia="Calibri"/>
          <w:snapToGrid/>
          <w:color w:val="000000"/>
          <w:kern w:val="0"/>
          <w:szCs w:val="22"/>
        </w:rPr>
        <w:t xml:space="preserve">  </w:t>
      </w:r>
      <w:r w:rsidR="008F5C27">
        <w:rPr>
          <w:rFonts w:eastAsia="Calibri"/>
          <w:snapToGrid/>
          <w:color w:val="000000"/>
          <w:kern w:val="0"/>
          <w:szCs w:val="22"/>
        </w:rPr>
        <w:t>Specifically,</w:t>
      </w:r>
      <w:r w:rsidR="00A027CB">
        <w:rPr>
          <w:rFonts w:eastAsia="Calibri"/>
          <w:snapToGrid/>
          <w:color w:val="000000"/>
          <w:kern w:val="0"/>
          <w:szCs w:val="22"/>
        </w:rPr>
        <w:t xml:space="preserve"> </w:t>
      </w:r>
      <w:r w:rsidR="005152E0">
        <w:rPr>
          <w:rFonts w:eastAsia="Calibri"/>
          <w:snapToGrid/>
          <w:color w:val="000000"/>
          <w:kern w:val="0"/>
          <w:szCs w:val="22"/>
        </w:rPr>
        <w:t xml:space="preserve">as part </w:t>
      </w:r>
      <w:r w:rsidR="005D365B">
        <w:rPr>
          <w:rFonts w:eastAsia="Calibri"/>
          <w:snapToGrid/>
          <w:color w:val="000000"/>
          <w:kern w:val="0"/>
          <w:szCs w:val="22"/>
        </w:rPr>
        <w:t>of</w:t>
      </w:r>
      <w:r w:rsidR="005152E0">
        <w:rPr>
          <w:rFonts w:eastAsia="Calibri"/>
          <w:snapToGrid/>
          <w:color w:val="000000"/>
          <w:kern w:val="0"/>
          <w:szCs w:val="22"/>
        </w:rPr>
        <w:t xml:space="preserve"> a </w:t>
      </w:r>
      <w:r w:rsidR="001236FF">
        <w:rPr>
          <w:rFonts w:eastAsia="Calibri"/>
          <w:snapToGrid/>
          <w:color w:val="000000"/>
          <w:kern w:val="0"/>
          <w:szCs w:val="22"/>
        </w:rPr>
        <w:t xml:space="preserve">litigation </w:t>
      </w:r>
      <w:r w:rsidR="005152E0">
        <w:rPr>
          <w:rFonts w:eastAsia="Calibri"/>
          <w:snapToGrid/>
          <w:color w:val="000000"/>
          <w:kern w:val="0"/>
          <w:szCs w:val="22"/>
        </w:rPr>
        <w:t xml:space="preserve">settlement </w:t>
      </w:r>
      <w:r w:rsidR="00342C27">
        <w:rPr>
          <w:rFonts w:eastAsia="Calibri"/>
          <w:snapToGrid/>
          <w:color w:val="000000"/>
          <w:kern w:val="0"/>
          <w:szCs w:val="22"/>
        </w:rPr>
        <w:t>certain investors w</w:t>
      </w:r>
      <w:r w:rsidR="0072627F">
        <w:rPr>
          <w:rFonts w:eastAsia="Calibri"/>
          <w:snapToGrid/>
          <w:color w:val="000000"/>
          <w:kern w:val="0"/>
          <w:szCs w:val="22"/>
        </w:rPr>
        <w:t>ould</w:t>
      </w:r>
      <w:r w:rsidR="00342C27">
        <w:rPr>
          <w:rFonts w:eastAsia="Calibri"/>
          <w:snapToGrid/>
          <w:color w:val="000000"/>
          <w:kern w:val="0"/>
          <w:szCs w:val="22"/>
        </w:rPr>
        <w:t xml:space="preserve"> receive a combination of cash and new shares of SBS</w:t>
      </w:r>
      <w:r w:rsidR="00261BA7">
        <w:rPr>
          <w:rFonts w:eastAsia="Calibri"/>
          <w:snapToGrid/>
          <w:color w:val="000000"/>
          <w:kern w:val="0"/>
          <w:szCs w:val="22"/>
        </w:rPr>
        <w:t>’s Class A Common Stock.</w:t>
      </w:r>
      <w:r>
        <w:rPr>
          <w:rStyle w:val="FootnoteReference"/>
          <w:rFonts w:eastAsia="Calibri"/>
          <w:snapToGrid/>
          <w:kern w:val="0"/>
          <w:szCs w:val="22"/>
        </w:rPr>
        <w:footnoteReference w:id="5"/>
      </w:r>
      <w:r w:rsidR="00261BA7">
        <w:rPr>
          <w:rFonts w:eastAsia="Calibri"/>
          <w:snapToGrid/>
          <w:color w:val="000000"/>
          <w:kern w:val="0"/>
          <w:szCs w:val="22"/>
        </w:rPr>
        <w:t xml:space="preserve">  </w:t>
      </w:r>
      <w:r w:rsidR="001E2AFB">
        <w:rPr>
          <w:rFonts w:eastAsia="Calibri"/>
          <w:snapToGrid/>
          <w:color w:val="000000"/>
          <w:kern w:val="0"/>
          <w:szCs w:val="22"/>
        </w:rPr>
        <w:t>Th</w:t>
      </w:r>
      <w:r w:rsidR="00F334D9">
        <w:rPr>
          <w:rFonts w:eastAsia="Calibri"/>
          <w:snapToGrid/>
          <w:color w:val="000000"/>
          <w:kern w:val="0"/>
          <w:szCs w:val="22"/>
        </w:rPr>
        <w:t xml:space="preserve">e issuance of the total number of shares required to implement the settlement </w:t>
      </w:r>
      <w:r w:rsidR="005914FB">
        <w:rPr>
          <w:rFonts w:eastAsia="Calibri"/>
          <w:snapToGrid/>
          <w:color w:val="000000"/>
          <w:kern w:val="0"/>
          <w:szCs w:val="22"/>
        </w:rPr>
        <w:t xml:space="preserve">could </w:t>
      </w:r>
      <w:r w:rsidR="00E555CE">
        <w:rPr>
          <w:rFonts w:eastAsia="Calibri"/>
          <w:snapToGrid/>
          <w:color w:val="000000"/>
          <w:kern w:val="0"/>
          <w:szCs w:val="22"/>
        </w:rPr>
        <w:t>cause</w:t>
      </w:r>
      <w:r w:rsidR="005914FB">
        <w:rPr>
          <w:rFonts w:eastAsia="Calibri"/>
          <w:snapToGrid/>
          <w:color w:val="000000"/>
          <w:kern w:val="0"/>
          <w:szCs w:val="22"/>
        </w:rPr>
        <w:t xml:space="preserve"> the aggregate equity foreign ow</w:t>
      </w:r>
      <w:r w:rsidR="004B5CC2">
        <w:rPr>
          <w:rFonts w:eastAsia="Calibri"/>
          <w:snapToGrid/>
          <w:color w:val="000000"/>
          <w:kern w:val="0"/>
          <w:szCs w:val="22"/>
        </w:rPr>
        <w:t xml:space="preserve">nership </w:t>
      </w:r>
      <w:r w:rsidR="00D7390D">
        <w:rPr>
          <w:rFonts w:eastAsia="Calibri"/>
          <w:snapToGrid/>
          <w:color w:val="000000"/>
          <w:kern w:val="0"/>
          <w:szCs w:val="22"/>
        </w:rPr>
        <w:t>of SBS</w:t>
      </w:r>
      <w:r w:rsidR="00E555CE">
        <w:rPr>
          <w:rFonts w:eastAsia="Calibri"/>
          <w:snapToGrid/>
          <w:color w:val="000000"/>
          <w:kern w:val="0"/>
          <w:szCs w:val="22"/>
        </w:rPr>
        <w:t xml:space="preserve"> to</w:t>
      </w:r>
      <w:r w:rsidR="00D7390D">
        <w:rPr>
          <w:rFonts w:eastAsia="Calibri"/>
          <w:snapToGrid/>
          <w:color w:val="000000"/>
          <w:kern w:val="0"/>
          <w:szCs w:val="22"/>
        </w:rPr>
        <w:t xml:space="preserve"> </w:t>
      </w:r>
      <w:r w:rsidR="00E555CE">
        <w:rPr>
          <w:rFonts w:eastAsia="Calibri"/>
          <w:snapToGrid/>
          <w:color w:val="000000"/>
          <w:kern w:val="0"/>
          <w:szCs w:val="22"/>
        </w:rPr>
        <w:t>exc</w:t>
      </w:r>
      <w:r w:rsidR="004B5CC2">
        <w:rPr>
          <w:rFonts w:eastAsia="Calibri"/>
          <w:snapToGrid/>
          <w:color w:val="000000"/>
          <w:kern w:val="0"/>
          <w:szCs w:val="22"/>
        </w:rPr>
        <w:t xml:space="preserve">eed </w:t>
      </w:r>
      <w:r w:rsidR="00E555CE">
        <w:rPr>
          <w:rFonts w:eastAsia="Calibri"/>
          <w:snapToGrid/>
          <w:color w:val="000000"/>
          <w:kern w:val="0"/>
          <w:szCs w:val="22"/>
        </w:rPr>
        <w:t>section 310(b)(4)’s</w:t>
      </w:r>
      <w:r w:rsidR="004B5CC2">
        <w:rPr>
          <w:rFonts w:eastAsia="Calibri"/>
          <w:snapToGrid/>
          <w:color w:val="000000"/>
          <w:kern w:val="0"/>
          <w:szCs w:val="22"/>
        </w:rPr>
        <w:t xml:space="preserve"> 25%</w:t>
      </w:r>
      <w:r w:rsidR="00E555CE">
        <w:rPr>
          <w:rFonts w:eastAsia="Calibri"/>
          <w:snapToGrid/>
          <w:color w:val="000000"/>
          <w:kern w:val="0"/>
          <w:szCs w:val="22"/>
        </w:rPr>
        <w:t xml:space="preserve"> </w:t>
      </w:r>
      <w:r w:rsidR="00E723CC">
        <w:rPr>
          <w:rFonts w:eastAsia="Calibri"/>
          <w:snapToGrid/>
          <w:color w:val="000000"/>
          <w:kern w:val="0"/>
          <w:szCs w:val="22"/>
        </w:rPr>
        <w:t>benchmark</w:t>
      </w:r>
      <w:r w:rsidR="004B5CC2">
        <w:rPr>
          <w:rFonts w:eastAsia="Calibri"/>
          <w:snapToGrid/>
          <w:color w:val="000000"/>
          <w:kern w:val="0"/>
          <w:szCs w:val="22"/>
        </w:rPr>
        <w:t xml:space="preserve"> </w:t>
      </w:r>
      <w:r w:rsidR="00E555CE">
        <w:rPr>
          <w:rFonts w:eastAsia="Calibri"/>
          <w:snapToGrid/>
          <w:color w:val="000000"/>
          <w:kern w:val="0"/>
          <w:szCs w:val="22"/>
        </w:rPr>
        <w:t>b</w:t>
      </w:r>
      <w:r w:rsidR="00261BA7">
        <w:rPr>
          <w:rFonts w:eastAsia="Calibri"/>
          <w:snapToGrid/>
          <w:color w:val="000000"/>
          <w:kern w:val="0"/>
          <w:szCs w:val="22"/>
        </w:rPr>
        <w:t>ecause some of these parties are</w:t>
      </w:r>
      <w:r w:rsidR="00B10AC2">
        <w:rPr>
          <w:rFonts w:eastAsia="Calibri"/>
          <w:snapToGrid/>
          <w:color w:val="000000"/>
          <w:kern w:val="0"/>
          <w:szCs w:val="22"/>
        </w:rPr>
        <w:t xml:space="preserve"> foreign entities and/or individuals</w:t>
      </w:r>
      <w:r w:rsidR="00E555CE">
        <w:rPr>
          <w:rFonts w:eastAsia="Calibri"/>
          <w:snapToGrid/>
          <w:color w:val="000000"/>
          <w:kern w:val="0"/>
          <w:szCs w:val="22"/>
        </w:rPr>
        <w:t>.</w:t>
      </w:r>
      <w:r>
        <w:rPr>
          <w:rStyle w:val="FootnoteReference"/>
          <w:rFonts w:eastAsia="Calibri"/>
          <w:snapToGrid/>
          <w:kern w:val="0"/>
          <w:szCs w:val="22"/>
        </w:rPr>
        <w:footnoteReference w:id="6"/>
      </w:r>
      <w:r w:rsidR="00A332CA">
        <w:rPr>
          <w:rFonts w:eastAsia="Calibri"/>
          <w:snapToGrid/>
          <w:color w:val="000000"/>
          <w:kern w:val="0"/>
          <w:szCs w:val="22"/>
        </w:rPr>
        <w:t xml:space="preserve">  Following the completion of </w:t>
      </w:r>
      <w:r w:rsidR="00BF6036">
        <w:rPr>
          <w:rFonts w:eastAsia="Calibri"/>
          <w:snapToGrid/>
          <w:color w:val="000000"/>
          <w:kern w:val="0"/>
          <w:szCs w:val="22"/>
        </w:rPr>
        <w:t xml:space="preserve">the </w:t>
      </w:r>
      <w:r w:rsidR="00A332CA">
        <w:rPr>
          <w:rFonts w:eastAsia="Calibri"/>
          <w:snapToGrid/>
          <w:color w:val="000000"/>
          <w:kern w:val="0"/>
          <w:szCs w:val="22"/>
        </w:rPr>
        <w:t>tra</w:t>
      </w:r>
      <w:r w:rsidR="00EF3BD8">
        <w:rPr>
          <w:rFonts w:eastAsia="Calibri"/>
          <w:snapToGrid/>
          <w:color w:val="000000"/>
          <w:kern w:val="0"/>
          <w:szCs w:val="22"/>
        </w:rPr>
        <w:t>nsactions contemplated by the settlement and this Petition</w:t>
      </w:r>
      <w:r w:rsidR="006D50CE">
        <w:rPr>
          <w:rFonts w:eastAsia="Calibri"/>
          <w:snapToGrid/>
          <w:color w:val="000000"/>
          <w:kern w:val="0"/>
          <w:szCs w:val="22"/>
        </w:rPr>
        <w:t>,</w:t>
      </w:r>
      <w:r w:rsidR="00EF3BD8">
        <w:rPr>
          <w:rFonts w:eastAsia="Calibri"/>
          <w:snapToGrid/>
          <w:color w:val="000000"/>
          <w:kern w:val="0"/>
          <w:szCs w:val="22"/>
        </w:rPr>
        <w:t xml:space="preserve"> </w:t>
      </w:r>
      <w:r w:rsidRPr="00E838EF" w:rsidR="00E838EF">
        <w:rPr>
          <w:rFonts w:eastAsia="Calibri"/>
          <w:snapToGrid/>
          <w:color w:val="000000"/>
          <w:kern w:val="0"/>
          <w:szCs w:val="22"/>
        </w:rPr>
        <w:t>SBS w</w:t>
      </w:r>
      <w:r w:rsidR="0072627F">
        <w:rPr>
          <w:rFonts w:eastAsia="Calibri"/>
          <w:snapToGrid/>
          <w:color w:val="000000"/>
          <w:kern w:val="0"/>
          <w:szCs w:val="22"/>
        </w:rPr>
        <w:t>ould</w:t>
      </w:r>
      <w:r w:rsidRPr="00E838EF" w:rsidR="00E838EF">
        <w:rPr>
          <w:rFonts w:eastAsia="Calibri"/>
          <w:snapToGrid/>
          <w:color w:val="000000"/>
          <w:kern w:val="0"/>
          <w:szCs w:val="22"/>
        </w:rPr>
        <w:t xml:space="preserve"> have three classes of stock outstanding</w:t>
      </w:r>
      <w:r w:rsidR="009B780F">
        <w:rPr>
          <w:rFonts w:eastAsia="Calibri"/>
          <w:snapToGrid/>
          <w:color w:val="000000"/>
          <w:kern w:val="0"/>
          <w:szCs w:val="22"/>
        </w:rPr>
        <w:t xml:space="preserve"> </w:t>
      </w:r>
      <w:r w:rsidRPr="00D751DE" w:rsidR="00D751DE">
        <w:rPr>
          <w:rFonts w:eastAsia="Calibri"/>
          <w:snapToGrid/>
          <w:color w:val="000000"/>
          <w:kern w:val="0"/>
          <w:szCs w:val="22"/>
        </w:rPr>
        <w:t>—</w:t>
      </w:r>
      <w:r w:rsidR="009B780F">
        <w:rPr>
          <w:rFonts w:eastAsia="Calibri"/>
          <w:snapToGrid/>
          <w:color w:val="000000"/>
          <w:kern w:val="0"/>
          <w:szCs w:val="22"/>
        </w:rPr>
        <w:t xml:space="preserve"> </w:t>
      </w:r>
      <w:r w:rsidR="00C8279E">
        <w:rPr>
          <w:rFonts w:eastAsia="Calibri"/>
          <w:snapToGrid/>
          <w:color w:val="000000"/>
          <w:kern w:val="0"/>
          <w:szCs w:val="22"/>
        </w:rPr>
        <w:t>Class A Common Stock, Class B Common Stock, and Series C Convertible Preferred Stock</w:t>
      </w:r>
      <w:r w:rsidR="004861E5">
        <w:rPr>
          <w:rFonts w:eastAsia="Calibri"/>
          <w:snapToGrid/>
          <w:color w:val="000000"/>
          <w:kern w:val="0"/>
          <w:szCs w:val="22"/>
        </w:rPr>
        <w:t xml:space="preserve"> (collectively, SBS’s Stock)</w:t>
      </w:r>
      <w:r w:rsidR="00C8279E">
        <w:rPr>
          <w:rFonts w:eastAsia="Calibri"/>
          <w:snapToGrid/>
          <w:color w:val="000000"/>
          <w:kern w:val="0"/>
          <w:szCs w:val="22"/>
        </w:rPr>
        <w:t>.</w:t>
      </w:r>
      <w:r>
        <w:rPr>
          <w:rStyle w:val="FootnoteReference"/>
          <w:rFonts w:eastAsia="Calibri"/>
          <w:snapToGrid/>
          <w:kern w:val="0"/>
          <w:szCs w:val="22"/>
        </w:rPr>
        <w:footnoteReference w:id="7"/>
      </w:r>
      <w:r w:rsidR="00C8279E">
        <w:rPr>
          <w:rFonts w:eastAsia="Calibri"/>
          <w:snapToGrid/>
          <w:color w:val="000000"/>
          <w:kern w:val="0"/>
          <w:szCs w:val="22"/>
        </w:rPr>
        <w:t xml:space="preserve">  </w:t>
      </w:r>
      <w:r w:rsidRPr="007C1B1D" w:rsidR="007C1B1D">
        <w:rPr>
          <w:rFonts w:eastAsia="Calibri"/>
          <w:snapToGrid/>
          <w:color w:val="000000"/>
          <w:kern w:val="0"/>
          <w:szCs w:val="22"/>
        </w:rPr>
        <w:t>Raúl Alarc</w:t>
      </w:r>
      <w:bookmarkStart w:id="2" w:name="_Hlk95114146"/>
      <w:r w:rsidRPr="007C1B1D" w:rsidR="007C1B1D">
        <w:rPr>
          <w:rFonts w:eastAsia="Calibri"/>
          <w:snapToGrid/>
          <w:color w:val="000000"/>
          <w:kern w:val="0"/>
          <w:szCs w:val="22"/>
        </w:rPr>
        <w:t>ó</w:t>
      </w:r>
      <w:bookmarkEnd w:id="2"/>
      <w:r w:rsidRPr="007C1B1D" w:rsidR="007C1B1D">
        <w:rPr>
          <w:rFonts w:eastAsia="Calibri"/>
          <w:snapToGrid/>
          <w:color w:val="000000"/>
          <w:kern w:val="0"/>
          <w:szCs w:val="22"/>
        </w:rPr>
        <w:t>n</w:t>
      </w:r>
      <w:r w:rsidR="007C1B1D">
        <w:rPr>
          <w:rFonts w:eastAsia="Calibri"/>
          <w:snapToGrid/>
          <w:color w:val="000000"/>
          <w:kern w:val="0"/>
          <w:szCs w:val="22"/>
        </w:rPr>
        <w:t xml:space="preserve">, a United States Citizen, </w:t>
      </w:r>
      <w:r w:rsidR="00B953CB">
        <w:rPr>
          <w:rFonts w:eastAsia="Calibri"/>
          <w:snapToGrid/>
          <w:color w:val="000000"/>
          <w:kern w:val="0"/>
          <w:szCs w:val="22"/>
        </w:rPr>
        <w:t xml:space="preserve">is the only individual or entity that </w:t>
      </w:r>
      <w:r w:rsidR="007C1B1D">
        <w:rPr>
          <w:rFonts w:eastAsia="Calibri"/>
          <w:snapToGrid/>
          <w:color w:val="000000"/>
          <w:kern w:val="0"/>
          <w:szCs w:val="22"/>
        </w:rPr>
        <w:t>w</w:t>
      </w:r>
      <w:r w:rsidR="0072627F">
        <w:rPr>
          <w:rFonts w:eastAsia="Calibri"/>
          <w:snapToGrid/>
          <w:color w:val="000000"/>
          <w:kern w:val="0"/>
          <w:szCs w:val="22"/>
        </w:rPr>
        <w:t>ould</w:t>
      </w:r>
      <w:r w:rsidR="007C1B1D">
        <w:rPr>
          <w:rFonts w:eastAsia="Calibri"/>
          <w:snapToGrid/>
          <w:color w:val="000000"/>
          <w:kern w:val="0"/>
          <w:szCs w:val="22"/>
        </w:rPr>
        <w:t xml:space="preserve"> hold </w:t>
      </w:r>
      <w:r w:rsidR="00C552DF">
        <w:rPr>
          <w:rFonts w:eastAsia="Calibri"/>
          <w:snapToGrid/>
          <w:color w:val="000000"/>
          <w:kern w:val="0"/>
          <w:szCs w:val="22"/>
        </w:rPr>
        <w:t>a</w:t>
      </w:r>
      <w:r w:rsidR="00F80ABF">
        <w:rPr>
          <w:rFonts w:eastAsia="Calibri"/>
          <w:snapToGrid/>
          <w:color w:val="000000"/>
          <w:kern w:val="0"/>
          <w:szCs w:val="22"/>
        </w:rPr>
        <w:t>n</w:t>
      </w:r>
      <w:r w:rsidR="0068664A">
        <w:rPr>
          <w:rFonts w:eastAsia="Calibri"/>
          <w:snapToGrid/>
          <w:color w:val="000000"/>
          <w:kern w:val="0"/>
          <w:szCs w:val="22"/>
        </w:rPr>
        <w:t xml:space="preserve"> </w:t>
      </w:r>
      <w:r w:rsidR="002C4FBD">
        <w:rPr>
          <w:rFonts w:eastAsia="Calibri"/>
          <w:snapToGrid/>
          <w:color w:val="000000"/>
          <w:kern w:val="0"/>
          <w:szCs w:val="22"/>
        </w:rPr>
        <w:t>attributable interest in SBS.</w:t>
      </w:r>
      <w:r>
        <w:rPr>
          <w:rStyle w:val="FootnoteReference"/>
          <w:rFonts w:eastAsia="Calibri"/>
          <w:snapToGrid/>
          <w:kern w:val="0"/>
          <w:szCs w:val="22"/>
        </w:rPr>
        <w:footnoteReference w:id="8"/>
      </w:r>
      <w:r w:rsidR="002C4FBD">
        <w:rPr>
          <w:rFonts w:eastAsia="Calibri"/>
          <w:snapToGrid/>
          <w:color w:val="000000"/>
          <w:kern w:val="0"/>
          <w:szCs w:val="22"/>
        </w:rPr>
        <w:t xml:space="preserve">  </w:t>
      </w:r>
      <w:r w:rsidR="00217CE6">
        <w:rPr>
          <w:rFonts w:eastAsia="Calibri"/>
          <w:snapToGrid/>
          <w:color w:val="000000"/>
          <w:kern w:val="0"/>
          <w:szCs w:val="22"/>
        </w:rPr>
        <w:t>He w</w:t>
      </w:r>
      <w:r w:rsidR="0072627F">
        <w:rPr>
          <w:rFonts w:eastAsia="Calibri"/>
          <w:snapToGrid/>
          <w:color w:val="000000"/>
          <w:kern w:val="0"/>
          <w:szCs w:val="22"/>
        </w:rPr>
        <w:t>ould</w:t>
      </w:r>
      <w:r w:rsidR="00217CE6">
        <w:rPr>
          <w:rFonts w:eastAsia="Calibri"/>
          <w:snapToGrid/>
          <w:color w:val="000000"/>
          <w:kern w:val="0"/>
          <w:szCs w:val="22"/>
        </w:rPr>
        <w:t xml:space="preserve"> hold an </w:t>
      </w:r>
      <w:r w:rsidR="00AB1653">
        <w:rPr>
          <w:rFonts w:eastAsia="Calibri"/>
          <w:snapToGrid/>
          <w:color w:val="000000"/>
          <w:kern w:val="0"/>
          <w:szCs w:val="22"/>
        </w:rPr>
        <w:t>approximately 8</w:t>
      </w:r>
      <w:r w:rsidR="004D177B">
        <w:rPr>
          <w:rFonts w:eastAsia="Calibri"/>
          <w:snapToGrid/>
          <w:color w:val="000000"/>
          <w:kern w:val="0"/>
          <w:szCs w:val="22"/>
        </w:rPr>
        <w:t>0</w:t>
      </w:r>
      <w:r w:rsidR="00AB1653">
        <w:rPr>
          <w:rFonts w:eastAsia="Calibri"/>
          <w:snapToGrid/>
          <w:color w:val="000000"/>
          <w:kern w:val="0"/>
          <w:szCs w:val="22"/>
        </w:rPr>
        <w:t xml:space="preserve">% </w:t>
      </w:r>
      <w:r w:rsidR="00C552DF">
        <w:rPr>
          <w:rFonts w:eastAsia="Calibri"/>
          <w:snapToGrid/>
          <w:color w:val="000000"/>
          <w:kern w:val="0"/>
          <w:szCs w:val="22"/>
        </w:rPr>
        <w:t>voting interest in SBS and a 3</w:t>
      </w:r>
      <w:r w:rsidR="004D177B">
        <w:rPr>
          <w:rFonts w:eastAsia="Calibri"/>
          <w:snapToGrid/>
          <w:color w:val="000000"/>
          <w:kern w:val="0"/>
          <w:szCs w:val="22"/>
        </w:rPr>
        <w:t>4</w:t>
      </w:r>
      <w:r w:rsidR="00C552DF">
        <w:rPr>
          <w:rFonts w:eastAsia="Calibri"/>
          <w:snapToGrid/>
          <w:color w:val="000000"/>
          <w:kern w:val="0"/>
          <w:szCs w:val="22"/>
        </w:rPr>
        <w:t xml:space="preserve">% equity interest </w:t>
      </w:r>
      <w:r w:rsidR="004D177B">
        <w:rPr>
          <w:rFonts w:eastAsia="Calibri"/>
          <w:snapToGrid/>
          <w:color w:val="000000"/>
          <w:kern w:val="0"/>
          <w:szCs w:val="22"/>
        </w:rPr>
        <w:t xml:space="preserve">in </w:t>
      </w:r>
      <w:r w:rsidR="005D297D">
        <w:rPr>
          <w:rFonts w:eastAsia="Calibri"/>
          <w:snapToGrid/>
          <w:color w:val="000000"/>
          <w:kern w:val="0"/>
          <w:szCs w:val="22"/>
        </w:rPr>
        <w:t xml:space="preserve">SBS </w:t>
      </w:r>
      <w:r w:rsidR="00FF1A36">
        <w:rPr>
          <w:rFonts w:eastAsia="Calibri"/>
          <w:snapToGrid/>
          <w:color w:val="000000"/>
          <w:kern w:val="0"/>
          <w:szCs w:val="22"/>
        </w:rPr>
        <w:t xml:space="preserve">based on his </w:t>
      </w:r>
      <w:r w:rsidR="00AC76EC">
        <w:rPr>
          <w:rFonts w:eastAsia="Calibri"/>
          <w:snapToGrid/>
          <w:color w:val="000000"/>
          <w:kern w:val="0"/>
          <w:szCs w:val="22"/>
        </w:rPr>
        <w:t>interests in</w:t>
      </w:r>
      <w:r w:rsidR="00FF1A36">
        <w:rPr>
          <w:rFonts w:eastAsia="Calibri"/>
          <w:snapToGrid/>
          <w:color w:val="000000"/>
          <w:kern w:val="0"/>
          <w:szCs w:val="22"/>
        </w:rPr>
        <w:t xml:space="preserve"> </w:t>
      </w:r>
      <w:r w:rsidR="008C30F8">
        <w:rPr>
          <w:rFonts w:eastAsia="Calibri"/>
          <w:snapToGrid/>
          <w:color w:val="000000"/>
          <w:kern w:val="0"/>
          <w:szCs w:val="22"/>
        </w:rPr>
        <w:t>SBS</w:t>
      </w:r>
      <w:r w:rsidR="00BF6036">
        <w:rPr>
          <w:rFonts w:eastAsia="Calibri"/>
          <w:snapToGrid/>
          <w:color w:val="000000"/>
          <w:kern w:val="0"/>
          <w:szCs w:val="22"/>
        </w:rPr>
        <w:t>’s</w:t>
      </w:r>
      <w:r w:rsidR="008C30F8">
        <w:rPr>
          <w:rFonts w:eastAsia="Calibri"/>
          <w:snapToGrid/>
          <w:color w:val="000000"/>
          <w:kern w:val="0"/>
          <w:szCs w:val="22"/>
        </w:rPr>
        <w:t xml:space="preserve"> </w:t>
      </w:r>
      <w:r w:rsidR="00202863">
        <w:rPr>
          <w:rFonts w:eastAsia="Calibri"/>
          <w:snapToGrid/>
          <w:color w:val="000000"/>
          <w:kern w:val="0"/>
          <w:szCs w:val="22"/>
        </w:rPr>
        <w:t>S</w:t>
      </w:r>
      <w:r w:rsidR="000921C3">
        <w:rPr>
          <w:rFonts w:eastAsia="Calibri"/>
          <w:snapToGrid/>
          <w:color w:val="000000"/>
          <w:kern w:val="0"/>
          <w:szCs w:val="22"/>
        </w:rPr>
        <w:t>tock</w:t>
      </w:r>
      <w:r w:rsidR="0032705A">
        <w:rPr>
          <w:rFonts w:eastAsia="Calibri"/>
          <w:snapToGrid/>
          <w:color w:val="000000"/>
          <w:kern w:val="0"/>
          <w:szCs w:val="22"/>
        </w:rPr>
        <w:t>.</w:t>
      </w:r>
      <w:r>
        <w:rPr>
          <w:rStyle w:val="FootnoteReference"/>
          <w:rFonts w:eastAsia="Calibri"/>
          <w:snapToGrid/>
          <w:kern w:val="0"/>
          <w:szCs w:val="22"/>
        </w:rPr>
        <w:footnoteReference w:id="9"/>
      </w:r>
      <w:r w:rsidR="008A3FCF">
        <w:rPr>
          <w:rFonts w:eastAsia="Calibri"/>
          <w:snapToGrid/>
          <w:color w:val="000000"/>
          <w:kern w:val="0"/>
          <w:szCs w:val="22"/>
        </w:rPr>
        <w:t xml:space="preserve">  </w:t>
      </w:r>
      <w:r w:rsidR="00BD0F04">
        <w:rPr>
          <w:rFonts w:eastAsia="Calibri"/>
          <w:snapToGrid/>
          <w:color w:val="000000"/>
          <w:kern w:val="0"/>
          <w:szCs w:val="22"/>
        </w:rPr>
        <w:t>The remainder of SBS’s stock w</w:t>
      </w:r>
      <w:r w:rsidR="0072627F">
        <w:rPr>
          <w:rFonts w:eastAsia="Calibri"/>
          <w:snapToGrid/>
          <w:color w:val="000000"/>
          <w:kern w:val="0"/>
          <w:szCs w:val="22"/>
        </w:rPr>
        <w:t>ould</w:t>
      </w:r>
      <w:r w:rsidR="00BD0F04">
        <w:rPr>
          <w:rFonts w:eastAsia="Calibri"/>
          <w:snapToGrid/>
          <w:color w:val="000000"/>
          <w:kern w:val="0"/>
          <w:szCs w:val="22"/>
        </w:rPr>
        <w:t xml:space="preserve"> be held by various </w:t>
      </w:r>
      <w:r w:rsidR="000474BB">
        <w:rPr>
          <w:rFonts w:eastAsia="Calibri"/>
          <w:snapToGrid/>
          <w:color w:val="000000"/>
          <w:kern w:val="0"/>
          <w:szCs w:val="22"/>
        </w:rPr>
        <w:t xml:space="preserve">domestic and foreign </w:t>
      </w:r>
      <w:r w:rsidR="00BD0F04">
        <w:rPr>
          <w:rFonts w:eastAsia="Calibri"/>
          <w:snapToGrid/>
          <w:color w:val="000000"/>
          <w:kern w:val="0"/>
          <w:szCs w:val="22"/>
        </w:rPr>
        <w:t>investors</w:t>
      </w:r>
      <w:r w:rsidR="000474BB">
        <w:rPr>
          <w:rFonts w:eastAsia="Calibri"/>
          <w:snapToGrid/>
          <w:color w:val="000000"/>
          <w:kern w:val="0"/>
          <w:szCs w:val="22"/>
        </w:rPr>
        <w:t>.</w:t>
      </w:r>
      <w:r>
        <w:rPr>
          <w:rStyle w:val="FootnoteReference"/>
          <w:rFonts w:eastAsia="Calibri"/>
          <w:snapToGrid/>
          <w:kern w:val="0"/>
          <w:szCs w:val="22"/>
        </w:rPr>
        <w:footnoteReference w:id="10"/>
      </w:r>
      <w:r w:rsidR="000474BB">
        <w:rPr>
          <w:rFonts w:eastAsia="Calibri"/>
          <w:snapToGrid/>
          <w:color w:val="000000"/>
          <w:kern w:val="0"/>
          <w:szCs w:val="22"/>
        </w:rPr>
        <w:t xml:space="preserve">  </w:t>
      </w:r>
      <w:r w:rsidR="000474BB">
        <w:rPr>
          <w:rFonts w:eastAsia="Calibri"/>
          <w:snapToGrid/>
          <w:color w:val="000000"/>
          <w:kern w:val="0"/>
          <w:szCs w:val="22"/>
        </w:rPr>
        <w:t>No foreign investor w</w:t>
      </w:r>
      <w:r w:rsidR="0072627F">
        <w:rPr>
          <w:rFonts w:eastAsia="Calibri"/>
          <w:snapToGrid/>
          <w:color w:val="000000"/>
          <w:kern w:val="0"/>
          <w:szCs w:val="22"/>
        </w:rPr>
        <w:t>ould</w:t>
      </w:r>
      <w:r w:rsidR="0025534B">
        <w:rPr>
          <w:rFonts w:eastAsia="Calibri"/>
          <w:snapToGrid/>
          <w:color w:val="000000"/>
          <w:kern w:val="0"/>
          <w:szCs w:val="22"/>
        </w:rPr>
        <w:t xml:space="preserve"> </w:t>
      </w:r>
      <w:r w:rsidR="008F4E96">
        <w:rPr>
          <w:rFonts w:eastAsia="Calibri"/>
          <w:snapToGrid/>
          <w:color w:val="000000"/>
          <w:kern w:val="0"/>
          <w:szCs w:val="22"/>
        </w:rPr>
        <w:t xml:space="preserve">have </w:t>
      </w:r>
      <w:r w:rsidR="007A082B">
        <w:rPr>
          <w:rFonts w:eastAsia="Calibri"/>
          <w:snapToGrid/>
          <w:color w:val="000000"/>
          <w:kern w:val="0"/>
          <w:szCs w:val="22"/>
        </w:rPr>
        <w:t xml:space="preserve">more than </w:t>
      </w:r>
      <w:r w:rsidR="008F4E96">
        <w:rPr>
          <w:rFonts w:eastAsia="Calibri"/>
          <w:snapToGrid/>
          <w:color w:val="000000"/>
          <w:kern w:val="0"/>
          <w:szCs w:val="22"/>
        </w:rPr>
        <w:t>a</w:t>
      </w:r>
      <w:r w:rsidR="0025534B">
        <w:rPr>
          <w:rFonts w:eastAsia="Calibri"/>
          <w:snapToGrid/>
          <w:color w:val="000000"/>
          <w:kern w:val="0"/>
          <w:szCs w:val="22"/>
        </w:rPr>
        <w:t xml:space="preserve"> </w:t>
      </w:r>
      <w:r w:rsidR="008F4E96">
        <w:rPr>
          <w:rFonts w:eastAsia="Calibri"/>
          <w:snapToGrid/>
          <w:color w:val="000000"/>
          <w:kern w:val="0"/>
          <w:szCs w:val="22"/>
        </w:rPr>
        <w:t xml:space="preserve">5% voting or </w:t>
      </w:r>
      <w:r w:rsidR="00401044">
        <w:rPr>
          <w:rFonts w:eastAsia="Calibri"/>
          <w:snapToGrid/>
          <w:color w:val="000000"/>
          <w:kern w:val="0"/>
          <w:szCs w:val="22"/>
        </w:rPr>
        <w:t>equity interest in SBS.</w:t>
      </w:r>
      <w:r>
        <w:rPr>
          <w:rStyle w:val="FootnoteReference"/>
          <w:rFonts w:eastAsia="Calibri"/>
          <w:snapToGrid/>
          <w:kern w:val="0"/>
          <w:szCs w:val="22"/>
        </w:rPr>
        <w:footnoteReference w:id="11"/>
      </w:r>
      <w:r w:rsidR="008F4E96">
        <w:rPr>
          <w:rFonts w:eastAsia="Calibri"/>
          <w:snapToGrid/>
          <w:color w:val="000000"/>
          <w:kern w:val="0"/>
          <w:szCs w:val="22"/>
        </w:rPr>
        <w:t xml:space="preserve"> </w:t>
      </w:r>
      <w:r w:rsidR="000474BB">
        <w:rPr>
          <w:rFonts w:eastAsia="Calibri"/>
          <w:snapToGrid/>
          <w:color w:val="000000"/>
          <w:kern w:val="0"/>
          <w:szCs w:val="22"/>
        </w:rPr>
        <w:t xml:space="preserve"> </w:t>
      </w:r>
      <w:r w:rsidR="00651B01">
        <w:rPr>
          <w:rFonts w:eastAsia="Calibri"/>
          <w:snapToGrid/>
          <w:color w:val="000000"/>
          <w:kern w:val="0"/>
          <w:szCs w:val="22"/>
        </w:rPr>
        <w:t>T</w:t>
      </w:r>
      <w:r w:rsidR="00CE30DE">
        <w:rPr>
          <w:rFonts w:eastAsia="Calibri"/>
          <w:snapToGrid/>
          <w:color w:val="000000"/>
          <w:kern w:val="0"/>
          <w:szCs w:val="22"/>
        </w:rPr>
        <w:t xml:space="preserve">he Petition </w:t>
      </w:r>
      <w:r w:rsidR="00651B01">
        <w:rPr>
          <w:rFonts w:eastAsia="Calibri"/>
          <w:snapToGrid/>
          <w:color w:val="000000"/>
          <w:kern w:val="0"/>
          <w:szCs w:val="22"/>
        </w:rPr>
        <w:t xml:space="preserve">does not </w:t>
      </w:r>
      <w:r w:rsidR="00CE30DE">
        <w:rPr>
          <w:rFonts w:eastAsia="Calibri"/>
          <w:snapToGrid/>
          <w:color w:val="000000"/>
          <w:kern w:val="0"/>
          <w:szCs w:val="22"/>
        </w:rPr>
        <w:t>seek specific</w:t>
      </w:r>
      <w:r w:rsidR="00651B01">
        <w:rPr>
          <w:rFonts w:eastAsia="Calibri"/>
          <w:snapToGrid/>
          <w:color w:val="000000"/>
          <w:kern w:val="0"/>
          <w:szCs w:val="22"/>
        </w:rPr>
        <w:t xml:space="preserve"> or advance</w:t>
      </w:r>
      <w:r w:rsidR="00CE30DE">
        <w:rPr>
          <w:rFonts w:eastAsia="Calibri"/>
          <w:snapToGrid/>
          <w:color w:val="000000"/>
          <w:kern w:val="0"/>
          <w:szCs w:val="22"/>
        </w:rPr>
        <w:t xml:space="preserve"> approval for</w:t>
      </w:r>
      <w:r w:rsidR="0001044D">
        <w:rPr>
          <w:rFonts w:eastAsia="Calibri"/>
          <w:snapToGrid/>
          <w:color w:val="000000"/>
          <w:kern w:val="0"/>
          <w:szCs w:val="22"/>
        </w:rPr>
        <w:t xml:space="preserve"> any individual or entity.</w:t>
      </w:r>
      <w:r>
        <w:rPr>
          <w:rStyle w:val="FootnoteReference"/>
          <w:rFonts w:eastAsia="Calibri"/>
          <w:snapToGrid/>
          <w:kern w:val="0"/>
          <w:szCs w:val="22"/>
        </w:rPr>
        <w:footnoteReference w:id="12"/>
      </w:r>
      <w:r w:rsidR="001F50FD">
        <w:rPr>
          <w:rFonts w:eastAsia="Calibri"/>
          <w:snapToGrid/>
          <w:color w:val="000000"/>
          <w:kern w:val="0"/>
          <w:szCs w:val="22"/>
        </w:rPr>
        <w:t xml:space="preserve">  </w:t>
      </w:r>
      <w:r w:rsidR="00651B01">
        <w:rPr>
          <w:rFonts w:eastAsia="Calibri"/>
          <w:snapToGrid/>
          <w:color w:val="000000"/>
          <w:kern w:val="0"/>
          <w:szCs w:val="22"/>
        </w:rPr>
        <w:t>SBS</w:t>
      </w:r>
      <w:r w:rsidR="001F50FD">
        <w:rPr>
          <w:rFonts w:eastAsia="Calibri"/>
          <w:snapToGrid/>
          <w:color w:val="000000"/>
          <w:kern w:val="0"/>
          <w:szCs w:val="22"/>
        </w:rPr>
        <w:t xml:space="preserve"> contends that granting this Petition is in the public interest because it, </w:t>
      </w:r>
      <w:r w:rsidR="001F50FD">
        <w:rPr>
          <w:rFonts w:eastAsia="Calibri"/>
          <w:i/>
          <w:iCs/>
          <w:snapToGrid/>
          <w:color w:val="000000"/>
          <w:kern w:val="0"/>
          <w:szCs w:val="22"/>
        </w:rPr>
        <w:t>inter alia</w:t>
      </w:r>
      <w:r w:rsidR="001F50FD">
        <w:rPr>
          <w:rFonts w:eastAsia="Calibri"/>
          <w:snapToGrid/>
          <w:color w:val="000000"/>
          <w:kern w:val="0"/>
          <w:szCs w:val="22"/>
        </w:rPr>
        <w:t xml:space="preserve">, </w:t>
      </w:r>
      <w:r w:rsidR="00692EB9">
        <w:rPr>
          <w:rFonts w:eastAsia="Calibri"/>
          <w:snapToGrid/>
          <w:color w:val="000000"/>
          <w:kern w:val="0"/>
          <w:szCs w:val="22"/>
        </w:rPr>
        <w:t xml:space="preserve">raises no national security, trade policy, or law enforcement concerns and will </w:t>
      </w:r>
      <w:r w:rsidR="001F50FD">
        <w:rPr>
          <w:rFonts w:eastAsia="Calibri"/>
          <w:snapToGrid/>
          <w:color w:val="000000"/>
          <w:kern w:val="0"/>
          <w:szCs w:val="22"/>
        </w:rPr>
        <w:t xml:space="preserve">further the Commission’s goal of encouraging foreign investment </w:t>
      </w:r>
      <w:r w:rsidR="00692EB9">
        <w:rPr>
          <w:rFonts w:eastAsia="Calibri"/>
          <w:snapToGrid/>
          <w:color w:val="000000"/>
          <w:kern w:val="0"/>
          <w:szCs w:val="22"/>
        </w:rPr>
        <w:t>in the broadcast industry.</w:t>
      </w:r>
      <w:r>
        <w:rPr>
          <w:rStyle w:val="FootnoteReference"/>
          <w:rFonts w:eastAsia="Calibri"/>
          <w:snapToGrid/>
          <w:kern w:val="0"/>
          <w:szCs w:val="22"/>
        </w:rPr>
        <w:footnoteReference w:id="13"/>
      </w:r>
    </w:p>
    <w:p w:rsidR="00624B0B" w:rsidRPr="00F35EF6" w:rsidP="00EC55D4" w14:paraId="027B1870" w14:textId="27FBCB34">
      <w:pPr>
        <w:widowControl/>
        <w:spacing w:after="120"/>
        <w:ind w:firstLine="720"/>
        <w:rPr>
          <w:snapToGrid/>
          <w:kern w:val="0"/>
          <w:szCs w:val="22"/>
        </w:rPr>
      </w:pPr>
      <w:r w:rsidRPr="006302AF">
        <w:rPr>
          <w:snapToGrid/>
          <w:kern w:val="0"/>
          <w:szCs w:val="22"/>
        </w:rPr>
        <w:t xml:space="preserve">The </w:t>
      </w:r>
      <w:r w:rsidRPr="006302AF">
        <w:rPr>
          <w:rFonts w:eastAsia="Calibri"/>
          <w:snapToGrid/>
          <w:kern w:val="0"/>
          <w:szCs w:val="22"/>
        </w:rPr>
        <w:t>Petition</w:t>
      </w:r>
      <w:r w:rsidRPr="006302AF">
        <w:rPr>
          <w:snapToGrid/>
          <w:kern w:val="0"/>
          <w:szCs w:val="22"/>
        </w:rPr>
        <w:t xml:space="preserve"> has </w:t>
      </w:r>
      <w:r w:rsidRPr="006302AF">
        <w:rPr>
          <w:rFonts w:eastAsia="Calibri"/>
          <w:snapToGrid/>
          <w:color w:val="000000"/>
          <w:kern w:val="0"/>
          <w:szCs w:val="22"/>
        </w:rPr>
        <w:t>been</w:t>
      </w:r>
      <w:r w:rsidRPr="006302AF">
        <w:rPr>
          <w:snapToGrid/>
          <w:kern w:val="0"/>
          <w:szCs w:val="22"/>
        </w:rPr>
        <w:t xml:space="preserve"> </w:t>
      </w:r>
      <w:r w:rsidRPr="003A53CA">
        <w:rPr>
          <w:rFonts w:eastAsia="Calibri"/>
          <w:snapToGrid/>
          <w:color w:val="000000"/>
          <w:kern w:val="0"/>
          <w:szCs w:val="22"/>
        </w:rPr>
        <w:t>found</w:t>
      </w:r>
      <w:r w:rsidRPr="006302AF">
        <w:rPr>
          <w:snapToGrid/>
          <w:kern w:val="0"/>
          <w:szCs w:val="22"/>
        </w:rPr>
        <w:t xml:space="preserve">, on initial review, to be acceptable for filing.  The Commission may require </w:t>
      </w:r>
      <w:r w:rsidR="00651B01">
        <w:rPr>
          <w:snapToGrid/>
          <w:kern w:val="0"/>
          <w:szCs w:val="22"/>
        </w:rPr>
        <w:t>SBS</w:t>
      </w:r>
      <w:r w:rsidRPr="006302AF">
        <w:rPr>
          <w:snapToGrid/>
          <w:kern w:val="0"/>
          <w:szCs w:val="22"/>
        </w:rPr>
        <w:t xml:space="preserve"> to submit </w:t>
      </w:r>
      <w:r w:rsidRPr="00262043">
        <w:rPr>
          <w:rFonts w:eastAsia="Calibri"/>
          <w:snapToGrid/>
          <w:color w:val="000000"/>
          <w:kern w:val="0"/>
          <w:szCs w:val="22"/>
        </w:rPr>
        <w:t>additional</w:t>
      </w:r>
      <w:r w:rsidRPr="00262043">
        <w:rPr>
          <w:snapToGrid/>
          <w:kern w:val="0"/>
          <w:szCs w:val="22"/>
        </w:rPr>
        <w:t xml:space="preserve"> documents or statements of fact that in </w:t>
      </w:r>
      <w:r w:rsidR="00AC2826">
        <w:rPr>
          <w:snapToGrid/>
          <w:kern w:val="0"/>
          <w:szCs w:val="22"/>
        </w:rPr>
        <w:t>the Commission’s</w:t>
      </w:r>
      <w:r w:rsidRPr="00262043">
        <w:rPr>
          <w:snapToGrid/>
          <w:kern w:val="0"/>
          <w:szCs w:val="22"/>
        </w:rPr>
        <w:t xml:space="preserve"> judgment may be necessary.  The Commission also reserves the right to return the Petition if,</w:t>
      </w:r>
      <w:r w:rsidRPr="003D4242">
        <w:rPr>
          <w:snapToGrid/>
          <w:kern w:val="0"/>
          <w:szCs w:val="22"/>
        </w:rPr>
        <w:t xml:space="preserve"> on further examination, it is determined to be defective and not in conformance with its rules and policies.</w:t>
      </w:r>
      <w:r w:rsidRPr="007353AC">
        <w:rPr>
          <w:rFonts w:eastAsia="Calibri"/>
          <w:snapToGrid/>
          <w:color w:val="000000"/>
          <w:kern w:val="0"/>
          <w:szCs w:val="22"/>
        </w:rPr>
        <w:t xml:space="preserve">  </w:t>
      </w:r>
      <w:r w:rsidR="00EC55D4">
        <w:rPr>
          <w:rFonts w:eastAsia="Calibri"/>
          <w:snapToGrid/>
          <w:color w:val="000000"/>
          <w:kern w:val="0"/>
          <w:szCs w:val="22"/>
        </w:rPr>
        <w:t>In addition, pursuant to Commission practice, the Petition will be</w:t>
      </w:r>
      <w:r w:rsidRPr="00EC55D4" w:rsidR="00EC55D4">
        <w:rPr>
          <w:rFonts w:eastAsia="Calibri"/>
          <w:snapToGrid/>
          <w:color w:val="000000"/>
          <w:kern w:val="0"/>
          <w:szCs w:val="22"/>
        </w:rPr>
        <w:t xml:space="preserve"> referred to relevant Executive Branch agencies for their views on any national security, law enforcement, foreign</w:t>
      </w:r>
      <w:r w:rsidR="00EC55D4">
        <w:rPr>
          <w:rFonts w:eastAsia="Calibri"/>
          <w:snapToGrid/>
          <w:color w:val="000000"/>
          <w:kern w:val="0"/>
          <w:szCs w:val="22"/>
        </w:rPr>
        <w:t xml:space="preserve"> </w:t>
      </w:r>
      <w:r w:rsidRPr="00EC55D4" w:rsidR="00EC55D4">
        <w:rPr>
          <w:rFonts w:eastAsia="Calibri"/>
          <w:snapToGrid/>
          <w:color w:val="000000"/>
          <w:kern w:val="0"/>
          <w:szCs w:val="22"/>
        </w:rPr>
        <w:t xml:space="preserve">policy, or trade policy concerns related to the foreign ownership of </w:t>
      </w:r>
      <w:r w:rsidR="00651B01">
        <w:rPr>
          <w:rFonts w:eastAsia="Calibri"/>
          <w:snapToGrid/>
          <w:color w:val="000000"/>
          <w:kern w:val="0"/>
          <w:szCs w:val="22"/>
        </w:rPr>
        <w:t>SBS</w:t>
      </w:r>
      <w:r w:rsidR="00EC55D4">
        <w:rPr>
          <w:rFonts w:eastAsia="Calibri"/>
          <w:snapToGrid/>
          <w:color w:val="000000"/>
          <w:kern w:val="0"/>
          <w:szCs w:val="22"/>
        </w:rPr>
        <w:t>.</w:t>
      </w:r>
      <w:r>
        <w:rPr>
          <w:rStyle w:val="FootnoteReference"/>
          <w:rFonts w:eastAsia="Calibri"/>
          <w:snapToGrid/>
          <w:kern w:val="0"/>
          <w:szCs w:val="22"/>
        </w:rPr>
        <w:footnoteReference w:id="14"/>
      </w:r>
    </w:p>
    <w:p w:rsidR="00624B0B" w:rsidRPr="006302AF" w:rsidP="006302AF" w14:paraId="47654360" w14:textId="77777777">
      <w:pPr>
        <w:keepNext/>
        <w:keepLines/>
        <w:widowControl/>
        <w:autoSpaceDE w:val="0"/>
        <w:autoSpaceDN w:val="0"/>
        <w:adjustRightInd w:val="0"/>
        <w:spacing w:after="120" w:line="259" w:lineRule="auto"/>
        <w:rPr>
          <w:rFonts w:eastAsia="Calibri"/>
          <w:b/>
          <w:bCs/>
          <w:snapToGrid/>
          <w:color w:val="000000"/>
          <w:kern w:val="0"/>
          <w:szCs w:val="22"/>
        </w:rPr>
      </w:pPr>
      <w:bookmarkStart w:id="3" w:name="_Hlk65686154"/>
      <w:r w:rsidRPr="006302AF">
        <w:rPr>
          <w:rFonts w:eastAsia="Calibri"/>
          <w:b/>
          <w:bCs/>
          <w:i/>
          <w:iCs/>
          <w:snapToGrid/>
          <w:color w:val="000000"/>
          <w:kern w:val="0"/>
          <w:szCs w:val="22"/>
        </w:rPr>
        <w:t>EX PARTE</w:t>
      </w:r>
      <w:r w:rsidRPr="006302AF">
        <w:rPr>
          <w:rFonts w:eastAsia="Calibri"/>
          <w:b/>
          <w:bCs/>
          <w:snapToGrid/>
          <w:color w:val="000000"/>
          <w:kern w:val="0"/>
          <w:szCs w:val="22"/>
        </w:rPr>
        <w:t xml:space="preserve"> STATUS OF THIS PROCEEDING</w:t>
      </w:r>
    </w:p>
    <w:p w:rsidR="00624B0B" w:rsidRPr="006302AF" w:rsidP="006302AF" w14:paraId="12D686AF" w14:textId="644C1DF8">
      <w:pPr>
        <w:keepNext/>
        <w:keepLines/>
        <w:widowControl/>
        <w:spacing w:after="120"/>
        <w:ind w:firstLine="720"/>
        <w:rPr>
          <w:rFonts w:eastAsia="Calibri"/>
          <w:snapToGrid/>
          <w:kern w:val="0"/>
          <w:szCs w:val="22"/>
          <w:highlight w:val="yellow"/>
        </w:rPr>
      </w:pPr>
      <w:r w:rsidRPr="006302AF">
        <w:rPr>
          <w:rFonts w:eastAsia="Calibri"/>
          <w:snapToGrid/>
          <w:kern w:val="0"/>
          <w:szCs w:val="22"/>
        </w:rPr>
        <w:t xml:space="preserve">In order to assure the staff’s ability to discuss and obtain information needed to resolve the issues presented, by this Public Notice and pursuant to Section 1.1200(a) of the </w:t>
      </w:r>
      <w:r w:rsidRPr="006302AF" w:rsidR="00FB2943">
        <w:rPr>
          <w:rFonts w:eastAsia="Calibri"/>
          <w:snapToGrid/>
          <w:kern w:val="0"/>
          <w:szCs w:val="22"/>
        </w:rPr>
        <w:t>R</w:t>
      </w:r>
      <w:r w:rsidRPr="006302AF">
        <w:rPr>
          <w:rFonts w:eastAsia="Calibri"/>
          <w:snapToGrid/>
          <w:kern w:val="0"/>
          <w:szCs w:val="22"/>
        </w:rPr>
        <w:t>ules,</w:t>
      </w:r>
      <w:r>
        <w:rPr>
          <w:rFonts w:eastAsia="Calibri"/>
          <w:snapToGrid/>
          <w:kern w:val="0"/>
          <w:szCs w:val="22"/>
          <w:vertAlign w:val="superscript"/>
        </w:rPr>
        <w:footnoteReference w:id="15"/>
      </w:r>
      <w:r w:rsidRPr="000F5926">
        <w:rPr>
          <w:rFonts w:eastAsia="Calibri"/>
          <w:snapToGrid/>
          <w:kern w:val="0"/>
          <w:szCs w:val="22"/>
        </w:rPr>
        <w:t xml:space="preserve"> we establish a docket for this proceeding and announce that the </w:t>
      </w:r>
      <w:r w:rsidRPr="006302AF">
        <w:rPr>
          <w:rFonts w:eastAsia="Calibri"/>
          <w:i/>
          <w:snapToGrid/>
          <w:kern w:val="0"/>
          <w:szCs w:val="22"/>
        </w:rPr>
        <w:t>ex parte</w:t>
      </w:r>
      <w:r w:rsidRPr="006302AF">
        <w:rPr>
          <w:rFonts w:eastAsia="Calibri"/>
          <w:snapToGrid/>
          <w:kern w:val="0"/>
          <w:szCs w:val="22"/>
        </w:rPr>
        <w:t xml:space="preserve"> procedures applicable to permit-but-disclose proceedings will govern our consideration of </w:t>
      </w:r>
      <w:r w:rsidRPr="006302AF" w:rsidR="004A17E6">
        <w:rPr>
          <w:rFonts w:eastAsia="Calibri"/>
          <w:snapToGrid/>
          <w:kern w:val="0"/>
          <w:szCs w:val="22"/>
        </w:rPr>
        <w:t xml:space="preserve">this </w:t>
      </w:r>
      <w:r w:rsidRPr="006302AF" w:rsidR="00604DD0">
        <w:rPr>
          <w:rFonts w:eastAsia="Calibri"/>
          <w:snapToGrid/>
          <w:kern w:val="0"/>
          <w:szCs w:val="22"/>
        </w:rPr>
        <w:t>P</w:t>
      </w:r>
      <w:r w:rsidRPr="006302AF" w:rsidR="004A17E6">
        <w:rPr>
          <w:rFonts w:eastAsia="Calibri"/>
          <w:snapToGrid/>
          <w:kern w:val="0"/>
          <w:szCs w:val="22"/>
        </w:rPr>
        <w:t>etition</w:t>
      </w:r>
      <w:r w:rsidRPr="006302AF">
        <w:rPr>
          <w:rFonts w:eastAsia="Calibri"/>
          <w:snapToGrid/>
          <w:kern w:val="0"/>
          <w:szCs w:val="22"/>
        </w:rPr>
        <w:t>.</w:t>
      </w:r>
      <w:r>
        <w:rPr>
          <w:rFonts w:eastAsia="Calibri"/>
          <w:snapToGrid/>
          <w:kern w:val="0"/>
          <w:szCs w:val="22"/>
          <w:vertAlign w:val="superscript"/>
        </w:rPr>
        <w:footnoteReference w:id="16"/>
      </w:r>
      <w:r w:rsidRPr="000F5926">
        <w:rPr>
          <w:rFonts w:eastAsia="Calibri"/>
          <w:snapToGrid/>
          <w:kern w:val="0"/>
          <w:szCs w:val="22"/>
          <w:highlight w:val="yellow"/>
        </w:rPr>
        <w:t xml:space="preserve">  </w:t>
      </w:r>
    </w:p>
    <w:p w:rsidR="00624B0B" w:rsidRPr="000F5926" w:rsidP="00137E0A" w14:paraId="4AF992A8" w14:textId="6024399A">
      <w:pPr>
        <w:widowControl/>
        <w:spacing w:after="120"/>
        <w:ind w:firstLine="720"/>
        <w:rPr>
          <w:rFonts w:eastAsia="Calibri"/>
          <w:snapToGrid/>
          <w:kern w:val="0"/>
          <w:szCs w:val="22"/>
        </w:rPr>
      </w:pPr>
      <w:r w:rsidRPr="006302AF">
        <w:rPr>
          <w:rFonts w:eastAsia="Calibri"/>
          <w:snapToGrid/>
          <w:kern w:val="0"/>
          <w:szCs w:val="22"/>
        </w:rPr>
        <w:t xml:space="preserve">Persons making </w:t>
      </w:r>
      <w:r w:rsidRPr="006302AF">
        <w:rPr>
          <w:rFonts w:eastAsia="Calibri"/>
          <w:i/>
          <w:snapToGrid/>
          <w:kern w:val="0"/>
          <w:szCs w:val="22"/>
        </w:rPr>
        <w:t xml:space="preserve">ex parte </w:t>
      </w:r>
      <w:r w:rsidRPr="006302AF">
        <w:rPr>
          <w:rFonts w:eastAsia="Calibri"/>
          <w:snapToGrid/>
          <w:color w:val="000000"/>
          <w:kern w:val="0"/>
          <w:szCs w:val="22"/>
        </w:rPr>
        <w:t>presentations</w:t>
      </w:r>
      <w:r w:rsidRPr="00BD6AA7">
        <w:rPr>
          <w:rFonts w:eastAsia="Calibri"/>
          <w:snapToGrid/>
          <w:kern w:val="0"/>
          <w:szCs w:val="22"/>
        </w:rPr>
        <w:t xml:space="preserve"> must file a copy of any written presentation or a memorandum summarizing any oral presentation within two bu</w:t>
      </w:r>
      <w:r w:rsidRPr="00262043">
        <w:rPr>
          <w:rFonts w:eastAsia="Calibri"/>
          <w:snapToGrid/>
          <w:kern w:val="0"/>
          <w:szCs w:val="22"/>
        </w:rPr>
        <w:t xml:space="preserve">siness days after the presentation (unless a different deadline applicable to the Sunshine period applies).  Persons making oral </w:t>
      </w:r>
      <w:r w:rsidRPr="00262043">
        <w:rPr>
          <w:rFonts w:eastAsia="Calibri"/>
          <w:i/>
          <w:iCs/>
          <w:snapToGrid/>
          <w:kern w:val="0"/>
          <w:szCs w:val="22"/>
        </w:rPr>
        <w:t xml:space="preserve">ex parte </w:t>
      </w:r>
      <w:r w:rsidRPr="003D4242">
        <w:rPr>
          <w:rFonts w:eastAsia="Calibri"/>
          <w:snapToGrid/>
          <w:kern w:val="0"/>
          <w:szCs w:val="22"/>
        </w:rPr>
        <w:t>presentations are reminded that memoranda summarizing the presentation must (1) list all persons attending or otherwis</w:t>
      </w:r>
      <w:r w:rsidRPr="00F35EF6">
        <w:rPr>
          <w:rFonts w:eastAsia="Calibri"/>
          <w:snapToGrid/>
          <w:kern w:val="0"/>
          <w:szCs w:val="22"/>
        </w:rPr>
        <w:t xml:space="preserve">e participating in the meeting at which the </w:t>
      </w:r>
      <w:r w:rsidRPr="003A53CA">
        <w:rPr>
          <w:rFonts w:eastAsia="Calibri"/>
          <w:i/>
          <w:iCs/>
          <w:snapToGrid/>
          <w:kern w:val="0"/>
          <w:szCs w:val="22"/>
        </w:rPr>
        <w:t xml:space="preserve">ex parte </w:t>
      </w:r>
      <w:r w:rsidRPr="000F5926">
        <w:rPr>
          <w:rFonts w:eastAsia="Calibri"/>
          <w:snapToGrid/>
          <w:kern w:val="0"/>
          <w:szCs w:val="22"/>
        </w:rPr>
        <w:t>presentation was made, and (2) summarize all data presented and arguments made during the presentation.</w:t>
      </w:r>
      <w:r>
        <w:rPr>
          <w:rStyle w:val="FootnoteReference"/>
          <w:rFonts w:eastAsia="Calibri"/>
          <w:snapToGrid/>
          <w:kern w:val="0"/>
          <w:szCs w:val="22"/>
        </w:rPr>
        <w:footnoteReference w:id="17"/>
      </w:r>
      <w:r w:rsidRPr="000F5926">
        <w:rPr>
          <w:rFonts w:eastAsia="Calibri"/>
          <w:snapToGrid/>
          <w:kern w:val="0"/>
          <w:szCs w:val="22"/>
        </w:rPr>
        <w:t xml:space="preserve">  If the presentation consisted in whole or in part of data or arguments already reflected in the presenter’s written comments, memoranda, or other filings in the proceeding, then the presenter may provide citations to such data or arguments in his or her </w:t>
      </w:r>
      <w:r w:rsidRPr="00262043">
        <w:rPr>
          <w:rFonts w:eastAsia="Calibri"/>
          <w:snapToGrid/>
          <w:kern w:val="0"/>
          <w:szCs w:val="22"/>
        </w:rPr>
        <w:t>prior comments, memoranda, or other filings (specifying the relevant page and/or paragraph numbers where such data or arguments can be found) in lieu of summarizing them in the memorandum.</w:t>
      </w:r>
      <w:r>
        <w:rPr>
          <w:rStyle w:val="FootnoteReference"/>
          <w:rFonts w:eastAsia="Calibri"/>
          <w:snapToGrid/>
          <w:kern w:val="0"/>
          <w:szCs w:val="22"/>
        </w:rPr>
        <w:footnoteReference w:id="18"/>
      </w:r>
      <w:r w:rsidRPr="000F5926">
        <w:rPr>
          <w:rFonts w:eastAsia="Calibri"/>
          <w:snapToGrid/>
          <w:kern w:val="0"/>
          <w:szCs w:val="22"/>
        </w:rPr>
        <w:t xml:space="preserve">  Documents shown or given to Commission staff during </w:t>
      </w:r>
      <w:r w:rsidRPr="00262043">
        <w:rPr>
          <w:rFonts w:eastAsia="Calibri"/>
          <w:i/>
          <w:iCs/>
          <w:snapToGrid/>
          <w:kern w:val="0"/>
          <w:szCs w:val="22"/>
        </w:rPr>
        <w:t xml:space="preserve">ex parte </w:t>
      </w:r>
      <w:r w:rsidRPr="00262043">
        <w:rPr>
          <w:rFonts w:eastAsia="Calibri"/>
          <w:snapToGrid/>
          <w:kern w:val="0"/>
          <w:szCs w:val="22"/>
        </w:rPr>
        <w:t>mee</w:t>
      </w:r>
      <w:r w:rsidRPr="003D4242">
        <w:rPr>
          <w:rFonts w:eastAsia="Calibri"/>
          <w:snapToGrid/>
          <w:kern w:val="0"/>
          <w:szCs w:val="22"/>
        </w:rPr>
        <w:t xml:space="preserve">tings are deemed to be written </w:t>
      </w:r>
      <w:r w:rsidRPr="00F35EF6">
        <w:rPr>
          <w:rFonts w:eastAsia="Calibri"/>
          <w:i/>
          <w:iCs/>
          <w:snapToGrid/>
          <w:kern w:val="0"/>
          <w:szCs w:val="22"/>
        </w:rPr>
        <w:t>ex parte</w:t>
      </w:r>
      <w:r w:rsidRPr="000F5926">
        <w:rPr>
          <w:rFonts w:eastAsia="Calibri"/>
          <w:snapToGrid/>
          <w:kern w:val="0"/>
          <w:szCs w:val="22"/>
        </w:rPr>
        <w:t xml:space="preserve"> presentations and must be filed consistent with section 1.1206(b) of the </w:t>
      </w:r>
      <w:r w:rsidRPr="000F5926" w:rsidR="00C8486A">
        <w:rPr>
          <w:rFonts w:eastAsia="Calibri"/>
          <w:snapToGrid/>
          <w:kern w:val="0"/>
          <w:szCs w:val="22"/>
        </w:rPr>
        <w:t>R</w:t>
      </w:r>
      <w:r w:rsidRPr="000F5926">
        <w:rPr>
          <w:rFonts w:eastAsia="Calibri"/>
          <w:snapToGrid/>
          <w:kern w:val="0"/>
          <w:szCs w:val="22"/>
        </w:rPr>
        <w:t>ules.</w:t>
      </w:r>
      <w:r>
        <w:rPr>
          <w:rFonts w:eastAsia="Calibri"/>
          <w:snapToGrid/>
          <w:kern w:val="0"/>
          <w:szCs w:val="22"/>
          <w:vertAlign w:val="superscript"/>
        </w:rPr>
        <w:footnoteReference w:id="19"/>
      </w:r>
      <w:r w:rsidRPr="000F5926">
        <w:rPr>
          <w:rFonts w:eastAsia="Calibri"/>
          <w:snapToGrid/>
          <w:kern w:val="0"/>
          <w:szCs w:val="22"/>
        </w:rPr>
        <w:t xml:space="preserve">  Participants in this </w:t>
      </w:r>
      <w:r w:rsidRPr="000F5926">
        <w:rPr>
          <w:rFonts w:eastAsia="Calibri"/>
          <w:snapToGrid/>
          <w:kern w:val="0"/>
          <w:szCs w:val="22"/>
        </w:rPr>
        <w:t xml:space="preserve">proceeding should familiarize themselves with the Commission’s </w:t>
      </w:r>
      <w:r w:rsidRPr="006302AF">
        <w:rPr>
          <w:rFonts w:eastAsia="Calibri"/>
          <w:i/>
          <w:iCs/>
          <w:snapToGrid/>
          <w:kern w:val="0"/>
          <w:szCs w:val="22"/>
        </w:rPr>
        <w:t xml:space="preserve">ex parte </w:t>
      </w:r>
      <w:r w:rsidRPr="006302AF">
        <w:rPr>
          <w:rFonts w:eastAsia="Calibri"/>
          <w:snapToGrid/>
          <w:kern w:val="0"/>
          <w:szCs w:val="22"/>
        </w:rPr>
        <w:t>rules.</w:t>
      </w:r>
      <w:r>
        <w:rPr>
          <w:rFonts w:eastAsia="Calibri"/>
          <w:snapToGrid/>
          <w:kern w:val="0"/>
          <w:szCs w:val="22"/>
          <w:vertAlign w:val="superscript"/>
        </w:rPr>
        <w:footnoteReference w:id="20"/>
      </w:r>
      <w:r w:rsidRPr="000F5926">
        <w:rPr>
          <w:rFonts w:eastAsia="Calibri"/>
          <w:snapToGrid/>
          <w:kern w:val="0"/>
          <w:szCs w:val="22"/>
        </w:rPr>
        <w:t xml:space="preserve">  We strongly urge parties to use the Electronic Comment Filing System (ECFS) to file </w:t>
      </w:r>
      <w:r w:rsidRPr="00262043">
        <w:rPr>
          <w:rFonts w:eastAsia="Calibri"/>
          <w:i/>
          <w:iCs/>
          <w:snapToGrid/>
          <w:kern w:val="0"/>
          <w:szCs w:val="22"/>
        </w:rPr>
        <w:t>ex parte</w:t>
      </w:r>
      <w:r w:rsidRPr="00262043">
        <w:rPr>
          <w:rFonts w:eastAsia="Calibri"/>
          <w:snapToGrid/>
          <w:kern w:val="0"/>
          <w:szCs w:val="22"/>
        </w:rPr>
        <w:t xml:space="preserve"> submissions.  All </w:t>
      </w:r>
      <w:r w:rsidRPr="003D4242">
        <w:rPr>
          <w:rFonts w:eastAsia="Calibri"/>
          <w:i/>
          <w:snapToGrid/>
          <w:kern w:val="0"/>
          <w:szCs w:val="22"/>
        </w:rPr>
        <w:t>ex parte</w:t>
      </w:r>
      <w:r w:rsidRPr="00F35EF6">
        <w:rPr>
          <w:rFonts w:eastAsia="Calibri"/>
          <w:snapToGrid/>
          <w:kern w:val="0"/>
          <w:szCs w:val="22"/>
        </w:rPr>
        <w:t xml:space="preserve"> filings must be clearly labeled</w:t>
      </w:r>
      <w:r w:rsidRPr="000F5926">
        <w:rPr>
          <w:rFonts w:eastAsia="Calibri"/>
          <w:snapToGrid/>
          <w:kern w:val="0"/>
          <w:szCs w:val="22"/>
        </w:rPr>
        <w:t xml:space="preserve"> as such and must reference MB Docket No. 2</w:t>
      </w:r>
      <w:r w:rsidR="007564B4">
        <w:rPr>
          <w:rFonts w:eastAsia="Calibri"/>
          <w:snapToGrid/>
          <w:kern w:val="0"/>
          <w:szCs w:val="22"/>
        </w:rPr>
        <w:t>2</w:t>
      </w:r>
      <w:r w:rsidRPr="000F5926">
        <w:rPr>
          <w:rFonts w:eastAsia="Calibri"/>
          <w:snapToGrid/>
          <w:kern w:val="0"/>
          <w:szCs w:val="22"/>
        </w:rPr>
        <w:t>-</w:t>
      </w:r>
      <w:r w:rsidR="000327F6">
        <w:rPr>
          <w:rFonts w:eastAsia="Calibri"/>
          <w:snapToGrid/>
          <w:kern w:val="0"/>
          <w:szCs w:val="22"/>
        </w:rPr>
        <w:t>61</w:t>
      </w:r>
      <w:r w:rsidRPr="000F5926">
        <w:rPr>
          <w:rFonts w:eastAsia="Calibri"/>
          <w:snapToGrid/>
          <w:kern w:val="0"/>
          <w:szCs w:val="22"/>
        </w:rPr>
        <w:t>.</w:t>
      </w:r>
    </w:p>
    <w:bookmarkEnd w:id="3"/>
    <w:p w:rsidR="00624B0B" w:rsidRPr="000F5926" w:rsidP="00C711D9" w14:paraId="637C21E1" w14:textId="77777777">
      <w:pPr>
        <w:keepNext/>
        <w:keepLines/>
        <w:widowControl/>
        <w:autoSpaceDE w:val="0"/>
        <w:autoSpaceDN w:val="0"/>
        <w:adjustRightInd w:val="0"/>
        <w:spacing w:after="120" w:line="259" w:lineRule="auto"/>
        <w:rPr>
          <w:rFonts w:eastAsia="Calibri"/>
          <w:b/>
          <w:bCs/>
          <w:snapToGrid/>
          <w:color w:val="000000"/>
          <w:kern w:val="0"/>
          <w:szCs w:val="22"/>
        </w:rPr>
      </w:pPr>
      <w:r w:rsidRPr="000F5926">
        <w:rPr>
          <w:rFonts w:eastAsia="Calibri"/>
          <w:b/>
          <w:bCs/>
          <w:snapToGrid/>
          <w:color w:val="000000"/>
          <w:kern w:val="0"/>
          <w:szCs w:val="22"/>
        </w:rPr>
        <w:t>GENERAL INFORMATION</w:t>
      </w:r>
    </w:p>
    <w:p w:rsidR="00624B0B" w:rsidRPr="000F5926" w:rsidP="00137E0A" w14:paraId="2C2C8F54" w14:textId="16F39926">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The </w:t>
      </w:r>
      <w:r w:rsidRPr="000F5926" w:rsidR="001F55D6">
        <w:rPr>
          <w:rFonts w:eastAsia="Calibri"/>
          <w:snapToGrid/>
          <w:color w:val="000000"/>
          <w:kern w:val="0"/>
          <w:szCs w:val="22"/>
        </w:rPr>
        <w:t>Petition</w:t>
      </w:r>
      <w:r w:rsidRPr="000F5926">
        <w:rPr>
          <w:rFonts w:eastAsia="Calibri"/>
          <w:snapToGrid/>
          <w:color w:val="000000"/>
          <w:kern w:val="0"/>
          <w:szCs w:val="22"/>
        </w:rPr>
        <w:t xml:space="preserve"> referred to in this Public Notice has been accepted for filing upon initial review.  </w:t>
      </w:r>
      <w:r w:rsidRPr="000F5926">
        <w:rPr>
          <w:rFonts w:eastAsia="Calibri"/>
          <w:snapToGrid/>
          <w:color w:val="000000"/>
          <w:kern w:val="0"/>
          <w:szCs w:val="22"/>
        </w:rPr>
        <w:t xml:space="preserve">The Commission reserves the right to return any </w:t>
      </w:r>
      <w:r w:rsidRPr="000F5926" w:rsidR="004B4423">
        <w:rPr>
          <w:rFonts w:eastAsia="Calibri"/>
          <w:snapToGrid/>
          <w:color w:val="000000"/>
          <w:kern w:val="0"/>
          <w:szCs w:val="22"/>
        </w:rPr>
        <w:t>filing</w:t>
      </w:r>
      <w:r w:rsidRPr="000F5926">
        <w:rPr>
          <w:rFonts w:eastAsia="Calibri"/>
          <w:snapToGrid/>
          <w:color w:val="000000"/>
          <w:kern w:val="0"/>
          <w:szCs w:val="22"/>
        </w:rPr>
        <w:t xml:space="preserve"> if, upon further examination, it is determined to be defective and not in conformance with the Commission’s rules or policies.  Interested persons must file </w:t>
      </w:r>
      <w:r w:rsidRPr="000F5926" w:rsidR="006D0D2C">
        <w:rPr>
          <w:rFonts w:eastAsia="Calibri"/>
          <w:snapToGrid/>
          <w:color w:val="000000"/>
          <w:kern w:val="0"/>
          <w:szCs w:val="22"/>
        </w:rPr>
        <w:t>comments</w:t>
      </w:r>
      <w:r w:rsidRPr="000F5926">
        <w:rPr>
          <w:rFonts w:eastAsia="Calibri"/>
          <w:snapToGrid/>
          <w:color w:val="000000"/>
          <w:kern w:val="0"/>
          <w:szCs w:val="22"/>
        </w:rPr>
        <w:t xml:space="preserve"> no later than </w:t>
      </w:r>
      <w:r w:rsidR="00AF1B17">
        <w:rPr>
          <w:rFonts w:eastAsia="Calibri"/>
          <w:b/>
          <w:bCs/>
          <w:snapToGrid/>
          <w:color w:val="000000"/>
          <w:kern w:val="0"/>
          <w:szCs w:val="22"/>
        </w:rPr>
        <w:t>March</w:t>
      </w:r>
      <w:r w:rsidRPr="00E94A5E" w:rsidR="00BE21E4">
        <w:rPr>
          <w:rFonts w:eastAsia="Calibri"/>
          <w:b/>
          <w:bCs/>
          <w:snapToGrid/>
          <w:color w:val="000000"/>
          <w:kern w:val="0"/>
          <w:szCs w:val="22"/>
        </w:rPr>
        <w:t xml:space="preserve"> </w:t>
      </w:r>
      <w:r w:rsidR="000327F6">
        <w:rPr>
          <w:rFonts w:eastAsia="Calibri"/>
          <w:b/>
          <w:bCs/>
          <w:snapToGrid/>
          <w:color w:val="000000"/>
          <w:kern w:val="0"/>
          <w:szCs w:val="22"/>
        </w:rPr>
        <w:t>1</w:t>
      </w:r>
      <w:r w:rsidR="0036067D">
        <w:rPr>
          <w:rFonts w:eastAsia="Calibri"/>
          <w:b/>
          <w:bCs/>
          <w:snapToGrid/>
          <w:color w:val="000000"/>
          <w:kern w:val="0"/>
          <w:szCs w:val="22"/>
        </w:rPr>
        <w:t>4</w:t>
      </w:r>
      <w:r w:rsidRPr="00E94A5E" w:rsidR="00E94A5E">
        <w:rPr>
          <w:rFonts w:eastAsia="Calibri"/>
          <w:b/>
          <w:bCs/>
          <w:snapToGrid/>
          <w:color w:val="000000"/>
          <w:kern w:val="0"/>
          <w:szCs w:val="22"/>
        </w:rPr>
        <w:t xml:space="preserve">, </w:t>
      </w:r>
      <w:r w:rsidRPr="00E94A5E" w:rsidR="00BE21E4">
        <w:rPr>
          <w:rFonts w:eastAsia="Calibri"/>
          <w:b/>
          <w:bCs/>
          <w:snapToGrid/>
          <w:color w:val="000000"/>
          <w:kern w:val="0"/>
          <w:szCs w:val="22"/>
        </w:rPr>
        <w:t>202</w:t>
      </w:r>
      <w:r w:rsidR="00BE21E4">
        <w:rPr>
          <w:rFonts w:eastAsia="Calibri"/>
          <w:b/>
          <w:bCs/>
          <w:snapToGrid/>
          <w:color w:val="000000"/>
          <w:kern w:val="0"/>
          <w:szCs w:val="22"/>
        </w:rPr>
        <w:t>2</w:t>
      </w:r>
      <w:r w:rsidRPr="000F5926" w:rsidR="00477555">
        <w:rPr>
          <w:rFonts w:eastAsia="Calibri"/>
          <w:snapToGrid/>
          <w:color w:val="000000"/>
          <w:kern w:val="0"/>
          <w:szCs w:val="22"/>
        </w:rPr>
        <w:t xml:space="preserve">.  </w:t>
      </w:r>
      <w:r w:rsidRPr="000F5926">
        <w:rPr>
          <w:rFonts w:eastAsia="Calibri"/>
          <w:snapToGrid/>
          <w:color w:val="000000"/>
          <w:kern w:val="0"/>
          <w:szCs w:val="22"/>
        </w:rPr>
        <w:t xml:space="preserve">Replies must be filed no later than </w:t>
      </w:r>
      <w:r w:rsidR="00AF1B17">
        <w:rPr>
          <w:rFonts w:eastAsia="Calibri"/>
          <w:b/>
          <w:bCs/>
          <w:snapToGrid/>
          <w:color w:val="000000"/>
          <w:kern w:val="0"/>
          <w:szCs w:val="22"/>
        </w:rPr>
        <w:t>March</w:t>
      </w:r>
      <w:r w:rsidRPr="00447C89" w:rsidR="00BE21E4">
        <w:rPr>
          <w:rFonts w:eastAsia="Calibri"/>
          <w:b/>
          <w:bCs/>
          <w:snapToGrid/>
          <w:color w:val="000000"/>
          <w:kern w:val="0"/>
          <w:szCs w:val="22"/>
        </w:rPr>
        <w:t xml:space="preserve"> </w:t>
      </w:r>
      <w:r w:rsidR="000327F6">
        <w:rPr>
          <w:rFonts w:eastAsia="Calibri"/>
          <w:b/>
          <w:bCs/>
          <w:snapToGrid/>
          <w:color w:val="000000"/>
          <w:kern w:val="0"/>
          <w:szCs w:val="22"/>
        </w:rPr>
        <w:t>2</w:t>
      </w:r>
      <w:r w:rsidR="0036067D">
        <w:rPr>
          <w:rFonts w:eastAsia="Calibri"/>
          <w:b/>
          <w:bCs/>
          <w:snapToGrid/>
          <w:color w:val="000000"/>
          <w:kern w:val="0"/>
          <w:szCs w:val="22"/>
        </w:rPr>
        <w:t>9</w:t>
      </w:r>
      <w:r w:rsidRPr="00447C89" w:rsidR="00447C89">
        <w:rPr>
          <w:rFonts w:eastAsia="Calibri"/>
          <w:b/>
          <w:bCs/>
          <w:snapToGrid/>
          <w:color w:val="000000"/>
          <w:kern w:val="0"/>
          <w:szCs w:val="22"/>
        </w:rPr>
        <w:t xml:space="preserve">, </w:t>
      </w:r>
      <w:r w:rsidRPr="00447C89" w:rsidR="00BE21E4">
        <w:rPr>
          <w:rFonts w:eastAsia="Calibri"/>
          <w:b/>
          <w:bCs/>
          <w:snapToGrid/>
          <w:color w:val="000000"/>
          <w:kern w:val="0"/>
          <w:szCs w:val="22"/>
        </w:rPr>
        <w:t>202</w:t>
      </w:r>
      <w:r w:rsidR="00BE21E4">
        <w:rPr>
          <w:rFonts w:eastAsia="Calibri"/>
          <w:b/>
          <w:bCs/>
          <w:snapToGrid/>
          <w:color w:val="000000"/>
          <w:kern w:val="0"/>
          <w:szCs w:val="22"/>
        </w:rPr>
        <w:t>2</w:t>
      </w:r>
      <w:r w:rsidRPr="000F5926">
        <w:rPr>
          <w:rFonts w:eastAsia="Calibri"/>
          <w:snapToGrid/>
          <w:color w:val="000000"/>
          <w:kern w:val="0"/>
          <w:szCs w:val="22"/>
        </w:rPr>
        <w:t xml:space="preserve">.  </w:t>
      </w:r>
    </w:p>
    <w:p w:rsidR="00624B0B" w:rsidRPr="000F5926" w:rsidP="00137E0A" w14:paraId="44835425" w14:textId="10E4B7BD">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To allow the Commission to consider fully all substantive issues regarding the </w:t>
      </w:r>
      <w:r w:rsidRPr="000F5926" w:rsidR="001F55D6">
        <w:rPr>
          <w:rFonts w:eastAsia="Calibri"/>
          <w:snapToGrid/>
          <w:color w:val="000000"/>
          <w:kern w:val="0"/>
          <w:szCs w:val="22"/>
        </w:rPr>
        <w:t>P</w:t>
      </w:r>
      <w:r w:rsidRPr="000F5926" w:rsidR="00BB71F1">
        <w:rPr>
          <w:rFonts w:eastAsia="Calibri"/>
          <w:snapToGrid/>
          <w:color w:val="000000"/>
          <w:kern w:val="0"/>
          <w:szCs w:val="22"/>
        </w:rPr>
        <w:t>etition</w:t>
      </w:r>
      <w:r w:rsidRPr="000F5926">
        <w:rPr>
          <w:rFonts w:eastAsia="Calibri"/>
          <w:snapToGrid/>
          <w:color w:val="000000"/>
          <w:kern w:val="0"/>
          <w:szCs w:val="22"/>
        </w:rPr>
        <w:t xml:space="preserve"> in as timely and efficient a manner as possible, commenters should raise all issues in their initial filings.  A party or interested person seeking to raise a new issue after the </w:t>
      </w:r>
      <w:r w:rsidRPr="000F5926" w:rsidR="008625A9">
        <w:rPr>
          <w:rFonts w:eastAsia="Calibri"/>
          <w:snapToGrid/>
          <w:color w:val="000000"/>
          <w:kern w:val="0"/>
          <w:szCs w:val="22"/>
        </w:rPr>
        <w:t>comment period</w:t>
      </w:r>
      <w:r w:rsidRPr="000F5926">
        <w:rPr>
          <w:rFonts w:eastAsia="Calibri"/>
          <w:snapToGrid/>
          <w:color w:val="000000"/>
          <w:kern w:val="0"/>
          <w:szCs w:val="22"/>
        </w:rPr>
        <w:t xml:space="preserve"> has closed must show good cause why it was not possible for it to have raised the issue previously.  Submissions after the </w:t>
      </w:r>
      <w:r w:rsidRPr="000F5926" w:rsidR="004A12C6">
        <w:rPr>
          <w:rFonts w:eastAsia="Calibri"/>
          <w:snapToGrid/>
          <w:color w:val="000000"/>
          <w:kern w:val="0"/>
          <w:szCs w:val="22"/>
        </w:rPr>
        <w:t>comment period</w:t>
      </w:r>
      <w:r w:rsidRPr="000F5926">
        <w:rPr>
          <w:rFonts w:eastAsia="Calibri"/>
          <w:snapToGrid/>
          <w:color w:val="000000"/>
          <w:kern w:val="0"/>
          <w:szCs w:val="22"/>
        </w:rPr>
        <w:t xml:space="preserve"> has closed that seek to raise new issues based on new facts or newly discovered facts should be filed within 15 days after such facts are discovered.  Absent such a showing of good cause, any issues not timely raised may be disregarded by the Commission.</w:t>
      </w:r>
    </w:p>
    <w:p w:rsidR="00624B0B" w:rsidRPr="000F5926" w:rsidP="00137E0A" w14:paraId="7D3FE5FB" w14:textId="40A66254">
      <w:pPr>
        <w:widowControl/>
        <w:spacing w:after="120"/>
        <w:ind w:firstLine="720"/>
        <w:rPr>
          <w:rFonts w:eastAsia="Calibri"/>
          <w:snapToGrid/>
          <w:color w:val="000000"/>
          <w:kern w:val="0"/>
          <w:szCs w:val="22"/>
        </w:rPr>
      </w:pPr>
      <w:bookmarkStart w:id="5" w:name="co_pp_sp_999_3_1"/>
      <w:bookmarkStart w:id="6" w:name="co_pp_sp_4493_7385_1"/>
      <w:bookmarkEnd w:id="5"/>
      <w:bookmarkEnd w:id="6"/>
      <w:r w:rsidRPr="000F5926">
        <w:rPr>
          <w:rFonts w:eastAsia="Calibri"/>
          <w:snapToGrid/>
          <w:color w:val="000000"/>
          <w:kern w:val="0"/>
          <w:szCs w:val="22"/>
        </w:rPr>
        <w:t>All filings concerning matters referenced in this Public Notice should refer to MB Docket No. 2</w:t>
      </w:r>
      <w:r w:rsidR="007564B4">
        <w:rPr>
          <w:rFonts w:eastAsia="Calibri"/>
          <w:snapToGrid/>
          <w:color w:val="000000"/>
          <w:kern w:val="0"/>
          <w:szCs w:val="22"/>
        </w:rPr>
        <w:t>2</w:t>
      </w:r>
      <w:r w:rsidRPr="000F5926">
        <w:rPr>
          <w:rFonts w:eastAsia="Calibri"/>
          <w:snapToGrid/>
          <w:color w:val="000000"/>
          <w:kern w:val="0"/>
          <w:szCs w:val="22"/>
        </w:rPr>
        <w:t>-</w:t>
      </w:r>
      <w:r w:rsidR="000327F6">
        <w:rPr>
          <w:rFonts w:eastAsia="Calibri"/>
          <w:snapToGrid/>
          <w:color w:val="000000"/>
          <w:kern w:val="0"/>
          <w:szCs w:val="22"/>
        </w:rPr>
        <w:t>61</w:t>
      </w:r>
      <w:r w:rsidRPr="000F5926">
        <w:rPr>
          <w:rFonts w:eastAsia="Calibri"/>
          <w:snapToGrid/>
          <w:color w:val="000000"/>
          <w:kern w:val="0"/>
          <w:szCs w:val="22"/>
        </w:rPr>
        <w:t>, as well as the specific file numbers of the individual applications or other matters to which the filings pertain.</w:t>
      </w:r>
    </w:p>
    <w:p w:rsidR="00624B0B" w:rsidRPr="006302AF" w:rsidP="00137E0A" w14:paraId="1766C685" w14:textId="4FF58649">
      <w:pPr>
        <w:widowControl/>
        <w:spacing w:after="120"/>
        <w:ind w:firstLine="720"/>
        <w:rPr>
          <w:rFonts w:eastAsia="Calibri"/>
          <w:snapToGrid/>
          <w:kern w:val="0"/>
          <w:szCs w:val="22"/>
        </w:rPr>
      </w:pPr>
      <w:r w:rsidRPr="000F5926">
        <w:rPr>
          <w:rFonts w:eastAsia="Calibri"/>
          <w:i/>
          <w:iCs/>
          <w:snapToGrid/>
          <w:kern w:val="0"/>
          <w:szCs w:val="22"/>
        </w:rPr>
        <w:t>Filing Requirements</w:t>
      </w:r>
      <w:r w:rsidRPr="000F5926">
        <w:rPr>
          <w:rFonts w:eastAsia="Calibri"/>
          <w:snapToGrid/>
          <w:kern w:val="0"/>
          <w:szCs w:val="22"/>
        </w:rPr>
        <w:t xml:space="preserve">.  </w:t>
      </w:r>
      <w:r w:rsidRPr="000F5926" w:rsidR="008A3EB7">
        <w:rPr>
          <w:rFonts w:eastAsia="Calibri"/>
          <w:snapToGrid/>
          <w:kern w:val="0"/>
          <w:szCs w:val="22"/>
        </w:rPr>
        <w:t>Submissions</w:t>
      </w:r>
      <w:r w:rsidRPr="000F5926">
        <w:rPr>
          <w:rFonts w:eastAsia="Calibri"/>
          <w:snapToGrid/>
          <w:kern w:val="0"/>
          <w:szCs w:val="22"/>
        </w:rPr>
        <w:t xml:space="preserve"> may be filed </w:t>
      </w:r>
      <w:r w:rsidRPr="000F5926" w:rsidR="004F3D71">
        <w:rPr>
          <w:rFonts w:eastAsia="Calibri"/>
          <w:snapToGrid/>
          <w:kern w:val="0"/>
          <w:szCs w:val="22"/>
        </w:rPr>
        <w:t xml:space="preserve">electronically </w:t>
      </w:r>
      <w:r w:rsidRPr="000F5926">
        <w:rPr>
          <w:rFonts w:eastAsia="Calibri"/>
          <w:snapToGrid/>
          <w:kern w:val="0"/>
          <w:szCs w:val="22"/>
        </w:rPr>
        <w:t>using ECFS</w:t>
      </w:r>
      <w:r w:rsidRPr="000F5926" w:rsidR="004F3D71">
        <w:rPr>
          <w:rFonts w:eastAsia="Calibri"/>
          <w:snapToGrid/>
          <w:kern w:val="0"/>
          <w:szCs w:val="22"/>
        </w:rPr>
        <w:t xml:space="preserve"> or by filing paper copies</w:t>
      </w:r>
      <w:r w:rsidRPr="000F5926">
        <w:rPr>
          <w:rFonts w:eastAsia="Calibri"/>
          <w:snapToGrid/>
          <w:kern w:val="0"/>
          <w:szCs w:val="22"/>
        </w:rPr>
        <w:t>.</w:t>
      </w:r>
      <w:r>
        <w:rPr>
          <w:rFonts w:eastAsia="Calibri"/>
          <w:snapToGrid/>
          <w:kern w:val="0"/>
          <w:szCs w:val="22"/>
          <w:vertAlign w:val="superscript"/>
        </w:rPr>
        <w:footnoteReference w:id="21"/>
      </w:r>
      <w:r w:rsidRPr="000F5926">
        <w:rPr>
          <w:rFonts w:eastAsia="Calibri"/>
          <w:snapToGrid/>
          <w:kern w:val="0"/>
          <w:szCs w:val="22"/>
        </w:rPr>
        <w:t xml:space="preserve"> </w:t>
      </w:r>
    </w:p>
    <w:p w:rsidR="00624B0B" w:rsidRPr="006302AF" w:rsidP="00137E0A" w14:paraId="5CDAAB5D" w14:textId="784F5901">
      <w:pPr>
        <w:widowControl/>
        <w:numPr>
          <w:ilvl w:val="0"/>
          <w:numId w:val="8"/>
        </w:numPr>
        <w:spacing w:after="120"/>
        <w:rPr>
          <w:rFonts w:eastAsia="Calibri"/>
          <w:snapToGrid/>
          <w:kern w:val="0"/>
          <w:szCs w:val="22"/>
        </w:rPr>
      </w:pPr>
      <w:r w:rsidRPr="00262043">
        <w:rPr>
          <w:rFonts w:eastAsia="Calibri"/>
          <w:snapToGrid/>
          <w:kern w:val="0"/>
          <w:szCs w:val="22"/>
        </w:rPr>
        <w:t xml:space="preserve">Electronic Filers:  </w:t>
      </w:r>
      <w:r w:rsidRPr="00262043" w:rsidR="006955A5">
        <w:rPr>
          <w:rFonts w:eastAsia="Calibri"/>
          <w:snapToGrid/>
          <w:kern w:val="0"/>
          <w:szCs w:val="22"/>
        </w:rPr>
        <w:t>Document</w:t>
      </w:r>
      <w:r w:rsidRPr="00F35EF6">
        <w:rPr>
          <w:rFonts w:eastAsia="Calibri"/>
          <w:snapToGrid/>
          <w:kern w:val="0"/>
          <w:szCs w:val="22"/>
        </w:rPr>
        <w:t xml:space="preserve">s may be filed electronically using the Internet by accessing ECFS:  </w:t>
      </w:r>
      <w:hyperlink r:id="rId5" w:history="1">
        <w:r w:rsidRPr="006302AF">
          <w:rPr>
            <w:rFonts w:eastAsia="Calibri"/>
            <w:snapToGrid/>
            <w:color w:val="0000FF"/>
            <w:kern w:val="0"/>
            <w:szCs w:val="22"/>
            <w:u w:val="single"/>
          </w:rPr>
          <w:t>http://apps.fcc.gov/ecfs/</w:t>
        </w:r>
      </w:hyperlink>
      <w:r w:rsidRPr="000F5926">
        <w:rPr>
          <w:rFonts w:eastAsia="Calibri"/>
          <w:snapToGrid/>
          <w:kern w:val="0"/>
          <w:szCs w:val="22"/>
        </w:rPr>
        <w:t xml:space="preserve">.  </w:t>
      </w:r>
    </w:p>
    <w:p w:rsidR="00624B0B" w:rsidRPr="00262043" w:rsidP="00137E0A" w14:paraId="4BED00D3"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Paper Filers:  Parties who choose to file by paper must file an original and one copy of each filing. </w:t>
      </w:r>
    </w:p>
    <w:p w:rsidR="00624B0B" w:rsidRPr="000F5926" w:rsidP="00137E0A" w14:paraId="5E458A06" w14:textId="77777777">
      <w:pPr>
        <w:widowControl/>
        <w:numPr>
          <w:ilvl w:val="0"/>
          <w:numId w:val="8"/>
        </w:numPr>
        <w:spacing w:after="120"/>
        <w:rPr>
          <w:rFonts w:eastAsia="Calibri"/>
          <w:snapToGrid/>
          <w:kern w:val="0"/>
          <w:szCs w:val="22"/>
        </w:rPr>
      </w:pPr>
      <w:r w:rsidRPr="00F35EF6">
        <w:rPr>
          <w:rFonts w:eastAsia="Calibri"/>
          <w:snapToGrid/>
          <w:kern w:val="0"/>
          <w:szCs w:val="22"/>
        </w:rPr>
        <w:t>Filings can be sent by commercial overnight courier, or by first-class or overnight U.S. Postal Service mail.  All filings must be addressed to the Commi</w:t>
      </w:r>
      <w:r w:rsidRPr="000F5926">
        <w:rPr>
          <w:rFonts w:eastAsia="Calibri"/>
          <w:snapToGrid/>
          <w:kern w:val="0"/>
          <w:szCs w:val="22"/>
        </w:rPr>
        <w:t>ssion’s Secretary, Office of the Secretary, Federal Communications Commission.</w:t>
      </w:r>
    </w:p>
    <w:p w:rsidR="00624B0B" w:rsidRPr="000F5926" w:rsidP="00137E0A" w14:paraId="2CCCED2F" w14:textId="77777777">
      <w:pPr>
        <w:widowControl/>
        <w:numPr>
          <w:ilvl w:val="1"/>
          <w:numId w:val="8"/>
        </w:numPr>
        <w:spacing w:after="120"/>
        <w:rPr>
          <w:rFonts w:eastAsia="Calibri"/>
          <w:snapToGrid/>
          <w:kern w:val="0"/>
          <w:szCs w:val="22"/>
        </w:rPr>
      </w:pPr>
      <w:r w:rsidRPr="000F5926">
        <w:rPr>
          <w:rFonts w:eastAsia="Calibri"/>
          <w:snapToGrid/>
          <w:kern w:val="0"/>
          <w:szCs w:val="22"/>
        </w:rPr>
        <w:t xml:space="preserve">Commercial overnight mail (other than U.S. Postal Service Express Mail and Priority Mail) must be sent to 9050 Junction Drive, Annapolis Junction, MD 20701.  </w:t>
      </w:r>
    </w:p>
    <w:p w:rsidR="00624B0B" w:rsidRPr="000F5926" w:rsidP="00137E0A" w14:paraId="4CB3F838" w14:textId="77777777">
      <w:pPr>
        <w:widowControl/>
        <w:numPr>
          <w:ilvl w:val="1"/>
          <w:numId w:val="8"/>
        </w:numPr>
        <w:spacing w:after="120"/>
        <w:rPr>
          <w:rFonts w:eastAsia="Calibri"/>
          <w:snapToGrid/>
          <w:kern w:val="0"/>
          <w:szCs w:val="22"/>
        </w:rPr>
      </w:pPr>
      <w:r w:rsidRPr="000F5926">
        <w:rPr>
          <w:rFonts w:eastAsia="Calibri"/>
          <w:snapToGrid/>
          <w:kern w:val="0"/>
          <w:szCs w:val="22"/>
        </w:rPr>
        <w:t>U.S. Postal Service first-class, Express, and Priority mail must be addressed to 45 L Street NE, Washington, DC 20554</w:t>
      </w:r>
    </w:p>
    <w:p w:rsidR="00624B0B" w:rsidRPr="006302AF" w:rsidP="00137E0A" w14:paraId="2F465582" w14:textId="127B0EA5">
      <w:pPr>
        <w:widowControl/>
        <w:numPr>
          <w:ilvl w:val="0"/>
          <w:numId w:val="8"/>
        </w:numPr>
        <w:spacing w:after="120"/>
        <w:rPr>
          <w:rFonts w:eastAsia="Calibri"/>
          <w:snapToGrid/>
          <w:kern w:val="0"/>
          <w:szCs w:val="22"/>
        </w:rPr>
      </w:pPr>
      <w:r w:rsidRPr="000F5926">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22"/>
      </w:r>
    </w:p>
    <w:p w:rsidR="00624B0B" w:rsidRPr="00F35EF6" w:rsidP="00137E0A" w14:paraId="384B3BE9"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24B0B" w:rsidRPr="000F5926" w:rsidP="00E8230B" w14:paraId="394631C3" w14:textId="77777777">
      <w:pPr>
        <w:keepNext/>
        <w:keepLines/>
        <w:widowControl/>
        <w:autoSpaceDE w:val="0"/>
        <w:autoSpaceDN w:val="0"/>
        <w:adjustRightInd w:val="0"/>
        <w:spacing w:after="120" w:line="259" w:lineRule="auto"/>
        <w:rPr>
          <w:rFonts w:eastAsia="Calibri"/>
          <w:snapToGrid/>
          <w:color w:val="000000"/>
          <w:kern w:val="0"/>
          <w:szCs w:val="22"/>
        </w:rPr>
      </w:pPr>
      <w:r w:rsidRPr="000F5926">
        <w:rPr>
          <w:rFonts w:eastAsia="Calibri"/>
          <w:b/>
          <w:bCs/>
          <w:snapToGrid/>
          <w:color w:val="000000"/>
          <w:kern w:val="0"/>
          <w:szCs w:val="22"/>
        </w:rPr>
        <w:t>In addition, one copy of each submission must be sent to the following</w:t>
      </w:r>
      <w:r w:rsidRPr="000F5926">
        <w:rPr>
          <w:rFonts w:eastAsia="Calibri"/>
          <w:snapToGrid/>
          <w:color w:val="000000"/>
          <w:kern w:val="0"/>
          <w:szCs w:val="22"/>
        </w:rPr>
        <w:t>:</w:t>
      </w:r>
    </w:p>
    <w:p w:rsidR="00432212" w:rsidRPr="00432212" w:rsidP="00137E0A" w14:paraId="7007432D" w14:textId="30BE3721">
      <w:pPr>
        <w:widowControl/>
        <w:numPr>
          <w:ilvl w:val="0"/>
          <w:numId w:val="8"/>
        </w:numPr>
        <w:spacing w:after="120"/>
        <w:rPr>
          <w:rFonts w:eastAsia="Calibri"/>
          <w:snapToGrid/>
          <w:color w:val="000000"/>
          <w:kern w:val="0"/>
          <w:szCs w:val="22"/>
          <w:u w:val="single"/>
        </w:rPr>
      </w:pPr>
      <w:r w:rsidRPr="003A7052">
        <w:rPr>
          <w:rFonts w:eastAsia="Calibri"/>
          <w:color w:val="000000"/>
        </w:rPr>
        <w:t>Jeremy Miller, Video Division, Media Bureau, e-mail</w:t>
      </w:r>
      <w:r>
        <w:rPr>
          <w:rStyle w:val="Hyperlink"/>
          <w:rFonts w:eastAsia="Calibri"/>
          <w:snapToGrid/>
          <w:kern w:val="0"/>
          <w:szCs w:val="22"/>
        </w:rPr>
        <w:t xml:space="preserve"> Jeremy.Miller@fcc.gov</w:t>
      </w:r>
    </w:p>
    <w:p w:rsidR="00F71FDC" w:rsidRPr="00D50533" w:rsidP="00137E0A" w14:paraId="3F0C81DF" w14:textId="7F84F34B">
      <w:pPr>
        <w:widowControl/>
        <w:numPr>
          <w:ilvl w:val="0"/>
          <w:numId w:val="8"/>
        </w:numPr>
        <w:spacing w:after="120"/>
        <w:rPr>
          <w:rFonts w:eastAsia="Calibri"/>
          <w:snapToGrid/>
          <w:color w:val="000000"/>
          <w:kern w:val="0"/>
          <w:szCs w:val="22"/>
        </w:rPr>
      </w:pPr>
      <w:r w:rsidRPr="00D50533">
        <w:rPr>
          <w:rFonts w:eastAsia="Calibri"/>
          <w:snapToGrid/>
          <w:color w:val="000000"/>
          <w:kern w:val="0"/>
          <w:szCs w:val="22"/>
        </w:rPr>
        <w:t>David Brown</w:t>
      </w:r>
      <w:r w:rsidRPr="00D50533" w:rsidR="00A9217E">
        <w:rPr>
          <w:rFonts w:eastAsia="Calibri"/>
          <w:snapToGrid/>
          <w:color w:val="000000"/>
          <w:kern w:val="0"/>
          <w:szCs w:val="22"/>
        </w:rPr>
        <w:t>, Video Division, Media Bureau, e-mail</w:t>
      </w:r>
      <w:r>
        <w:rPr>
          <w:rFonts w:eastAsia="Calibri"/>
          <w:snapToGrid/>
          <w:color w:val="000000"/>
          <w:kern w:val="0"/>
          <w:szCs w:val="22"/>
        </w:rPr>
        <w:t xml:space="preserve"> </w:t>
      </w:r>
      <w:hyperlink r:id="rId6" w:history="1"/>
      <w:hyperlink r:id="rId7" w:history="1">
        <w:r w:rsidRPr="00F3058F">
          <w:rPr>
            <w:rStyle w:val="Hyperlink"/>
            <w:rFonts w:eastAsia="Calibri"/>
            <w:snapToGrid/>
            <w:kern w:val="0"/>
            <w:szCs w:val="22"/>
          </w:rPr>
          <w:t>David.Brown@fcc.gov</w:t>
        </w:r>
      </w:hyperlink>
      <w:r>
        <w:rPr>
          <w:rFonts w:eastAsia="Calibri"/>
          <w:snapToGrid/>
          <w:color w:val="000000"/>
          <w:kern w:val="0"/>
          <w:szCs w:val="22"/>
        </w:rPr>
        <w:t xml:space="preserve"> </w:t>
      </w:r>
    </w:p>
    <w:p w:rsidR="00624B0B" w:rsidRPr="000F5926" w:rsidP="00137E0A" w14:paraId="5667E172" w14:textId="7C8A127B">
      <w:pPr>
        <w:widowControl/>
        <w:spacing w:after="120"/>
        <w:ind w:firstLine="720"/>
        <w:rPr>
          <w:rFonts w:eastAsia="Calibri"/>
          <w:snapToGrid/>
          <w:color w:val="000000"/>
          <w:kern w:val="0"/>
          <w:szCs w:val="22"/>
        </w:rPr>
      </w:pPr>
      <w:r w:rsidRPr="00262043">
        <w:rPr>
          <w:rFonts w:eastAsia="Calibri"/>
          <w:snapToGrid/>
          <w:color w:val="000000"/>
          <w:kern w:val="0"/>
          <w:szCs w:val="22"/>
        </w:rPr>
        <w:t xml:space="preserve">Any submission that is e-mailed to </w:t>
      </w:r>
      <w:r w:rsidR="00CD37D9">
        <w:rPr>
          <w:rFonts w:eastAsia="Calibri"/>
          <w:snapToGrid/>
          <w:color w:val="000000"/>
          <w:kern w:val="0"/>
          <w:szCs w:val="22"/>
        </w:rPr>
        <w:t>Jeremy Miller</w:t>
      </w:r>
      <w:r w:rsidRPr="00F35EF6" w:rsidR="00D539B4">
        <w:rPr>
          <w:rFonts w:eastAsia="Calibri"/>
          <w:snapToGrid/>
          <w:color w:val="000000"/>
          <w:kern w:val="0"/>
          <w:szCs w:val="22"/>
        </w:rPr>
        <w:t xml:space="preserve"> or </w:t>
      </w:r>
      <w:r w:rsidR="00D50533">
        <w:rPr>
          <w:rFonts w:eastAsia="Calibri"/>
          <w:snapToGrid/>
          <w:color w:val="000000"/>
          <w:kern w:val="0"/>
          <w:szCs w:val="22"/>
        </w:rPr>
        <w:t>David Brown</w:t>
      </w:r>
      <w:r w:rsidRPr="003A53CA">
        <w:rPr>
          <w:rFonts w:eastAsia="Calibri"/>
          <w:snapToGrid/>
          <w:color w:val="000000"/>
          <w:kern w:val="0"/>
          <w:szCs w:val="22"/>
        </w:rPr>
        <w:t xml:space="preserve"> should include in the subject line of the e-mail:  (1) MB Docket No. 2</w:t>
      </w:r>
      <w:r w:rsidR="007564B4">
        <w:rPr>
          <w:rFonts w:eastAsia="Calibri"/>
          <w:snapToGrid/>
          <w:color w:val="000000"/>
          <w:kern w:val="0"/>
          <w:szCs w:val="22"/>
        </w:rPr>
        <w:t>2</w:t>
      </w:r>
      <w:r w:rsidRPr="003A53CA">
        <w:rPr>
          <w:rFonts w:eastAsia="Calibri"/>
          <w:snapToGrid/>
          <w:color w:val="000000"/>
          <w:kern w:val="0"/>
          <w:szCs w:val="22"/>
        </w:rPr>
        <w:t>-</w:t>
      </w:r>
      <w:r w:rsidR="000327F6">
        <w:rPr>
          <w:rFonts w:eastAsia="Calibri"/>
          <w:snapToGrid/>
          <w:color w:val="000000"/>
          <w:kern w:val="0"/>
          <w:szCs w:val="22"/>
        </w:rPr>
        <w:t>61</w:t>
      </w:r>
      <w:r w:rsidRPr="000F5926">
        <w:rPr>
          <w:rFonts w:eastAsia="Calibri"/>
          <w:snapToGrid/>
          <w:color w:val="000000"/>
          <w:kern w:val="0"/>
          <w:szCs w:val="22"/>
        </w:rPr>
        <w:t>; (2) the name of the submitting party; (3) a brief description or title identifying the type of document being submitted (</w:t>
      </w:r>
      <w:r w:rsidRPr="000F5926">
        <w:rPr>
          <w:rFonts w:eastAsia="Calibri"/>
          <w:i/>
          <w:iCs/>
          <w:snapToGrid/>
          <w:color w:val="000000"/>
          <w:kern w:val="0"/>
          <w:szCs w:val="22"/>
        </w:rPr>
        <w:t>e.g.</w:t>
      </w:r>
      <w:r w:rsidRPr="000F5926">
        <w:rPr>
          <w:rFonts w:eastAsia="Calibri"/>
          <w:snapToGrid/>
          <w:color w:val="000000"/>
          <w:kern w:val="0"/>
          <w:szCs w:val="22"/>
        </w:rPr>
        <w:t>, MB Docket No. 2</w:t>
      </w:r>
      <w:r w:rsidR="007564B4">
        <w:rPr>
          <w:rFonts w:eastAsia="Calibri"/>
          <w:snapToGrid/>
          <w:color w:val="000000"/>
          <w:kern w:val="0"/>
          <w:szCs w:val="22"/>
        </w:rPr>
        <w:t>2</w:t>
      </w:r>
      <w:r w:rsidRPr="000F5926">
        <w:rPr>
          <w:rFonts w:eastAsia="Calibri"/>
          <w:snapToGrid/>
          <w:color w:val="000000"/>
          <w:kern w:val="0"/>
          <w:szCs w:val="22"/>
        </w:rPr>
        <w:t>-</w:t>
      </w:r>
      <w:r w:rsidR="000327F6">
        <w:rPr>
          <w:rFonts w:eastAsia="Calibri"/>
          <w:snapToGrid/>
          <w:color w:val="000000"/>
          <w:kern w:val="0"/>
          <w:szCs w:val="22"/>
        </w:rPr>
        <w:t>61</w:t>
      </w:r>
      <w:r w:rsidRPr="000F5926">
        <w:rPr>
          <w:rFonts w:eastAsia="Calibri"/>
          <w:snapToGrid/>
          <w:color w:val="000000"/>
          <w:kern w:val="0"/>
          <w:szCs w:val="22"/>
        </w:rPr>
        <w:t xml:space="preserve">, </w:t>
      </w:r>
      <w:r w:rsidR="00651B01">
        <w:rPr>
          <w:rFonts w:eastAsia="Calibri"/>
          <w:snapToGrid/>
          <w:color w:val="000000"/>
          <w:kern w:val="0"/>
          <w:szCs w:val="22"/>
        </w:rPr>
        <w:t>SBS</w:t>
      </w:r>
      <w:r w:rsidRPr="000F5926" w:rsidR="003C188E">
        <w:rPr>
          <w:rFonts w:eastAsia="Calibri"/>
          <w:snapToGrid/>
          <w:color w:val="000000"/>
          <w:kern w:val="0"/>
          <w:szCs w:val="22"/>
        </w:rPr>
        <w:t xml:space="preserve"> Petition for Declaratory Ruling</w:t>
      </w:r>
      <w:r w:rsidRPr="000F5926">
        <w:rPr>
          <w:rFonts w:eastAsia="Calibri"/>
          <w:snapToGrid/>
          <w:color w:val="000000"/>
          <w:kern w:val="0"/>
          <w:szCs w:val="22"/>
        </w:rPr>
        <w:t xml:space="preserve">, </w:t>
      </w:r>
      <w:r w:rsidRPr="000F5926">
        <w:rPr>
          <w:rFonts w:eastAsia="Calibri"/>
          <w:i/>
          <w:iCs/>
          <w:snapToGrid/>
          <w:color w:val="000000"/>
          <w:kern w:val="0"/>
          <w:szCs w:val="22"/>
        </w:rPr>
        <w:t>Ex Parte</w:t>
      </w:r>
      <w:r w:rsidRPr="000F5926">
        <w:rPr>
          <w:rFonts w:eastAsia="Calibri"/>
          <w:snapToGrid/>
          <w:color w:val="000000"/>
          <w:kern w:val="0"/>
          <w:szCs w:val="22"/>
        </w:rPr>
        <w:t xml:space="preserve"> Notice).</w:t>
      </w:r>
    </w:p>
    <w:p w:rsidR="00624B0B" w:rsidRPr="006302AF" w:rsidP="00137E0A" w14:paraId="6A40ABF3" w14:textId="40D6F322">
      <w:pPr>
        <w:widowControl/>
        <w:spacing w:after="120"/>
        <w:ind w:firstLine="720"/>
        <w:rPr>
          <w:rFonts w:eastAsia="Calibri"/>
          <w:snapToGrid/>
          <w:kern w:val="0"/>
          <w:szCs w:val="22"/>
        </w:rPr>
      </w:pPr>
      <w:bookmarkStart w:id="7" w:name="co_pp_sp_999_4_1"/>
      <w:bookmarkStart w:id="8" w:name="co_pp_sp_4493_7386_1"/>
      <w:bookmarkEnd w:id="7"/>
      <w:bookmarkEnd w:id="8"/>
      <w:r w:rsidRPr="000F5926">
        <w:rPr>
          <w:rFonts w:eastAsia="Calibri"/>
          <w:i/>
          <w:iCs/>
          <w:snapToGrid/>
          <w:kern w:val="0"/>
          <w:szCs w:val="22"/>
        </w:rPr>
        <w:t>Availability of Documents</w:t>
      </w:r>
      <w:r w:rsidRPr="000F5926">
        <w:rPr>
          <w:rFonts w:eastAsia="Calibri"/>
          <w:snapToGrid/>
          <w:kern w:val="0"/>
          <w:szCs w:val="22"/>
        </w:rPr>
        <w:t xml:space="preserve">.  </w:t>
      </w:r>
      <w:r w:rsidRPr="000F5926">
        <w:rPr>
          <w:rFonts w:eastAsia="Calibri"/>
          <w:snapToGrid/>
          <w:color w:val="000000"/>
          <w:kern w:val="0"/>
          <w:szCs w:val="22"/>
        </w:rPr>
        <w:t>Documents</w:t>
      </w:r>
      <w:r w:rsidRPr="000F5926">
        <w:rPr>
          <w:rFonts w:eastAsia="Calibri"/>
          <w:snapToGrid/>
          <w:kern w:val="0"/>
          <w:szCs w:val="22"/>
        </w:rPr>
        <w:t xml:space="preserve"> in this proceeding are available electronically through ECFS.  ECFS may be accessed on the Commission’s Internet website at </w:t>
      </w:r>
      <w:hyperlink r:id="rId8" w:history="1">
        <w:r w:rsidRPr="006302AF">
          <w:rPr>
            <w:rFonts w:eastAsia="Calibri"/>
            <w:snapToGrid/>
            <w:color w:val="0000FF"/>
            <w:kern w:val="0"/>
            <w:szCs w:val="22"/>
            <w:u w:val="single"/>
          </w:rPr>
          <w:t>http://www.fcc.gov</w:t>
        </w:r>
      </w:hyperlink>
      <w:r w:rsidRPr="000F5926">
        <w:rPr>
          <w:rFonts w:eastAsia="Calibri"/>
          <w:snapToGrid/>
          <w:kern w:val="0"/>
          <w:szCs w:val="22"/>
        </w:rPr>
        <w:t>.</w:t>
      </w:r>
    </w:p>
    <w:p w:rsidR="00624B0B" w:rsidRPr="00262043" w:rsidP="00137E0A" w14:paraId="4E118BCD" w14:textId="3F906AF6">
      <w:pPr>
        <w:widowControl/>
        <w:spacing w:after="120"/>
        <w:ind w:firstLine="720"/>
        <w:rPr>
          <w:rFonts w:eastAsia="Calibri"/>
          <w:snapToGrid/>
          <w:kern w:val="0"/>
          <w:szCs w:val="22"/>
        </w:rPr>
      </w:pPr>
      <w:r w:rsidRPr="00262043">
        <w:rPr>
          <w:rFonts w:eastAsia="Calibri"/>
          <w:i/>
          <w:iCs/>
          <w:snapToGrid/>
          <w:kern w:val="0"/>
          <w:szCs w:val="22"/>
        </w:rPr>
        <w:t>People with Disabilities</w:t>
      </w:r>
      <w:r w:rsidRPr="00262043">
        <w:rPr>
          <w:rFonts w:eastAsia="Calibri"/>
          <w:snapToGrid/>
          <w:kern w:val="0"/>
          <w:szCs w:val="22"/>
        </w:rPr>
        <w:t xml:space="preserve">.  To </w:t>
      </w:r>
      <w:r w:rsidRPr="00F35EF6">
        <w:rPr>
          <w:rFonts w:eastAsia="Calibri"/>
          <w:snapToGrid/>
          <w:color w:val="000000"/>
          <w:kern w:val="0"/>
          <w:szCs w:val="22"/>
        </w:rPr>
        <w:t>request</w:t>
      </w:r>
      <w:r w:rsidRPr="003A53CA">
        <w:rPr>
          <w:rFonts w:eastAsia="Calibri"/>
          <w:snapToGrid/>
          <w:kern w:val="0"/>
          <w:szCs w:val="22"/>
        </w:rPr>
        <w:t xml:space="preserve"> materials in accessible formats for pe</w:t>
      </w:r>
      <w:r w:rsidRPr="000F5926">
        <w:rPr>
          <w:rFonts w:eastAsia="Calibri"/>
          <w:snapToGrid/>
          <w:kern w:val="0"/>
          <w:szCs w:val="22"/>
        </w:rPr>
        <w:t xml:space="preserve">ople with disabilities (braille, large print, electronic files, audio format), send an e-mail to </w:t>
      </w:r>
      <w:hyperlink r:id="rId9" w:history="1">
        <w:r w:rsidRPr="006302AF" w:rsidR="0059605A">
          <w:rPr>
            <w:rStyle w:val="Hyperlink"/>
            <w:rFonts w:eastAsia="Calibri"/>
            <w:snapToGrid/>
            <w:kern w:val="0"/>
            <w:szCs w:val="22"/>
          </w:rPr>
          <w:t>fcc504@fcc.gov</w:t>
        </w:r>
      </w:hyperlink>
      <w:r w:rsidRPr="000F5926" w:rsidR="0059605A">
        <w:rPr>
          <w:rFonts w:eastAsia="Calibri"/>
          <w:snapToGrid/>
          <w:kern w:val="0"/>
          <w:szCs w:val="22"/>
        </w:rPr>
        <w:t xml:space="preserve"> </w:t>
      </w:r>
      <w:r w:rsidRPr="006302AF">
        <w:rPr>
          <w:rFonts w:eastAsia="Calibri"/>
          <w:snapToGrid/>
          <w:kern w:val="0"/>
          <w:szCs w:val="22"/>
        </w:rPr>
        <w:t>or call the Consumer &amp; Governmental Affairs Bureau at 202-418-0530 (voice), 202-418-0432 (TTY).</w:t>
      </w:r>
    </w:p>
    <w:p w:rsidR="00624B0B" w:rsidRPr="000F5926" w:rsidP="00137E0A" w14:paraId="122D2159" w14:textId="581F1FEC">
      <w:pPr>
        <w:widowControl/>
        <w:spacing w:after="120"/>
        <w:ind w:firstLine="720"/>
        <w:rPr>
          <w:rFonts w:eastAsia="Calibri"/>
          <w:snapToGrid/>
          <w:color w:val="000000"/>
          <w:kern w:val="0"/>
          <w:szCs w:val="22"/>
        </w:rPr>
      </w:pPr>
      <w:r w:rsidRPr="00262043">
        <w:rPr>
          <w:rFonts w:eastAsia="Calibri"/>
          <w:snapToGrid/>
          <w:color w:val="000000"/>
          <w:kern w:val="0"/>
          <w:szCs w:val="22"/>
        </w:rPr>
        <w:t>For furthe</w:t>
      </w:r>
      <w:r w:rsidRPr="00F35EF6">
        <w:rPr>
          <w:rFonts w:eastAsia="Calibri"/>
          <w:snapToGrid/>
          <w:color w:val="000000"/>
          <w:kern w:val="0"/>
          <w:szCs w:val="22"/>
        </w:rPr>
        <w:t xml:space="preserve">r information, contact </w:t>
      </w:r>
      <w:r w:rsidR="00CD37D9">
        <w:rPr>
          <w:rFonts w:eastAsia="Calibri"/>
          <w:snapToGrid/>
          <w:color w:val="000000"/>
          <w:kern w:val="0"/>
          <w:szCs w:val="22"/>
        </w:rPr>
        <w:t>Jeremy Miller at (202) 418-1507</w:t>
      </w:r>
      <w:r w:rsidRPr="000F5926" w:rsidR="00D539B4">
        <w:rPr>
          <w:rFonts w:eastAsia="Calibri"/>
          <w:snapToGrid/>
          <w:color w:val="000000"/>
          <w:kern w:val="0"/>
          <w:szCs w:val="22"/>
        </w:rPr>
        <w:t xml:space="preserve"> or </w:t>
      </w:r>
      <w:r w:rsidR="00D50533">
        <w:rPr>
          <w:rFonts w:eastAsia="Calibri"/>
          <w:snapToGrid/>
          <w:color w:val="000000"/>
          <w:kern w:val="0"/>
          <w:szCs w:val="22"/>
        </w:rPr>
        <w:t>David Brown</w:t>
      </w:r>
      <w:r w:rsidRPr="000F5926" w:rsidR="00D539B4">
        <w:rPr>
          <w:rFonts w:eastAsia="Calibri"/>
          <w:snapToGrid/>
          <w:color w:val="000000"/>
          <w:kern w:val="0"/>
          <w:szCs w:val="22"/>
        </w:rPr>
        <w:t xml:space="preserve"> at (202) </w:t>
      </w:r>
      <w:r w:rsidRPr="000F5926" w:rsidR="006513F2">
        <w:rPr>
          <w:rFonts w:eastAsia="Calibri"/>
          <w:snapToGrid/>
          <w:color w:val="000000"/>
          <w:kern w:val="0"/>
          <w:szCs w:val="22"/>
        </w:rPr>
        <w:t>418-</w:t>
      </w:r>
      <w:r w:rsidR="00D50533">
        <w:rPr>
          <w:rFonts w:eastAsia="Calibri"/>
          <w:snapToGrid/>
          <w:color w:val="000000"/>
          <w:kern w:val="0"/>
          <w:szCs w:val="22"/>
        </w:rPr>
        <w:t>1645</w:t>
      </w:r>
      <w:r w:rsidRPr="000F5926">
        <w:rPr>
          <w:rFonts w:eastAsia="Calibri"/>
          <w:snapToGrid/>
          <w:color w:val="000000"/>
          <w:kern w:val="0"/>
          <w:szCs w:val="22"/>
        </w:rPr>
        <w:t>.  For press inquiries, contact Janice Wise at (202) 418-</w:t>
      </w:r>
      <w:r w:rsidRPr="000F5926" w:rsidR="000D6652">
        <w:rPr>
          <w:rFonts w:eastAsia="Calibri"/>
          <w:snapToGrid/>
          <w:color w:val="000000"/>
          <w:kern w:val="0"/>
          <w:szCs w:val="22"/>
        </w:rPr>
        <w:t>81</w:t>
      </w:r>
      <w:r w:rsidRPr="000F5926">
        <w:rPr>
          <w:rFonts w:eastAsia="Calibri"/>
          <w:snapToGrid/>
          <w:color w:val="000000"/>
          <w:kern w:val="0"/>
          <w:szCs w:val="22"/>
        </w:rPr>
        <w:t>65.</w:t>
      </w:r>
    </w:p>
    <w:p w:rsidR="00624B0B" w:rsidRPr="000F5926" w:rsidP="00137E0A" w14:paraId="6865200E" w14:textId="3195DC08">
      <w:pPr>
        <w:widowControl/>
        <w:spacing w:after="120"/>
        <w:ind w:firstLine="720"/>
        <w:rPr>
          <w:rFonts w:eastAsia="Calibri"/>
          <w:snapToGrid/>
          <w:color w:val="000000"/>
          <w:kern w:val="0"/>
          <w:szCs w:val="22"/>
        </w:rPr>
      </w:pPr>
      <w:r w:rsidRPr="000F5926">
        <w:rPr>
          <w:rFonts w:eastAsia="Calibri"/>
          <w:snapToGrid/>
          <w:kern w:val="0"/>
          <w:szCs w:val="22"/>
        </w:rPr>
        <w:t xml:space="preserve">This action is taken by the Chief, </w:t>
      </w:r>
      <w:r w:rsidRPr="000F5926">
        <w:rPr>
          <w:rFonts w:eastAsia="Calibri"/>
          <w:snapToGrid/>
          <w:color w:val="000000"/>
          <w:kern w:val="0"/>
          <w:szCs w:val="22"/>
        </w:rPr>
        <w:t>Media</w:t>
      </w:r>
      <w:r w:rsidRPr="000F5926">
        <w:rPr>
          <w:rFonts w:eastAsia="Calibri"/>
          <w:snapToGrid/>
          <w:kern w:val="0"/>
          <w:szCs w:val="22"/>
        </w:rPr>
        <w:t xml:space="preserve"> Bureau, pursuant to authority delegated by sections 0.61 and 0.283 of the Commission’s rules.</w:t>
      </w:r>
      <w:r>
        <w:rPr>
          <w:rFonts w:eastAsia="Calibri"/>
          <w:snapToGrid/>
          <w:kern w:val="0"/>
          <w:szCs w:val="22"/>
          <w:vertAlign w:val="superscript"/>
        </w:rPr>
        <w:footnoteReference w:id="23"/>
      </w:r>
    </w:p>
    <w:p w:rsidR="00344BF3" w:rsidRPr="00262043" w:rsidP="00181972" w14:paraId="3DA1D7A6" w14:textId="60953B6F">
      <w:pPr>
        <w:widowControl/>
        <w:spacing w:after="160" w:line="259" w:lineRule="auto"/>
        <w:jc w:val="center"/>
        <w:rPr>
          <w:rFonts w:eastAsia="Calibri"/>
          <w:b/>
          <w:bCs/>
          <w:snapToGrid/>
          <w:kern w:val="0"/>
          <w:szCs w:val="22"/>
        </w:rPr>
      </w:pPr>
      <w:r w:rsidRPr="00262043">
        <w:rPr>
          <w:rFonts w:eastAsia="Calibri"/>
          <w:b/>
          <w:bCs/>
          <w:snapToGrid/>
          <w:kern w:val="0"/>
          <w:szCs w:val="22"/>
        </w:rPr>
        <w:t>- FCC -</w:t>
      </w:r>
    </w:p>
    <w:p w:rsidR="00B554AD" w:rsidRPr="00624B0B" w14:paraId="62336C72" w14:textId="77777777">
      <w:pPr>
        <w:rPr>
          <w:szCs w:val="22"/>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C7A1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BF3" w14:paraId="33058D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44FBC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293EB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1041" w14:paraId="4950B028" w14:textId="77777777">
      <w:r>
        <w:separator/>
      </w:r>
    </w:p>
  </w:footnote>
  <w:footnote w:type="continuationSeparator" w:id="1">
    <w:p w:rsidR="001E1041" w14:paraId="30368BB6" w14:textId="77777777">
      <w:pPr>
        <w:rPr>
          <w:sz w:val="20"/>
        </w:rPr>
      </w:pPr>
      <w:r>
        <w:rPr>
          <w:sz w:val="20"/>
        </w:rPr>
        <w:t xml:space="preserve">(Continued from previous page)  </w:t>
      </w:r>
      <w:r>
        <w:rPr>
          <w:sz w:val="20"/>
        </w:rPr>
        <w:separator/>
      </w:r>
    </w:p>
  </w:footnote>
  <w:footnote w:type="continuationNotice" w:id="2">
    <w:p w:rsidR="001E1041" w14:paraId="3DB7BDE1" w14:textId="77777777">
      <w:pPr>
        <w:jc w:val="right"/>
        <w:rPr>
          <w:sz w:val="20"/>
        </w:rPr>
      </w:pPr>
      <w:r>
        <w:rPr>
          <w:sz w:val="20"/>
        </w:rPr>
        <w:t>(continued….)</w:t>
      </w:r>
    </w:p>
  </w:footnote>
  <w:footnote w:id="3">
    <w:p w:rsidR="00AD29D0" w14:paraId="16898FBC" w14:textId="2C27FBBE">
      <w:pPr>
        <w:pStyle w:val="FootnoteText"/>
      </w:pPr>
      <w:r>
        <w:rPr>
          <w:rStyle w:val="FootnoteReference"/>
        </w:rPr>
        <w:footnoteRef/>
      </w:r>
      <w:r>
        <w:t xml:space="preserve"> </w:t>
      </w:r>
      <w:r w:rsidRPr="003A5236">
        <w:t>47 U.S.C. § 310(b)(4)</w:t>
      </w:r>
      <w:r>
        <w:t xml:space="preserve">.  </w:t>
      </w:r>
      <w:r>
        <w:rPr>
          <w:i/>
          <w:iCs/>
        </w:rPr>
        <w:t>See also</w:t>
      </w:r>
      <w:r>
        <w:t xml:space="preserve"> </w:t>
      </w:r>
      <w:r w:rsidRPr="00605669">
        <w:t xml:space="preserve">47 CFR § 1.5000 </w:t>
      </w:r>
      <w:r w:rsidRPr="00605669">
        <w:rPr>
          <w:i/>
          <w:iCs/>
        </w:rPr>
        <w:t>et seq.</w:t>
      </w:r>
    </w:p>
  </w:footnote>
  <w:footnote w:id="4">
    <w:p w:rsidR="00A84748" w:rsidRPr="00571BDE" w14:paraId="0A858C7C" w14:textId="458688EA">
      <w:pPr>
        <w:pStyle w:val="FootnoteText"/>
      </w:pPr>
      <w:r>
        <w:rPr>
          <w:rStyle w:val="FootnoteReference"/>
        </w:rPr>
        <w:footnoteRef/>
      </w:r>
      <w:r>
        <w:t xml:space="preserve"> </w:t>
      </w:r>
      <w:r w:rsidR="008E35AF">
        <w:t xml:space="preserve">Petition at </w:t>
      </w:r>
      <w:r w:rsidR="00211013">
        <w:t>2-3</w:t>
      </w:r>
      <w:r w:rsidR="0046159F">
        <w:t xml:space="preserve">, </w:t>
      </w:r>
      <w:r w:rsidR="00DE3FE6">
        <w:t xml:space="preserve">9.  SBS only seeks approval </w:t>
      </w:r>
      <w:r w:rsidR="00374190">
        <w:t xml:space="preserve">for foreign investors to hold up to 49.99% </w:t>
      </w:r>
      <w:r w:rsidR="00514160">
        <w:t>of the compan</w:t>
      </w:r>
      <w:r w:rsidR="00727DBE">
        <w:t>y’</w:t>
      </w:r>
      <w:r w:rsidR="00514160">
        <w:t xml:space="preserve">s total </w:t>
      </w:r>
      <w:r w:rsidRPr="00514160" w:rsidR="00514160">
        <w:rPr>
          <w:i/>
          <w:iCs/>
        </w:rPr>
        <w:t>equity</w:t>
      </w:r>
      <w:r w:rsidR="00514160">
        <w:t xml:space="preserve"> interests.  It does not seek approval </w:t>
      </w:r>
      <w:r w:rsidR="00727DBE">
        <w:t xml:space="preserve">for foreign investors to exceed </w:t>
      </w:r>
      <w:r w:rsidR="009F6313">
        <w:t xml:space="preserve">section 310(b)(4)’s limit </w:t>
      </w:r>
      <w:r w:rsidR="006A6B4F">
        <w:t>with respect to SBS’</w:t>
      </w:r>
      <w:r w:rsidR="004D6871">
        <w:t>s</w:t>
      </w:r>
      <w:r w:rsidR="009F6313">
        <w:t xml:space="preserve"> </w:t>
      </w:r>
      <w:r w:rsidR="009F6313">
        <w:rPr>
          <w:i/>
          <w:iCs/>
        </w:rPr>
        <w:t xml:space="preserve">voting </w:t>
      </w:r>
      <w:r w:rsidR="009F6313">
        <w:t xml:space="preserve">interests.  </w:t>
      </w:r>
      <w:r w:rsidR="009F6313">
        <w:rPr>
          <w:i/>
          <w:iCs/>
        </w:rPr>
        <w:t>Id.</w:t>
      </w:r>
    </w:p>
  </w:footnote>
  <w:footnote w:id="5">
    <w:p w:rsidR="009C4130" w14:paraId="2F618F70" w14:textId="653CB9D2">
      <w:pPr>
        <w:pStyle w:val="FootnoteText"/>
      </w:pPr>
      <w:r>
        <w:rPr>
          <w:rStyle w:val="FootnoteReference"/>
        </w:rPr>
        <w:footnoteRef/>
      </w:r>
      <w:r>
        <w:t xml:space="preserve"> </w:t>
      </w:r>
      <w:r w:rsidR="00841CCA">
        <w:rPr>
          <w:i/>
          <w:iCs/>
        </w:rPr>
        <w:t>Id.</w:t>
      </w:r>
      <w:r>
        <w:t xml:space="preserve"> at </w:t>
      </w:r>
      <w:r w:rsidR="00841CCA">
        <w:t>2</w:t>
      </w:r>
      <w:r w:rsidR="00B45277">
        <w:t>-3</w:t>
      </w:r>
      <w:r w:rsidR="00841CCA">
        <w:t>.</w:t>
      </w:r>
    </w:p>
  </w:footnote>
  <w:footnote w:id="6">
    <w:p w:rsidR="0057237A" w:rsidRPr="009F16FB" w:rsidP="009F16FB" w14:paraId="04408460" w14:textId="52439A97">
      <w:pPr>
        <w:pStyle w:val="FootnoteText"/>
      </w:pPr>
      <w:r>
        <w:rPr>
          <w:rStyle w:val="FootnoteReference"/>
        </w:rPr>
        <w:footnoteRef/>
      </w:r>
      <w:r>
        <w:t xml:space="preserve"> </w:t>
      </w:r>
      <w:r w:rsidR="00B45277">
        <w:rPr>
          <w:i/>
          <w:iCs/>
        </w:rPr>
        <w:t>Id.</w:t>
      </w:r>
      <w:r w:rsidR="009F16FB">
        <w:rPr>
          <w:i/>
          <w:iCs/>
        </w:rPr>
        <w:t xml:space="preserve">  See also</w:t>
      </w:r>
      <w:r w:rsidR="009F16FB">
        <w:t xml:space="preserve"> </w:t>
      </w:r>
      <w:r w:rsidR="00A70EBD">
        <w:t>47 CFR</w:t>
      </w:r>
      <w:r w:rsidR="009F16FB">
        <w:t xml:space="preserve"> </w:t>
      </w:r>
      <w:r w:rsidRPr="000E6A46" w:rsidR="00DC182E">
        <w:t xml:space="preserve">§ </w:t>
      </w:r>
      <w:r w:rsidR="009F16FB">
        <w:t xml:space="preserve">1.5000(a)(1) </w:t>
      </w:r>
      <w:r w:rsidR="00A70EBD">
        <w:t>(</w:t>
      </w:r>
      <w:r w:rsidR="009F16FB">
        <w:t xml:space="preserve">a broadcast licensee shall “obtain such approval, </w:t>
      </w:r>
      <w:r w:rsidRPr="00A70EBD" w:rsidR="009F16FB">
        <w:rPr>
          <w:i/>
          <w:iCs/>
        </w:rPr>
        <w:t>before</w:t>
      </w:r>
      <w:r w:rsidR="009F16FB">
        <w:t xml:space="preserve"> the</w:t>
      </w:r>
      <w:r w:rsidR="00A70EBD">
        <w:t xml:space="preserve"> </w:t>
      </w:r>
      <w:r w:rsidR="009F16FB">
        <w:t>aggregate foreign ownership of any controlling, U.S.-organized parent company exceeds, directly and/or</w:t>
      </w:r>
      <w:r w:rsidR="00A70EBD">
        <w:t xml:space="preserve"> </w:t>
      </w:r>
      <w:r w:rsidR="009F16FB">
        <w:t>indirectly, 25 percent of the U.S. parent’s equity interests</w:t>
      </w:r>
      <w:r w:rsidR="00EB3E3E">
        <w:t xml:space="preserve"> </w:t>
      </w:r>
      <w:r w:rsidR="007D1616">
        <w:t>and/or 25 percent of its voting interests</w:t>
      </w:r>
      <w:r w:rsidR="00FA5185">
        <w:t xml:space="preserve"> </w:t>
      </w:r>
      <w:r w:rsidR="00EB3E3E">
        <w:t>. . .</w:t>
      </w:r>
      <w:r w:rsidR="009F16FB">
        <w:t>”</w:t>
      </w:r>
      <w:r w:rsidR="00A70EBD">
        <w:t>) (emphasis added).</w:t>
      </w:r>
    </w:p>
  </w:footnote>
  <w:footnote w:id="7">
    <w:p w:rsidR="000921C3" w14:paraId="018878F4" w14:textId="349F75B5">
      <w:pPr>
        <w:pStyle w:val="FootnoteText"/>
      </w:pPr>
      <w:r>
        <w:rPr>
          <w:rStyle w:val="FootnoteReference"/>
        </w:rPr>
        <w:footnoteRef/>
      </w:r>
      <w:r>
        <w:t xml:space="preserve"> Petition at 4</w:t>
      </w:r>
      <w:r w:rsidR="00AB2E8B">
        <w:t>-5</w:t>
      </w:r>
      <w:r>
        <w:t>.</w:t>
      </w:r>
    </w:p>
  </w:footnote>
  <w:footnote w:id="8">
    <w:p w:rsidR="00F36344" w:rsidRPr="00F80ABF" w:rsidP="00F80ABF" w14:paraId="1486CFCA" w14:textId="42268D6E">
      <w:pPr>
        <w:pStyle w:val="FootnoteText"/>
      </w:pPr>
      <w:r>
        <w:rPr>
          <w:rStyle w:val="FootnoteReference"/>
        </w:rPr>
        <w:footnoteRef/>
      </w:r>
      <w:r>
        <w:t xml:space="preserve"> </w:t>
      </w:r>
      <w:r w:rsidR="00F80ABF">
        <w:t>Only Alarc</w:t>
      </w:r>
      <w:r w:rsidRPr="007C1B1D" w:rsidR="009B780F">
        <w:rPr>
          <w:rFonts w:eastAsia="Calibri"/>
          <w:color w:val="000000"/>
          <w:szCs w:val="22"/>
        </w:rPr>
        <w:t>ó</w:t>
      </w:r>
      <w:r w:rsidR="00F80ABF">
        <w:t>n w</w:t>
      </w:r>
      <w:r w:rsidR="002D4145">
        <w:t>ould</w:t>
      </w:r>
      <w:r w:rsidR="00F80ABF">
        <w:t xml:space="preserve"> have a 5% or greater voting interest in SBS</w:t>
      </w:r>
      <w:r w:rsidR="000E6A46">
        <w:t xml:space="preserve">, thus no other individual or entity </w:t>
      </w:r>
      <w:r w:rsidR="0064411A">
        <w:t xml:space="preserve">would </w:t>
      </w:r>
      <w:r w:rsidR="000E6A46">
        <w:t>hold an attributable interest in SBS</w:t>
      </w:r>
      <w:r w:rsidR="00F80ABF">
        <w:t>.</w:t>
      </w:r>
      <w:r w:rsidR="000E6A46">
        <w:t xml:space="preserve">  </w:t>
      </w:r>
      <w:r w:rsidR="000E6A46">
        <w:rPr>
          <w:i/>
          <w:iCs/>
        </w:rPr>
        <w:t xml:space="preserve">See </w:t>
      </w:r>
      <w:r w:rsidRPr="002D4145" w:rsidR="000E6A46">
        <w:t xml:space="preserve">47 CFR </w:t>
      </w:r>
      <w:r w:rsidRPr="000E6A46" w:rsidR="00DC182E">
        <w:t xml:space="preserve">§ </w:t>
      </w:r>
      <w:r w:rsidRPr="002D4145" w:rsidR="000E6A46">
        <w:t>1.5000</w:t>
      </w:r>
      <w:r w:rsidR="000E6A46">
        <w:t xml:space="preserve">(e)-(f); </w:t>
      </w:r>
      <w:r w:rsidRPr="000E6A46" w:rsidR="000E6A46">
        <w:t>47 CFR § 73.3555, Note 2(a)</w:t>
      </w:r>
      <w:r w:rsidR="000E6A46">
        <w:t xml:space="preserve">; Petition at </w:t>
      </w:r>
      <w:r w:rsidR="00DC182E">
        <w:t>7-8</w:t>
      </w:r>
      <w:r w:rsidR="000E6A46">
        <w:t>.</w:t>
      </w:r>
    </w:p>
  </w:footnote>
  <w:footnote w:id="9">
    <w:p w:rsidR="00AC312C" w14:paraId="2CE01300" w14:textId="0F30F638">
      <w:pPr>
        <w:pStyle w:val="FootnoteText"/>
      </w:pPr>
      <w:r>
        <w:rPr>
          <w:rStyle w:val="FootnoteReference"/>
        </w:rPr>
        <w:footnoteRef/>
      </w:r>
      <w:r>
        <w:t xml:space="preserve"> Petition at 4</w:t>
      </w:r>
      <w:r w:rsidR="007952B2">
        <w:t xml:space="preserve">-5, </w:t>
      </w:r>
      <w:r w:rsidR="001206EB">
        <w:t xml:space="preserve">8, </w:t>
      </w:r>
      <w:r w:rsidR="00D17349">
        <w:t>Exhibit B.</w:t>
      </w:r>
      <w:r w:rsidR="00641E67">
        <w:t xml:space="preserve">  </w:t>
      </w:r>
    </w:p>
  </w:footnote>
  <w:footnote w:id="10">
    <w:p w:rsidR="000474BB" w14:paraId="2168125A" w14:textId="6A560E8E">
      <w:pPr>
        <w:pStyle w:val="FootnoteText"/>
      </w:pPr>
      <w:r>
        <w:rPr>
          <w:rStyle w:val="FootnoteReference"/>
        </w:rPr>
        <w:footnoteRef/>
      </w:r>
      <w:r>
        <w:t xml:space="preserve"> </w:t>
      </w:r>
      <w:r w:rsidR="001206EB">
        <w:rPr>
          <w:i/>
          <w:iCs/>
        </w:rPr>
        <w:t xml:space="preserve">See </w:t>
      </w:r>
      <w:r w:rsidR="0064411A">
        <w:rPr>
          <w:i/>
          <w:iCs/>
        </w:rPr>
        <w:t>i</w:t>
      </w:r>
      <w:r w:rsidR="00D751DE">
        <w:rPr>
          <w:i/>
          <w:iCs/>
        </w:rPr>
        <w:t>d.</w:t>
      </w:r>
      <w:r w:rsidR="001206EB">
        <w:t xml:space="preserve"> at Exhibits B, C.</w:t>
      </w:r>
    </w:p>
  </w:footnote>
  <w:footnote w:id="11">
    <w:p w:rsidR="00401044" w:rsidP="004759AC" w14:paraId="316CCB10" w14:textId="41043AA2">
      <w:pPr>
        <w:pStyle w:val="FootnoteText"/>
      </w:pPr>
      <w:r>
        <w:rPr>
          <w:rStyle w:val="FootnoteReference"/>
        </w:rPr>
        <w:footnoteRef/>
      </w:r>
      <w:r>
        <w:t xml:space="preserve"> </w:t>
      </w:r>
      <w:r w:rsidR="00B05240">
        <w:rPr>
          <w:i/>
          <w:iCs/>
        </w:rPr>
        <w:t xml:space="preserve">See </w:t>
      </w:r>
      <w:r w:rsidR="0064411A">
        <w:rPr>
          <w:i/>
          <w:iCs/>
        </w:rPr>
        <w:t>i</w:t>
      </w:r>
      <w:r w:rsidR="00D751DE">
        <w:rPr>
          <w:i/>
          <w:iCs/>
        </w:rPr>
        <w:t>d.</w:t>
      </w:r>
      <w:r>
        <w:t xml:space="preserve"> at </w:t>
      </w:r>
      <w:r w:rsidR="0001044D">
        <w:t>9</w:t>
      </w:r>
      <w:r w:rsidR="00B05240">
        <w:t xml:space="preserve">, </w:t>
      </w:r>
      <w:r w:rsidR="0001044D">
        <w:t>Exhibits B-C</w:t>
      </w:r>
      <w:r>
        <w:t xml:space="preserve">.  </w:t>
      </w:r>
      <w:r w:rsidR="00FC0355">
        <w:t xml:space="preserve">In total, </w:t>
      </w:r>
      <w:r w:rsidR="008D3745">
        <w:t xml:space="preserve">the proposed </w:t>
      </w:r>
      <w:r w:rsidR="00F65097">
        <w:t xml:space="preserve">investment would result foreign entities and/or individuals holding approximately a 6.5% voting interest in SBS and a </w:t>
      </w:r>
      <w:r w:rsidR="00B21140">
        <w:t>21.3% equity interest in SBS</w:t>
      </w:r>
      <w:r w:rsidR="004D3555">
        <w:t xml:space="preserve"> via ownership of SBS’s Stock</w:t>
      </w:r>
      <w:r w:rsidR="00B21140">
        <w:t xml:space="preserve">.  </w:t>
      </w:r>
      <w:r w:rsidR="006C5107">
        <w:rPr>
          <w:i/>
          <w:iCs/>
        </w:rPr>
        <w:t>Id.</w:t>
      </w:r>
      <w:r w:rsidR="006C5107">
        <w:t xml:space="preserve"> </w:t>
      </w:r>
      <w:r w:rsidR="00B21140">
        <w:t xml:space="preserve">at </w:t>
      </w:r>
      <w:r w:rsidR="0001044D">
        <w:t>Exhibit C</w:t>
      </w:r>
      <w:r w:rsidR="00B21140">
        <w:t xml:space="preserve">.  </w:t>
      </w:r>
      <w:r w:rsidR="004D3555">
        <w:t xml:space="preserve">These foreign shareholders have been identified as </w:t>
      </w:r>
      <w:r w:rsidR="004759AC">
        <w:t>organized in</w:t>
      </w:r>
      <w:r w:rsidR="006C5107">
        <w:t>,</w:t>
      </w:r>
      <w:r w:rsidR="004759AC">
        <w:t xml:space="preserve"> or citizens of</w:t>
      </w:r>
      <w:r w:rsidR="006C5107">
        <w:t>,</w:t>
      </w:r>
      <w:r w:rsidR="004759AC">
        <w:t xml:space="preserve"> Belgium, Brazil, the British Virgin Islands, Canada, the Cayman Islands, Colombia, France, India, Israel, Italy, Latvia, Mexico, the Netherlands, Singapore, the United Kingdom, and Venezuela.  </w:t>
      </w:r>
      <w:r w:rsidR="0001044D">
        <w:rPr>
          <w:i/>
          <w:iCs/>
        </w:rPr>
        <w:t>Id</w:t>
      </w:r>
      <w:r w:rsidRPr="0001044D" w:rsidR="004759AC">
        <w:rPr>
          <w:i/>
          <w:iCs/>
        </w:rPr>
        <w:t>.</w:t>
      </w:r>
    </w:p>
  </w:footnote>
  <w:footnote w:id="12">
    <w:p w:rsidR="0001044D" w14:paraId="6B7EF7DE" w14:textId="7C0C16BE">
      <w:pPr>
        <w:pStyle w:val="FootnoteText"/>
      </w:pPr>
      <w:r>
        <w:rPr>
          <w:rStyle w:val="FootnoteReference"/>
        </w:rPr>
        <w:footnoteRef/>
      </w:r>
      <w:r>
        <w:t xml:space="preserve"> </w:t>
      </w:r>
      <w:r w:rsidR="00D751DE">
        <w:rPr>
          <w:i/>
          <w:iCs/>
        </w:rPr>
        <w:t>Id.</w:t>
      </w:r>
      <w:r>
        <w:t xml:space="preserve"> at 9.</w:t>
      </w:r>
    </w:p>
  </w:footnote>
  <w:footnote w:id="13">
    <w:p w:rsidR="00692EB9" w14:paraId="2885029F" w14:textId="5A0D6EBE">
      <w:pPr>
        <w:pStyle w:val="FootnoteText"/>
      </w:pPr>
      <w:r>
        <w:rPr>
          <w:rStyle w:val="FootnoteReference"/>
        </w:rPr>
        <w:footnoteRef/>
      </w:r>
      <w:r>
        <w:t xml:space="preserve"> </w:t>
      </w:r>
      <w:r w:rsidR="00D751DE">
        <w:rPr>
          <w:i/>
          <w:iCs/>
        </w:rPr>
        <w:t>Id.</w:t>
      </w:r>
      <w:r>
        <w:t xml:space="preserve"> at 9-11.</w:t>
      </w:r>
    </w:p>
  </w:footnote>
  <w:footnote w:id="14">
    <w:p w:rsidR="00EC55D4" w:rsidP="00EC55D4" w14:paraId="2DB7B858" w14:textId="600BCE9B">
      <w:pPr>
        <w:pStyle w:val="FootnoteText"/>
      </w:pPr>
      <w:r>
        <w:rPr>
          <w:rStyle w:val="FootnoteReference"/>
        </w:rPr>
        <w:footnoteRef/>
      </w:r>
      <w:r>
        <w:t xml:space="preserve"> </w:t>
      </w:r>
      <w:r w:rsidRPr="00EC55D4">
        <w:rPr>
          <w:i/>
          <w:iCs/>
        </w:rPr>
        <w:t>See Process Reform for Executive Branch Review of Certain FCC Applications and Petitions Involving Foreign Ownership</w:t>
      </w:r>
      <w:r>
        <w:t>, IB Docket 16-155, Report and Order, 35 FCC Rcd 10927 (2020).</w:t>
      </w:r>
      <w:r w:rsidR="004E1370">
        <w:t xml:space="preserve"> </w:t>
      </w:r>
      <w:r>
        <w:t xml:space="preserve"> </w:t>
      </w:r>
      <w:r w:rsidRPr="00EC55D4">
        <w:rPr>
          <w:i/>
          <w:iCs/>
        </w:rPr>
        <w:t>See also Rules and Policies on Foreign Participation in the U.S. Telecommunications Market; Market Entry and Regulation of Foreign- Affiliated Entities</w:t>
      </w:r>
      <w:r>
        <w:t>, IB Docket Nos. 97-142 and 95-22, Report and Order and Order on Reconsideration, 12 FCC Rcd 23891, 23918-19, paras. 61-63 (1997) (</w:t>
      </w:r>
      <w:r w:rsidRPr="00D751DE">
        <w:rPr>
          <w:i/>
          <w:iCs/>
        </w:rPr>
        <w:t>Foreign Participation Order</w:t>
      </w:r>
      <w:r>
        <w:t>), recon. denied, 15 FCC Rcd 18158 (2000).</w:t>
      </w:r>
    </w:p>
  </w:footnote>
  <w:footnote w:id="15">
    <w:p w:rsidR="00624B0B" w:rsidRPr="002646AC" w:rsidP="00624B0B" w14:paraId="156214B3" w14:textId="77777777">
      <w:pPr>
        <w:pStyle w:val="FootnoteText"/>
        <w:widowControl w:val="0"/>
      </w:pPr>
      <w:r w:rsidRPr="002646AC">
        <w:rPr>
          <w:rStyle w:val="FootnoteReference"/>
        </w:rPr>
        <w:footnoteRef/>
      </w:r>
      <w:r w:rsidRPr="002646AC">
        <w:t xml:space="preserve"> 47 CFR § 1.1200(a).</w:t>
      </w:r>
    </w:p>
  </w:footnote>
  <w:footnote w:id="16">
    <w:p w:rsidR="00624B0B" w:rsidRPr="002646AC" w:rsidP="00624B0B" w14:paraId="6EC0D118" w14:textId="77777777">
      <w:pPr>
        <w:pStyle w:val="FootnoteText"/>
        <w:widowControl w:val="0"/>
      </w:pPr>
      <w:r w:rsidRPr="002646AC">
        <w:rPr>
          <w:rStyle w:val="FootnoteReference"/>
        </w:rPr>
        <w:footnoteRef/>
      </w:r>
      <w:r w:rsidRPr="002646AC">
        <w:t xml:space="preserve"> </w:t>
      </w:r>
      <w:r w:rsidRPr="002646AC">
        <w:rPr>
          <w:i/>
        </w:rPr>
        <w:t>See</w:t>
      </w:r>
      <w:r w:rsidRPr="002646AC">
        <w:t xml:space="preserve"> </w:t>
      </w:r>
      <w:bookmarkStart w:id="4" w:name="_Hlk72341813"/>
      <w:r w:rsidRPr="002646AC">
        <w:rPr>
          <w:iCs/>
        </w:rPr>
        <w:t>47 CFR</w:t>
      </w:r>
      <w:r w:rsidRPr="002646AC">
        <w:t xml:space="preserve"> § 1.1206.</w:t>
      </w:r>
      <w:bookmarkEnd w:id="4"/>
    </w:p>
  </w:footnote>
  <w:footnote w:id="17">
    <w:p w:rsidR="00FB6508" w14:paraId="031C2A3D" w14:textId="135A0B0C">
      <w:pPr>
        <w:pStyle w:val="FootnoteText"/>
      </w:pPr>
      <w:r>
        <w:rPr>
          <w:rStyle w:val="FootnoteReference"/>
        </w:rPr>
        <w:footnoteRef/>
      </w:r>
      <w:r>
        <w:t xml:space="preserve"> </w:t>
      </w:r>
      <w:r w:rsidR="007A0126">
        <w:rPr>
          <w:snapToGrid w:val="0"/>
        </w:rPr>
        <w:t>47 CFR § 1.1206(b)(1).</w:t>
      </w:r>
    </w:p>
  </w:footnote>
  <w:footnote w:id="18">
    <w:p w:rsidR="001A4CA3" w14:paraId="079CDC49" w14:textId="32AA9FB3">
      <w:pPr>
        <w:pStyle w:val="FootnoteText"/>
      </w:pPr>
      <w:r>
        <w:rPr>
          <w:rStyle w:val="FootnoteReference"/>
        </w:rPr>
        <w:footnoteRef/>
      </w:r>
      <w:r>
        <w:t xml:space="preserve"> </w:t>
      </w:r>
      <w:r w:rsidR="005F595A">
        <w:rPr>
          <w:i/>
          <w:iCs/>
        </w:rPr>
        <w:t>Id</w:t>
      </w:r>
      <w:r w:rsidRPr="001A4CA3">
        <w:t>.</w:t>
      </w:r>
    </w:p>
  </w:footnote>
  <w:footnote w:id="19">
    <w:p w:rsidR="00624B0B" w:rsidRPr="002646AC" w:rsidP="00624B0B" w14:paraId="76227D27" w14:textId="40D815EC">
      <w:pPr>
        <w:pStyle w:val="FootnoteText"/>
        <w:widowControl w:val="0"/>
      </w:pPr>
      <w:r w:rsidRPr="002646AC">
        <w:rPr>
          <w:rStyle w:val="FootnoteReference"/>
        </w:rPr>
        <w:footnoteRef/>
      </w:r>
      <w:r w:rsidRPr="002646AC">
        <w:t xml:space="preserve"> 47 CFR § 1.1206(b)</w:t>
      </w:r>
      <w:r w:rsidR="009D3FE4">
        <w:t>.</w:t>
      </w:r>
    </w:p>
  </w:footnote>
  <w:footnote w:id="20">
    <w:p w:rsidR="00624B0B" w:rsidRPr="00BF1DD9" w:rsidP="00624B0B" w14:paraId="24282FB0" w14:textId="27A72661">
      <w:pPr>
        <w:pStyle w:val="FootnoteText"/>
        <w:widowControl w:val="0"/>
      </w:pPr>
      <w:r w:rsidRPr="002646AC">
        <w:rPr>
          <w:rStyle w:val="FootnoteReference"/>
        </w:rPr>
        <w:footnoteRef/>
      </w:r>
      <w:r w:rsidRPr="002646AC">
        <w:t xml:space="preserve"> </w:t>
      </w:r>
      <w:r w:rsidR="00AB3D1F">
        <w:rPr>
          <w:i/>
          <w:iCs/>
        </w:rPr>
        <w:t xml:space="preserve">See </w:t>
      </w:r>
      <w:r w:rsidRPr="002646AC">
        <w:t>47 CFR § 1.120</w:t>
      </w:r>
      <w:r w:rsidR="00F27E49">
        <w:t xml:space="preserve">0 </w:t>
      </w:r>
      <w:r w:rsidRPr="0083761B" w:rsidR="00F27E49">
        <w:rPr>
          <w:i/>
          <w:iCs/>
        </w:rPr>
        <w:t>et seq.</w:t>
      </w:r>
    </w:p>
  </w:footnote>
  <w:footnote w:id="21">
    <w:p w:rsidR="00624B0B" w:rsidP="00624B0B" w14:paraId="69AD4523"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22">
    <w:p w:rsidR="00624B0B" w:rsidRPr="00EC6B9A" w:rsidP="00624B0B" w14:paraId="3742347F"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23">
    <w:p w:rsidR="00624B0B" w:rsidP="00624B0B" w14:paraId="01E4AB61"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20B39424" w14:textId="55BAEA26">
    <w:pPr>
      <w:tabs>
        <w:tab w:val="center" w:pos="4680"/>
        <w:tab w:val="right" w:pos="9360"/>
      </w:tabs>
    </w:pPr>
    <w:r>
      <w:rPr>
        <w:b/>
      </w:rPr>
      <w:tab/>
    </w:r>
    <w:r>
      <w:rPr>
        <w:b/>
      </w:rPr>
      <w:t>Federal Communications Commission</w:t>
    </w:r>
    <w:r>
      <w:rPr>
        <w:b/>
      </w:rPr>
      <w:tab/>
    </w:r>
    <w:r w:rsidRPr="00D751DE" w:rsidR="00096397">
      <w:rPr>
        <w:b/>
        <w:szCs w:val="22"/>
      </w:rPr>
      <w:t>DA 22-</w:t>
    </w:r>
    <w:r w:rsidR="000327F6">
      <w:rPr>
        <w:b/>
        <w:szCs w:val="22"/>
      </w:rPr>
      <w:t>142</w:t>
    </w:r>
    <w:r w:rsidRPr="00096397" w:rsidR="00096397">
      <w:rPr>
        <w:b/>
        <w:szCs w:val="22"/>
      </w:rPr>
      <w:t xml:space="preserve"> </w:t>
    </w:r>
  </w:p>
  <w:p w:rsidR="00344BF3" w14:paraId="2446E1BA" w14:textId="0DAFA9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4BF3" w14:paraId="4E4E5C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920F984" w14:textId="4C2D5C61">
    <w:pPr>
      <w:pStyle w:val="Header"/>
      <w:ind w:left="-990"/>
      <w:rPr>
        <w:noProof/>
        <w:snapToGrid/>
        <w:sz w:val="20"/>
        <w:szCs w:val="20"/>
      </w:rPr>
    </w:pPr>
    <w:r>
      <w:rPr>
        <w:noProof/>
        <w:snapToGrid/>
      </w:rPr>
      <w:drawing>
        <wp:inline distT="0" distB="0" distL="0" distR="0">
          <wp:extent cx="65055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5575" cy="1447800"/>
                  </a:xfrm>
                  <a:prstGeom prst="rect">
                    <a:avLst/>
                  </a:prstGeom>
                  <a:noFill/>
                  <a:ln>
                    <a:noFill/>
                  </a:ln>
                </pic:spPr>
              </pic:pic>
            </a:graphicData>
          </a:graphic>
        </wp:inline>
      </w:drawing>
    </w:r>
  </w:p>
  <w:p w:rsidR="00344BF3" w14:paraId="011146C0"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B"/>
    <w:rsid w:val="00001932"/>
    <w:rsid w:val="00002482"/>
    <w:rsid w:val="000028C0"/>
    <w:rsid w:val="000039F8"/>
    <w:rsid w:val="00006239"/>
    <w:rsid w:val="0001044D"/>
    <w:rsid w:val="0001061E"/>
    <w:rsid w:val="00010E5B"/>
    <w:rsid w:val="00011F15"/>
    <w:rsid w:val="00013DCD"/>
    <w:rsid w:val="00015169"/>
    <w:rsid w:val="000158EF"/>
    <w:rsid w:val="00015FF3"/>
    <w:rsid w:val="00016F1B"/>
    <w:rsid w:val="000202DC"/>
    <w:rsid w:val="00020AF9"/>
    <w:rsid w:val="00022C63"/>
    <w:rsid w:val="0002301B"/>
    <w:rsid w:val="00023864"/>
    <w:rsid w:val="00023DF2"/>
    <w:rsid w:val="00023FC4"/>
    <w:rsid w:val="0002623F"/>
    <w:rsid w:val="00026EED"/>
    <w:rsid w:val="000327F6"/>
    <w:rsid w:val="0003422E"/>
    <w:rsid w:val="00034711"/>
    <w:rsid w:val="00034E7D"/>
    <w:rsid w:val="00041847"/>
    <w:rsid w:val="00041AE2"/>
    <w:rsid w:val="0004506A"/>
    <w:rsid w:val="00045AC9"/>
    <w:rsid w:val="0004622D"/>
    <w:rsid w:val="000474BB"/>
    <w:rsid w:val="00050060"/>
    <w:rsid w:val="000503F6"/>
    <w:rsid w:val="000504EF"/>
    <w:rsid w:val="00051CA4"/>
    <w:rsid w:val="00052650"/>
    <w:rsid w:val="00055072"/>
    <w:rsid w:val="00056766"/>
    <w:rsid w:val="000568A8"/>
    <w:rsid w:val="000572A9"/>
    <w:rsid w:val="000608A3"/>
    <w:rsid w:val="00062547"/>
    <w:rsid w:val="00063FEC"/>
    <w:rsid w:val="00064696"/>
    <w:rsid w:val="00065309"/>
    <w:rsid w:val="000654E3"/>
    <w:rsid w:val="00065C37"/>
    <w:rsid w:val="00066F97"/>
    <w:rsid w:val="000702B1"/>
    <w:rsid w:val="00070E39"/>
    <w:rsid w:val="00073995"/>
    <w:rsid w:val="0007433A"/>
    <w:rsid w:val="00076F0C"/>
    <w:rsid w:val="000805EE"/>
    <w:rsid w:val="00081449"/>
    <w:rsid w:val="00084676"/>
    <w:rsid w:val="00084DDC"/>
    <w:rsid w:val="0008569F"/>
    <w:rsid w:val="000919E5"/>
    <w:rsid w:val="00091FE0"/>
    <w:rsid w:val="000921C3"/>
    <w:rsid w:val="0009261F"/>
    <w:rsid w:val="00094896"/>
    <w:rsid w:val="000952DC"/>
    <w:rsid w:val="000961EF"/>
    <w:rsid w:val="00096397"/>
    <w:rsid w:val="000A08DF"/>
    <w:rsid w:val="000A437E"/>
    <w:rsid w:val="000A531C"/>
    <w:rsid w:val="000A55D0"/>
    <w:rsid w:val="000B01EC"/>
    <w:rsid w:val="000B0B67"/>
    <w:rsid w:val="000B33BB"/>
    <w:rsid w:val="000B3F12"/>
    <w:rsid w:val="000B4F4B"/>
    <w:rsid w:val="000B5123"/>
    <w:rsid w:val="000B5D80"/>
    <w:rsid w:val="000B6FD4"/>
    <w:rsid w:val="000B738C"/>
    <w:rsid w:val="000B74CB"/>
    <w:rsid w:val="000B78DD"/>
    <w:rsid w:val="000C0CEF"/>
    <w:rsid w:val="000C1334"/>
    <w:rsid w:val="000C1643"/>
    <w:rsid w:val="000C2FBC"/>
    <w:rsid w:val="000C3126"/>
    <w:rsid w:val="000C459E"/>
    <w:rsid w:val="000C470A"/>
    <w:rsid w:val="000C5314"/>
    <w:rsid w:val="000C6030"/>
    <w:rsid w:val="000D03A8"/>
    <w:rsid w:val="000D16B3"/>
    <w:rsid w:val="000D2924"/>
    <w:rsid w:val="000D4125"/>
    <w:rsid w:val="000D6652"/>
    <w:rsid w:val="000E1211"/>
    <w:rsid w:val="000E1385"/>
    <w:rsid w:val="000E158F"/>
    <w:rsid w:val="000E35F2"/>
    <w:rsid w:val="000E5C50"/>
    <w:rsid w:val="000E6A46"/>
    <w:rsid w:val="000E768A"/>
    <w:rsid w:val="000F09EA"/>
    <w:rsid w:val="000F1179"/>
    <w:rsid w:val="000F19DA"/>
    <w:rsid w:val="000F4594"/>
    <w:rsid w:val="000F5926"/>
    <w:rsid w:val="000F6352"/>
    <w:rsid w:val="000F66FB"/>
    <w:rsid w:val="000F6D89"/>
    <w:rsid w:val="001030FF"/>
    <w:rsid w:val="001033BB"/>
    <w:rsid w:val="00104646"/>
    <w:rsid w:val="00105D32"/>
    <w:rsid w:val="00111752"/>
    <w:rsid w:val="00112A2B"/>
    <w:rsid w:val="00112C92"/>
    <w:rsid w:val="001141B3"/>
    <w:rsid w:val="0011604C"/>
    <w:rsid w:val="001162E0"/>
    <w:rsid w:val="001206EB"/>
    <w:rsid w:val="001217B0"/>
    <w:rsid w:val="001222B7"/>
    <w:rsid w:val="00122858"/>
    <w:rsid w:val="001236FF"/>
    <w:rsid w:val="00123CFC"/>
    <w:rsid w:val="0012465E"/>
    <w:rsid w:val="00124C1E"/>
    <w:rsid w:val="00125AE7"/>
    <w:rsid w:val="00130A5A"/>
    <w:rsid w:val="001337E9"/>
    <w:rsid w:val="00135255"/>
    <w:rsid w:val="00135DE1"/>
    <w:rsid w:val="00136087"/>
    <w:rsid w:val="0013697E"/>
    <w:rsid w:val="0013698F"/>
    <w:rsid w:val="0013721E"/>
    <w:rsid w:val="00137E0A"/>
    <w:rsid w:val="0014040F"/>
    <w:rsid w:val="00141059"/>
    <w:rsid w:val="0014167C"/>
    <w:rsid w:val="00142669"/>
    <w:rsid w:val="0014478E"/>
    <w:rsid w:val="00144948"/>
    <w:rsid w:val="001451B1"/>
    <w:rsid w:val="001453A5"/>
    <w:rsid w:val="00146433"/>
    <w:rsid w:val="00147585"/>
    <w:rsid w:val="001476E4"/>
    <w:rsid w:val="00147E5E"/>
    <w:rsid w:val="001552C9"/>
    <w:rsid w:val="00155339"/>
    <w:rsid w:val="00155C63"/>
    <w:rsid w:val="00156EAE"/>
    <w:rsid w:val="00157287"/>
    <w:rsid w:val="001579F4"/>
    <w:rsid w:val="00161E6F"/>
    <w:rsid w:val="00163D82"/>
    <w:rsid w:val="00164500"/>
    <w:rsid w:val="00166920"/>
    <w:rsid w:val="0017121A"/>
    <w:rsid w:val="0017168F"/>
    <w:rsid w:val="001718EA"/>
    <w:rsid w:val="00174304"/>
    <w:rsid w:val="0017436D"/>
    <w:rsid w:val="00174381"/>
    <w:rsid w:val="00174597"/>
    <w:rsid w:val="001755B8"/>
    <w:rsid w:val="00177C96"/>
    <w:rsid w:val="00180F05"/>
    <w:rsid w:val="00181972"/>
    <w:rsid w:val="001823CA"/>
    <w:rsid w:val="00185B9C"/>
    <w:rsid w:val="00186DC8"/>
    <w:rsid w:val="00186E1B"/>
    <w:rsid w:val="00190B44"/>
    <w:rsid w:val="00190F78"/>
    <w:rsid w:val="00192B03"/>
    <w:rsid w:val="001972FA"/>
    <w:rsid w:val="00197F38"/>
    <w:rsid w:val="001A2E98"/>
    <w:rsid w:val="001A2ED6"/>
    <w:rsid w:val="001A4CA3"/>
    <w:rsid w:val="001A676F"/>
    <w:rsid w:val="001A767B"/>
    <w:rsid w:val="001B24FD"/>
    <w:rsid w:val="001B2E5E"/>
    <w:rsid w:val="001B427C"/>
    <w:rsid w:val="001B6221"/>
    <w:rsid w:val="001B6911"/>
    <w:rsid w:val="001C2116"/>
    <w:rsid w:val="001C3CEF"/>
    <w:rsid w:val="001C3E0E"/>
    <w:rsid w:val="001C47A4"/>
    <w:rsid w:val="001C62F9"/>
    <w:rsid w:val="001D4371"/>
    <w:rsid w:val="001D47A8"/>
    <w:rsid w:val="001D57DF"/>
    <w:rsid w:val="001E1041"/>
    <w:rsid w:val="001E105E"/>
    <w:rsid w:val="001E2AFB"/>
    <w:rsid w:val="001E3581"/>
    <w:rsid w:val="001E54B7"/>
    <w:rsid w:val="001F00D8"/>
    <w:rsid w:val="001F33F2"/>
    <w:rsid w:val="001F3D4F"/>
    <w:rsid w:val="001F50FD"/>
    <w:rsid w:val="001F53F1"/>
    <w:rsid w:val="001F55D6"/>
    <w:rsid w:val="001F5BE0"/>
    <w:rsid w:val="001F6C3B"/>
    <w:rsid w:val="001F7648"/>
    <w:rsid w:val="002012AE"/>
    <w:rsid w:val="00201C76"/>
    <w:rsid w:val="002023D9"/>
    <w:rsid w:val="00202863"/>
    <w:rsid w:val="00203BD8"/>
    <w:rsid w:val="002051FC"/>
    <w:rsid w:val="00206405"/>
    <w:rsid w:val="00211013"/>
    <w:rsid w:val="0021124F"/>
    <w:rsid w:val="00211998"/>
    <w:rsid w:val="002140D8"/>
    <w:rsid w:val="00215B04"/>
    <w:rsid w:val="00216B64"/>
    <w:rsid w:val="00217CE6"/>
    <w:rsid w:val="00217DD3"/>
    <w:rsid w:val="00220F68"/>
    <w:rsid w:val="002224DC"/>
    <w:rsid w:val="002227FD"/>
    <w:rsid w:val="00225023"/>
    <w:rsid w:val="002262B2"/>
    <w:rsid w:val="00227555"/>
    <w:rsid w:val="00232646"/>
    <w:rsid w:val="002326A1"/>
    <w:rsid w:val="00233994"/>
    <w:rsid w:val="00233AF7"/>
    <w:rsid w:val="00235AE7"/>
    <w:rsid w:val="00242779"/>
    <w:rsid w:val="00245917"/>
    <w:rsid w:val="002460EA"/>
    <w:rsid w:val="00246253"/>
    <w:rsid w:val="00246497"/>
    <w:rsid w:val="00247A53"/>
    <w:rsid w:val="00247A98"/>
    <w:rsid w:val="0025226D"/>
    <w:rsid w:val="00252293"/>
    <w:rsid w:val="002526E0"/>
    <w:rsid w:val="002526EC"/>
    <w:rsid w:val="00252FBE"/>
    <w:rsid w:val="002545E1"/>
    <w:rsid w:val="00254EC4"/>
    <w:rsid w:val="0025503A"/>
    <w:rsid w:val="00255187"/>
    <w:rsid w:val="0025534B"/>
    <w:rsid w:val="0025618C"/>
    <w:rsid w:val="00256FDC"/>
    <w:rsid w:val="002570CD"/>
    <w:rsid w:val="002612DB"/>
    <w:rsid w:val="00261BA7"/>
    <w:rsid w:val="00262043"/>
    <w:rsid w:val="002646AC"/>
    <w:rsid w:val="00267DCC"/>
    <w:rsid w:val="00267EE0"/>
    <w:rsid w:val="002726D1"/>
    <w:rsid w:val="002765D2"/>
    <w:rsid w:val="002802C7"/>
    <w:rsid w:val="00280EBF"/>
    <w:rsid w:val="00281952"/>
    <w:rsid w:val="00283392"/>
    <w:rsid w:val="002864A1"/>
    <w:rsid w:val="00290635"/>
    <w:rsid w:val="00290862"/>
    <w:rsid w:val="002919E3"/>
    <w:rsid w:val="00292D08"/>
    <w:rsid w:val="002934FD"/>
    <w:rsid w:val="00295552"/>
    <w:rsid w:val="00296082"/>
    <w:rsid w:val="002A22E1"/>
    <w:rsid w:val="002A3B26"/>
    <w:rsid w:val="002A4AFD"/>
    <w:rsid w:val="002A66C0"/>
    <w:rsid w:val="002B10D5"/>
    <w:rsid w:val="002B2125"/>
    <w:rsid w:val="002B4D95"/>
    <w:rsid w:val="002C0589"/>
    <w:rsid w:val="002C1C83"/>
    <w:rsid w:val="002C1D6E"/>
    <w:rsid w:val="002C2D88"/>
    <w:rsid w:val="002C2DCC"/>
    <w:rsid w:val="002C3909"/>
    <w:rsid w:val="002C4068"/>
    <w:rsid w:val="002C45DE"/>
    <w:rsid w:val="002C4FBD"/>
    <w:rsid w:val="002C5ECB"/>
    <w:rsid w:val="002D3650"/>
    <w:rsid w:val="002D4145"/>
    <w:rsid w:val="002D44A6"/>
    <w:rsid w:val="002D4C1D"/>
    <w:rsid w:val="002D57C8"/>
    <w:rsid w:val="002D58C3"/>
    <w:rsid w:val="002D5979"/>
    <w:rsid w:val="002D7521"/>
    <w:rsid w:val="002E106F"/>
    <w:rsid w:val="002E18C7"/>
    <w:rsid w:val="002E1C0B"/>
    <w:rsid w:val="002E26C5"/>
    <w:rsid w:val="002E346B"/>
    <w:rsid w:val="002E4966"/>
    <w:rsid w:val="002E6E4A"/>
    <w:rsid w:val="002F011A"/>
    <w:rsid w:val="002F1D8D"/>
    <w:rsid w:val="002F2D90"/>
    <w:rsid w:val="002F3A04"/>
    <w:rsid w:val="002F62FD"/>
    <w:rsid w:val="00300FB8"/>
    <w:rsid w:val="00302037"/>
    <w:rsid w:val="0030282F"/>
    <w:rsid w:val="00302C6F"/>
    <w:rsid w:val="00303AC1"/>
    <w:rsid w:val="00304EF2"/>
    <w:rsid w:val="003055C7"/>
    <w:rsid w:val="00306FAA"/>
    <w:rsid w:val="0030768E"/>
    <w:rsid w:val="00307981"/>
    <w:rsid w:val="003109A6"/>
    <w:rsid w:val="00310BFA"/>
    <w:rsid w:val="003137B4"/>
    <w:rsid w:val="00313904"/>
    <w:rsid w:val="00313A29"/>
    <w:rsid w:val="0031432E"/>
    <w:rsid w:val="00315FCC"/>
    <w:rsid w:val="0032026D"/>
    <w:rsid w:val="00320AD7"/>
    <w:rsid w:val="00320CB0"/>
    <w:rsid w:val="003239A1"/>
    <w:rsid w:val="00323A80"/>
    <w:rsid w:val="00323EA2"/>
    <w:rsid w:val="00325DBC"/>
    <w:rsid w:val="00326901"/>
    <w:rsid w:val="00326DC9"/>
    <w:rsid w:val="0032705A"/>
    <w:rsid w:val="00327106"/>
    <w:rsid w:val="00334BE3"/>
    <w:rsid w:val="00334CB0"/>
    <w:rsid w:val="00335DBC"/>
    <w:rsid w:val="003379FE"/>
    <w:rsid w:val="003411E0"/>
    <w:rsid w:val="003416CA"/>
    <w:rsid w:val="00341DF2"/>
    <w:rsid w:val="00342C27"/>
    <w:rsid w:val="00344BF3"/>
    <w:rsid w:val="00345F2D"/>
    <w:rsid w:val="00347BC1"/>
    <w:rsid w:val="003503F7"/>
    <w:rsid w:val="00352C22"/>
    <w:rsid w:val="00353807"/>
    <w:rsid w:val="00353EC2"/>
    <w:rsid w:val="0035407A"/>
    <w:rsid w:val="00354560"/>
    <w:rsid w:val="00354F65"/>
    <w:rsid w:val="00355F77"/>
    <w:rsid w:val="003565AE"/>
    <w:rsid w:val="00356AE4"/>
    <w:rsid w:val="00356B29"/>
    <w:rsid w:val="00356E4A"/>
    <w:rsid w:val="0036067D"/>
    <w:rsid w:val="00367A38"/>
    <w:rsid w:val="003715EA"/>
    <w:rsid w:val="00372553"/>
    <w:rsid w:val="0037371C"/>
    <w:rsid w:val="00374190"/>
    <w:rsid w:val="003752B2"/>
    <w:rsid w:val="003766CF"/>
    <w:rsid w:val="00377098"/>
    <w:rsid w:val="0038012F"/>
    <w:rsid w:val="0038065E"/>
    <w:rsid w:val="00380B8D"/>
    <w:rsid w:val="00380BBE"/>
    <w:rsid w:val="00382D74"/>
    <w:rsid w:val="00383A59"/>
    <w:rsid w:val="00384D19"/>
    <w:rsid w:val="00387ADE"/>
    <w:rsid w:val="003904E4"/>
    <w:rsid w:val="00392B54"/>
    <w:rsid w:val="003953A1"/>
    <w:rsid w:val="0039689F"/>
    <w:rsid w:val="00396DAE"/>
    <w:rsid w:val="003A06E9"/>
    <w:rsid w:val="003A0C0C"/>
    <w:rsid w:val="003A0CCC"/>
    <w:rsid w:val="003A11FF"/>
    <w:rsid w:val="003A311C"/>
    <w:rsid w:val="003A3D4A"/>
    <w:rsid w:val="003A5236"/>
    <w:rsid w:val="003A5350"/>
    <w:rsid w:val="003A53CA"/>
    <w:rsid w:val="003A6403"/>
    <w:rsid w:val="003A7052"/>
    <w:rsid w:val="003A7A62"/>
    <w:rsid w:val="003A7C4E"/>
    <w:rsid w:val="003B07B9"/>
    <w:rsid w:val="003B15FF"/>
    <w:rsid w:val="003B184E"/>
    <w:rsid w:val="003B1CBA"/>
    <w:rsid w:val="003B2776"/>
    <w:rsid w:val="003B2A28"/>
    <w:rsid w:val="003B408C"/>
    <w:rsid w:val="003B56F6"/>
    <w:rsid w:val="003B6F09"/>
    <w:rsid w:val="003C0907"/>
    <w:rsid w:val="003C188E"/>
    <w:rsid w:val="003C19C9"/>
    <w:rsid w:val="003C2AF7"/>
    <w:rsid w:val="003C2B07"/>
    <w:rsid w:val="003C3A37"/>
    <w:rsid w:val="003C5C69"/>
    <w:rsid w:val="003D0831"/>
    <w:rsid w:val="003D1481"/>
    <w:rsid w:val="003D1902"/>
    <w:rsid w:val="003D225F"/>
    <w:rsid w:val="003D4242"/>
    <w:rsid w:val="003D5546"/>
    <w:rsid w:val="003D5E34"/>
    <w:rsid w:val="003D6506"/>
    <w:rsid w:val="003D7148"/>
    <w:rsid w:val="003E023C"/>
    <w:rsid w:val="003E05AE"/>
    <w:rsid w:val="003E0FE0"/>
    <w:rsid w:val="003E39E8"/>
    <w:rsid w:val="003E3B49"/>
    <w:rsid w:val="003E4037"/>
    <w:rsid w:val="003E61CB"/>
    <w:rsid w:val="003F0E9A"/>
    <w:rsid w:val="003F5293"/>
    <w:rsid w:val="003F6351"/>
    <w:rsid w:val="003F77A1"/>
    <w:rsid w:val="00401044"/>
    <w:rsid w:val="00401B6A"/>
    <w:rsid w:val="00402A69"/>
    <w:rsid w:val="00402C59"/>
    <w:rsid w:val="0040524F"/>
    <w:rsid w:val="00405702"/>
    <w:rsid w:val="00405D6D"/>
    <w:rsid w:val="004069CB"/>
    <w:rsid w:val="00411787"/>
    <w:rsid w:val="00412147"/>
    <w:rsid w:val="00412E23"/>
    <w:rsid w:val="004131C6"/>
    <w:rsid w:val="004131D1"/>
    <w:rsid w:val="00414C06"/>
    <w:rsid w:val="0041534A"/>
    <w:rsid w:val="00415E09"/>
    <w:rsid w:val="00415FCB"/>
    <w:rsid w:val="004200CE"/>
    <w:rsid w:val="00420278"/>
    <w:rsid w:val="004211FD"/>
    <w:rsid w:val="004247A5"/>
    <w:rsid w:val="004304CA"/>
    <w:rsid w:val="00430A31"/>
    <w:rsid w:val="00430B49"/>
    <w:rsid w:val="00431463"/>
    <w:rsid w:val="00432212"/>
    <w:rsid w:val="004327C4"/>
    <w:rsid w:val="00432E91"/>
    <w:rsid w:val="00435EC9"/>
    <w:rsid w:val="0043685F"/>
    <w:rsid w:val="00437637"/>
    <w:rsid w:val="00441140"/>
    <w:rsid w:val="00442647"/>
    <w:rsid w:val="00442D58"/>
    <w:rsid w:val="00443B78"/>
    <w:rsid w:val="0044421A"/>
    <w:rsid w:val="00444845"/>
    <w:rsid w:val="00444F7E"/>
    <w:rsid w:val="0044556A"/>
    <w:rsid w:val="00445B4C"/>
    <w:rsid w:val="0044603B"/>
    <w:rsid w:val="00447C89"/>
    <w:rsid w:val="004505DE"/>
    <w:rsid w:val="00452681"/>
    <w:rsid w:val="004528A1"/>
    <w:rsid w:val="0045618A"/>
    <w:rsid w:val="004563B8"/>
    <w:rsid w:val="00456842"/>
    <w:rsid w:val="004569F6"/>
    <w:rsid w:val="00456F5F"/>
    <w:rsid w:val="00460229"/>
    <w:rsid w:val="004607BE"/>
    <w:rsid w:val="0046159F"/>
    <w:rsid w:val="00462201"/>
    <w:rsid w:val="004624EC"/>
    <w:rsid w:val="004634D9"/>
    <w:rsid w:val="00470A02"/>
    <w:rsid w:val="00472E85"/>
    <w:rsid w:val="0047369D"/>
    <w:rsid w:val="004741CD"/>
    <w:rsid w:val="0047491F"/>
    <w:rsid w:val="004759AC"/>
    <w:rsid w:val="00475F54"/>
    <w:rsid w:val="00475FD9"/>
    <w:rsid w:val="00476030"/>
    <w:rsid w:val="00476D56"/>
    <w:rsid w:val="00476FFB"/>
    <w:rsid w:val="00477194"/>
    <w:rsid w:val="00477555"/>
    <w:rsid w:val="00477B28"/>
    <w:rsid w:val="00481763"/>
    <w:rsid w:val="0048280D"/>
    <w:rsid w:val="00482972"/>
    <w:rsid w:val="004833B4"/>
    <w:rsid w:val="00483855"/>
    <w:rsid w:val="00484E3D"/>
    <w:rsid w:val="00485C95"/>
    <w:rsid w:val="004861E5"/>
    <w:rsid w:val="004864F3"/>
    <w:rsid w:val="00487962"/>
    <w:rsid w:val="00487B08"/>
    <w:rsid w:val="00487D41"/>
    <w:rsid w:val="00491370"/>
    <w:rsid w:val="00491792"/>
    <w:rsid w:val="004919D1"/>
    <w:rsid w:val="004920B9"/>
    <w:rsid w:val="00493A7D"/>
    <w:rsid w:val="004948B2"/>
    <w:rsid w:val="00494C4F"/>
    <w:rsid w:val="0049633F"/>
    <w:rsid w:val="004A0CEF"/>
    <w:rsid w:val="004A12C6"/>
    <w:rsid w:val="004A1795"/>
    <w:rsid w:val="004A17E6"/>
    <w:rsid w:val="004A4C29"/>
    <w:rsid w:val="004A5A65"/>
    <w:rsid w:val="004A6F1B"/>
    <w:rsid w:val="004B18BC"/>
    <w:rsid w:val="004B1946"/>
    <w:rsid w:val="004B20D3"/>
    <w:rsid w:val="004B2AC6"/>
    <w:rsid w:val="004B30BE"/>
    <w:rsid w:val="004B3435"/>
    <w:rsid w:val="004B379B"/>
    <w:rsid w:val="004B3D2C"/>
    <w:rsid w:val="004B4423"/>
    <w:rsid w:val="004B560C"/>
    <w:rsid w:val="004B569F"/>
    <w:rsid w:val="004B5CC2"/>
    <w:rsid w:val="004B6A20"/>
    <w:rsid w:val="004C17C1"/>
    <w:rsid w:val="004C5634"/>
    <w:rsid w:val="004D177B"/>
    <w:rsid w:val="004D2066"/>
    <w:rsid w:val="004D3555"/>
    <w:rsid w:val="004D35C7"/>
    <w:rsid w:val="004D576A"/>
    <w:rsid w:val="004D6871"/>
    <w:rsid w:val="004D6C34"/>
    <w:rsid w:val="004E0D48"/>
    <w:rsid w:val="004E1370"/>
    <w:rsid w:val="004E1E08"/>
    <w:rsid w:val="004E1EEC"/>
    <w:rsid w:val="004E2D3F"/>
    <w:rsid w:val="004E3803"/>
    <w:rsid w:val="004E52EA"/>
    <w:rsid w:val="004E75F9"/>
    <w:rsid w:val="004F24F1"/>
    <w:rsid w:val="004F2A8C"/>
    <w:rsid w:val="004F3CC0"/>
    <w:rsid w:val="004F3D71"/>
    <w:rsid w:val="004F48F7"/>
    <w:rsid w:val="004F4F01"/>
    <w:rsid w:val="004F7A42"/>
    <w:rsid w:val="00501565"/>
    <w:rsid w:val="00501BCC"/>
    <w:rsid w:val="00502F6C"/>
    <w:rsid w:val="00504D67"/>
    <w:rsid w:val="0050518A"/>
    <w:rsid w:val="00505F2F"/>
    <w:rsid w:val="00506AA2"/>
    <w:rsid w:val="00512710"/>
    <w:rsid w:val="00514160"/>
    <w:rsid w:val="005142BC"/>
    <w:rsid w:val="005152E0"/>
    <w:rsid w:val="00521D9B"/>
    <w:rsid w:val="00523B35"/>
    <w:rsid w:val="00525B68"/>
    <w:rsid w:val="00527752"/>
    <w:rsid w:val="005279D8"/>
    <w:rsid w:val="0053080D"/>
    <w:rsid w:val="00530CE2"/>
    <w:rsid w:val="00534FCA"/>
    <w:rsid w:val="005379AB"/>
    <w:rsid w:val="0054190C"/>
    <w:rsid w:val="00543046"/>
    <w:rsid w:val="00544266"/>
    <w:rsid w:val="00544E0E"/>
    <w:rsid w:val="005457B9"/>
    <w:rsid w:val="00547C23"/>
    <w:rsid w:val="00550A80"/>
    <w:rsid w:val="00550FEF"/>
    <w:rsid w:val="00551E7A"/>
    <w:rsid w:val="00552556"/>
    <w:rsid w:val="00552CDD"/>
    <w:rsid w:val="005545A6"/>
    <w:rsid w:val="005602DF"/>
    <w:rsid w:val="00562DC1"/>
    <w:rsid w:val="005632E0"/>
    <w:rsid w:val="005638CD"/>
    <w:rsid w:val="00565276"/>
    <w:rsid w:val="0056562A"/>
    <w:rsid w:val="0056571C"/>
    <w:rsid w:val="00565C1E"/>
    <w:rsid w:val="00567338"/>
    <w:rsid w:val="005677AB"/>
    <w:rsid w:val="00567DDB"/>
    <w:rsid w:val="0057025D"/>
    <w:rsid w:val="005707AE"/>
    <w:rsid w:val="00570DFC"/>
    <w:rsid w:val="00571BDE"/>
    <w:rsid w:val="00571D82"/>
    <w:rsid w:val="0057230A"/>
    <w:rsid w:val="0057237A"/>
    <w:rsid w:val="00572E59"/>
    <w:rsid w:val="00575694"/>
    <w:rsid w:val="00576651"/>
    <w:rsid w:val="005773DC"/>
    <w:rsid w:val="00577A50"/>
    <w:rsid w:val="00582515"/>
    <w:rsid w:val="00583050"/>
    <w:rsid w:val="0058484A"/>
    <w:rsid w:val="00584FC5"/>
    <w:rsid w:val="0058578E"/>
    <w:rsid w:val="005910CB"/>
    <w:rsid w:val="005914FB"/>
    <w:rsid w:val="0059447F"/>
    <w:rsid w:val="00594DF7"/>
    <w:rsid w:val="00595A02"/>
    <w:rsid w:val="0059605A"/>
    <w:rsid w:val="00597426"/>
    <w:rsid w:val="005A3600"/>
    <w:rsid w:val="005A388A"/>
    <w:rsid w:val="005A46F7"/>
    <w:rsid w:val="005A55CB"/>
    <w:rsid w:val="005A7DB6"/>
    <w:rsid w:val="005B016B"/>
    <w:rsid w:val="005B068C"/>
    <w:rsid w:val="005B0869"/>
    <w:rsid w:val="005B1F11"/>
    <w:rsid w:val="005B3B40"/>
    <w:rsid w:val="005B3E38"/>
    <w:rsid w:val="005B56A1"/>
    <w:rsid w:val="005B6818"/>
    <w:rsid w:val="005B6829"/>
    <w:rsid w:val="005B68FB"/>
    <w:rsid w:val="005C0B50"/>
    <w:rsid w:val="005C31BE"/>
    <w:rsid w:val="005C3458"/>
    <w:rsid w:val="005C3ADD"/>
    <w:rsid w:val="005C3B49"/>
    <w:rsid w:val="005C714A"/>
    <w:rsid w:val="005D297D"/>
    <w:rsid w:val="005D365B"/>
    <w:rsid w:val="005D3B11"/>
    <w:rsid w:val="005D3C82"/>
    <w:rsid w:val="005D3CD3"/>
    <w:rsid w:val="005D480E"/>
    <w:rsid w:val="005E0B9A"/>
    <w:rsid w:val="005E1C91"/>
    <w:rsid w:val="005E2AE8"/>
    <w:rsid w:val="005E2BB1"/>
    <w:rsid w:val="005E3C08"/>
    <w:rsid w:val="005E428D"/>
    <w:rsid w:val="005E6B03"/>
    <w:rsid w:val="005F0703"/>
    <w:rsid w:val="005F0E84"/>
    <w:rsid w:val="005F0FC0"/>
    <w:rsid w:val="005F1992"/>
    <w:rsid w:val="005F462B"/>
    <w:rsid w:val="005F566E"/>
    <w:rsid w:val="005F595A"/>
    <w:rsid w:val="00600886"/>
    <w:rsid w:val="00602203"/>
    <w:rsid w:val="006022CC"/>
    <w:rsid w:val="00603327"/>
    <w:rsid w:val="006045F2"/>
    <w:rsid w:val="00604DD0"/>
    <w:rsid w:val="00605669"/>
    <w:rsid w:val="0060584E"/>
    <w:rsid w:val="00605862"/>
    <w:rsid w:val="006065CD"/>
    <w:rsid w:val="0061063F"/>
    <w:rsid w:val="006153B8"/>
    <w:rsid w:val="006166C2"/>
    <w:rsid w:val="00616B7B"/>
    <w:rsid w:val="00620BED"/>
    <w:rsid w:val="0062108F"/>
    <w:rsid w:val="00621121"/>
    <w:rsid w:val="0062295F"/>
    <w:rsid w:val="00623784"/>
    <w:rsid w:val="00623C72"/>
    <w:rsid w:val="00624425"/>
    <w:rsid w:val="00624B0B"/>
    <w:rsid w:val="0062592E"/>
    <w:rsid w:val="00626124"/>
    <w:rsid w:val="00627D33"/>
    <w:rsid w:val="00627D83"/>
    <w:rsid w:val="006302AF"/>
    <w:rsid w:val="006308B0"/>
    <w:rsid w:val="00632E6A"/>
    <w:rsid w:val="00632F97"/>
    <w:rsid w:val="0063422E"/>
    <w:rsid w:val="00634F33"/>
    <w:rsid w:val="00635052"/>
    <w:rsid w:val="00635356"/>
    <w:rsid w:val="0063558E"/>
    <w:rsid w:val="00637288"/>
    <w:rsid w:val="0063765A"/>
    <w:rsid w:val="00637AB8"/>
    <w:rsid w:val="00637F6F"/>
    <w:rsid w:val="00641E67"/>
    <w:rsid w:val="006423E4"/>
    <w:rsid w:val="006427DD"/>
    <w:rsid w:val="0064351F"/>
    <w:rsid w:val="00643C90"/>
    <w:rsid w:val="0064411A"/>
    <w:rsid w:val="00647DFF"/>
    <w:rsid w:val="0065044D"/>
    <w:rsid w:val="006513F2"/>
    <w:rsid w:val="00651B01"/>
    <w:rsid w:val="00651CC7"/>
    <w:rsid w:val="00653CD0"/>
    <w:rsid w:val="00653D90"/>
    <w:rsid w:val="0065405A"/>
    <w:rsid w:val="00656678"/>
    <w:rsid w:val="00657925"/>
    <w:rsid w:val="00660F73"/>
    <w:rsid w:val="00661018"/>
    <w:rsid w:val="006662B9"/>
    <w:rsid w:val="00667301"/>
    <w:rsid w:val="00670861"/>
    <w:rsid w:val="006716E9"/>
    <w:rsid w:val="00674DF1"/>
    <w:rsid w:val="00676562"/>
    <w:rsid w:val="00676E95"/>
    <w:rsid w:val="006772A1"/>
    <w:rsid w:val="006779CB"/>
    <w:rsid w:val="0068045F"/>
    <w:rsid w:val="006808BC"/>
    <w:rsid w:val="00681567"/>
    <w:rsid w:val="00683447"/>
    <w:rsid w:val="00685040"/>
    <w:rsid w:val="006862D3"/>
    <w:rsid w:val="0068664A"/>
    <w:rsid w:val="00687633"/>
    <w:rsid w:val="0068775A"/>
    <w:rsid w:val="006877A0"/>
    <w:rsid w:val="00691C18"/>
    <w:rsid w:val="00692EB9"/>
    <w:rsid w:val="00693734"/>
    <w:rsid w:val="00693E5E"/>
    <w:rsid w:val="006955A5"/>
    <w:rsid w:val="006A07A5"/>
    <w:rsid w:val="006A1662"/>
    <w:rsid w:val="006A4EE9"/>
    <w:rsid w:val="006A5B83"/>
    <w:rsid w:val="006A623E"/>
    <w:rsid w:val="006A6B4F"/>
    <w:rsid w:val="006A6D43"/>
    <w:rsid w:val="006A7BA2"/>
    <w:rsid w:val="006B1FCA"/>
    <w:rsid w:val="006B2994"/>
    <w:rsid w:val="006B3229"/>
    <w:rsid w:val="006B33C8"/>
    <w:rsid w:val="006B508A"/>
    <w:rsid w:val="006B5B8C"/>
    <w:rsid w:val="006B6624"/>
    <w:rsid w:val="006B6AD4"/>
    <w:rsid w:val="006B6D2F"/>
    <w:rsid w:val="006C14F1"/>
    <w:rsid w:val="006C3468"/>
    <w:rsid w:val="006C3A10"/>
    <w:rsid w:val="006C43BF"/>
    <w:rsid w:val="006C4AD1"/>
    <w:rsid w:val="006C4DC3"/>
    <w:rsid w:val="006C5107"/>
    <w:rsid w:val="006C69BB"/>
    <w:rsid w:val="006C6B19"/>
    <w:rsid w:val="006C6C05"/>
    <w:rsid w:val="006C742C"/>
    <w:rsid w:val="006D0A6D"/>
    <w:rsid w:val="006D0D2C"/>
    <w:rsid w:val="006D2C7E"/>
    <w:rsid w:val="006D3D29"/>
    <w:rsid w:val="006D3FEA"/>
    <w:rsid w:val="006D50CE"/>
    <w:rsid w:val="006D517D"/>
    <w:rsid w:val="006D5272"/>
    <w:rsid w:val="006D5955"/>
    <w:rsid w:val="006D6C00"/>
    <w:rsid w:val="006D7D97"/>
    <w:rsid w:val="006E0A59"/>
    <w:rsid w:val="006E103F"/>
    <w:rsid w:val="006E1BCA"/>
    <w:rsid w:val="006E25A6"/>
    <w:rsid w:val="006E31A5"/>
    <w:rsid w:val="006E3458"/>
    <w:rsid w:val="006E68DD"/>
    <w:rsid w:val="006E69FD"/>
    <w:rsid w:val="006F31F6"/>
    <w:rsid w:val="006F326D"/>
    <w:rsid w:val="006F33D1"/>
    <w:rsid w:val="006F38A4"/>
    <w:rsid w:val="006F4E88"/>
    <w:rsid w:val="006F6650"/>
    <w:rsid w:val="006F6D28"/>
    <w:rsid w:val="006F7380"/>
    <w:rsid w:val="006F7A1D"/>
    <w:rsid w:val="00700B0C"/>
    <w:rsid w:val="0070241F"/>
    <w:rsid w:val="00703160"/>
    <w:rsid w:val="0070573D"/>
    <w:rsid w:val="0070578E"/>
    <w:rsid w:val="007105B7"/>
    <w:rsid w:val="00710DBD"/>
    <w:rsid w:val="00710DF2"/>
    <w:rsid w:val="00712B65"/>
    <w:rsid w:val="007145D3"/>
    <w:rsid w:val="0071460A"/>
    <w:rsid w:val="00715583"/>
    <w:rsid w:val="00721459"/>
    <w:rsid w:val="0072390C"/>
    <w:rsid w:val="00723E0D"/>
    <w:rsid w:val="0072627F"/>
    <w:rsid w:val="007266DC"/>
    <w:rsid w:val="00727DBE"/>
    <w:rsid w:val="007307F6"/>
    <w:rsid w:val="00730D3E"/>
    <w:rsid w:val="007316AE"/>
    <w:rsid w:val="007319FD"/>
    <w:rsid w:val="007353AC"/>
    <w:rsid w:val="00736058"/>
    <w:rsid w:val="007371DC"/>
    <w:rsid w:val="00737AA5"/>
    <w:rsid w:val="007406A2"/>
    <w:rsid w:val="00741E8E"/>
    <w:rsid w:val="0074486C"/>
    <w:rsid w:val="00744FF6"/>
    <w:rsid w:val="007457E4"/>
    <w:rsid w:val="00754C1F"/>
    <w:rsid w:val="007564B4"/>
    <w:rsid w:val="00756FC9"/>
    <w:rsid w:val="0076033E"/>
    <w:rsid w:val="00764A66"/>
    <w:rsid w:val="007653D6"/>
    <w:rsid w:val="007656F1"/>
    <w:rsid w:val="00765BB8"/>
    <w:rsid w:val="00765D07"/>
    <w:rsid w:val="00767588"/>
    <w:rsid w:val="00767D36"/>
    <w:rsid w:val="007703E6"/>
    <w:rsid w:val="007726C5"/>
    <w:rsid w:val="00773675"/>
    <w:rsid w:val="00774ABC"/>
    <w:rsid w:val="0077562F"/>
    <w:rsid w:val="00775FA9"/>
    <w:rsid w:val="0077631C"/>
    <w:rsid w:val="00777241"/>
    <w:rsid w:val="007808A5"/>
    <w:rsid w:val="00780D66"/>
    <w:rsid w:val="007815E5"/>
    <w:rsid w:val="00781B41"/>
    <w:rsid w:val="00781C82"/>
    <w:rsid w:val="007821CC"/>
    <w:rsid w:val="007824EB"/>
    <w:rsid w:val="0078368A"/>
    <w:rsid w:val="0078544B"/>
    <w:rsid w:val="00786552"/>
    <w:rsid w:val="00786B34"/>
    <w:rsid w:val="0078710C"/>
    <w:rsid w:val="00787308"/>
    <w:rsid w:val="00793277"/>
    <w:rsid w:val="0079345F"/>
    <w:rsid w:val="00793582"/>
    <w:rsid w:val="0079369C"/>
    <w:rsid w:val="00794907"/>
    <w:rsid w:val="007952B2"/>
    <w:rsid w:val="007963C0"/>
    <w:rsid w:val="00796785"/>
    <w:rsid w:val="00797002"/>
    <w:rsid w:val="00797102"/>
    <w:rsid w:val="007A0126"/>
    <w:rsid w:val="007A082B"/>
    <w:rsid w:val="007A255B"/>
    <w:rsid w:val="007A2F70"/>
    <w:rsid w:val="007A2FFD"/>
    <w:rsid w:val="007A4F99"/>
    <w:rsid w:val="007A6CDC"/>
    <w:rsid w:val="007A7B8E"/>
    <w:rsid w:val="007B003F"/>
    <w:rsid w:val="007B35BE"/>
    <w:rsid w:val="007B3F07"/>
    <w:rsid w:val="007B560A"/>
    <w:rsid w:val="007B6424"/>
    <w:rsid w:val="007B72BA"/>
    <w:rsid w:val="007B7343"/>
    <w:rsid w:val="007B74D4"/>
    <w:rsid w:val="007C0570"/>
    <w:rsid w:val="007C1B1D"/>
    <w:rsid w:val="007C243D"/>
    <w:rsid w:val="007C30CD"/>
    <w:rsid w:val="007C5A5C"/>
    <w:rsid w:val="007C7576"/>
    <w:rsid w:val="007D059B"/>
    <w:rsid w:val="007D06C9"/>
    <w:rsid w:val="007D085E"/>
    <w:rsid w:val="007D1616"/>
    <w:rsid w:val="007D286A"/>
    <w:rsid w:val="007D2E1F"/>
    <w:rsid w:val="007D386D"/>
    <w:rsid w:val="007D3FF6"/>
    <w:rsid w:val="007D53E1"/>
    <w:rsid w:val="007D5B00"/>
    <w:rsid w:val="007D5D20"/>
    <w:rsid w:val="007D73D1"/>
    <w:rsid w:val="007E1011"/>
    <w:rsid w:val="007E165B"/>
    <w:rsid w:val="007E1BF9"/>
    <w:rsid w:val="007E2022"/>
    <w:rsid w:val="007E2404"/>
    <w:rsid w:val="007E60F4"/>
    <w:rsid w:val="007E7CD5"/>
    <w:rsid w:val="007F06CC"/>
    <w:rsid w:val="007F0B3D"/>
    <w:rsid w:val="007F1E39"/>
    <w:rsid w:val="007F2004"/>
    <w:rsid w:val="007F4008"/>
    <w:rsid w:val="007F42CA"/>
    <w:rsid w:val="007F5D77"/>
    <w:rsid w:val="007F7174"/>
    <w:rsid w:val="00800A90"/>
    <w:rsid w:val="00802E07"/>
    <w:rsid w:val="008039F4"/>
    <w:rsid w:val="00806822"/>
    <w:rsid w:val="00806D87"/>
    <w:rsid w:val="0081121A"/>
    <w:rsid w:val="00811E41"/>
    <w:rsid w:val="00812A54"/>
    <w:rsid w:val="00812B8B"/>
    <w:rsid w:val="00813927"/>
    <w:rsid w:val="00813B68"/>
    <w:rsid w:val="00813CE3"/>
    <w:rsid w:val="00813F91"/>
    <w:rsid w:val="0081498A"/>
    <w:rsid w:val="00814BBA"/>
    <w:rsid w:val="00816AD5"/>
    <w:rsid w:val="008210B3"/>
    <w:rsid w:val="008214C8"/>
    <w:rsid w:val="0082396B"/>
    <w:rsid w:val="008239D9"/>
    <w:rsid w:val="00824D71"/>
    <w:rsid w:val="00824DA6"/>
    <w:rsid w:val="0082685E"/>
    <w:rsid w:val="00827FEE"/>
    <w:rsid w:val="0083158A"/>
    <w:rsid w:val="008374CD"/>
    <w:rsid w:val="0083761B"/>
    <w:rsid w:val="008376D7"/>
    <w:rsid w:val="008377BA"/>
    <w:rsid w:val="00837B42"/>
    <w:rsid w:val="00837D8D"/>
    <w:rsid w:val="0084039F"/>
    <w:rsid w:val="00841CCA"/>
    <w:rsid w:val="00842053"/>
    <w:rsid w:val="008438C7"/>
    <w:rsid w:val="00844E45"/>
    <w:rsid w:val="00846B5A"/>
    <w:rsid w:val="008515C4"/>
    <w:rsid w:val="00852088"/>
    <w:rsid w:val="00852864"/>
    <w:rsid w:val="0085347D"/>
    <w:rsid w:val="00853FCC"/>
    <w:rsid w:val="00855444"/>
    <w:rsid w:val="00855FB3"/>
    <w:rsid w:val="008604B4"/>
    <w:rsid w:val="0086064B"/>
    <w:rsid w:val="008608B0"/>
    <w:rsid w:val="00861E66"/>
    <w:rsid w:val="008623BF"/>
    <w:rsid w:val="008625A9"/>
    <w:rsid w:val="008636ED"/>
    <w:rsid w:val="00867F57"/>
    <w:rsid w:val="008701D2"/>
    <w:rsid w:val="00870346"/>
    <w:rsid w:val="008725F9"/>
    <w:rsid w:val="0087524C"/>
    <w:rsid w:val="008755BF"/>
    <w:rsid w:val="008830EF"/>
    <w:rsid w:val="00883816"/>
    <w:rsid w:val="00886530"/>
    <w:rsid w:val="00891174"/>
    <w:rsid w:val="00891AE1"/>
    <w:rsid w:val="00895495"/>
    <w:rsid w:val="0089779D"/>
    <w:rsid w:val="008A05D3"/>
    <w:rsid w:val="008A2A02"/>
    <w:rsid w:val="008A2FD4"/>
    <w:rsid w:val="008A3D8B"/>
    <w:rsid w:val="008A3EB7"/>
    <w:rsid w:val="008A3FCF"/>
    <w:rsid w:val="008A5CA9"/>
    <w:rsid w:val="008A6593"/>
    <w:rsid w:val="008A6DA9"/>
    <w:rsid w:val="008B13E0"/>
    <w:rsid w:val="008B337C"/>
    <w:rsid w:val="008B4687"/>
    <w:rsid w:val="008B7262"/>
    <w:rsid w:val="008C0C44"/>
    <w:rsid w:val="008C2430"/>
    <w:rsid w:val="008C30F8"/>
    <w:rsid w:val="008C5DF2"/>
    <w:rsid w:val="008C62F3"/>
    <w:rsid w:val="008C664E"/>
    <w:rsid w:val="008C7C94"/>
    <w:rsid w:val="008C7D97"/>
    <w:rsid w:val="008D117B"/>
    <w:rsid w:val="008D13FC"/>
    <w:rsid w:val="008D184C"/>
    <w:rsid w:val="008D25A2"/>
    <w:rsid w:val="008D2C4C"/>
    <w:rsid w:val="008D3745"/>
    <w:rsid w:val="008D62BD"/>
    <w:rsid w:val="008D7517"/>
    <w:rsid w:val="008D7C05"/>
    <w:rsid w:val="008E18EA"/>
    <w:rsid w:val="008E1E53"/>
    <w:rsid w:val="008E21DC"/>
    <w:rsid w:val="008E2ABA"/>
    <w:rsid w:val="008E35AF"/>
    <w:rsid w:val="008E6608"/>
    <w:rsid w:val="008E6BA9"/>
    <w:rsid w:val="008E74A2"/>
    <w:rsid w:val="008E751F"/>
    <w:rsid w:val="008F08A0"/>
    <w:rsid w:val="008F0944"/>
    <w:rsid w:val="008F38B1"/>
    <w:rsid w:val="008F42F9"/>
    <w:rsid w:val="008F4A7A"/>
    <w:rsid w:val="008F4E96"/>
    <w:rsid w:val="008F5C27"/>
    <w:rsid w:val="008F6075"/>
    <w:rsid w:val="008F677A"/>
    <w:rsid w:val="008F68EA"/>
    <w:rsid w:val="008F7FA8"/>
    <w:rsid w:val="009001B3"/>
    <w:rsid w:val="00902ABF"/>
    <w:rsid w:val="009034D5"/>
    <w:rsid w:val="00905684"/>
    <w:rsid w:val="009060B5"/>
    <w:rsid w:val="009078CF"/>
    <w:rsid w:val="00910212"/>
    <w:rsid w:val="00912C58"/>
    <w:rsid w:val="009145B5"/>
    <w:rsid w:val="00914A32"/>
    <w:rsid w:val="00915AA3"/>
    <w:rsid w:val="00916711"/>
    <w:rsid w:val="00917ADB"/>
    <w:rsid w:val="00920100"/>
    <w:rsid w:val="00925D5F"/>
    <w:rsid w:val="00927002"/>
    <w:rsid w:val="00927641"/>
    <w:rsid w:val="009337FE"/>
    <w:rsid w:val="00935BE1"/>
    <w:rsid w:val="009360C5"/>
    <w:rsid w:val="00936D70"/>
    <w:rsid w:val="00937BC2"/>
    <w:rsid w:val="009402A0"/>
    <w:rsid w:val="00941967"/>
    <w:rsid w:val="009423EE"/>
    <w:rsid w:val="00943116"/>
    <w:rsid w:val="0094453E"/>
    <w:rsid w:val="00944916"/>
    <w:rsid w:val="00945AFF"/>
    <w:rsid w:val="00946244"/>
    <w:rsid w:val="00947E69"/>
    <w:rsid w:val="00951F54"/>
    <w:rsid w:val="00953A83"/>
    <w:rsid w:val="00954513"/>
    <w:rsid w:val="00956454"/>
    <w:rsid w:val="00956C0A"/>
    <w:rsid w:val="00956CAE"/>
    <w:rsid w:val="009570E0"/>
    <w:rsid w:val="00957C40"/>
    <w:rsid w:val="009601E2"/>
    <w:rsid w:val="009620E9"/>
    <w:rsid w:val="00963394"/>
    <w:rsid w:val="00964569"/>
    <w:rsid w:val="0096472A"/>
    <w:rsid w:val="0096531A"/>
    <w:rsid w:val="00967096"/>
    <w:rsid w:val="00971A09"/>
    <w:rsid w:val="00972A77"/>
    <w:rsid w:val="0097328B"/>
    <w:rsid w:val="00973E84"/>
    <w:rsid w:val="0097414F"/>
    <w:rsid w:val="00974A9B"/>
    <w:rsid w:val="009755D8"/>
    <w:rsid w:val="00975A20"/>
    <w:rsid w:val="0097710F"/>
    <w:rsid w:val="009776FD"/>
    <w:rsid w:val="009809F0"/>
    <w:rsid w:val="00981252"/>
    <w:rsid w:val="009812D7"/>
    <w:rsid w:val="0098244E"/>
    <w:rsid w:val="00983683"/>
    <w:rsid w:val="00985999"/>
    <w:rsid w:val="00985E3E"/>
    <w:rsid w:val="00985F80"/>
    <w:rsid w:val="0098610F"/>
    <w:rsid w:val="00991771"/>
    <w:rsid w:val="00991892"/>
    <w:rsid w:val="009922AC"/>
    <w:rsid w:val="009924C3"/>
    <w:rsid w:val="009925FB"/>
    <w:rsid w:val="00993215"/>
    <w:rsid w:val="00994866"/>
    <w:rsid w:val="00995C01"/>
    <w:rsid w:val="009A1534"/>
    <w:rsid w:val="009A2523"/>
    <w:rsid w:val="009A273B"/>
    <w:rsid w:val="009A7796"/>
    <w:rsid w:val="009A79BF"/>
    <w:rsid w:val="009B28ED"/>
    <w:rsid w:val="009B3B4D"/>
    <w:rsid w:val="009B5F52"/>
    <w:rsid w:val="009B61CC"/>
    <w:rsid w:val="009B780F"/>
    <w:rsid w:val="009C1CFC"/>
    <w:rsid w:val="009C2046"/>
    <w:rsid w:val="009C2FB0"/>
    <w:rsid w:val="009C4130"/>
    <w:rsid w:val="009C50A7"/>
    <w:rsid w:val="009C51D3"/>
    <w:rsid w:val="009C584E"/>
    <w:rsid w:val="009C67BD"/>
    <w:rsid w:val="009D3FE4"/>
    <w:rsid w:val="009D561A"/>
    <w:rsid w:val="009D62C8"/>
    <w:rsid w:val="009D69EC"/>
    <w:rsid w:val="009D71B0"/>
    <w:rsid w:val="009D71E3"/>
    <w:rsid w:val="009E1250"/>
    <w:rsid w:val="009E2092"/>
    <w:rsid w:val="009E3E03"/>
    <w:rsid w:val="009E5A0D"/>
    <w:rsid w:val="009E66E5"/>
    <w:rsid w:val="009E6834"/>
    <w:rsid w:val="009E7BA1"/>
    <w:rsid w:val="009F16FB"/>
    <w:rsid w:val="009F1BB4"/>
    <w:rsid w:val="009F338E"/>
    <w:rsid w:val="009F5E10"/>
    <w:rsid w:val="009F6313"/>
    <w:rsid w:val="00A00126"/>
    <w:rsid w:val="00A01C35"/>
    <w:rsid w:val="00A01C9D"/>
    <w:rsid w:val="00A01F4B"/>
    <w:rsid w:val="00A027CB"/>
    <w:rsid w:val="00A02FF5"/>
    <w:rsid w:val="00A0304B"/>
    <w:rsid w:val="00A040CE"/>
    <w:rsid w:val="00A05534"/>
    <w:rsid w:val="00A068C1"/>
    <w:rsid w:val="00A070BB"/>
    <w:rsid w:val="00A07DDC"/>
    <w:rsid w:val="00A1273C"/>
    <w:rsid w:val="00A13022"/>
    <w:rsid w:val="00A133B3"/>
    <w:rsid w:val="00A1350E"/>
    <w:rsid w:val="00A15B91"/>
    <w:rsid w:val="00A20771"/>
    <w:rsid w:val="00A22489"/>
    <w:rsid w:val="00A23DE7"/>
    <w:rsid w:val="00A24587"/>
    <w:rsid w:val="00A26AF0"/>
    <w:rsid w:val="00A32452"/>
    <w:rsid w:val="00A332CA"/>
    <w:rsid w:val="00A3348D"/>
    <w:rsid w:val="00A3502C"/>
    <w:rsid w:val="00A369E4"/>
    <w:rsid w:val="00A40A4A"/>
    <w:rsid w:val="00A43729"/>
    <w:rsid w:val="00A43CF4"/>
    <w:rsid w:val="00A44F5B"/>
    <w:rsid w:val="00A508E4"/>
    <w:rsid w:val="00A50C47"/>
    <w:rsid w:val="00A52B0E"/>
    <w:rsid w:val="00A55366"/>
    <w:rsid w:val="00A561E1"/>
    <w:rsid w:val="00A56CD5"/>
    <w:rsid w:val="00A571A3"/>
    <w:rsid w:val="00A62583"/>
    <w:rsid w:val="00A62F39"/>
    <w:rsid w:val="00A65FED"/>
    <w:rsid w:val="00A66F95"/>
    <w:rsid w:val="00A70EBD"/>
    <w:rsid w:val="00A71404"/>
    <w:rsid w:val="00A72E77"/>
    <w:rsid w:val="00A73605"/>
    <w:rsid w:val="00A7507E"/>
    <w:rsid w:val="00A7617F"/>
    <w:rsid w:val="00A7668B"/>
    <w:rsid w:val="00A76A8E"/>
    <w:rsid w:val="00A77A99"/>
    <w:rsid w:val="00A805EA"/>
    <w:rsid w:val="00A808F0"/>
    <w:rsid w:val="00A80D57"/>
    <w:rsid w:val="00A8288B"/>
    <w:rsid w:val="00A83A34"/>
    <w:rsid w:val="00A84748"/>
    <w:rsid w:val="00A847B3"/>
    <w:rsid w:val="00A85159"/>
    <w:rsid w:val="00A86213"/>
    <w:rsid w:val="00A87668"/>
    <w:rsid w:val="00A87C9A"/>
    <w:rsid w:val="00A90685"/>
    <w:rsid w:val="00A9217E"/>
    <w:rsid w:val="00A946C2"/>
    <w:rsid w:val="00A94AFD"/>
    <w:rsid w:val="00A9515B"/>
    <w:rsid w:val="00A95872"/>
    <w:rsid w:val="00A97601"/>
    <w:rsid w:val="00AA1705"/>
    <w:rsid w:val="00AA1AB9"/>
    <w:rsid w:val="00AA2B97"/>
    <w:rsid w:val="00AA3DA4"/>
    <w:rsid w:val="00AA4E7A"/>
    <w:rsid w:val="00AA5A13"/>
    <w:rsid w:val="00AA6178"/>
    <w:rsid w:val="00AA6414"/>
    <w:rsid w:val="00AB125B"/>
    <w:rsid w:val="00AB1653"/>
    <w:rsid w:val="00AB2808"/>
    <w:rsid w:val="00AB2C1D"/>
    <w:rsid w:val="00AB2E8B"/>
    <w:rsid w:val="00AB3D1F"/>
    <w:rsid w:val="00AB4412"/>
    <w:rsid w:val="00AB5E84"/>
    <w:rsid w:val="00AB633D"/>
    <w:rsid w:val="00AC20F4"/>
    <w:rsid w:val="00AC22F4"/>
    <w:rsid w:val="00AC2826"/>
    <w:rsid w:val="00AC2865"/>
    <w:rsid w:val="00AC312C"/>
    <w:rsid w:val="00AC3400"/>
    <w:rsid w:val="00AC344A"/>
    <w:rsid w:val="00AC36A9"/>
    <w:rsid w:val="00AC54C2"/>
    <w:rsid w:val="00AC6E28"/>
    <w:rsid w:val="00AC76EC"/>
    <w:rsid w:val="00AD0B03"/>
    <w:rsid w:val="00AD141E"/>
    <w:rsid w:val="00AD29D0"/>
    <w:rsid w:val="00AD4729"/>
    <w:rsid w:val="00AD4F08"/>
    <w:rsid w:val="00AD58FA"/>
    <w:rsid w:val="00AD59A3"/>
    <w:rsid w:val="00AD6434"/>
    <w:rsid w:val="00AD7290"/>
    <w:rsid w:val="00AE101C"/>
    <w:rsid w:val="00AE15A0"/>
    <w:rsid w:val="00AE3025"/>
    <w:rsid w:val="00AE5D73"/>
    <w:rsid w:val="00AE6A2C"/>
    <w:rsid w:val="00AF04E5"/>
    <w:rsid w:val="00AF0F05"/>
    <w:rsid w:val="00AF0F52"/>
    <w:rsid w:val="00AF1190"/>
    <w:rsid w:val="00AF1B17"/>
    <w:rsid w:val="00AF2D61"/>
    <w:rsid w:val="00AF301C"/>
    <w:rsid w:val="00AF388B"/>
    <w:rsid w:val="00AF3986"/>
    <w:rsid w:val="00AF41C7"/>
    <w:rsid w:val="00AF7533"/>
    <w:rsid w:val="00B0167A"/>
    <w:rsid w:val="00B03AD0"/>
    <w:rsid w:val="00B04026"/>
    <w:rsid w:val="00B04A16"/>
    <w:rsid w:val="00B04C32"/>
    <w:rsid w:val="00B04C6A"/>
    <w:rsid w:val="00B04D15"/>
    <w:rsid w:val="00B05240"/>
    <w:rsid w:val="00B05582"/>
    <w:rsid w:val="00B05B49"/>
    <w:rsid w:val="00B0788D"/>
    <w:rsid w:val="00B10AC2"/>
    <w:rsid w:val="00B11424"/>
    <w:rsid w:val="00B118F4"/>
    <w:rsid w:val="00B149DE"/>
    <w:rsid w:val="00B14BD1"/>
    <w:rsid w:val="00B15992"/>
    <w:rsid w:val="00B20C7E"/>
    <w:rsid w:val="00B21140"/>
    <w:rsid w:val="00B224E5"/>
    <w:rsid w:val="00B25713"/>
    <w:rsid w:val="00B26DDC"/>
    <w:rsid w:val="00B272C0"/>
    <w:rsid w:val="00B31395"/>
    <w:rsid w:val="00B33CF5"/>
    <w:rsid w:val="00B3491C"/>
    <w:rsid w:val="00B3572C"/>
    <w:rsid w:val="00B358D8"/>
    <w:rsid w:val="00B35948"/>
    <w:rsid w:val="00B35B2F"/>
    <w:rsid w:val="00B35B51"/>
    <w:rsid w:val="00B37326"/>
    <w:rsid w:val="00B37C9C"/>
    <w:rsid w:val="00B425B8"/>
    <w:rsid w:val="00B42D13"/>
    <w:rsid w:val="00B431C5"/>
    <w:rsid w:val="00B44B15"/>
    <w:rsid w:val="00B45277"/>
    <w:rsid w:val="00B45C11"/>
    <w:rsid w:val="00B4650A"/>
    <w:rsid w:val="00B46C00"/>
    <w:rsid w:val="00B47EFD"/>
    <w:rsid w:val="00B5170D"/>
    <w:rsid w:val="00B520EC"/>
    <w:rsid w:val="00B52ED7"/>
    <w:rsid w:val="00B53334"/>
    <w:rsid w:val="00B5393B"/>
    <w:rsid w:val="00B543AF"/>
    <w:rsid w:val="00B554AD"/>
    <w:rsid w:val="00B55E10"/>
    <w:rsid w:val="00B55E52"/>
    <w:rsid w:val="00B564BF"/>
    <w:rsid w:val="00B566A8"/>
    <w:rsid w:val="00B56E93"/>
    <w:rsid w:val="00B60CD3"/>
    <w:rsid w:val="00B6290E"/>
    <w:rsid w:val="00B62FA3"/>
    <w:rsid w:val="00B65B6C"/>
    <w:rsid w:val="00B66534"/>
    <w:rsid w:val="00B71EFD"/>
    <w:rsid w:val="00B74025"/>
    <w:rsid w:val="00B74DC7"/>
    <w:rsid w:val="00B771F7"/>
    <w:rsid w:val="00B779C1"/>
    <w:rsid w:val="00B8019E"/>
    <w:rsid w:val="00B8256D"/>
    <w:rsid w:val="00B83618"/>
    <w:rsid w:val="00B83DE2"/>
    <w:rsid w:val="00B844B0"/>
    <w:rsid w:val="00B866A8"/>
    <w:rsid w:val="00B87438"/>
    <w:rsid w:val="00B9008E"/>
    <w:rsid w:val="00B90B9F"/>
    <w:rsid w:val="00B90DD6"/>
    <w:rsid w:val="00B9155A"/>
    <w:rsid w:val="00B925DD"/>
    <w:rsid w:val="00B9264E"/>
    <w:rsid w:val="00B953CB"/>
    <w:rsid w:val="00B95596"/>
    <w:rsid w:val="00B958CB"/>
    <w:rsid w:val="00B95A32"/>
    <w:rsid w:val="00B96009"/>
    <w:rsid w:val="00BA0964"/>
    <w:rsid w:val="00BA196F"/>
    <w:rsid w:val="00BA3359"/>
    <w:rsid w:val="00BA3E1E"/>
    <w:rsid w:val="00BA4B03"/>
    <w:rsid w:val="00BA5643"/>
    <w:rsid w:val="00BA6027"/>
    <w:rsid w:val="00BA7DD0"/>
    <w:rsid w:val="00BA7E02"/>
    <w:rsid w:val="00BB1387"/>
    <w:rsid w:val="00BB2783"/>
    <w:rsid w:val="00BB312B"/>
    <w:rsid w:val="00BB71F1"/>
    <w:rsid w:val="00BC3A58"/>
    <w:rsid w:val="00BC4176"/>
    <w:rsid w:val="00BC4697"/>
    <w:rsid w:val="00BC4EAE"/>
    <w:rsid w:val="00BC6BF5"/>
    <w:rsid w:val="00BC7C95"/>
    <w:rsid w:val="00BD0F04"/>
    <w:rsid w:val="00BD328F"/>
    <w:rsid w:val="00BD3781"/>
    <w:rsid w:val="00BD5339"/>
    <w:rsid w:val="00BD6AA7"/>
    <w:rsid w:val="00BD6D96"/>
    <w:rsid w:val="00BE08E8"/>
    <w:rsid w:val="00BE1BF9"/>
    <w:rsid w:val="00BE21E4"/>
    <w:rsid w:val="00BE35E2"/>
    <w:rsid w:val="00BE5250"/>
    <w:rsid w:val="00BE68A9"/>
    <w:rsid w:val="00BF1DD9"/>
    <w:rsid w:val="00BF323A"/>
    <w:rsid w:val="00BF59E3"/>
    <w:rsid w:val="00BF6036"/>
    <w:rsid w:val="00BF75E7"/>
    <w:rsid w:val="00C01C1B"/>
    <w:rsid w:val="00C02A4E"/>
    <w:rsid w:val="00C0365D"/>
    <w:rsid w:val="00C065AE"/>
    <w:rsid w:val="00C07839"/>
    <w:rsid w:val="00C1389F"/>
    <w:rsid w:val="00C13F63"/>
    <w:rsid w:val="00C14F52"/>
    <w:rsid w:val="00C17760"/>
    <w:rsid w:val="00C17904"/>
    <w:rsid w:val="00C223D8"/>
    <w:rsid w:val="00C22B8C"/>
    <w:rsid w:val="00C22CD9"/>
    <w:rsid w:val="00C236F7"/>
    <w:rsid w:val="00C24A8C"/>
    <w:rsid w:val="00C24C2F"/>
    <w:rsid w:val="00C25433"/>
    <w:rsid w:val="00C258BB"/>
    <w:rsid w:val="00C3058B"/>
    <w:rsid w:val="00C3242A"/>
    <w:rsid w:val="00C32889"/>
    <w:rsid w:val="00C350EF"/>
    <w:rsid w:val="00C3516E"/>
    <w:rsid w:val="00C359B3"/>
    <w:rsid w:val="00C359D8"/>
    <w:rsid w:val="00C40875"/>
    <w:rsid w:val="00C4124D"/>
    <w:rsid w:val="00C42C65"/>
    <w:rsid w:val="00C45793"/>
    <w:rsid w:val="00C50FAF"/>
    <w:rsid w:val="00C526CE"/>
    <w:rsid w:val="00C52A01"/>
    <w:rsid w:val="00C53D11"/>
    <w:rsid w:val="00C552DF"/>
    <w:rsid w:val="00C55956"/>
    <w:rsid w:val="00C576CE"/>
    <w:rsid w:val="00C5791C"/>
    <w:rsid w:val="00C60C0A"/>
    <w:rsid w:val="00C60DF0"/>
    <w:rsid w:val="00C62754"/>
    <w:rsid w:val="00C64372"/>
    <w:rsid w:val="00C6655E"/>
    <w:rsid w:val="00C711D9"/>
    <w:rsid w:val="00C71FC8"/>
    <w:rsid w:val="00C72355"/>
    <w:rsid w:val="00C72913"/>
    <w:rsid w:val="00C752BD"/>
    <w:rsid w:val="00C754E2"/>
    <w:rsid w:val="00C75D66"/>
    <w:rsid w:val="00C7606A"/>
    <w:rsid w:val="00C77B01"/>
    <w:rsid w:val="00C80F5D"/>
    <w:rsid w:val="00C81FED"/>
    <w:rsid w:val="00C823A7"/>
    <w:rsid w:val="00C8279E"/>
    <w:rsid w:val="00C83CFD"/>
    <w:rsid w:val="00C8486A"/>
    <w:rsid w:val="00C8632C"/>
    <w:rsid w:val="00C92E0B"/>
    <w:rsid w:val="00C94D7D"/>
    <w:rsid w:val="00C96346"/>
    <w:rsid w:val="00C96FA2"/>
    <w:rsid w:val="00C973DE"/>
    <w:rsid w:val="00CA0E6B"/>
    <w:rsid w:val="00CA2401"/>
    <w:rsid w:val="00CA3089"/>
    <w:rsid w:val="00CA3182"/>
    <w:rsid w:val="00CA3418"/>
    <w:rsid w:val="00CA35A8"/>
    <w:rsid w:val="00CA3D34"/>
    <w:rsid w:val="00CA4843"/>
    <w:rsid w:val="00CA4FA4"/>
    <w:rsid w:val="00CA5A4D"/>
    <w:rsid w:val="00CA6557"/>
    <w:rsid w:val="00CA6C6D"/>
    <w:rsid w:val="00CA7B38"/>
    <w:rsid w:val="00CB027A"/>
    <w:rsid w:val="00CB2F4B"/>
    <w:rsid w:val="00CB30A3"/>
    <w:rsid w:val="00CB3A2E"/>
    <w:rsid w:val="00CB5134"/>
    <w:rsid w:val="00CB52C6"/>
    <w:rsid w:val="00CB599B"/>
    <w:rsid w:val="00CB70B2"/>
    <w:rsid w:val="00CB712B"/>
    <w:rsid w:val="00CB74D7"/>
    <w:rsid w:val="00CB7A32"/>
    <w:rsid w:val="00CB7B22"/>
    <w:rsid w:val="00CC0564"/>
    <w:rsid w:val="00CC3D63"/>
    <w:rsid w:val="00CC5B15"/>
    <w:rsid w:val="00CD03CF"/>
    <w:rsid w:val="00CD37D9"/>
    <w:rsid w:val="00CD49FF"/>
    <w:rsid w:val="00CD65A4"/>
    <w:rsid w:val="00CE1124"/>
    <w:rsid w:val="00CE30DE"/>
    <w:rsid w:val="00CE313F"/>
    <w:rsid w:val="00CE3300"/>
    <w:rsid w:val="00CE5262"/>
    <w:rsid w:val="00CE683B"/>
    <w:rsid w:val="00CE6A45"/>
    <w:rsid w:val="00CF0015"/>
    <w:rsid w:val="00CF039D"/>
    <w:rsid w:val="00CF31AB"/>
    <w:rsid w:val="00CF402B"/>
    <w:rsid w:val="00CF5272"/>
    <w:rsid w:val="00D00471"/>
    <w:rsid w:val="00D0204F"/>
    <w:rsid w:val="00D023B2"/>
    <w:rsid w:val="00D0300D"/>
    <w:rsid w:val="00D04DBA"/>
    <w:rsid w:val="00D04F35"/>
    <w:rsid w:val="00D050C6"/>
    <w:rsid w:val="00D05E08"/>
    <w:rsid w:val="00D064DA"/>
    <w:rsid w:val="00D06A42"/>
    <w:rsid w:val="00D06AA9"/>
    <w:rsid w:val="00D07166"/>
    <w:rsid w:val="00D07A47"/>
    <w:rsid w:val="00D07B67"/>
    <w:rsid w:val="00D10109"/>
    <w:rsid w:val="00D10538"/>
    <w:rsid w:val="00D118EF"/>
    <w:rsid w:val="00D12089"/>
    <w:rsid w:val="00D133E8"/>
    <w:rsid w:val="00D13615"/>
    <w:rsid w:val="00D147D8"/>
    <w:rsid w:val="00D14E82"/>
    <w:rsid w:val="00D16390"/>
    <w:rsid w:val="00D17349"/>
    <w:rsid w:val="00D21EC2"/>
    <w:rsid w:val="00D232DF"/>
    <w:rsid w:val="00D23E3F"/>
    <w:rsid w:val="00D24C12"/>
    <w:rsid w:val="00D25239"/>
    <w:rsid w:val="00D25F1F"/>
    <w:rsid w:val="00D30E05"/>
    <w:rsid w:val="00D34B96"/>
    <w:rsid w:val="00D34D77"/>
    <w:rsid w:val="00D34D9F"/>
    <w:rsid w:val="00D36A4C"/>
    <w:rsid w:val="00D36C26"/>
    <w:rsid w:val="00D36E02"/>
    <w:rsid w:val="00D373B3"/>
    <w:rsid w:val="00D40B0A"/>
    <w:rsid w:val="00D4122C"/>
    <w:rsid w:val="00D4444F"/>
    <w:rsid w:val="00D461D6"/>
    <w:rsid w:val="00D46E7F"/>
    <w:rsid w:val="00D5013D"/>
    <w:rsid w:val="00D504BF"/>
    <w:rsid w:val="00D50533"/>
    <w:rsid w:val="00D52512"/>
    <w:rsid w:val="00D52A71"/>
    <w:rsid w:val="00D53166"/>
    <w:rsid w:val="00D536E8"/>
    <w:rsid w:val="00D538B0"/>
    <w:rsid w:val="00D539B4"/>
    <w:rsid w:val="00D53C18"/>
    <w:rsid w:val="00D55C4E"/>
    <w:rsid w:val="00D55DD0"/>
    <w:rsid w:val="00D56791"/>
    <w:rsid w:val="00D62722"/>
    <w:rsid w:val="00D63C60"/>
    <w:rsid w:val="00D64748"/>
    <w:rsid w:val="00D64FC7"/>
    <w:rsid w:val="00D664F7"/>
    <w:rsid w:val="00D66673"/>
    <w:rsid w:val="00D669E3"/>
    <w:rsid w:val="00D7390D"/>
    <w:rsid w:val="00D73C44"/>
    <w:rsid w:val="00D751DE"/>
    <w:rsid w:val="00D75CDD"/>
    <w:rsid w:val="00D7661B"/>
    <w:rsid w:val="00D77075"/>
    <w:rsid w:val="00D800F9"/>
    <w:rsid w:val="00D81013"/>
    <w:rsid w:val="00D8165C"/>
    <w:rsid w:val="00D8265D"/>
    <w:rsid w:val="00D827D4"/>
    <w:rsid w:val="00D82DDF"/>
    <w:rsid w:val="00D83380"/>
    <w:rsid w:val="00D83747"/>
    <w:rsid w:val="00D843AA"/>
    <w:rsid w:val="00D84FFE"/>
    <w:rsid w:val="00D85165"/>
    <w:rsid w:val="00D86EAE"/>
    <w:rsid w:val="00D87E16"/>
    <w:rsid w:val="00D9066D"/>
    <w:rsid w:val="00D90A74"/>
    <w:rsid w:val="00D918B0"/>
    <w:rsid w:val="00D92E05"/>
    <w:rsid w:val="00D94874"/>
    <w:rsid w:val="00DA01EC"/>
    <w:rsid w:val="00DA030F"/>
    <w:rsid w:val="00DA18E8"/>
    <w:rsid w:val="00DA41E7"/>
    <w:rsid w:val="00DA4B0C"/>
    <w:rsid w:val="00DA7832"/>
    <w:rsid w:val="00DA7A25"/>
    <w:rsid w:val="00DB1EDF"/>
    <w:rsid w:val="00DB3433"/>
    <w:rsid w:val="00DB5092"/>
    <w:rsid w:val="00DB53AF"/>
    <w:rsid w:val="00DB7F68"/>
    <w:rsid w:val="00DC182E"/>
    <w:rsid w:val="00DC1873"/>
    <w:rsid w:val="00DC2264"/>
    <w:rsid w:val="00DC2F90"/>
    <w:rsid w:val="00DC586A"/>
    <w:rsid w:val="00DC5FBF"/>
    <w:rsid w:val="00DC73B9"/>
    <w:rsid w:val="00DC7968"/>
    <w:rsid w:val="00DD0101"/>
    <w:rsid w:val="00DD0217"/>
    <w:rsid w:val="00DD1718"/>
    <w:rsid w:val="00DD1924"/>
    <w:rsid w:val="00DD60FC"/>
    <w:rsid w:val="00DE110D"/>
    <w:rsid w:val="00DE2228"/>
    <w:rsid w:val="00DE3558"/>
    <w:rsid w:val="00DE35FF"/>
    <w:rsid w:val="00DE3FE6"/>
    <w:rsid w:val="00DF1E3E"/>
    <w:rsid w:val="00DF2012"/>
    <w:rsid w:val="00DF2719"/>
    <w:rsid w:val="00DF4DBA"/>
    <w:rsid w:val="00DF4EB8"/>
    <w:rsid w:val="00DF50CC"/>
    <w:rsid w:val="00DF595F"/>
    <w:rsid w:val="00DF7918"/>
    <w:rsid w:val="00E006F6"/>
    <w:rsid w:val="00E00B8B"/>
    <w:rsid w:val="00E011EF"/>
    <w:rsid w:val="00E01592"/>
    <w:rsid w:val="00E0199E"/>
    <w:rsid w:val="00E02A20"/>
    <w:rsid w:val="00E02A2C"/>
    <w:rsid w:val="00E03259"/>
    <w:rsid w:val="00E0382F"/>
    <w:rsid w:val="00E06B28"/>
    <w:rsid w:val="00E07E9C"/>
    <w:rsid w:val="00E10415"/>
    <w:rsid w:val="00E11690"/>
    <w:rsid w:val="00E11AF0"/>
    <w:rsid w:val="00E11C5D"/>
    <w:rsid w:val="00E12DC2"/>
    <w:rsid w:val="00E14096"/>
    <w:rsid w:val="00E14731"/>
    <w:rsid w:val="00E1578B"/>
    <w:rsid w:val="00E15E94"/>
    <w:rsid w:val="00E16912"/>
    <w:rsid w:val="00E174F3"/>
    <w:rsid w:val="00E227B9"/>
    <w:rsid w:val="00E22E0A"/>
    <w:rsid w:val="00E24155"/>
    <w:rsid w:val="00E266E3"/>
    <w:rsid w:val="00E30686"/>
    <w:rsid w:val="00E30DF7"/>
    <w:rsid w:val="00E32534"/>
    <w:rsid w:val="00E34939"/>
    <w:rsid w:val="00E35AC1"/>
    <w:rsid w:val="00E36EB4"/>
    <w:rsid w:val="00E40504"/>
    <w:rsid w:val="00E43CAA"/>
    <w:rsid w:val="00E43F3E"/>
    <w:rsid w:val="00E44A18"/>
    <w:rsid w:val="00E44BCA"/>
    <w:rsid w:val="00E455A2"/>
    <w:rsid w:val="00E50012"/>
    <w:rsid w:val="00E50592"/>
    <w:rsid w:val="00E50CD5"/>
    <w:rsid w:val="00E54BE7"/>
    <w:rsid w:val="00E555CE"/>
    <w:rsid w:val="00E60642"/>
    <w:rsid w:val="00E61608"/>
    <w:rsid w:val="00E63B7F"/>
    <w:rsid w:val="00E63C16"/>
    <w:rsid w:val="00E6500B"/>
    <w:rsid w:val="00E6752C"/>
    <w:rsid w:val="00E71CB7"/>
    <w:rsid w:val="00E723CC"/>
    <w:rsid w:val="00E732EC"/>
    <w:rsid w:val="00E73CE7"/>
    <w:rsid w:val="00E74CA8"/>
    <w:rsid w:val="00E75130"/>
    <w:rsid w:val="00E76893"/>
    <w:rsid w:val="00E77298"/>
    <w:rsid w:val="00E800BF"/>
    <w:rsid w:val="00E8230B"/>
    <w:rsid w:val="00E83780"/>
    <w:rsid w:val="00E838EF"/>
    <w:rsid w:val="00E83E1E"/>
    <w:rsid w:val="00E8449C"/>
    <w:rsid w:val="00E9101E"/>
    <w:rsid w:val="00E912E8"/>
    <w:rsid w:val="00E91509"/>
    <w:rsid w:val="00E91D10"/>
    <w:rsid w:val="00E93502"/>
    <w:rsid w:val="00E94A5E"/>
    <w:rsid w:val="00E956E9"/>
    <w:rsid w:val="00E97FD3"/>
    <w:rsid w:val="00EA512C"/>
    <w:rsid w:val="00EA745B"/>
    <w:rsid w:val="00EA75E6"/>
    <w:rsid w:val="00EB2AA7"/>
    <w:rsid w:val="00EB2B21"/>
    <w:rsid w:val="00EB3E3E"/>
    <w:rsid w:val="00EB3F38"/>
    <w:rsid w:val="00EB4596"/>
    <w:rsid w:val="00EB5BD2"/>
    <w:rsid w:val="00EB74B1"/>
    <w:rsid w:val="00EB7D65"/>
    <w:rsid w:val="00EC3753"/>
    <w:rsid w:val="00EC55D4"/>
    <w:rsid w:val="00EC603D"/>
    <w:rsid w:val="00EC6B9A"/>
    <w:rsid w:val="00ED0D2B"/>
    <w:rsid w:val="00ED12A5"/>
    <w:rsid w:val="00ED35FE"/>
    <w:rsid w:val="00ED4A40"/>
    <w:rsid w:val="00ED56F8"/>
    <w:rsid w:val="00ED7136"/>
    <w:rsid w:val="00ED749C"/>
    <w:rsid w:val="00ED75B6"/>
    <w:rsid w:val="00ED78CD"/>
    <w:rsid w:val="00ED7ABD"/>
    <w:rsid w:val="00EE004D"/>
    <w:rsid w:val="00EE04AD"/>
    <w:rsid w:val="00EE0676"/>
    <w:rsid w:val="00EE0B76"/>
    <w:rsid w:val="00EE1E7E"/>
    <w:rsid w:val="00EE29D3"/>
    <w:rsid w:val="00EE342B"/>
    <w:rsid w:val="00EE438A"/>
    <w:rsid w:val="00EE7846"/>
    <w:rsid w:val="00EF1861"/>
    <w:rsid w:val="00EF2135"/>
    <w:rsid w:val="00EF3BD8"/>
    <w:rsid w:val="00EF3ECB"/>
    <w:rsid w:val="00EF5DBB"/>
    <w:rsid w:val="00EF6392"/>
    <w:rsid w:val="00EF65EE"/>
    <w:rsid w:val="00EF7371"/>
    <w:rsid w:val="00F00B34"/>
    <w:rsid w:val="00F013C3"/>
    <w:rsid w:val="00F020E6"/>
    <w:rsid w:val="00F02F3C"/>
    <w:rsid w:val="00F032D6"/>
    <w:rsid w:val="00F0459C"/>
    <w:rsid w:val="00F051D6"/>
    <w:rsid w:val="00F052B1"/>
    <w:rsid w:val="00F05391"/>
    <w:rsid w:val="00F05556"/>
    <w:rsid w:val="00F05711"/>
    <w:rsid w:val="00F05B16"/>
    <w:rsid w:val="00F0739F"/>
    <w:rsid w:val="00F10860"/>
    <w:rsid w:val="00F120DF"/>
    <w:rsid w:val="00F143F1"/>
    <w:rsid w:val="00F14432"/>
    <w:rsid w:val="00F14CEA"/>
    <w:rsid w:val="00F14FB0"/>
    <w:rsid w:val="00F153EE"/>
    <w:rsid w:val="00F16F2D"/>
    <w:rsid w:val="00F20019"/>
    <w:rsid w:val="00F21A4A"/>
    <w:rsid w:val="00F22BEF"/>
    <w:rsid w:val="00F23159"/>
    <w:rsid w:val="00F240AA"/>
    <w:rsid w:val="00F25361"/>
    <w:rsid w:val="00F266B4"/>
    <w:rsid w:val="00F26A18"/>
    <w:rsid w:val="00F27B8A"/>
    <w:rsid w:val="00F27E49"/>
    <w:rsid w:val="00F3058F"/>
    <w:rsid w:val="00F31268"/>
    <w:rsid w:val="00F334D9"/>
    <w:rsid w:val="00F34437"/>
    <w:rsid w:val="00F34B68"/>
    <w:rsid w:val="00F34DFF"/>
    <w:rsid w:val="00F3522C"/>
    <w:rsid w:val="00F35D5C"/>
    <w:rsid w:val="00F35EF6"/>
    <w:rsid w:val="00F36344"/>
    <w:rsid w:val="00F36D8E"/>
    <w:rsid w:val="00F36EE0"/>
    <w:rsid w:val="00F374A9"/>
    <w:rsid w:val="00F378EB"/>
    <w:rsid w:val="00F41C2A"/>
    <w:rsid w:val="00F425A7"/>
    <w:rsid w:val="00F42CDC"/>
    <w:rsid w:val="00F4378D"/>
    <w:rsid w:val="00F43981"/>
    <w:rsid w:val="00F44201"/>
    <w:rsid w:val="00F44ED4"/>
    <w:rsid w:val="00F46BA7"/>
    <w:rsid w:val="00F4789A"/>
    <w:rsid w:val="00F51021"/>
    <w:rsid w:val="00F5508F"/>
    <w:rsid w:val="00F55660"/>
    <w:rsid w:val="00F55FA5"/>
    <w:rsid w:val="00F56485"/>
    <w:rsid w:val="00F57720"/>
    <w:rsid w:val="00F57C65"/>
    <w:rsid w:val="00F61B70"/>
    <w:rsid w:val="00F6284E"/>
    <w:rsid w:val="00F631CA"/>
    <w:rsid w:val="00F65097"/>
    <w:rsid w:val="00F65217"/>
    <w:rsid w:val="00F715F7"/>
    <w:rsid w:val="00F71FDC"/>
    <w:rsid w:val="00F74CC6"/>
    <w:rsid w:val="00F80ABF"/>
    <w:rsid w:val="00F813AC"/>
    <w:rsid w:val="00F8179D"/>
    <w:rsid w:val="00F81881"/>
    <w:rsid w:val="00F81958"/>
    <w:rsid w:val="00F82352"/>
    <w:rsid w:val="00F83989"/>
    <w:rsid w:val="00F83C86"/>
    <w:rsid w:val="00F869A0"/>
    <w:rsid w:val="00F90693"/>
    <w:rsid w:val="00F91B01"/>
    <w:rsid w:val="00F924AB"/>
    <w:rsid w:val="00F93356"/>
    <w:rsid w:val="00F93C4A"/>
    <w:rsid w:val="00F93D09"/>
    <w:rsid w:val="00F93E9F"/>
    <w:rsid w:val="00F94386"/>
    <w:rsid w:val="00F943FD"/>
    <w:rsid w:val="00F94781"/>
    <w:rsid w:val="00F961AB"/>
    <w:rsid w:val="00F96571"/>
    <w:rsid w:val="00FA269B"/>
    <w:rsid w:val="00FA2A67"/>
    <w:rsid w:val="00FA4359"/>
    <w:rsid w:val="00FA45A5"/>
    <w:rsid w:val="00FA5185"/>
    <w:rsid w:val="00FA5C56"/>
    <w:rsid w:val="00FB0557"/>
    <w:rsid w:val="00FB05E6"/>
    <w:rsid w:val="00FB05FE"/>
    <w:rsid w:val="00FB2165"/>
    <w:rsid w:val="00FB2943"/>
    <w:rsid w:val="00FB3679"/>
    <w:rsid w:val="00FB3AE4"/>
    <w:rsid w:val="00FB3BAB"/>
    <w:rsid w:val="00FB63FB"/>
    <w:rsid w:val="00FB6463"/>
    <w:rsid w:val="00FB6508"/>
    <w:rsid w:val="00FB699F"/>
    <w:rsid w:val="00FB74E7"/>
    <w:rsid w:val="00FC0355"/>
    <w:rsid w:val="00FC0F99"/>
    <w:rsid w:val="00FC2F6B"/>
    <w:rsid w:val="00FC310F"/>
    <w:rsid w:val="00FC513B"/>
    <w:rsid w:val="00FC62AC"/>
    <w:rsid w:val="00FC799C"/>
    <w:rsid w:val="00FD01D7"/>
    <w:rsid w:val="00FD1576"/>
    <w:rsid w:val="00FD1FF0"/>
    <w:rsid w:val="00FD2837"/>
    <w:rsid w:val="00FD53AC"/>
    <w:rsid w:val="00FE0B26"/>
    <w:rsid w:val="00FE2A8C"/>
    <w:rsid w:val="00FE49D8"/>
    <w:rsid w:val="00FE57D6"/>
    <w:rsid w:val="00FE6563"/>
    <w:rsid w:val="00FF16D7"/>
    <w:rsid w:val="00FF1A36"/>
    <w:rsid w:val="00FF27D5"/>
    <w:rsid w:val="00FF4F6A"/>
    <w:rsid w:val="00FF61AC"/>
    <w:rsid w:val="00FF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28EED2"/>
  <w15:chartTrackingRefBased/>
  <w15:docId w15:val="{F472756E-815B-4B30-BA08-CF3DF27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24B0B"/>
  </w:style>
  <w:style w:type="character" w:customStyle="1" w:styleId="ParaNumChar">
    <w:name w:val="ParaNum Char"/>
    <w:link w:val="ParaNum"/>
    <w:rsid w:val="00624B0B"/>
    <w:rPr>
      <w:snapToGrid w:val="0"/>
      <w:kern w:val="28"/>
      <w:sz w:val="22"/>
    </w:rPr>
  </w:style>
  <w:style w:type="table" w:styleId="TableGrid">
    <w:name w:val="Table Grid"/>
    <w:basedOn w:val="TableNormal"/>
    <w:uiPriority w:val="59"/>
    <w:rsid w:val="0062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3FD"/>
    <w:rPr>
      <w:rFonts w:ascii="Segoe UI" w:hAnsi="Segoe UI" w:cs="Segoe UI"/>
      <w:sz w:val="18"/>
      <w:szCs w:val="18"/>
    </w:rPr>
  </w:style>
  <w:style w:type="character" w:customStyle="1" w:styleId="BalloonTextChar">
    <w:name w:val="Balloon Text Char"/>
    <w:link w:val="BalloonText"/>
    <w:uiPriority w:val="99"/>
    <w:semiHidden/>
    <w:rsid w:val="00F943FD"/>
    <w:rPr>
      <w:rFonts w:ascii="Segoe UI" w:hAnsi="Segoe UI" w:cs="Segoe UI"/>
      <w:snapToGrid w:val="0"/>
      <w:kern w:val="28"/>
      <w:sz w:val="18"/>
      <w:szCs w:val="18"/>
    </w:rPr>
  </w:style>
  <w:style w:type="character" w:styleId="CommentReference">
    <w:name w:val="annotation reference"/>
    <w:uiPriority w:val="99"/>
    <w:semiHidden/>
    <w:unhideWhenUsed/>
    <w:rsid w:val="001F7648"/>
    <w:rPr>
      <w:sz w:val="16"/>
      <w:szCs w:val="16"/>
    </w:rPr>
  </w:style>
  <w:style w:type="paragraph" w:styleId="CommentText">
    <w:name w:val="annotation text"/>
    <w:basedOn w:val="Normal"/>
    <w:link w:val="CommentTextChar"/>
    <w:uiPriority w:val="99"/>
    <w:unhideWhenUsed/>
    <w:rsid w:val="001F7648"/>
    <w:rPr>
      <w:sz w:val="20"/>
    </w:rPr>
  </w:style>
  <w:style w:type="character" w:customStyle="1" w:styleId="CommentTextChar">
    <w:name w:val="Comment Text Char"/>
    <w:link w:val="CommentText"/>
    <w:uiPriority w:val="99"/>
    <w:rsid w:val="001F7648"/>
    <w:rPr>
      <w:snapToGrid w:val="0"/>
      <w:kern w:val="28"/>
    </w:rPr>
  </w:style>
  <w:style w:type="paragraph" w:styleId="CommentSubject">
    <w:name w:val="annotation subject"/>
    <w:basedOn w:val="CommentText"/>
    <w:next w:val="CommentText"/>
    <w:link w:val="CommentSubjectChar"/>
    <w:uiPriority w:val="99"/>
    <w:semiHidden/>
    <w:unhideWhenUsed/>
    <w:rsid w:val="001F7648"/>
    <w:rPr>
      <w:b/>
      <w:bCs/>
    </w:rPr>
  </w:style>
  <w:style w:type="character" w:customStyle="1" w:styleId="CommentSubjectChar">
    <w:name w:val="Comment Subject Char"/>
    <w:link w:val="CommentSubject"/>
    <w:uiPriority w:val="99"/>
    <w:semiHidden/>
    <w:rsid w:val="001F76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 TargetMode="External" /><Relationship Id="rId7" Type="http://schemas.openxmlformats.org/officeDocument/2006/relationships/hyperlink" Target="mailto:David.Brown@fcc.gov" TargetMode="External" /><Relationship Id="rId8" Type="http://schemas.openxmlformats.org/officeDocument/2006/relationships/hyperlink" Target="http://www.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