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65FD6" w14:paraId="42B3A950" w14:textId="77777777">
      <w:pPr>
        <w:jc w:val="right"/>
        <w:rPr>
          <w:szCs w:val="22"/>
        </w:rPr>
      </w:pPr>
    </w:p>
    <w:p w:rsidR="00465FD6" w14:paraId="0173408D" w14:textId="771CDB3C">
      <w:pPr>
        <w:jc w:val="right"/>
        <w:rPr>
          <w:b/>
          <w:szCs w:val="22"/>
        </w:rPr>
      </w:pPr>
      <w:r>
        <w:rPr>
          <w:b/>
          <w:szCs w:val="22"/>
        </w:rPr>
        <w:t xml:space="preserve">DA </w:t>
      </w:r>
      <w:r w:rsidR="000135B9">
        <w:rPr>
          <w:b/>
          <w:szCs w:val="22"/>
        </w:rPr>
        <w:t>2</w:t>
      </w:r>
      <w:r w:rsidR="00404375">
        <w:rPr>
          <w:b/>
          <w:szCs w:val="22"/>
        </w:rPr>
        <w:t>2-</w:t>
      </w:r>
      <w:r w:rsidR="00482548">
        <w:rPr>
          <w:b/>
          <w:szCs w:val="22"/>
        </w:rPr>
        <w:t>143</w:t>
      </w:r>
    </w:p>
    <w:p w:rsidR="00465FD6" w14:paraId="3D801692" w14:textId="29FEB5E0">
      <w:pPr>
        <w:jc w:val="right"/>
        <w:rPr>
          <w:b/>
          <w:szCs w:val="22"/>
        </w:rPr>
      </w:pPr>
      <w:r>
        <w:rPr>
          <w:b/>
          <w:szCs w:val="22"/>
        </w:rPr>
        <w:t xml:space="preserve">February </w:t>
      </w:r>
      <w:r w:rsidR="00C07E7B">
        <w:rPr>
          <w:b/>
          <w:szCs w:val="22"/>
        </w:rPr>
        <w:t>11</w:t>
      </w:r>
      <w:r w:rsidR="00906D17">
        <w:rPr>
          <w:b/>
          <w:szCs w:val="22"/>
        </w:rPr>
        <w:t>, 202</w:t>
      </w:r>
      <w:r>
        <w:rPr>
          <w:b/>
          <w:szCs w:val="22"/>
        </w:rPr>
        <w:t>2</w:t>
      </w:r>
    </w:p>
    <w:p w:rsidR="00465FD6" w14:paraId="75EEC577" w14:textId="77777777">
      <w:pPr>
        <w:rPr>
          <w:sz w:val="24"/>
          <w:szCs w:val="24"/>
        </w:rPr>
      </w:pPr>
    </w:p>
    <w:p w:rsidR="00465FD6" w14:paraId="641A5725" w14:textId="77777777">
      <w:pPr>
        <w:jc w:val="center"/>
        <w:rPr>
          <w:b/>
          <w:sz w:val="24"/>
          <w:szCs w:val="24"/>
        </w:rPr>
      </w:pPr>
      <w:r>
        <w:rPr>
          <w:b/>
          <w:sz w:val="24"/>
          <w:szCs w:val="24"/>
        </w:rPr>
        <w:t xml:space="preserve">WIRELESS TELECOMMUNICATIONS BUREAU </w:t>
      </w:r>
      <w:r w:rsidR="00FD24AF">
        <w:rPr>
          <w:b/>
          <w:sz w:val="24"/>
          <w:szCs w:val="24"/>
        </w:rPr>
        <w:t>ANNOUNCES ADDITIONAL</w:t>
      </w:r>
      <w:r>
        <w:rPr>
          <w:b/>
          <w:sz w:val="24"/>
          <w:szCs w:val="24"/>
        </w:rPr>
        <w:t xml:space="preserve"> </w:t>
      </w:r>
      <w:r w:rsidR="00A85F06">
        <w:rPr>
          <w:b/>
          <w:sz w:val="24"/>
          <w:szCs w:val="24"/>
        </w:rPr>
        <w:t>2.5 GH</w:t>
      </w:r>
      <w:r w:rsidR="00FB163F">
        <w:rPr>
          <w:b/>
          <w:sz w:val="24"/>
          <w:szCs w:val="24"/>
        </w:rPr>
        <w:t>Z</w:t>
      </w:r>
      <w:r w:rsidR="00A85F06">
        <w:rPr>
          <w:b/>
          <w:sz w:val="24"/>
          <w:szCs w:val="24"/>
        </w:rPr>
        <w:t xml:space="preserve"> RURAL </w:t>
      </w:r>
      <w:r>
        <w:rPr>
          <w:b/>
          <w:sz w:val="24"/>
          <w:szCs w:val="24"/>
        </w:rPr>
        <w:t xml:space="preserve">TRIBAL </w:t>
      </w:r>
      <w:r w:rsidR="00A85F06">
        <w:rPr>
          <w:b/>
          <w:sz w:val="24"/>
          <w:szCs w:val="24"/>
        </w:rPr>
        <w:t>PRIORITY WINDOW</w:t>
      </w:r>
      <w:r w:rsidR="00B92DB0">
        <w:rPr>
          <w:b/>
          <w:sz w:val="24"/>
          <w:szCs w:val="24"/>
        </w:rPr>
        <w:t xml:space="preserve"> </w:t>
      </w:r>
      <w:r w:rsidR="00E67AD4">
        <w:rPr>
          <w:b/>
          <w:sz w:val="24"/>
          <w:szCs w:val="24"/>
        </w:rPr>
        <w:t>LICENSE</w:t>
      </w:r>
      <w:r>
        <w:rPr>
          <w:b/>
          <w:sz w:val="24"/>
          <w:szCs w:val="24"/>
        </w:rPr>
        <w:t xml:space="preserve"> </w:t>
      </w:r>
      <w:r w:rsidR="00AC44DB">
        <w:rPr>
          <w:b/>
          <w:sz w:val="24"/>
          <w:szCs w:val="24"/>
        </w:rPr>
        <w:t xml:space="preserve">APPLICATIONS </w:t>
      </w:r>
      <w:r w:rsidR="00FD24AF">
        <w:rPr>
          <w:b/>
          <w:sz w:val="24"/>
          <w:szCs w:val="24"/>
        </w:rPr>
        <w:t>ACCEPTED FOR FILING</w:t>
      </w:r>
    </w:p>
    <w:p w:rsidR="00465FD6" w14:paraId="618E1C74" w14:textId="77777777">
      <w:pPr>
        <w:rPr>
          <w:b/>
          <w:sz w:val="24"/>
          <w:szCs w:val="24"/>
        </w:rPr>
      </w:pPr>
    </w:p>
    <w:p w:rsidR="00465FD6" w:rsidP="00B0103A" w14:paraId="23E66B34" w14:textId="5ADC8101">
      <w:pPr>
        <w:pStyle w:val="ParaNum0"/>
        <w:widowControl/>
        <w:numPr>
          <w:ilvl w:val="0"/>
          <w:numId w:val="0"/>
        </w:numPr>
        <w:ind w:firstLine="720"/>
      </w:pPr>
      <w:r>
        <w:t xml:space="preserve">The Commission </w:t>
      </w:r>
      <w:r w:rsidR="009D49E9">
        <w:t xml:space="preserve">in 2019 </w:t>
      </w:r>
      <w:r>
        <w:t>created t</w:t>
      </w:r>
      <w:r w:rsidR="00025DB8">
        <w:t xml:space="preserve">he 2.5 GHz Rural Tribal Priority Window for </w:t>
      </w:r>
      <w:r>
        <w:t xml:space="preserve">eligible </w:t>
      </w:r>
      <w:r w:rsidR="00025DB8">
        <w:t>Trib</w:t>
      </w:r>
      <w:r>
        <w:t>al entiti</w:t>
      </w:r>
      <w:r w:rsidR="00025DB8">
        <w:t xml:space="preserve">es to gain access to </w:t>
      </w:r>
      <w:r w:rsidR="004C3722">
        <w:t xml:space="preserve">prime mid-band </w:t>
      </w:r>
      <w:r w:rsidR="00025DB8">
        <w:t xml:space="preserve">spectrum to deploy broadband and other next-generation </w:t>
      </w:r>
      <w:r w:rsidR="004C3722">
        <w:t xml:space="preserve">wireless </w:t>
      </w:r>
      <w:r w:rsidR="00025DB8">
        <w:t xml:space="preserve">services </w:t>
      </w:r>
      <w:r w:rsidR="001E4127">
        <w:t>to address the digital divid</w:t>
      </w:r>
      <w:r w:rsidR="00C36CBE">
        <w:t>e</w:t>
      </w:r>
      <w:r w:rsidR="001E4127">
        <w:t xml:space="preserve"> </w:t>
      </w:r>
      <w:r w:rsidR="00C36CBE">
        <w:t>o</w:t>
      </w:r>
      <w:r w:rsidR="001E4127">
        <w:t>n rural Tribal lands</w:t>
      </w:r>
      <w:r w:rsidR="00025DB8">
        <w:t>.</w:t>
      </w:r>
      <w:r>
        <w:rPr>
          <w:rStyle w:val="FootnoteReference"/>
          <w:szCs w:val="22"/>
        </w:rPr>
        <w:footnoteReference w:id="3"/>
      </w:r>
      <w:r w:rsidR="00025DB8">
        <w:t xml:space="preserve">  </w:t>
      </w:r>
      <w:r w:rsidRPr="008A0828" w:rsidR="00B0103A">
        <w:rPr>
          <w:szCs w:val="22"/>
        </w:rPr>
        <w:t>Successful Tribal applicants will receive licenses for exclusive use of up to 117.5 megahertz of</w:t>
      </w:r>
      <w:r w:rsidR="00B0103A">
        <w:rPr>
          <w:szCs w:val="22"/>
        </w:rPr>
        <w:t xml:space="preserve"> unassigned</w:t>
      </w:r>
      <w:r w:rsidRPr="008A0828" w:rsidR="00B0103A">
        <w:rPr>
          <w:szCs w:val="22"/>
        </w:rPr>
        <w:t xml:space="preserve"> 2.5 GHz spectrum</w:t>
      </w:r>
      <w:r w:rsidR="00B0103A">
        <w:rPr>
          <w:szCs w:val="22"/>
        </w:rPr>
        <w:t xml:space="preserve"> which can help serve the communications needs of </w:t>
      </w:r>
      <w:r w:rsidR="00D94C7A">
        <w:rPr>
          <w:szCs w:val="22"/>
        </w:rPr>
        <w:t xml:space="preserve">their </w:t>
      </w:r>
      <w:r w:rsidR="00B0103A">
        <w:rPr>
          <w:szCs w:val="22"/>
        </w:rPr>
        <w:t xml:space="preserve">rural Tribal communities.  </w:t>
      </w:r>
      <w:r w:rsidR="005F5C0E">
        <w:t xml:space="preserve">The </w:t>
      </w:r>
      <w:r w:rsidR="00B0103A">
        <w:t xml:space="preserve">Wireless Telecommunications </w:t>
      </w:r>
      <w:r w:rsidR="005F5C0E">
        <w:t xml:space="preserve">Bureau </w:t>
      </w:r>
      <w:r w:rsidR="00B0103A">
        <w:t xml:space="preserve">(Bureau) </w:t>
      </w:r>
      <w:r w:rsidR="005F5C0E">
        <w:t xml:space="preserve">has already granted </w:t>
      </w:r>
      <w:r w:rsidR="00404375">
        <w:t>328</w:t>
      </w:r>
      <w:r w:rsidR="005F5C0E">
        <w:t xml:space="preserve"> licenses to Tribes or Tribally-controlled entities </w:t>
      </w:r>
      <w:r w:rsidR="00B0103A">
        <w:t xml:space="preserve">as part of its review of applications received </w:t>
      </w:r>
      <w:r w:rsidR="001E4127">
        <w:t>during t</w:t>
      </w:r>
      <w:r w:rsidR="00025DB8">
        <w:t>he filing window</w:t>
      </w:r>
      <w:r w:rsidR="001E4127">
        <w:t>, which</w:t>
      </w:r>
      <w:r w:rsidR="00025DB8">
        <w:t xml:space="preserve"> </w:t>
      </w:r>
      <w:r w:rsidR="00B0103A">
        <w:t xml:space="preserve">was open from </w:t>
      </w:r>
      <w:r w:rsidR="00025DB8">
        <w:t>February 3</w:t>
      </w:r>
      <w:r w:rsidR="00B0103A">
        <w:t xml:space="preserve"> to </w:t>
      </w:r>
      <w:r w:rsidR="00025DB8">
        <w:t>September 2, 2020.</w:t>
      </w:r>
      <w:r>
        <w:rPr>
          <w:rStyle w:val="FootnoteReference"/>
        </w:rPr>
        <w:footnoteReference w:id="4"/>
      </w:r>
      <w:r w:rsidR="00B0103A">
        <w:t xml:space="preserve">  </w:t>
      </w:r>
      <w:r w:rsidR="007037B2">
        <w:t>With today’s Public Notice</w:t>
      </w:r>
      <w:r w:rsidR="003157F1">
        <w:t xml:space="preserve">, an additional </w:t>
      </w:r>
      <w:r w:rsidR="00FF74F7">
        <w:t xml:space="preserve">seven </w:t>
      </w:r>
      <w:r w:rsidR="003157F1">
        <w:t xml:space="preserve">applications have been accepted for filing.  </w:t>
      </w:r>
    </w:p>
    <w:p w:rsidR="00465FD6" w14:paraId="59AB744B" w14:textId="78811735">
      <w:pPr>
        <w:ind w:firstLine="720"/>
        <w:rPr>
          <w:iCs/>
          <w:szCs w:val="22"/>
        </w:rPr>
      </w:pPr>
      <w:r>
        <w:rPr>
          <w:szCs w:val="22"/>
        </w:rPr>
        <w:t>Specifically, t</w:t>
      </w:r>
      <w:r w:rsidR="00906D17">
        <w:rPr>
          <w:szCs w:val="22"/>
        </w:rPr>
        <w:t>he</w:t>
      </w:r>
      <w:r w:rsidR="00FF74F7">
        <w:rPr>
          <w:szCs w:val="22"/>
        </w:rPr>
        <w:t xml:space="preserve"> seven</w:t>
      </w:r>
      <w:r w:rsidR="00475F2C">
        <w:rPr>
          <w:szCs w:val="22"/>
        </w:rPr>
        <w:t xml:space="preserve"> </w:t>
      </w:r>
      <w:r w:rsidR="00906D17">
        <w:rPr>
          <w:szCs w:val="22"/>
        </w:rPr>
        <w:t>Rural Tribal Priority Window applications (FCC Form 601) listed in Attachment</w:t>
      </w:r>
      <w:r w:rsidR="007A3A28">
        <w:rPr>
          <w:szCs w:val="22"/>
        </w:rPr>
        <w:t>s</w:t>
      </w:r>
      <w:r w:rsidR="00906D17">
        <w:rPr>
          <w:szCs w:val="22"/>
        </w:rPr>
        <w:t xml:space="preserve"> A </w:t>
      </w:r>
      <w:r w:rsidR="007A3A28">
        <w:rPr>
          <w:szCs w:val="22"/>
        </w:rPr>
        <w:t xml:space="preserve">and B </w:t>
      </w:r>
      <w:r w:rsidR="00906D17">
        <w:rPr>
          <w:szCs w:val="22"/>
        </w:rPr>
        <w:t>have been found, upon initial review, to be acceptable for filing.</w:t>
      </w:r>
      <w:r>
        <w:rPr>
          <w:rStyle w:val="FootnoteReference"/>
          <w:szCs w:val="22"/>
        </w:rPr>
        <w:footnoteReference w:id="5"/>
      </w:r>
      <w:r w:rsidR="00906D17">
        <w:rPr>
          <w:szCs w:val="22"/>
        </w:rPr>
        <w:t xml:space="preserve">  </w:t>
      </w:r>
      <w:r w:rsidR="001E4127">
        <w:rPr>
          <w:iCs/>
          <w:szCs w:val="22"/>
        </w:rPr>
        <w:t>That an application has been a</w:t>
      </w:r>
      <w:r w:rsidR="001E4127">
        <w:t xml:space="preserve">ccepted for filing means that the </w:t>
      </w:r>
      <w:r w:rsidRPr="00F44359" w:rsidR="001E4127">
        <w:t xml:space="preserve">application, </w:t>
      </w:r>
      <w:r w:rsidRPr="00ED388A" w:rsidR="001E4127">
        <w:t>upon initial review,</w:t>
      </w:r>
      <w:r w:rsidRPr="00F44359" w:rsidR="001E4127">
        <w:t xml:space="preserve"> </w:t>
      </w:r>
      <w:r w:rsidRPr="00F44359" w:rsidR="0054405A">
        <w:t>is</w:t>
      </w:r>
      <w:r w:rsidRPr="00ED388A" w:rsidR="0054405A">
        <w:t xml:space="preserve"> </w:t>
      </w:r>
      <w:r w:rsidRPr="00ED388A" w:rsidR="001E4127">
        <w:t xml:space="preserve">complete and contains sufficient information to be </w:t>
      </w:r>
      <w:r w:rsidRPr="00F44359" w:rsidR="001E4127">
        <w:t xml:space="preserve">accepted </w:t>
      </w:r>
      <w:r w:rsidR="001E4127">
        <w:t xml:space="preserve">for processing and further review, including a required period </w:t>
      </w:r>
      <w:r w:rsidR="000C762E">
        <w:t xml:space="preserve">during </w:t>
      </w:r>
      <w:r w:rsidR="001E4127">
        <w:t>which public comment on the application is sought</w:t>
      </w:r>
      <w:r w:rsidR="0054405A">
        <w:t>.</w:t>
      </w:r>
      <w:r w:rsidR="001E4127">
        <w:t xml:space="preserve"> </w:t>
      </w:r>
      <w:r w:rsidR="00EC5283">
        <w:t xml:space="preserve"> </w:t>
      </w:r>
      <w:r w:rsidRPr="00EC5283" w:rsidR="00813E81">
        <w:t xml:space="preserve">Such acceptance for filing, however, </w:t>
      </w:r>
      <w:r w:rsidR="00906D17">
        <w:rPr>
          <w:iCs/>
          <w:szCs w:val="22"/>
        </w:rPr>
        <w:t xml:space="preserve">does not mean that </w:t>
      </w:r>
      <w:r w:rsidR="004C3722">
        <w:rPr>
          <w:iCs/>
          <w:szCs w:val="22"/>
        </w:rPr>
        <w:t xml:space="preserve">all application requirements have been met, nor does it mean that any </w:t>
      </w:r>
      <w:r w:rsidR="00906D17">
        <w:rPr>
          <w:iCs/>
          <w:szCs w:val="22"/>
        </w:rPr>
        <w:t xml:space="preserve">waiver </w:t>
      </w:r>
      <w:r w:rsidR="004C3722">
        <w:rPr>
          <w:iCs/>
          <w:szCs w:val="22"/>
        </w:rPr>
        <w:t xml:space="preserve">requested with the application </w:t>
      </w:r>
      <w:r w:rsidR="00906D17">
        <w:rPr>
          <w:iCs/>
          <w:szCs w:val="22"/>
        </w:rPr>
        <w:t xml:space="preserve">will be granted.  </w:t>
      </w:r>
      <w:r w:rsidR="009D49E9">
        <w:rPr>
          <w:szCs w:val="22"/>
        </w:rPr>
        <w:t xml:space="preserve">The Bureau may return or dismiss any application that is </w:t>
      </w:r>
      <w:r w:rsidR="009D49E9">
        <w:rPr>
          <w:szCs w:val="22"/>
        </w:rPr>
        <w:t>accepted for filing if, upon further examination, it is found to be defective or not in conformance with the Commission’s rules.</w:t>
      </w:r>
      <w:r>
        <w:rPr>
          <w:rStyle w:val="FootnoteReference"/>
          <w:szCs w:val="22"/>
        </w:rPr>
        <w:footnoteReference w:id="6"/>
      </w:r>
      <w:r w:rsidR="009D49E9">
        <w:rPr>
          <w:i/>
          <w:szCs w:val="22"/>
        </w:rPr>
        <w:t xml:space="preserve"> </w:t>
      </w:r>
      <w:r w:rsidR="009D49E9">
        <w:rPr>
          <w:iCs/>
          <w:szCs w:val="22"/>
        </w:rPr>
        <w:t xml:space="preserve"> </w:t>
      </w:r>
      <w:r w:rsidR="004C3722">
        <w:rPr>
          <w:iCs/>
          <w:szCs w:val="22"/>
        </w:rPr>
        <w:t xml:space="preserve">For example, </w:t>
      </w:r>
      <w:r w:rsidR="00906D17">
        <w:rPr>
          <w:iCs/>
          <w:szCs w:val="22"/>
        </w:rPr>
        <w:t xml:space="preserve">for applications seeking a license </w:t>
      </w:r>
      <w:r w:rsidR="007F7962">
        <w:rPr>
          <w:iCs/>
          <w:szCs w:val="22"/>
        </w:rPr>
        <w:t xml:space="preserve">for </w:t>
      </w:r>
      <w:r w:rsidR="00D860F8">
        <w:rPr>
          <w:iCs/>
          <w:szCs w:val="22"/>
        </w:rPr>
        <w:t xml:space="preserve">areas that are not </w:t>
      </w:r>
      <w:r w:rsidR="001E4127">
        <w:rPr>
          <w:iCs/>
          <w:szCs w:val="22"/>
        </w:rPr>
        <w:t xml:space="preserve">eligible rural </w:t>
      </w:r>
      <w:r w:rsidR="00D860F8">
        <w:rPr>
          <w:iCs/>
          <w:szCs w:val="22"/>
        </w:rPr>
        <w:t>Tribal Land</w:t>
      </w:r>
      <w:r w:rsidR="001218FC">
        <w:rPr>
          <w:iCs/>
          <w:szCs w:val="22"/>
        </w:rPr>
        <w:t>s</w:t>
      </w:r>
      <w:r w:rsidR="00D860F8">
        <w:rPr>
          <w:iCs/>
          <w:szCs w:val="22"/>
        </w:rPr>
        <w:t xml:space="preserve"> or for which the Tribal entity </w:t>
      </w:r>
      <w:r w:rsidR="001E4127">
        <w:rPr>
          <w:iCs/>
          <w:szCs w:val="22"/>
        </w:rPr>
        <w:t>has not demon</w:t>
      </w:r>
      <w:r w:rsidR="004653EC">
        <w:rPr>
          <w:iCs/>
          <w:szCs w:val="22"/>
        </w:rPr>
        <w:t>s</w:t>
      </w:r>
      <w:r w:rsidR="001E4127">
        <w:rPr>
          <w:iCs/>
          <w:szCs w:val="22"/>
        </w:rPr>
        <w:t>trated</w:t>
      </w:r>
      <w:r w:rsidR="00D860F8">
        <w:rPr>
          <w:iCs/>
          <w:szCs w:val="22"/>
        </w:rPr>
        <w:t xml:space="preserve"> a local presence</w:t>
      </w:r>
      <w:r w:rsidR="00906D17">
        <w:t>,</w:t>
      </w:r>
      <w:r>
        <w:rPr>
          <w:rStyle w:val="FootnoteReference"/>
        </w:rPr>
        <w:footnoteReference w:id="7"/>
      </w:r>
      <w:r w:rsidR="00906D17">
        <w:t xml:space="preserve"> the fact that an application has been accepted for filing does not mean that the applicant </w:t>
      </w:r>
      <w:r w:rsidR="007F7962">
        <w:t>has been granted a waiver</w:t>
      </w:r>
      <w:r w:rsidR="00906D17">
        <w:t>.</w:t>
      </w:r>
      <w:r>
        <w:rPr>
          <w:rStyle w:val="FootnoteReference"/>
        </w:rPr>
        <w:footnoteReference w:id="8"/>
      </w:r>
      <w:r w:rsidR="00D860F8">
        <w:rPr>
          <w:rStyle w:val="FootnoteReference"/>
        </w:rPr>
        <w:t xml:space="preserve"> </w:t>
      </w:r>
      <w:r w:rsidR="00D633B5">
        <w:t xml:space="preserve">  </w:t>
      </w:r>
    </w:p>
    <w:p w:rsidR="00465FD6" w14:paraId="21994940" w14:textId="77777777">
      <w:pPr>
        <w:rPr>
          <w:szCs w:val="22"/>
        </w:rPr>
      </w:pPr>
    </w:p>
    <w:p w:rsidR="00465FD6" w14:paraId="109BD43A" w14:textId="00BA8F5A">
      <w:pPr>
        <w:rPr>
          <w:szCs w:val="22"/>
        </w:rPr>
      </w:pPr>
      <w:r>
        <w:rPr>
          <w:szCs w:val="22"/>
        </w:rPr>
        <w:tab/>
        <w:t>Petitions to deny</w:t>
      </w:r>
      <w:r>
        <w:rPr>
          <w:rStyle w:val="FootnoteReference"/>
          <w:szCs w:val="22"/>
        </w:rPr>
        <w:footnoteReference w:id="9"/>
      </w:r>
      <w:r>
        <w:rPr>
          <w:szCs w:val="22"/>
        </w:rPr>
        <w:t xml:space="preserve"> the applications listed in Attachment A must be filed no later than</w:t>
      </w:r>
      <w:bookmarkStart w:id="0" w:name="_Hlk495476271"/>
      <w:r w:rsidR="00815C0B">
        <w:rPr>
          <w:szCs w:val="22"/>
        </w:rPr>
        <w:t xml:space="preserve"> </w:t>
      </w:r>
      <w:r w:rsidR="00404375">
        <w:rPr>
          <w:b/>
          <w:bCs/>
          <w:szCs w:val="22"/>
        </w:rPr>
        <w:t xml:space="preserve">March </w:t>
      </w:r>
      <w:r w:rsidR="00BA360A">
        <w:rPr>
          <w:b/>
          <w:bCs/>
          <w:szCs w:val="22"/>
        </w:rPr>
        <w:t>14,</w:t>
      </w:r>
      <w:r>
        <w:rPr>
          <w:b/>
          <w:szCs w:val="22"/>
        </w:rPr>
        <w:t xml:space="preserve"> </w:t>
      </w:r>
      <w:bookmarkEnd w:id="0"/>
      <w:r>
        <w:rPr>
          <w:b/>
          <w:szCs w:val="22"/>
        </w:rPr>
        <w:t>202</w:t>
      </w:r>
      <w:r w:rsidR="00404375">
        <w:rPr>
          <w:b/>
          <w:szCs w:val="22"/>
        </w:rPr>
        <w:t>2</w:t>
      </w:r>
      <w:r>
        <w:rPr>
          <w:szCs w:val="22"/>
        </w:rPr>
        <w:t>, thirty (30) days after the date of this Public Notice.  Oppositions to a petition to deny must be filed no later than</w:t>
      </w:r>
      <w:r>
        <w:rPr>
          <w:b/>
          <w:szCs w:val="22"/>
        </w:rPr>
        <w:t xml:space="preserve"> </w:t>
      </w:r>
      <w:r w:rsidR="00404375">
        <w:rPr>
          <w:b/>
          <w:szCs w:val="22"/>
        </w:rPr>
        <w:t xml:space="preserve">March </w:t>
      </w:r>
      <w:r w:rsidR="00BA360A">
        <w:rPr>
          <w:b/>
          <w:szCs w:val="22"/>
        </w:rPr>
        <w:t>24,</w:t>
      </w:r>
      <w:r>
        <w:rPr>
          <w:b/>
          <w:szCs w:val="22"/>
        </w:rPr>
        <w:t xml:space="preserve"> 202</w:t>
      </w:r>
      <w:r w:rsidR="00404375">
        <w:rPr>
          <w:b/>
          <w:szCs w:val="22"/>
        </w:rPr>
        <w:t>2</w:t>
      </w:r>
      <w:r>
        <w:rPr>
          <w:szCs w:val="22"/>
        </w:rPr>
        <w:t>, ten (10) days after the filing date for petitions to deny.</w:t>
      </w:r>
      <w:r>
        <w:rPr>
          <w:rStyle w:val="FootnoteReference"/>
          <w:szCs w:val="22"/>
        </w:rPr>
        <w:footnoteReference w:id="10"/>
      </w:r>
      <w:r>
        <w:rPr>
          <w:szCs w:val="22"/>
        </w:rPr>
        <w:t xml:space="preserve">  Replies to oppositions must be filed no later than</w:t>
      </w:r>
      <w:r w:rsidR="00A04EBE">
        <w:rPr>
          <w:szCs w:val="22"/>
        </w:rPr>
        <w:t xml:space="preserve"> </w:t>
      </w:r>
      <w:r w:rsidR="00404375">
        <w:rPr>
          <w:b/>
          <w:bCs/>
          <w:szCs w:val="22"/>
        </w:rPr>
        <w:t>March</w:t>
      </w:r>
      <w:r w:rsidRPr="00A04EBE" w:rsidR="00A04EBE">
        <w:rPr>
          <w:b/>
          <w:bCs/>
          <w:szCs w:val="22"/>
        </w:rPr>
        <w:t xml:space="preserve"> </w:t>
      </w:r>
      <w:r w:rsidR="00BA360A">
        <w:rPr>
          <w:b/>
          <w:bCs/>
          <w:szCs w:val="22"/>
        </w:rPr>
        <w:t>31</w:t>
      </w:r>
      <w:r w:rsidRPr="00A04EBE">
        <w:rPr>
          <w:b/>
          <w:bCs/>
          <w:szCs w:val="22"/>
        </w:rPr>
        <w:t>,</w:t>
      </w:r>
      <w:r>
        <w:rPr>
          <w:b/>
          <w:szCs w:val="22"/>
        </w:rPr>
        <w:t xml:space="preserve"> 202</w:t>
      </w:r>
      <w:r w:rsidR="00A04EBE">
        <w:rPr>
          <w:b/>
          <w:szCs w:val="22"/>
        </w:rPr>
        <w:t>2</w:t>
      </w:r>
      <w:r>
        <w:rPr>
          <w:szCs w:val="22"/>
        </w:rPr>
        <w:t>, five (5) business days after the filing date for oppositions.</w:t>
      </w:r>
      <w:r>
        <w:rPr>
          <w:rStyle w:val="FootnoteReference"/>
          <w:szCs w:val="22"/>
        </w:rPr>
        <w:footnoteReference w:id="11"/>
      </w:r>
      <w:r>
        <w:rPr>
          <w:szCs w:val="22"/>
        </w:rPr>
        <w:t xml:space="preserve">  All pleadings filed regarding Rural Tribal Priority Window application(s) should reference the file number of the application(s).  All applications are restricted proceedings under the Commission’s rules.</w:t>
      </w:r>
      <w:r>
        <w:rPr>
          <w:rStyle w:val="FootnoteReference"/>
          <w:szCs w:val="22"/>
        </w:rPr>
        <w:footnoteReference w:id="12"/>
      </w:r>
      <w:r>
        <w:rPr>
          <w:szCs w:val="22"/>
        </w:rPr>
        <w:t xml:space="preserve">  Unless otherwise provided by the Commission or its staff, </w:t>
      </w:r>
      <w:r>
        <w:rPr>
          <w:i/>
          <w:iCs/>
          <w:szCs w:val="22"/>
        </w:rPr>
        <w:t xml:space="preserve">ex </w:t>
      </w:r>
      <w:r>
        <w:rPr>
          <w:i/>
          <w:iCs/>
          <w:szCs w:val="22"/>
        </w:rPr>
        <w:t>parte</w:t>
      </w:r>
      <w:r>
        <w:rPr>
          <w:szCs w:val="22"/>
        </w:rPr>
        <w:t xml:space="preserve"> presentations to or from Commission decision-making personnel are prohibited in all restricted proceedings until the proceeding is no longer subject to administrative reconsideration or review or judicial review.</w:t>
      </w:r>
      <w:r>
        <w:rPr>
          <w:rStyle w:val="FootnoteReference"/>
          <w:szCs w:val="22"/>
        </w:rPr>
        <w:footnoteReference w:id="13"/>
      </w:r>
      <w:r>
        <w:rPr>
          <w:szCs w:val="22"/>
        </w:rPr>
        <w:t xml:space="preserve">  </w:t>
      </w:r>
    </w:p>
    <w:p w:rsidR="00465FD6" w14:paraId="45295C7C" w14:textId="77777777">
      <w:pPr>
        <w:rPr>
          <w:szCs w:val="22"/>
        </w:rPr>
      </w:pPr>
    </w:p>
    <w:p w:rsidR="00465FD6" w14:paraId="5ECDC95A" w14:textId="77777777">
      <w:pPr>
        <w:ind w:firstLine="720"/>
        <w:rPr>
          <w:szCs w:val="22"/>
        </w:rPr>
      </w:pPr>
      <w:r>
        <w:rPr>
          <w:szCs w:val="22"/>
        </w:rPr>
        <w:t xml:space="preserve">If no pleadings have been filed against an application, the applicant </w:t>
      </w:r>
      <w:r w:rsidR="007F7962">
        <w:rPr>
          <w:szCs w:val="22"/>
        </w:rPr>
        <w:t>may</w:t>
      </w:r>
      <w:r>
        <w:rPr>
          <w:szCs w:val="22"/>
        </w:rPr>
        <w:t xml:space="preserve"> make </w:t>
      </w:r>
      <w:r w:rsidRPr="005E4065">
        <w:rPr>
          <w:szCs w:val="22"/>
        </w:rPr>
        <w:t>presentation</w:t>
      </w:r>
      <w:r w:rsidRPr="005E4065" w:rsidR="003B61CC">
        <w:rPr>
          <w:szCs w:val="22"/>
        </w:rPr>
        <w:t>s</w:t>
      </w:r>
      <w:r>
        <w:rPr>
          <w:szCs w:val="22"/>
        </w:rPr>
        <w:t xml:space="preserve"> concerning its application.</w:t>
      </w:r>
      <w:r>
        <w:rPr>
          <w:rStyle w:val="FootnoteReference"/>
          <w:szCs w:val="22"/>
        </w:rPr>
        <w:footnoteReference w:id="14"/>
      </w:r>
      <w:r>
        <w:rPr>
          <w:szCs w:val="22"/>
        </w:rPr>
        <w:t xml:space="preserve">  Once a petition to deny or other pleading has been filed, however, </w:t>
      </w:r>
      <w:r w:rsidR="007F7962">
        <w:rPr>
          <w:szCs w:val="22"/>
        </w:rPr>
        <w:t>any party, including the applicant</w:t>
      </w:r>
      <w:r w:rsidRPr="005E4065" w:rsidR="003B61CC">
        <w:rPr>
          <w:szCs w:val="22"/>
        </w:rPr>
        <w:t>,</w:t>
      </w:r>
      <w:r>
        <w:rPr>
          <w:szCs w:val="22"/>
        </w:rPr>
        <w:t xml:space="preserve"> </w:t>
      </w:r>
      <w:r w:rsidR="007F7962">
        <w:rPr>
          <w:szCs w:val="22"/>
        </w:rPr>
        <w:t xml:space="preserve">must </w:t>
      </w:r>
      <w:r w:rsidR="007A3A28">
        <w:rPr>
          <w:szCs w:val="22"/>
        </w:rPr>
        <w:t>g</w:t>
      </w:r>
      <w:r w:rsidR="007F7962">
        <w:rPr>
          <w:szCs w:val="22"/>
        </w:rPr>
        <w:t>ive</w:t>
      </w:r>
      <w:r>
        <w:rPr>
          <w:szCs w:val="22"/>
        </w:rPr>
        <w:t xml:space="preserve"> all other parties prior notice and an opportunity to be present</w:t>
      </w:r>
      <w:r w:rsidR="007F7962">
        <w:rPr>
          <w:szCs w:val="22"/>
        </w:rPr>
        <w:t xml:space="preserve"> before making any presentation to Commission staff</w:t>
      </w:r>
      <w:r>
        <w:rPr>
          <w:szCs w:val="22"/>
        </w:rPr>
        <w:t>.</w:t>
      </w:r>
      <w:r>
        <w:rPr>
          <w:rStyle w:val="FootnoteReference"/>
          <w:szCs w:val="22"/>
        </w:rPr>
        <w:footnoteReference w:id="15"/>
      </w:r>
      <w:r>
        <w:rPr>
          <w:szCs w:val="22"/>
        </w:rPr>
        <w:t xml:space="preserve">  A</w:t>
      </w:r>
      <w:r w:rsidR="007F7962">
        <w:rPr>
          <w:szCs w:val="22"/>
        </w:rPr>
        <w:t xml:space="preserve">ny party filing a petition to deny </w:t>
      </w:r>
      <w:r>
        <w:rPr>
          <w:szCs w:val="22"/>
        </w:rPr>
        <w:t xml:space="preserve">shall serve a copy of </w:t>
      </w:r>
      <w:r w:rsidR="007F7962">
        <w:rPr>
          <w:szCs w:val="22"/>
        </w:rPr>
        <w:t xml:space="preserve">the </w:t>
      </w:r>
      <w:r>
        <w:rPr>
          <w:szCs w:val="22"/>
        </w:rPr>
        <w:t>petition to deny on the applicant and on all other interested parties pursuant to 47 CFR § 1.47.  The Commission may dismiss any petition to deny that does not comply with notice requirements.</w:t>
      </w:r>
      <w:r>
        <w:rPr>
          <w:rStyle w:val="FootnoteReference"/>
          <w:szCs w:val="22"/>
        </w:rPr>
        <w:footnoteReference w:id="16"/>
      </w:r>
      <w:r>
        <w:rPr>
          <w:szCs w:val="22"/>
        </w:rPr>
        <w:t xml:space="preserve">  Oppositions and replies shall be served on the petitioner and all other interested parties.</w:t>
      </w:r>
      <w:r>
        <w:rPr>
          <w:rStyle w:val="FootnoteReference"/>
          <w:szCs w:val="22"/>
        </w:rPr>
        <w:footnoteReference w:id="17"/>
      </w:r>
      <w:r>
        <w:rPr>
          <w:szCs w:val="22"/>
        </w:rPr>
        <w:t xml:space="preserve"> </w:t>
      </w:r>
    </w:p>
    <w:p w:rsidR="00465FD6" w14:paraId="17B26667" w14:textId="77777777">
      <w:pPr>
        <w:rPr>
          <w:szCs w:val="22"/>
        </w:rPr>
      </w:pPr>
    </w:p>
    <w:p w:rsidR="00465FD6" w14:paraId="320F35B1" w14:textId="77777777">
      <w:pPr>
        <w:rPr>
          <w:szCs w:val="22"/>
        </w:rPr>
      </w:pPr>
      <w:r>
        <w:rPr>
          <w:szCs w:val="22"/>
        </w:rPr>
        <w:tab/>
        <w:t xml:space="preserve">Pleadings may be filed electronically through the Commission’s Universal Licensing System (ULS), or by paper pursuant to the following instructions.  </w:t>
      </w:r>
      <w:r>
        <w:t xml:space="preserve">Parties are strongly encouraged to file electronically using ULS.  </w:t>
      </w:r>
      <w:r>
        <w:br/>
      </w:r>
    </w:p>
    <w:p w:rsidR="00465FD6" w14:paraId="0C8B8A97" w14:textId="77777777">
      <w:pPr>
        <w:widowControl/>
        <w:numPr>
          <w:ilvl w:val="0"/>
          <w:numId w:val="8"/>
        </w:numPr>
        <w:spacing w:after="220"/>
        <w:rPr>
          <w:szCs w:val="22"/>
        </w:rPr>
      </w:pPr>
      <w:r>
        <w:rPr>
          <w:szCs w:val="22"/>
        </w:rPr>
        <w:t xml:space="preserve">Electronic Filers:  Pleadings may be filed electronically using the Internet by accessing ULS:  </w:t>
      </w:r>
      <w:hyperlink r:id="rId5" w:history="1">
        <w:r>
          <w:rPr>
            <w:rStyle w:val="Hyperlink"/>
            <w:szCs w:val="22"/>
          </w:rPr>
          <w:t>https://www.fcc.gov/wireless/systems-utilities/universal-licensing-system</w:t>
        </w:r>
      </w:hyperlink>
      <w:r>
        <w:rPr>
          <w:szCs w:val="22"/>
        </w:rPr>
        <w:t xml:space="preserve">.  Each screen indicates the information to be provided or the action(s) to be performed to complete that screen.  From the ULS website, to begin the process of filing a pleading click on “SUBMIT A PLEADING.”  The link takes the user to the </w:t>
      </w:r>
      <w:r>
        <w:rPr>
          <w:i/>
          <w:szCs w:val="22"/>
        </w:rPr>
        <w:t xml:space="preserve">Pleadings Information </w:t>
      </w:r>
      <w:r>
        <w:rPr>
          <w:szCs w:val="22"/>
        </w:rPr>
        <w:t xml:space="preserve">screen.  Upon completing the </w:t>
      </w:r>
      <w:r>
        <w:rPr>
          <w:i/>
          <w:szCs w:val="22"/>
        </w:rPr>
        <w:t>Pleadings Information</w:t>
      </w:r>
      <w:r>
        <w:rPr>
          <w:szCs w:val="22"/>
        </w:rPr>
        <w:t xml:space="preserve"> screen, click “CONTINUE” to go to the </w:t>
      </w:r>
      <w:r>
        <w:rPr>
          <w:i/>
          <w:szCs w:val="22"/>
        </w:rPr>
        <w:t>File Numbers/Call Signs</w:t>
      </w:r>
      <w:r>
        <w:rPr>
          <w:szCs w:val="22"/>
        </w:rPr>
        <w:t xml:space="preserve"> screen.  Upon providing the information required on that screen, complete steps three and four at the </w:t>
      </w:r>
      <w:r>
        <w:rPr>
          <w:i/>
          <w:szCs w:val="22"/>
        </w:rPr>
        <w:t>Attach File</w:t>
      </w:r>
      <w:r>
        <w:rPr>
          <w:szCs w:val="22"/>
        </w:rPr>
        <w:t xml:space="preserve"> </w:t>
      </w:r>
      <w:r>
        <w:rPr>
          <w:szCs w:val="22"/>
        </w:rPr>
        <w:t xml:space="preserve">and </w:t>
      </w:r>
      <w:r>
        <w:rPr>
          <w:i/>
          <w:szCs w:val="22"/>
        </w:rPr>
        <w:t>Confirmation</w:t>
      </w:r>
      <w:r>
        <w:rPr>
          <w:szCs w:val="22"/>
        </w:rPr>
        <w:t xml:space="preserve"> screens, respectively.  For more information, detailed instructions can be found in the </w:t>
      </w:r>
      <w:r>
        <w:rPr>
          <w:i/>
          <w:szCs w:val="22"/>
        </w:rPr>
        <w:t>Public Notice</w:t>
      </w:r>
      <w:r>
        <w:rPr>
          <w:szCs w:val="22"/>
        </w:rPr>
        <w:t xml:space="preserve"> announcing the implementation of electronic filing for pleadings.</w:t>
      </w:r>
      <w:r>
        <w:rPr>
          <w:rStyle w:val="FootnoteReference"/>
          <w:szCs w:val="22"/>
        </w:rPr>
        <w:footnoteReference w:id="18"/>
      </w:r>
    </w:p>
    <w:p w:rsidR="00465FD6" w14:paraId="60507AAD" w14:textId="77777777">
      <w:pPr>
        <w:widowControl/>
        <w:numPr>
          <w:ilvl w:val="0"/>
          <w:numId w:val="8"/>
        </w:numPr>
        <w:spacing w:after="220"/>
        <w:rPr>
          <w:szCs w:val="22"/>
        </w:rPr>
      </w:pPr>
      <w:r>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rsidR="00465FD6" w14:paraId="0A7F250E" w14:textId="77777777">
      <w:pPr>
        <w:widowControl/>
        <w:numPr>
          <w:ilvl w:val="0"/>
          <w:numId w:val="9"/>
        </w:numPr>
        <w:spacing w:after="220"/>
        <w:rPr>
          <w:szCs w:val="22"/>
        </w:rPr>
      </w:pPr>
      <w:bookmarkStart w:id="2" w:name="_Hlk45627437"/>
      <w:r>
        <w:t>As of March 19, 2020, the FCC is no longer accepting hand-delivered or messenger-delivered paper filings at FCC Headquarters due to the COVID-19 pandemic.</w:t>
      </w:r>
      <w:r>
        <w:rPr>
          <w:rStyle w:val="FootnoteReference"/>
          <w:szCs w:val="22"/>
        </w:rPr>
        <w:footnoteReference w:id="19"/>
      </w:r>
      <w:r>
        <w:rPr>
          <w:szCs w:val="22"/>
        </w:rPr>
        <w:t xml:space="preserve">  Furthermore, after COVID-19 restrictions are lifted the new filing location for paper documents will be 9050 Junction Drive, Annapolis Junction, MD 20701.</w:t>
      </w:r>
      <w:r>
        <w:rPr>
          <w:rStyle w:val="FootnoteReference"/>
          <w:szCs w:val="22"/>
        </w:rPr>
        <w:footnoteReference w:id="20"/>
      </w:r>
    </w:p>
    <w:bookmarkEnd w:id="2"/>
    <w:p w:rsidR="00465FD6" w14:paraId="4ABD3445" w14:textId="77777777">
      <w:pPr>
        <w:widowControl/>
        <w:numPr>
          <w:ilvl w:val="0"/>
          <w:numId w:val="9"/>
        </w:numPr>
        <w:spacing w:after="220"/>
        <w:rPr>
          <w:szCs w:val="22"/>
        </w:rPr>
      </w:pPr>
      <w:r>
        <w:rPr>
          <w:szCs w:val="22"/>
        </w:rPr>
        <w:t>Commercial overnight mail (other than U.S. Postal Service Express Mail and Priority Mail) must be sent to 9050 Junction Drive, Annapolis Junction, MD 20701.</w:t>
      </w:r>
    </w:p>
    <w:p w:rsidR="00AC44DB" w:rsidRPr="007A3A28" w:rsidP="007C5170" w14:paraId="578B1F05" w14:textId="77777777">
      <w:pPr>
        <w:ind w:firstLine="720"/>
        <w:rPr>
          <w:szCs w:val="22"/>
        </w:rPr>
      </w:pPr>
      <w:r>
        <w:rPr>
          <w:szCs w:val="22"/>
        </w:rPr>
        <w:t xml:space="preserve">U.S. Postal Service first-class, Express, and Priority mail must be addressed to </w:t>
      </w:r>
      <w:r w:rsidRPr="006B46E8" w:rsidR="00FB163F">
        <w:rPr>
          <w:szCs w:val="22"/>
        </w:rPr>
        <w:t xml:space="preserve">45 </w:t>
      </w:r>
      <w:r w:rsidR="00FB163F">
        <w:rPr>
          <w:szCs w:val="22"/>
        </w:rPr>
        <w:t>L Street</w:t>
      </w:r>
      <w:r w:rsidRPr="006B46E8" w:rsidR="00FB163F">
        <w:rPr>
          <w:szCs w:val="22"/>
        </w:rPr>
        <w:t xml:space="preserve">, </w:t>
      </w:r>
      <w:r w:rsidR="00FB163F">
        <w:rPr>
          <w:szCs w:val="22"/>
        </w:rPr>
        <w:t>NE</w:t>
      </w:r>
      <w:r w:rsidRPr="006B46E8" w:rsidR="00FB163F">
        <w:rPr>
          <w:szCs w:val="22"/>
        </w:rPr>
        <w:t>, Washington</w:t>
      </w:r>
      <w:r w:rsidR="00FB163F">
        <w:rPr>
          <w:szCs w:val="22"/>
        </w:rPr>
        <w:t>,</w:t>
      </w:r>
      <w:r w:rsidRPr="006B46E8" w:rsidR="00FB163F">
        <w:rPr>
          <w:szCs w:val="22"/>
        </w:rPr>
        <w:t xml:space="preserve"> DC 20554</w:t>
      </w:r>
      <w:r>
        <w:rPr>
          <w:szCs w:val="22"/>
        </w:rPr>
        <w:t xml:space="preserve">.  </w:t>
      </w:r>
      <w:r w:rsidR="007C5170">
        <w:rPr>
          <w:color w:val="000000"/>
          <w:szCs w:val="22"/>
        </w:rPr>
        <w:t>In addition, filers are asked to deliver</w:t>
      </w:r>
      <w:r w:rsidRPr="007A3A28">
        <w:rPr>
          <w:color w:val="000000"/>
          <w:szCs w:val="22"/>
        </w:rPr>
        <w:t xml:space="preserve"> one copy of each pleading electronically, by email</w:t>
      </w:r>
      <w:r w:rsidR="007C5170">
        <w:rPr>
          <w:color w:val="000000"/>
          <w:szCs w:val="22"/>
        </w:rPr>
        <w:t>,</w:t>
      </w:r>
      <w:r w:rsidRPr="007A3A28">
        <w:rPr>
          <w:color w:val="000000"/>
          <w:szCs w:val="22"/>
        </w:rPr>
        <w:t xml:space="preserve"> to </w:t>
      </w:r>
      <w:hyperlink r:id="rId6" w:history="1">
        <w:r w:rsidRPr="007A3A28">
          <w:rPr>
            <w:rStyle w:val="Hyperlink"/>
            <w:szCs w:val="22"/>
          </w:rPr>
          <w:t>RuralTribalWindow@fcc.gov</w:t>
        </w:r>
      </w:hyperlink>
      <w:r w:rsidRPr="007A3A28">
        <w:rPr>
          <w:szCs w:val="22"/>
        </w:rPr>
        <w:t xml:space="preserve">. </w:t>
      </w:r>
    </w:p>
    <w:p w:rsidR="00465FD6" w:rsidP="00AC44DB" w14:paraId="0F31E87F" w14:textId="77777777">
      <w:pPr>
        <w:ind w:firstLine="720"/>
        <w:rPr>
          <w:szCs w:val="22"/>
        </w:rPr>
      </w:pPr>
    </w:p>
    <w:p w:rsidR="00465FD6" w14:paraId="08B11646" w14:textId="4389DEEF">
      <w:pPr>
        <w:keepNext/>
        <w:widowControl/>
        <w:rPr>
          <w:szCs w:val="22"/>
        </w:rPr>
      </w:pPr>
      <w:r>
        <w:rPr>
          <w:szCs w:val="22"/>
        </w:rPr>
        <w:tab/>
        <w:t>The applications listed in Attachment</w:t>
      </w:r>
      <w:r w:rsidR="007A3A28">
        <w:rPr>
          <w:szCs w:val="22"/>
        </w:rPr>
        <w:t>s</w:t>
      </w:r>
      <w:r>
        <w:rPr>
          <w:szCs w:val="22"/>
        </w:rPr>
        <w:t xml:space="preserve"> A</w:t>
      </w:r>
      <w:r w:rsidR="007A3A28">
        <w:rPr>
          <w:szCs w:val="22"/>
        </w:rPr>
        <w:t xml:space="preserve"> and B</w:t>
      </w:r>
      <w:r>
        <w:rPr>
          <w:szCs w:val="22"/>
        </w:rPr>
        <w:t xml:space="preserve"> are available to the public for electronic viewing through ULS.  Any amendments to a FCC Form 601 application must also be filed electronically through ULS.  For technical assistance in using ULS for viewing the application or filing an amendment to an application, contact the ULS Licensing Support Hotline at (877) 480-3201.  The ULS Licensing Support Hotline is available Monday through Friday, from 8:00 A.M. to 6:00 P.M. Eastern Time.  All calls to the ULS Licensing Support Hotline are recorded.  Questions regarding procedural issues should be directed to </w:t>
      </w:r>
      <w:hyperlink r:id="rId6" w:history="1">
        <w:r>
          <w:rPr>
            <w:rStyle w:val="Hyperlink"/>
            <w:szCs w:val="22"/>
          </w:rPr>
          <w:t>RuralTribalWindow@fcc.gov</w:t>
        </w:r>
      </w:hyperlink>
      <w:r>
        <w:rPr>
          <w:szCs w:val="22"/>
        </w:rPr>
        <w:t xml:space="preserve">.  </w:t>
      </w:r>
      <w:r>
        <w:t>Copies of materials can be obtained from the FCC’s Reference Information Center at (202) 418-0270.</w:t>
      </w:r>
    </w:p>
    <w:p w:rsidR="00465FD6" w14:paraId="0CB02F82" w14:textId="77777777"/>
    <w:p w:rsidR="00465FD6" w14:paraId="5E1B4AEB" w14:textId="77777777">
      <w:pPr>
        <w:spacing w:after="220"/>
        <w:ind w:firstLine="720"/>
        <w:rPr>
          <w:szCs w:val="22"/>
        </w:rPr>
      </w:pPr>
      <w:r>
        <w:rPr>
          <w:szCs w:val="22"/>
        </w:rPr>
        <w:t xml:space="preserve">People with Disabilities:  To request materials in accessible formats for people with disabilities (braille, large print, electronic files, audio format), send an e-mail to </w:t>
      </w:r>
      <w:hyperlink r:id="rId7" w:history="1">
        <w:r>
          <w:rPr>
            <w:color w:val="0000FF"/>
            <w:szCs w:val="22"/>
            <w:u w:val="single"/>
          </w:rPr>
          <w:t>fcc504@fcc.gov</w:t>
        </w:r>
      </w:hyperlink>
      <w:r>
        <w:rPr>
          <w:szCs w:val="22"/>
        </w:rPr>
        <w:t xml:space="preserve"> or call the Consumer &amp; Governmental Affairs Bureau at 202-418-0530 (voice), 202-418-0432 (</w:t>
      </w:r>
      <w:r>
        <w:rPr>
          <w:szCs w:val="22"/>
        </w:rPr>
        <w:t>tty</w:t>
      </w:r>
      <w:r>
        <w:rPr>
          <w:szCs w:val="22"/>
        </w:rPr>
        <w:t xml:space="preserve">).  </w:t>
      </w:r>
      <w:r>
        <w:t xml:space="preserve">  </w:t>
      </w:r>
    </w:p>
    <w:p w:rsidR="00465FD6" w14:paraId="5815F827" w14:textId="77777777">
      <w:r>
        <w:rPr>
          <w:szCs w:val="22"/>
        </w:rPr>
        <w:t xml:space="preserve">Attachment A – 2.5 GHz Rural Tribal Priority Window Applications Accepted for Filing – Sorted by </w:t>
      </w:r>
      <w:r w:rsidR="00C84C52">
        <w:t>File Number</w:t>
      </w:r>
    </w:p>
    <w:p w:rsidR="00465FD6" w14:paraId="5DDDE7C1" w14:textId="77777777">
      <w:r>
        <w:rPr>
          <w:szCs w:val="22"/>
        </w:rPr>
        <w:t xml:space="preserve">Attachment B –2.5 GHz Rural Tribal Priority Window Applications Accepted for Filing – Sorted by </w:t>
      </w:r>
      <w:r w:rsidR="00FB163F">
        <w:rPr>
          <w:szCs w:val="22"/>
        </w:rPr>
        <w:t>Applicant</w:t>
      </w:r>
    </w:p>
    <w:p w:rsidR="00465FD6" w14:paraId="2510AD0F" w14:textId="77777777">
      <w:pPr>
        <w:jc w:val="center"/>
      </w:pPr>
    </w:p>
    <w:p w:rsidR="00465FD6" w14:paraId="0BCBD90A" w14:textId="77777777">
      <w:pPr>
        <w:jc w:val="center"/>
      </w:pPr>
    </w:p>
    <w:sectPr>
      <w:headerReference w:type="default" r:id="rId8"/>
      <w:footerReference w:type="default" r:id="rId9"/>
      <w:headerReference w:type="first" r:id="rId10"/>
      <w:type w:val="continuous"/>
      <w:pgSz w:w="12240" w:h="15840" w:code="1"/>
      <w:pgMar w:top="1296" w:right="1440" w:bottom="720" w:left="1440" w:header="720" w:footer="432"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News Gothic MT">
    <w:altName w:val="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5FD6" w14:paraId="7119017D"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546D7" w14:paraId="26521E24" w14:textId="77777777">
      <w:r>
        <w:separator/>
      </w:r>
    </w:p>
  </w:footnote>
  <w:footnote w:type="continuationSeparator" w:id="1">
    <w:p w:rsidR="005546D7" w14:paraId="39FB32B7" w14:textId="77777777">
      <w:r>
        <w:continuationSeparator/>
      </w:r>
    </w:p>
  </w:footnote>
  <w:footnote w:type="continuationNotice" w:id="2">
    <w:p w:rsidR="005546D7" w14:paraId="38C7880B" w14:textId="77777777"/>
  </w:footnote>
  <w:footnote w:id="3">
    <w:p w:rsidR="0016781F" w:rsidP="0016781F" w14:paraId="4FC26CE6" w14:textId="77777777">
      <w:pPr>
        <w:pStyle w:val="FootnoteText"/>
      </w:pPr>
      <w:r>
        <w:rPr>
          <w:rStyle w:val="FootnoteReference"/>
        </w:rPr>
        <w:footnoteRef/>
      </w:r>
      <w:r>
        <w:t xml:space="preserve"> </w:t>
      </w:r>
      <w:r>
        <w:rPr>
          <w:i/>
          <w:iCs/>
        </w:rPr>
        <w:t>Transforming the 2.5 GHz Band</w:t>
      </w:r>
      <w:r>
        <w:t>, Report and Order, 3</w:t>
      </w:r>
      <w:r w:rsidR="00D860F8">
        <w:t>4</w:t>
      </w:r>
      <w:r>
        <w:t xml:space="preserve"> FCC </w:t>
      </w:r>
      <w:r>
        <w:t>Rcd</w:t>
      </w:r>
      <w:r>
        <w:t xml:space="preserve"> 5446, 5463</w:t>
      </w:r>
      <w:r w:rsidR="002A394B">
        <w:t>,</w:t>
      </w:r>
      <w:r>
        <w:t xml:space="preserve"> para. 47 (2019).</w:t>
      </w:r>
      <w:r w:rsidR="005F5C0E">
        <w:t xml:space="preserve"> On January 6, 2020, the Wireless Telecommunications Bureau (Bureau) released a public notice setting forth the procedures for eligible federally recognized Tribes to apply for 2.5 GHz spectrum licenses during the filing window. </w:t>
      </w:r>
      <w:r w:rsidR="005F5C0E">
        <w:rPr>
          <w:i/>
          <w:iCs/>
        </w:rPr>
        <w:t>Wireless Telecommunications Bureau Announces Procedures for 2.5 GHz Rural Tribal Priority Window</w:t>
      </w:r>
      <w:r w:rsidR="005F5C0E">
        <w:t xml:space="preserve">, Public Notice, 35 FCC </w:t>
      </w:r>
      <w:r w:rsidR="005F5C0E">
        <w:t>Rcd</w:t>
      </w:r>
      <w:r w:rsidR="005F5C0E">
        <w:t xml:space="preserve"> 308 (WTB 2020) (</w:t>
      </w:r>
      <w:r w:rsidR="005F5C0E">
        <w:rPr>
          <w:i/>
          <w:iCs/>
        </w:rPr>
        <w:t>Procedures Public Notice</w:t>
      </w:r>
      <w:r w:rsidR="005F5C0E">
        <w:t>).</w:t>
      </w:r>
    </w:p>
  </w:footnote>
  <w:footnote w:id="4">
    <w:p w:rsidR="00465FD6" w14:paraId="70D89E53" w14:textId="77777777">
      <w:pPr>
        <w:pStyle w:val="FootnoteText"/>
      </w:pPr>
      <w:r>
        <w:rPr>
          <w:rStyle w:val="FootnoteReference"/>
        </w:rPr>
        <w:footnoteRef/>
      </w:r>
      <w:r>
        <w:t xml:space="preserve"> </w:t>
      </w:r>
      <w:r>
        <w:rPr>
          <w:i/>
          <w:iCs/>
        </w:rPr>
        <w:t>See Transforming the 2.5 GHz Band</w:t>
      </w:r>
      <w:r>
        <w:t xml:space="preserve">, Memorandum Opinion and Order, </w:t>
      </w:r>
      <w:r w:rsidR="00D641C1">
        <w:t xml:space="preserve">35 FCC </w:t>
      </w:r>
      <w:r w:rsidR="00D641C1">
        <w:t>Rcd</w:t>
      </w:r>
      <w:r w:rsidR="00D641C1">
        <w:t xml:space="preserve"> 8112</w:t>
      </w:r>
      <w:r>
        <w:t xml:space="preserve"> (WTB 2020) (extending the window from August 3, 2020 to September 2, 2020).</w:t>
      </w:r>
    </w:p>
  </w:footnote>
  <w:footnote w:id="5">
    <w:p w:rsidR="00465FD6" w:rsidRPr="00AB2FC6" w:rsidP="00CB2CC1" w14:paraId="413ED023" w14:textId="3F4CB829">
      <w:pPr>
        <w:spacing w:after="120"/>
      </w:pPr>
      <w:r>
        <w:rPr>
          <w:rStyle w:val="FootnoteReference"/>
        </w:rPr>
        <w:footnoteRef/>
      </w:r>
      <w:r>
        <w:t xml:space="preserve"> </w:t>
      </w:r>
      <w:r w:rsidRPr="00CB2CC1" w:rsidR="00EA1EC6">
        <w:rPr>
          <w:sz w:val="20"/>
        </w:rPr>
        <w:t xml:space="preserve">The Bureau has previously accepted </w:t>
      </w:r>
      <w:r w:rsidR="00A52770">
        <w:rPr>
          <w:sz w:val="20"/>
        </w:rPr>
        <w:t>3</w:t>
      </w:r>
      <w:r w:rsidR="00404375">
        <w:rPr>
          <w:sz w:val="20"/>
        </w:rPr>
        <w:t>55</w:t>
      </w:r>
      <w:r w:rsidRPr="00CB2CC1" w:rsidR="00EA1EC6">
        <w:rPr>
          <w:sz w:val="20"/>
        </w:rPr>
        <w:t xml:space="preserve"> Tribal Priority Window applications </w:t>
      </w:r>
      <w:r w:rsidR="00D45066">
        <w:rPr>
          <w:sz w:val="20"/>
        </w:rPr>
        <w:t>for filing</w:t>
      </w:r>
      <w:r w:rsidRPr="00CB2CC1" w:rsidR="00EA1EC6">
        <w:rPr>
          <w:sz w:val="20"/>
        </w:rPr>
        <w:t xml:space="preserve">.  </w:t>
      </w:r>
      <w:r w:rsidRPr="00CB2CC1" w:rsidR="00EA1EC6">
        <w:rPr>
          <w:i/>
          <w:iCs/>
          <w:sz w:val="20"/>
        </w:rPr>
        <w:t>See Wireless Telecommunications Bureau Announces First Round of 2.5 GHz Band Rural Tribal Priority Window License Applications Accepted for Filing</w:t>
      </w:r>
      <w:r w:rsidRPr="00CB2CC1" w:rsidR="00EA1EC6">
        <w:rPr>
          <w:sz w:val="20"/>
        </w:rPr>
        <w:t xml:space="preserve">, Public Notice, </w:t>
      </w:r>
      <w:r w:rsidRPr="00CB2CC1" w:rsidR="0036724E">
        <w:rPr>
          <w:sz w:val="20"/>
        </w:rPr>
        <w:t xml:space="preserve">35 FCC </w:t>
      </w:r>
      <w:r w:rsidRPr="00CB2CC1" w:rsidR="0036724E">
        <w:rPr>
          <w:sz w:val="20"/>
        </w:rPr>
        <w:t>Rcd</w:t>
      </w:r>
      <w:r w:rsidRPr="00CB2CC1" w:rsidR="0036724E">
        <w:rPr>
          <w:sz w:val="20"/>
        </w:rPr>
        <w:t xml:space="preserve"> 10294</w:t>
      </w:r>
      <w:r w:rsidRPr="00CB2CC1" w:rsidR="00EA1EC6">
        <w:rPr>
          <w:sz w:val="20"/>
        </w:rPr>
        <w:t xml:space="preserve"> (WTB 2020)</w:t>
      </w:r>
      <w:r w:rsidRPr="00CB2CC1" w:rsidR="00D641C1">
        <w:rPr>
          <w:sz w:val="20"/>
        </w:rPr>
        <w:t xml:space="preserve">; </w:t>
      </w:r>
      <w:r w:rsidRPr="00CB2CC1" w:rsidR="0042378E">
        <w:rPr>
          <w:i/>
          <w:iCs/>
          <w:sz w:val="20"/>
        </w:rPr>
        <w:t>FCC Announces Additional 2.5 GHz Band Spectrum Tribal Window License Applications Accepted For Filing</w:t>
      </w:r>
      <w:r w:rsidR="0042378E">
        <w:rPr>
          <w:i/>
          <w:iCs/>
          <w:sz w:val="20"/>
        </w:rPr>
        <w:t xml:space="preserve">, </w:t>
      </w:r>
      <w:r w:rsidRPr="00CB2CC1" w:rsidR="0042378E">
        <w:rPr>
          <w:sz w:val="20"/>
        </w:rPr>
        <w:t>Public Notice</w:t>
      </w:r>
      <w:r w:rsidR="0042378E">
        <w:rPr>
          <w:i/>
          <w:iCs/>
          <w:sz w:val="20"/>
        </w:rPr>
        <w:t>,</w:t>
      </w:r>
      <w:r w:rsidR="0042378E">
        <w:rPr>
          <w:sz w:val="20"/>
        </w:rPr>
        <w:t xml:space="preserve"> </w:t>
      </w:r>
      <w:r w:rsidRPr="00B9566C" w:rsidR="00B9566C">
        <w:rPr>
          <w:sz w:val="20"/>
        </w:rPr>
        <w:t xml:space="preserve">35 FCC </w:t>
      </w:r>
      <w:r w:rsidRPr="00B9566C" w:rsidR="00B9566C">
        <w:rPr>
          <w:sz w:val="20"/>
        </w:rPr>
        <w:t>Rcd</w:t>
      </w:r>
      <w:r w:rsidRPr="00B9566C" w:rsidR="00B9566C">
        <w:rPr>
          <w:sz w:val="20"/>
        </w:rPr>
        <w:t xml:space="preserve"> 12850</w:t>
      </w:r>
      <w:r w:rsidR="00AB2FC6">
        <w:rPr>
          <w:sz w:val="20"/>
        </w:rPr>
        <w:t xml:space="preserve"> </w:t>
      </w:r>
      <w:r w:rsidR="0042378E">
        <w:rPr>
          <w:sz w:val="20"/>
        </w:rPr>
        <w:t>(</w:t>
      </w:r>
      <w:r w:rsidR="006E45ED">
        <w:rPr>
          <w:sz w:val="20"/>
        </w:rPr>
        <w:t>WTB</w:t>
      </w:r>
      <w:r w:rsidR="00D06AA0">
        <w:rPr>
          <w:sz w:val="20"/>
        </w:rPr>
        <w:t xml:space="preserve"> </w:t>
      </w:r>
      <w:r w:rsidR="0042378E">
        <w:rPr>
          <w:sz w:val="20"/>
        </w:rPr>
        <w:t>2020)</w:t>
      </w:r>
      <w:r w:rsidR="00C700D5">
        <w:rPr>
          <w:sz w:val="20"/>
        </w:rPr>
        <w:t xml:space="preserve">; </w:t>
      </w:r>
      <w:r w:rsidRPr="00CB2CC1" w:rsidR="00C700D5">
        <w:rPr>
          <w:i/>
          <w:iCs/>
          <w:sz w:val="20"/>
        </w:rPr>
        <w:t>FCC Announces Additional 2.5 GHz Band Spectrum Tribal Window License Applications Accepted For Filing</w:t>
      </w:r>
      <w:r w:rsidR="00C700D5">
        <w:rPr>
          <w:i/>
          <w:iCs/>
          <w:sz w:val="20"/>
        </w:rPr>
        <w:t xml:space="preserve">, </w:t>
      </w:r>
      <w:r w:rsidRPr="00CB2CC1" w:rsidR="00C700D5">
        <w:rPr>
          <w:sz w:val="20"/>
        </w:rPr>
        <w:t>Public Notice</w:t>
      </w:r>
      <w:r w:rsidR="00C700D5">
        <w:rPr>
          <w:i/>
          <w:iCs/>
          <w:sz w:val="20"/>
        </w:rPr>
        <w:t>,</w:t>
      </w:r>
      <w:r w:rsidR="00C700D5">
        <w:rPr>
          <w:sz w:val="20"/>
        </w:rPr>
        <w:t xml:space="preserve"> </w:t>
      </w:r>
      <w:r w:rsidR="007279F2">
        <w:rPr>
          <w:sz w:val="20"/>
        </w:rPr>
        <w:t xml:space="preserve">36 FCC </w:t>
      </w:r>
      <w:r w:rsidR="007279F2">
        <w:rPr>
          <w:sz w:val="20"/>
        </w:rPr>
        <w:t>Rcd</w:t>
      </w:r>
      <w:r w:rsidR="007279F2">
        <w:rPr>
          <w:sz w:val="20"/>
        </w:rPr>
        <w:t xml:space="preserve"> 285</w:t>
      </w:r>
      <w:r w:rsidR="00C700D5">
        <w:rPr>
          <w:sz w:val="20"/>
        </w:rPr>
        <w:t xml:space="preserve"> (WTB 2021)</w:t>
      </w:r>
      <w:r w:rsidR="006B0CAF">
        <w:rPr>
          <w:sz w:val="20"/>
        </w:rPr>
        <w:t xml:space="preserve">, </w:t>
      </w:r>
      <w:r w:rsidRPr="00CB2CC1" w:rsidR="006B0CAF">
        <w:rPr>
          <w:i/>
          <w:iCs/>
          <w:sz w:val="20"/>
        </w:rPr>
        <w:t>FCC Announces Additional 2.5 GHz Band Spectrum Tribal Window License Applications Accepted For Filing</w:t>
      </w:r>
      <w:r w:rsidR="006B0CAF">
        <w:rPr>
          <w:i/>
          <w:iCs/>
          <w:sz w:val="20"/>
        </w:rPr>
        <w:t xml:space="preserve">, </w:t>
      </w:r>
      <w:r w:rsidRPr="00CB2CC1" w:rsidR="006B0CAF">
        <w:rPr>
          <w:sz w:val="20"/>
        </w:rPr>
        <w:t>Public Notice</w:t>
      </w:r>
      <w:r w:rsidR="006B0CAF">
        <w:rPr>
          <w:i/>
          <w:iCs/>
          <w:sz w:val="20"/>
        </w:rPr>
        <w:t>,</w:t>
      </w:r>
      <w:r w:rsidR="006B0CAF">
        <w:rPr>
          <w:sz w:val="20"/>
        </w:rPr>
        <w:t xml:space="preserve"> </w:t>
      </w:r>
      <w:r w:rsidR="000E151F">
        <w:rPr>
          <w:sz w:val="20"/>
        </w:rPr>
        <w:t xml:space="preserve">36 FCC </w:t>
      </w:r>
      <w:r w:rsidR="000E151F">
        <w:rPr>
          <w:sz w:val="20"/>
        </w:rPr>
        <w:t>Rcd</w:t>
      </w:r>
      <w:r w:rsidR="000E151F">
        <w:rPr>
          <w:sz w:val="20"/>
        </w:rPr>
        <w:t xml:space="preserve"> 7124</w:t>
      </w:r>
      <w:r w:rsidR="006B0CAF">
        <w:rPr>
          <w:sz w:val="20"/>
        </w:rPr>
        <w:t xml:space="preserve"> (WTB</w:t>
      </w:r>
      <w:r w:rsidR="000E151F">
        <w:rPr>
          <w:sz w:val="20"/>
        </w:rPr>
        <w:t xml:space="preserve"> </w:t>
      </w:r>
      <w:r w:rsidR="006B0CAF">
        <w:rPr>
          <w:sz w:val="20"/>
        </w:rPr>
        <w:t>2021)</w:t>
      </w:r>
      <w:r w:rsidR="00521BE2">
        <w:rPr>
          <w:sz w:val="20"/>
        </w:rPr>
        <w:t xml:space="preserve">; </w:t>
      </w:r>
      <w:r w:rsidRPr="00521BE2" w:rsidR="00521BE2">
        <w:rPr>
          <w:bCs/>
          <w:i/>
          <w:iCs/>
          <w:sz w:val="20"/>
        </w:rPr>
        <w:t xml:space="preserve">Wireless Telecommunications Bureau Announces Additional 2.5 </w:t>
      </w:r>
      <w:r w:rsidRPr="00521BE2" w:rsidR="00521BE2">
        <w:rPr>
          <w:bCs/>
          <w:i/>
          <w:iCs/>
          <w:sz w:val="20"/>
        </w:rPr>
        <w:t>Ghz</w:t>
      </w:r>
      <w:r w:rsidRPr="00521BE2" w:rsidR="00521BE2">
        <w:rPr>
          <w:bCs/>
          <w:i/>
          <w:iCs/>
          <w:sz w:val="20"/>
        </w:rPr>
        <w:t xml:space="preserve"> Rural Tribal Priority Window License Applications Accepted For Filing</w:t>
      </w:r>
      <w:r w:rsidR="00521BE2">
        <w:rPr>
          <w:bCs/>
          <w:i/>
          <w:iCs/>
          <w:sz w:val="20"/>
        </w:rPr>
        <w:t xml:space="preserve">, </w:t>
      </w:r>
      <w:r w:rsidR="00521BE2">
        <w:rPr>
          <w:bCs/>
          <w:sz w:val="20"/>
        </w:rPr>
        <w:t>DA 21-866 (</w:t>
      </w:r>
      <w:r w:rsidR="007E5EA7">
        <w:rPr>
          <w:bCs/>
          <w:sz w:val="20"/>
        </w:rPr>
        <w:t xml:space="preserve">WTB </w:t>
      </w:r>
      <w:r w:rsidR="00521BE2">
        <w:rPr>
          <w:bCs/>
          <w:sz w:val="20"/>
        </w:rPr>
        <w:t>rel. July</w:t>
      </w:r>
      <w:r w:rsidR="000E151F">
        <w:rPr>
          <w:bCs/>
          <w:sz w:val="20"/>
        </w:rPr>
        <w:t xml:space="preserve"> </w:t>
      </w:r>
      <w:r w:rsidR="00521BE2">
        <w:rPr>
          <w:bCs/>
          <w:sz w:val="20"/>
        </w:rPr>
        <w:t>21, 2021)</w:t>
      </w:r>
      <w:r w:rsidR="00A52770">
        <w:rPr>
          <w:bCs/>
          <w:sz w:val="20"/>
        </w:rPr>
        <w:t>;</w:t>
      </w:r>
      <w:r w:rsidRPr="00A52770" w:rsidR="00A52770">
        <w:rPr>
          <w:rFonts w:ascii="Arial" w:hAnsi="Arial" w:cs="Arial"/>
          <w:color w:val="3D3D3D"/>
          <w:sz w:val="20"/>
          <w:bdr w:val="none" w:sz="0" w:space="0" w:color="auto" w:frame="1"/>
          <w:shd w:val="clear" w:color="auto" w:fill="FFFFFF"/>
        </w:rPr>
        <w:t xml:space="preserve"> </w:t>
      </w:r>
      <w:r w:rsidRPr="00343DF1" w:rsidR="00A52770">
        <w:rPr>
          <w:rStyle w:val="Emphasis"/>
          <w:sz w:val="20"/>
          <w:bdr w:val="none" w:sz="0" w:space="0" w:color="auto" w:frame="1"/>
          <w:shd w:val="clear" w:color="auto" w:fill="FFFFFF"/>
        </w:rPr>
        <w:t>Wireless Telecommunications Bureau Announces Additional 2.5 GHz Rural Tribal Priority Window License Applications Accepted For Filing</w:t>
      </w:r>
      <w:r w:rsidRPr="00343DF1" w:rsidR="00A52770">
        <w:rPr>
          <w:sz w:val="20"/>
          <w:shd w:val="clear" w:color="auto" w:fill="FFFFFF"/>
        </w:rPr>
        <w:t>,</w:t>
      </w:r>
      <w:r w:rsidRPr="00A52770" w:rsidR="00A52770">
        <w:rPr>
          <w:color w:val="3D3D3D"/>
          <w:sz w:val="20"/>
          <w:shd w:val="clear" w:color="auto" w:fill="FFFFFF"/>
        </w:rPr>
        <w:t> </w:t>
      </w:r>
      <w:r w:rsidRPr="00A52770" w:rsidR="00A52770">
        <w:rPr>
          <w:rStyle w:val="cosearchterm"/>
          <w:color w:val="3D3D3D"/>
          <w:sz w:val="20"/>
          <w:bdr w:val="none" w:sz="0" w:space="0" w:color="auto" w:frame="1"/>
        </w:rPr>
        <w:t>DA</w:t>
      </w:r>
      <w:r w:rsidRPr="00A52770" w:rsidR="00A52770">
        <w:rPr>
          <w:color w:val="3D3D3D"/>
          <w:sz w:val="20"/>
          <w:shd w:val="clear" w:color="auto" w:fill="FFFFFF"/>
        </w:rPr>
        <w:t> </w:t>
      </w:r>
      <w:r w:rsidRPr="00A52770" w:rsidR="00A52770">
        <w:rPr>
          <w:rStyle w:val="cosearchterm"/>
          <w:color w:val="3D3D3D"/>
          <w:sz w:val="20"/>
          <w:bdr w:val="none" w:sz="0" w:space="0" w:color="auto" w:frame="1"/>
        </w:rPr>
        <w:t>21</w:t>
      </w:r>
      <w:r w:rsidRPr="00A52770" w:rsidR="00A52770">
        <w:rPr>
          <w:color w:val="3D3D3D"/>
          <w:sz w:val="20"/>
          <w:shd w:val="clear" w:color="auto" w:fill="FFFFFF"/>
        </w:rPr>
        <w:t>-</w:t>
      </w:r>
      <w:r w:rsidRPr="00A52770" w:rsidR="00A52770">
        <w:rPr>
          <w:rStyle w:val="cosearchterm"/>
          <w:color w:val="3D3D3D"/>
          <w:sz w:val="20"/>
          <w:bdr w:val="none" w:sz="0" w:space="0" w:color="auto" w:frame="1"/>
        </w:rPr>
        <w:t>1185</w:t>
      </w:r>
      <w:r w:rsidRPr="00A52770" w:rsidR="00A52770">
        <w:rPr>
          <w:color w:val="3D3D3D"/>
          <w:sz w:val="20"/>
          <w:shd w:val="clear" w:color="auto" w:fill="FFFFFF"/>
        </w:rPr>
        <w:t> (</w:t>
      </w:r>
      <w:r w:rsidR="007E5EA7">
        <w:rPr>
          <w:color w:val="3D3D3D"/>
          <w:sz w:val="20"/>
          <w:shd w:val="clear" w:color="auto" w:fill="FFFFFF"/>
        </w:rPr>
        <w:t xml:space="preserve">WTB </w:t>
      </w:r>
      <w:r w:rsidRPr="00A52770" w:rsidR="00A52770">
        <w:rPr>
          <w:color w:val="3D3D3D"/>
          <w:sz w:val="20"/>
          <w:shd w:val="clear" w:color="auto" w:fill="FFFFFF"/>
        </w:rPr>
        <w:t>rel. Sep 22, 2021)</w:t>
      </w:r>
      <w:r w:rsidR="00404375">
        <w:rPr>
          <w:sz w:val="20"/>
        </w:rPr>
        <w:t xml:space="preserve">; </w:t>
      </w:r>
      <w:r w:rsidRPr="0042378E" w:rsidR="00EA1EC6">
        <w:rPr>
          <w:sz w:val="20"/>
        </w:rPr>
        <w:t xml:space="preserve"> </w:t>
      </w:r>
      <w:r w:rsidRPr="00343DF1" w:rsidR="00404375">
        <w:rPr>
          <w:rStyle w:val="Emphasis"/>
          <w:sz w:val="20"/>
          <w:bdr w:val="none" w:sz="0" w:space="0" w:color="auto" w:frame="1"/>
          <w:shd w:val="clear" w:color="auto" w:fill="FFFFFF"/>
        </w:rPr>
        <w:t>Wireless Telecommunications Bureau Announces Additional 2.5 GHz Rural Tribal Priority Window License Applications Accepted For Filing</w:t>
      </w:r>
      <w:r w:rsidRPr="00343DF1" w:rsidR="00404375">
        <w:rPr>
          <w:sz w:val="20"/>
          <w:shd w:val="clear" w:color="auto" w:fill="FFFFFF"/>
        </w:rPr>
        <w:t>,</w:t>
      </w:r>
      <w:r w:rsidRPr="00A52770" w:rsidR="00404375">
        <w:rPr>
          <w:color w:val="3D3D3D"/>
          <w:sz w:val="20"/>
          <w:shd w:val="clear" w:color="auto" w:fill="FFFFFF"/>
        </w:rPr>
        <w:t> </w:t>
      </w:r>
      <w:r w:rsidRPr="00A52770" w:rsidR="00404375">
        <w:rPr>
          <w:rStyle w:val="cosearchterm"/>
          <w:color w:val="3D3D3D"/>
          <w:sz w:val="20"/>
          <w:bdr w:val="none" w:sz="0" w:space="0" w:color="auto" w:frame="1"/>
        </w:rPr>
        <w:t>DA</w:t>
      </w:r>
      <w:r w:rsidRPr="00A52770" w:rsidR="00404375">
        <w:rPr>
          <w:color w:val="3D3D3D"/>
          <w:sz w:val="20"/>
          <w:shd w:val="clear" w:color="auto" w:fill="FFFFFF"/>
        </w:rPr>
        <w:t> </w:t>
      </w:r>
      <w:r w:rsidRPr="00A52770" w:rsidR="00404375">
        <w:rPr>
          <w:rStyle w:val="cosearchterm"/>
          <w:color w:val="3D3D3D"/>
          <w:sz w:val="20"/>
          <w:bdr w:val="none" w:sz="0" w:space="0" w:color="auto" w:frame="1"/>
        </w:rPr>
        <w:t>21</w:t>
      </w:r>
      <w:r w:rsidRPr="00A52770" w:rsidR="00404375">
        <w:rPr>
          <w:color w:val="3D3D3D"/>
          <w:sz w:val="20"/>
          <w:shd w:val="clear" w:color="auto" w:fill="FFFFFF"/>
        </w:rPr>
        <w:t>-</w:t>
      </w:r>
      <w:r w:rsidR="00404375">
        <w:rPr>
          <w:rStyle w:val="cosearchterm"/>
          <w:color w:val="3D3D3D"/>
          <w:sz w:val="20"/>
          <w:bdr w:val="none" w:sz="0" w:space="0" w:color="auto" w:frame="1"/>
        </w:rPr>
        <w:t>145</w:t>
      </w:r>
      <w:r w:rsidR="007E5EA7">
        <w:rPr>
          <w:rStyle w:val="cosearchterm"/>
          <w:color w:val="3D3D3D"/>
          <w:sz w:val="20"/>
          <w:bdr w:val="none" w:sz="0" w:space="0" w:color="auto" w:frame="1"/>
        </w:rPr>
        <w:t>0</w:t>
      </w:r>
      <w:r w:rsidRPr="00A52770" w:rsidR="00404375">
        <w:rPr>
          <w:color w:val="3D3D3D"/>
          <w:sz w:val="20"/>
          <w:shd w:val="clear" w:color="auto" w:fill="FFFFFF"/>
        </w:rPr>
        <w:t> (</w:t>
      </w:r>
      <w:r w:rsidR="007E5EA7">
        <w:rPr>
          <w:color w:val="3D3D3D"/>
          <w:sz w:val="20"/>
          <w:shd w:val="clear" w:color="auto" w:fill="FFFFFF"/>
        </w:rPr>
        <w:t xml:space="preserve">WTB </w:t>
      </w:r>
      <w:r w:rsidRPr="00A52770" w:rsidR="00404375">
        <w:rPr>
          <w:color w:val="3D3D3D"/>
          <w:sz w:val="20"/>
          <w:shd w:val="clear" w:color="auto" w:fill="FFFFFF"/>
        </w:rPr>
        <w:t xml:space="preserve">rel. </w:t>
      </w:r>
      <w:r w:rsidR="00404375">
        <w:rPr>
          <w:color w:val="3D3D3D"/>
          <w:sz w:val="20"/>
          <w:shd w:val="clear" w:color="auto" w:fill="FFFFFF"/>
        </w:rPr>
        <w:t>Nov. 19,</w:t>
      </w:r>
      <w:r w:rsidRPr="00A52770" w:rsidR="00404375">
        <w:rPr>
          <w:color w:val="3D3D3D"/>
          <w:sz w:val="20"/>
          <w:shd w:val="clear" w:color="auto" w:fill="FFFFFF"/>
        </w:rPr>
        <w:t xml:space="preserve"> 2021)</w:t>
      </w:r>
      <w:r w:rsidR="00404375">
        <w:rPr>
          <w:color w:val="3D3D3D"/>
          <w:sz w:val="20"/>
          <w:shd w:val="clear" w:color="auto" w:fill="FFFFFF"/>
        </w:rPr>
        <w:t xml:space="preserve">; </w:t>
      </w:r>
      <w:r w:rsidRPr="0042378E">
        <w:rPr>
          <w:sz w:val="20"/>
        </w:rPr>
        <w:t xml:space="preserve">Additional Rural Tribal Priority Window applications accepted for filing </w:t>
      </w:r>
      <w:r w:rsidRPr="0042378E" w:rsidR="00721A1C">
        <w:rPr>
          <w:sz w:val="20"/>
        </w:rPr>
        <w:t>will be announced in one or more</w:t>
      </w:r>
      <w:r w:rsidRPr="0042378E">
        <w:rPr>
          <w:sz w:val="20"/>
        </w:rPr>
        <w:t xml:space="preserve"> future public notices.</w:t>
      </w:r>
      <w:r w:rsidRPr="00CB2CC1" w:rsidR="00D633B5">
        <w:rPr>
          <w:sz w:val="20"/>
        </w:rPr>
        <w:t xml:space="preserve">  The applications accepted for filing in Attachment A are sorted by</w:t>
      </w:r>
      <w:r w:rsidRPr="00CB2CC1" w:rsidR="00245730">
        <w:rPr>
          <w:sz w:val="20"/>
        </w:rPr>
        <w:t xml:space="preserve"> </w:t>
      </w:r>
      <w:r w:rsidRPr="00CB2CC1" w:rsidR="00C84C52">
        <w:rPr>
          <w:sz w:val="20"/>
        </w:rPr>
        <w:t>file number</w:t>
      </w:r>
      <w:r w:rsidRPr="00CB2CC1" w:rsidR="00D633B5">
        <w:rPr>
          <w:sz w:val="20"/>
        </w:rPr>
        <w:t xml:space="preserve">; in Attachment B the same applications are sorted by </w:t>
      </w:r>
      <w:r w:rsidRPr="00CB2CC1" w:rsidR="0036724E">
        <w:rPr>
          <w:sz w:val="20"/>
        </w:rPr>
        <w:t xml:space="preserve">applicant </w:t>
      </w:r>
      <w:r w:rsidRPr="00CB2CC1" w:rsidR="00C84C52">
        <w:rPr>
          <w:sz w:val="20"/>
        </w:rPr>
        <w:t>name</w:t>
      </w:r>
      <w:r w:rsidRPr="00CB2CC1" w:rsidR="004523AD">
        <w:rPr>
          <w:sz w:val="20"/>
        </w:rPr>
        <w:t>.</w:t>
      </w:r>
    </w:p>
  </w:footnote>
  <w:footnote w:id="6">
    <w:p w:rsidR="009D49E9" w:rsidP="009D49E9" w14:paraId="21C39D77" w14:textId="77777777">
      <w:pPr>
        <w:pStyle w:val="FootnoteText"/>
      </w:pPr>
      <w:r>
        <w:rPr>
          <w:rStyle w:val="FootnoteReference"/>
        </w:rPr>
        <w:footnoteRef/>
      </w:r>
      <w:r>
        <w:t xml:space="preserve"> </w:t>
      </w:r>
      <w:r>
        <w:rPr>
          <w:i/>
          <w:szCs w:val="22"/>
        </w:rPr>
        <w:t>See</w:t>
      </w:r>
      <w:r>
        <w:rPr>
          <w:szCs w:val="22"/>
        </w:rPr>
        <w:t xml:space="preserve"> 47 CFR § 1.934(a), (d).</w:t>
      </w:r>
    </w:p>
  </w:footnote>
  <w:footnote w:id="7">
    <w:p w:rsidR="00D860F8" w:rsidP="00D860F8" w14:paraId="687CB465" w14:textId="77777777">
      <w:pPr>
        <w:pStyle w:val="FootnoteText"/>
      </w:pPr>
      <w:r>
        <w:rPr>
          <w:rStyle w:val="FootnoteReference"/>
        </w:rPr>
        <w:footnoteRef/>
      </w:r>
      <w:r>
        <w:t xml:space="preserve"> </w:t>
      </w:r>
      <w:r>
        <w:rPr>
          <w:i/>
          <w:iCs/>
        </w:rPr>
        <w:t>See</w:t>
      </w:r>
      <w:r>
        <w:t xml:space="preserve"> </w:t>
      </w:r>
      <w:r w:rsidRPr="001218FC" w:rsidR="001218FC">
        <w:rPr>
          <w:i/>
          <w:iCs/>
        </w:rPr>
        <w:t>id.</w:t>
      </w:r>
      <w:r w:rsidR="00F44359">
        <w:t xml:space="preserve"> § 27.1204(b</w:t>
      </w:r>
      <w:r>
        <w:t>)</w:t>
      </w:r>
      <w:r w:rsidR="00F44359">
        <w:t>(2)</w:t>
      </w:r>
      <w:r>
        <w:t xml:space="preserve">, (4).  Similarly, </w:t>
      </w:r>
      <w:r w:rsidR="00DF758B">
        <w:t xml:space="preserve">the acceptance for filing of an </w:t>
      </w:r>
      <w:r>
        <w:rPr>
          <w:iCs/>
          <w:szCs w:val="22"/>
        </w:rPr>
        <w:t xml:space="preserve">application seeking a license for land outside the applicant’s own </w:t>
      </w:r>
      <w:r>
        <w:t>Alaska Native Village Statistical Area do</w:t>
      </w:r>
      <w:r w:rsidR="00DF758B">
        <w:t>es</w:t>
      </w:r>
      <w:r>
        <w:t xml:space="preserve"> not mean that the applicant has made an adequate showing of local presence.</w:t>
      </w:r>
      <w:r w:rsidR="00F44359">
        <w:t xml:space="preserve">  </w:t>
      </w:r>
      <w:r w:rsidR="00F44359">
        <w:rPr>
          <w:i/>
          <w:iCs/>
        </w:rPr>
        <w:t>See</w:t>
      </w:r>
      <w:r w:rsidR="00F44359">
        <w:t xml:space="preserve"> </w:t>
      </w:r>
      <w:r w:rsidRPr="00DF758B" w:rsidR="00DF758B">
        <w:rPr>
          <w:i/>
          <w:iCs/>
        </w:rPr>
        <w:t>id.</w:t>
      </w:r>
      <w:r w:rsidR="00DF758B">
        <w:t xml:space="preserve"> </w:t>
      </w:r>
      <w:r w:rsidR="00F44359">
        <w:t xml:space="preserve">§ 27.1204(b)(4).  </w:t>
      </w:r>
    </w:p>
  </w:footnote>
  <w:footnote w:id="8">
    <w:p w:rsidR="00F44359" w:rsidRPr="00F44359" w14:paraId="1321828D" w14:textId="77777777">
      <w:pPr>
        <w:pStyle w:val="FootnoteText"/>
      </w:pPr>
      <w:r>
        <w:rPr>
          <w:rStyle w:val="FootnoteReference"/>
        </w:rPr>
        <w:footnoteRef/>
      </w:r>
      <w:r>
        <w:t xml:space="preserve"> </w:t>
      </w:r>
      <w:r>
        <w:rPr>
          <w:i/>
          <w:iCs/>
        </w:rPr>
        <w:t xml:space="preserve">See </w:t>
      </w:r>
      <w:r>
        <w:t>47 CFR § 1.925.</w:t>
      </w:r>
    </w:p>
  </w:footnote>
  <w:footnote w:id="9">
    <w:p w:rsidR="00465FD6" w14:paraId="079A185E" w14:textId="77777777">
      <w:pPr>
        <w:pStyle w:val="FootnoteText"/>
      </w:pPr>
      <w:r>
        <w:rPr>
          <w:rStyle w:val="FootnoteReference"/>
        </w:rPr>
        <w:footnoteRef/>
      </w:r>
      <w:r>
        <w:t xml:space="preserve"> </w:t>
      </w:r>
      <w:r>
        <w:rPr>
          <w:i/>
        </w:rPr>
        <w:t xml:space="preserve">See </w:t>
      </w:r>
      <w:r>
        <w:t>47 CFR § 1.939.</w:t>
      </w:r>
    </w:p>
  </w:footnote>
  <w:footnote w:id="10">
    <w:p w:rsidR="00465FD6" w14:paraId="3DA58A04" w14:textId="77777777">
      <w:pPr>
        <w:pStyle w:val="FootnoteText"/>
      </w:pPr>
      <w:r>
        <w:rPr>
          <w:rStyle w:val="FootnoteReference"/>
        </w:rPr>
        <w:footnoteRef/>
      </w:r>
      <w:r>
        <w:t xml:space="preserve"> </w:t>
      </w:r>
      <w:bookmarkStart w:id="1" w:name="_Hlk49243981"/>
      <w:r>
        <w:t>47 CFR §§ 1.45(b), 1.939(f).</w:t>
      </w:r>
      <w:bookmarkEnd w:id="1"/>
    </w:p>
  </w:footnote>
  <w:footnote w:id="11">
    <w:p w:rsidR="00465FD6" w14:paraId="12AC9A51" w14:textId="77777777">
      <w:pPr>
        <w:pStyle w:val="FootnoteText"/>
      </w:pPr>
      <w:r>
        <w:rPr>
          <w:rStyle w:val="FootnoteReference"/>
        </w:rPr>
        <w:footnoteRef/>
      </w:r>
      <w:r>
        <w:t xml:space="preserve"> 47 CFR §§ 1.45(c), 1.939(f).</w:t>
      </w:r>
    </w:p>
  </w:footnote>
  <w:footnote w:id="12">
    <w:p w:rsidR="00465FD6" w14:paraId="02A8C742" w14:textId="77777777">
      <w:pPr>
        <w:pStyle w:val="FootnoteText"/>
      </w:pPr>
      <w:r>
        <w:rPr>
          <w:rStyle w:val="FootnoteReference"/>
        </w:rPr>
        <w:footnoteRef/>
      </w:r>
      <w:r>
        <w:t xml:space="preserve"> </w:t>
      </w:r>
      <w:r>
        <w:rPr>
          <w:i/>
        </w:rPr>
        <w:t xml:space="preserve">See </w:t>
      </w:r>
      <w:r>
        <w:t>47 CFR § 1.1208 (Restricted proceedings).</w:t>
      </w:r>
      <w:r>
        <w:rPr>
          <w:i/>
        </w:rPr>
        <w:t xml:space="preserve">  </w:t>
      </w:r>
    </w:p>
  </w:footnote>
  <w:footnote w:id="13">
    <w:p w:rsidR="00465FD6" w14:paraId="1FF0DA70" w14:textId="77777777">
      <w:pPr>
        <w:pStyle w:val="FootnoteText"/>
      </w:pPr>
      <w:r>
        <w:rPr>
          <w:rStyle w:val="FootnoteReference"/>
        </w:rPr>
        <w:footnoteRef/>
      </w:r>
      <w:r>
        <w:t xml:space="preserve"> </w:t>
      </w:r>
      <w:r>
        <w:rPr>
          <w:i/>
        </w:rPr>
        <w:t xml:space="preserve">See </w:t>
      </w:r>
      <w:r>
        <w:t>47 CFR § 1.1208.</w:t>
      </w:r>
    </w:p>
  </w:footnote>
  <w:footnote w:id="14">
    <w:p w:rsidR="00465FD6" w14:paraId="75F8BBA6" w14:textId="77777777">
      <w:pPr>
        <w:pStyle w:val="FootnoteText"/>
      </w:pPr>
      <w:r>
        <w:rPr>
          <w:rStyle w:val="FootnoteReference"/>
        </w:rPr>
        <w:footnoteRef/>
      </w:r>
      <w:r>
        <w:t xml:space="preserve"> </w:t>
      </w:r>
      <w:r>
        <w:rPr>
          <w:i/>
          <w:iCs/>
        </w:rPr>
        <w:t>See</w:t>
      </w:r>
      <w:r>
        <w:t xml:space="preserve"> 47 CFR § 1.1208 n.1.</w:t>
      </w:r>
    </w:p>
  </w:footnote>
  <w:footnote w:id="15">
    <w:p w:rsidR="00465FD6" w14:paraId="6243D2A7" w14:textId="77777777">
      <w:pPr>
        <w:pStyle w:val="FootnoteText"/>
      </w:pPr>
      <w:r>
        <w:rPr>
          <w:rStyle w:val="FootnoteReference"/>
        </w:rPr>
        <w:footnoteRef/>
      </w:r>
      <w:r>
        <w:t xml:space="preserve"> </w:t>
      </w:r>
      <w:r>
        <w:rPr>
          <w:i/>
          <w:iCs/>
        </w:rPr>
        <w:t>See</w:t>
      </w:r>
      <w:r>
        <w:t xml:space="preserve"> 47 CFR §§ 1.1202, 1.1208.</w:t>
      </w:r>
    </w:p>
  </w:footnote>
  <w:footnote w:id="16">
    <w:p w:rsidR="00465FD6" w14:paraId="5EF53A8A" w14:textId="77777777">
      <w:pPr>
        <w:pStyle w:val="FootnoteText"/>
      </w:pPr>
      <w:r>
        <w:rPr>
          <w:rStyle w:val="FootnoteReference"/>
        </w:rPr>
        <w:footnoteRef/>
      </w:r>
      <w:r>
        <w:t xml:space="preserve"> </w:t>
      </w:r>
      <w:r>
        <w:rPr>
          <w:i/>
        </w:rPr>
        <w:t>See</w:t>
      </w:r>
      <w:r>
        <w:t xml:space="preserve"> 47 CFR § 1.939(g).</w:t>
      </w:r>
    </w:p>
  </w:footnote>
  <w:footnote w:id="17">
    <w:p w:rsidR="00465FD6" w14:paraId="00D3B33A" w14:textId="77777777">
      <w:pPr>
        <w:pStyle w:val="FootnoteText"/>
        <w:tabs>
          <w:tab w:val="left" w:pos="6810"/>
        </w:tabs>
      </w:pPr>
      <w:r>
        <w:rPr>
          <w:rStyle w:val="FootnoteReference"/>
        </w:rPr>
        <w:footnoteRef/>
      </w:r>
      <w:r>
        <w:rPr>
          <w:szCs w:val="22"/>
        </w:rPr>
        <w:t xml:space="preserve"> </w:t>
      </w:r>
      <w:r>
        <w:rPr>
          <w:i/>
          <w:szCs w:val="22"/>
        </w:rPr>
        <w:t>See</w:t>
      </w:r>
      <w:r>
        <w:rPr>
          <w:szCs w:val="22"/>
        </w:rPr>
        <w:t xml:space="preserve"> 47 CFR § 1.939(c).  </w:t>
      </w:r>
      <w:r>
        <w:rPr>
          <w:szCs w:val="22"/>
        </w:rPr>
        <w:tab/>
      </w:r>
    </w:p>
  </w:footnote>
  <w:footnote w:id="18">
    <w:p w:rsidR="00465FD6" w14:paraId="548F6B8C" w14:textId="77777777">
      <w:pPr>
        <w:pStyle w:val="FootnoteText"/>
      </w:pPr>
      <w:r>
        <w:rPr>
          <w:rStyle w:val="FootnoteReference"/>
          <w:sz w:val="20"/>
        </w:rPr>
        <w:footnoteRef/>
      </w:r>
      <w:r>
        <w:t xml:space="preserve"> </w:t>
      </w:r>
      <w:r>
        <w:rPr>
          <w:i/>
        </w:rPr>
        <w:t>Wireless Telecommunications Bureau Enhances the Commission’s Universal Licensing System to Implement Electronic Filing for Pleadings</w:t>
      </w:r>
      <w:r>
        <w:t xml:space="preserve">, </w:t>
      </w:r>
      <w:r>
        <w:rPr>
          <w:iCs/>
        </w:rPr>
        <w:t>Public Notice,</w:t>
      </w:r>
      <w:r>
        <w:rPr>
          <w:i/>
          <w:iCs/>
        </w:rPr>
        <w:t xml:space="preserve"> </w:t>
      </w:r>
      <w:r>
        <w:t xml:space="preserve">21 FCC </w:t>
      </w:r>
      <w:r>
        <w:t>Rcd</w:t>
      </w:r>
      <w:r>
        <w:t xml:space="preserve"> 424 (WTB 2006).  </w:t>
      </w:r>
    </w:p>
  </w:footnote>
  <w:footnote w:id="19">
    <w:p w:rsidR="00465FD6" w14:paraId="1D1DAB89" w14:textId="77777777">
      <w:pPr>
        <w:pStyle w:val="FootnoteText"/>
      </w:pPr>
      <w:r>
        <w:rPr>
          <w:rStyle w:val="FootnoteReference"/>
        </w:rPr>
        <w:footnoteRef/>
      </w:r>
      <w:r>
        <w:t xml:space="preserve"> </w:t>
      </w:r>
      <w:r>
        <w:rPr>
          <w:i/>
          <w:iCs/>
        </w:rPr>
        <w:t>FCC Announces Closure of FCC Headquarters Open Window and Change in Hand-Delivery Filing</w:t>
      </w:r>
      <w:r>
        <w:t xml:space="preserve">, Public Notice, DA 20-304 (OMD Mar. 19, 2020).  </w:t>
      </w:r>
    </w:p>
  </w:footnote>
  <w:footnote w:id="20">
    <w:p w:rsidR="00465FD6" w14:paraId="164A6543" w14:textId="77777777">
      <w:pPr>
        <w:pStyle w:val="FootnoteText"/>
      </w:pPr>
      <w:r>
        <w:rPr>
          <w:rStyle w:val="FootnoteReference"/>
        </w:rPr>
        <w:footnoteRef/>
      </w:r>
      <w:r>
        <w:t xml:space="preserve"> </w:t>
      </w:r>
      <w:r>
        <w:rPr>
          <w:i/>
          <w:iCs/>
        </w:rPr>
        <w:t>FCC Announces Closing of Filing Window at FCC Headquarters and Permanent Change in the Location and Hours for Receiving Hand-Carried Filings</w:t>
      </w:r>
      <w:r>
        <w:t xml:space="preserve">, Public Notice (OMD July 7,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5FD6" w14:paraId="0242F6E0" w14:textId="34A2A202">
    <w:pPr>
      <w:pStyle w:val="Header"/>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Federal Communications Commission</w:t>
    </w:r>
    <w:r>
      <w:rPr>
        <w:rFonts w:ascii="Times New Roman" w:hAnsi="Times New Roman"/>
        <w:b/>
        <w:sz w:val="22"/>
        <w:szCs w:val="22"/>
      </w:rPr>
      <w:tab/>
      <w:t>DA 2</w:t>
    </w:r>
    <w:r w:rsidR="007E5EA7">
      <w:rPr>
        <w:rFonts w:ascii="Times New Roman" w:hAnsi="Times New Roman"/>
        <w:b/>
        <w:sz w:val="22"/>
        <w:szCs w:val="22"/>
      </w:rPr>
      <w:t>2</w:t>
    </w:r>
    <w:r>
      <w:rPr>
        <w:rFonts w:ascii="Times New Roman" w:hAnsi="Times New Roman"/>
        <w:b/>
        <w:sz w:val="22"/>
        <w:szCs w:val="22"/>
      </w:rPr>
      <w:t>-</w:t>
    </w:r>
    <w:r w:rsidR="00482548">
      <w:rPr>
        <w:rFonts w:ascii="Times New Roman" w:hAnsi="Times New Roman"/>
        <w:b/>
        <w:sz w:val="22"/>
        <w:szCs w:val="22"/>
      </w:rPr>
      <w:t>143</w:t>
    </w:r>
  </w:p>
  <w:p w:rsidR="00465FD6" w14:paraId="5E0590DE" w14:textId="77777777">
    <w:pPr>
      <w:tabs>
        <w:tab w:val="left" w:pos="-720"/>
      </w:tabs>
      <w:suppressAutoHyphens/>
      <w:spacing w:line="19" w:lineRule="exact"/>
      <w:rPr>
        <w:b/>
        <w:spacing w:val="-2"/>
        <w:szCs w:val="22"/>
      </w:rPr>
    </w:pPr>
    <w:r>
      <w:rPr>
        <w:b/>
        <w:noProof/>
        <w:szCs w:val="22"/>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465FD6" w14:paraId="169375E9" w14:textId="77777777">
    <w:pPr>
      <w:rPr>
        <w:b/>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5FD6" w14:paraId="2AFD45AE"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65FD6" w14:textId="77777777">
                          <w:pPr>
                            <w:rPr>
                              <w:rFonts w:ascii="Arial" w:hAnsi="Arial"/>
                            </w:rPr>
                          </w:pPr>
                          <w:r>
                            <w:rPr>
                              <w:rFonts w:ascii="Arial" w:hAnsi="Arial"/>
                              <w:b/>
                            </w:rPr>
                            <w:t>Federal Communications Commission</w:t>
                          </w:r>
                          <w:r>
                            <w:rPr>
                              <w:rFonts w:ascii="Arial" w:hAnsi="Arial"/>
                              <w:b/>
                            </w:rPr>
                            <w:br/>
                          </w:r>
                          <w:r w:rsidR="005F5C0E">
                            <w:rPr>
                              <w:rFonts w:ascii="Arial" w:hAnsi="Arial"/>
                              <w:b/>
                            </w:rPr>
                            <w:t>45 L Street, NE</w:t>
                          </w:r>
                          <w:r>
                            <w:rPr>
                              <w:rFonts w:ascii="Arial" w:hAnsi="Arial"/>
                              <w:b/>
                            </w:rPr>
                            <w:b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465FD6" w14:paraId="1D45B945" w14:textId="77777777">
                    <w:pPr>
                      <w:rPr>
                        <w:rFonts w:ascii="Arial" w:hAnsi="Arial"/>
                      </w:rPr>
                    </w:pPr>
                    <w:r>
                      <w:rPr>
                        <w:rFonts w:ascii="Arial" w:hAnsi="Arial"/>
                        <w:b/>
                      </w:rPr>
                      <w:t>Federal Communications Commission</w:t>
                    </w:r>
                    <w:r>
                      <w:rPr>
                        <w:rFonts w:ascii="Arial" w:hAnsi="Arial"/>
                        <w:b/>
                      </w:rPr>
                      <w:br/>
                    </w:r>
                    <w:r w:rsidR="005F5C0E">
                      <w:rPr>
                        <w:rFonts w:ascii="Arial" w:hAnsi="Arial"/>
                        <w:b/>
                      </w:rPr>
                      <w:t>45 L Street, NE</w:t>
                    </w:r>
                    <w:r>
                      <w:rPr>
                        <w:rFonts w:ascii="Arial" w:hAnsi="Arial"/>
                        <w:b/>
                      </w:rPr>
                      <w:br/>
                      <w:t>Washington, D.C. 20554</w:t>
                    </w:r>
                  </w:p>
                </w:txbxContent>
              </v:textbox>
              <w10:wrap anchorx="margin"/>
            </v:shape>
          </w:pict>
        </mc:Fallback>
      </mc:AlternateContent>
    </w:r>
    <w:r>
      <w:rPr>
        <w:rFonts w:ascii="Arial" w:hAnsi="Arial" w:cs="Arial"/>
        <w:b/>
        <w:noProof/>
        <w:snapToGrid/>
        <w:sz w:val="24"/>
      </w:rPr>
      <w:drawing>
        <wp:inline distT="0" distB="0" distL="0" distR="0">
          <wp:extent cx="525780" cy="525780"/>
          <wp:effectExtent l="0" t="0" r="7620" b="7620"/>
          <wp:docPr id="9"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25780" cy="525780"/>
                  </a:xfrm>
                  <a:prstGeom prst="rect">
                    <a:avLst/>
                  </a:prstGeom>
                  <a:noFill/>
                  <a:ln>
                    <a:noFill/>
                  </a:ln>
                </pic:spPr>
              </pic:pic>
            </a:graphicData>
          </a:graphic>
        </wp:inline>
      </w:drawing>
    </w:r>
    <w:r>
      <w:rPr>
        <w:rFonts w:ascii="Arial" w:hAnsi="Arial" w:cs="Arial"/>
        <w:b/>
        <w:sz w:val="96"/>
      </w:rPr>
      <w:t xml:space="preserve"> PUBLIC NOTICE</w:t>
    </w:r>
  </w:p>
  <w:p w:rsidR="00465FD6" w14:paraId="5166F07D"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7"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65FD6" w14:textId="77777777">
                          <w:pPr>
                            <w:spacing w:before="40"/>
                            <w:jc w:val="right"/>
                          </w:pPr>
                          <w:r>
                            <w:rPr>
                              <w:rFonts w:ascii="Arial" w:hAnsi="Arial"/>
                              <w:b/>
                              <w:sz w:val="16"/>
                            </w:rPr>
                            <w:t>News Media Information: 202-418-0500</w:t>
                          </w:r>
                          <w:r>
                            <w:rPr>
                              <w:rFonts w:ascii="Arial" w:hAnsi="Arial"/>
                              <w:b/>
                              <w:sz w:val="16"/>
                            </w:rPr>
                            <w:br/>
                            <w:t xml:space="preserve">Internet: </w:t>
                          </w:r>
                          <w:hyperlink r:id="rId2" w:history="1">
                            <w:r>
                              <w:rPr>
                                <w:rStyle w:val="Hyperlink"/>
                                <w:rFonts w:ascii="Arial" w:hAnsi="Arial"/>
                                <w:b/>
                                <w:sz w:val="16"/>
                              </w:rPr>
                              <w:t>www.fcc.gov</w:t>
                            </w:r>
                          </w:hyperlink>
                          <w:r>
                            <w:rPr>
                              <w:rFonts w:ascii="Arial" w:hAnsi="Arial"/>
                              <w:b/>
                              <w:sz w:val="16"/>
                            </w:rPr>
                            <w:b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8"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465FD6" w14:paraId="5B13005F" w14:textId="77777777">
                    <w:pPr>
                      <w:spacing w:before="40"/>
                      <w:jc w:val="right"/>
                    </w:pPr>
                    <w:r>
                      <w:rPr>
                        <w:rFonts w:ascii="Arial" w:hAnsi="Arial"/>
                        <w:b/>
                        <w:sz w:val="16"/>
                      </w:rPr>
                      <w:t>News Media Information: 202-418-0500</w:t>
                    </w:r>
                    <w:r>
                      <w:rPr>
                        <w:rFonts w:ascii="Arial" w:hAnsi="Arial"/>
                        <w:b/>
                        <w:sz w:val="16"/>
                      </w:rPr>
                      <w:br/>
                      <w:t xml:space="preserve">Internet: </w:t>
                    </w:r>
                    <w:hyperlink r:id="rId2" w:history="1">
                      <w:r>
                        <w:rPr>
                          <w:rStyle w:val="Hyperlink"/>
                          <w:rFonts w:ascii="Arial" w:hAnsi="Arial"/>
                          <w:b/>
                          <w:sz w:val="16"/>
                        </w:rPr>
                        <w:t>www.fcc.gov</w:t>
                      </w:r>
                    </w:hyperlink>
                    <w:r>
                      <w:rPr>
                        <w:rFonts w:ascii="Arial" w:hAnsi="Arial"/>
                        <w:b/>
                        <w:sz w:val="16"/>
                      </w:rPr>
                      <w:br/>
                      <w:t>TTY: 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248246F3"/>
    <w:multiLevelType w:val="singleLevel"/>
    <w:tmpl w:val="B1F45678"/>
    <w:lvl w:ilvl="0">
      <w:start w:val="1"/>
      <w:numFmt w:val="decimal"/>
      <w:lvlText w:val="%1."/>
      <w:lvlJc w:val="left"/>
      <w:pPr>
        <w:tabs>
          <w:tab w:val="num" w:pos="1080"/>
        </w:tabs>
        <w:ind w:left="0" w:firstLine="720"/>
      </w:pPr>
    </w:lvl>
  </w:abstractNum>
  <w:abstractNum w:abstractNumId="2">
    <w:nsid w:val="27E06CBB"/>
    <w:multiLevelType w:val="multilevel"/>
    <w:tmpl w:val="1436B2C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28237F48"/>
    <w:multiLevelType w:val="hybridMultilevel"/>
    <w:tmpl w:val="E658543C"/>
    <w:lvl w:ilvl="0">
      <w:start w:val="1"/>
      <w:numFmt w:val="decimal"/>
      <w:pStyle w:val="Para"/>
      <w:lvlText w:val="%1."/>
      <w:lvlJc w:val="left"/>
      <w:pPr>
        <w:tabs>
          <w:tab w:val="num" w:pos="1170"/>
        </w:tabs>
        <w:ind w:left="90" w:firstLine="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B4668BC"/>
    <w:multiLevelType w:val="hybridMultilevel"/>
    <w:tmpl w:val="7C7E94E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9">
    <w:nsid w:val="76C35A40"/>
    <w:multiLevelType w:val="hybridMultilevel"/>
    <w:tmpl w:val="E4C63F9C"/>
    <w:lvl w:ilvl="0">
      <w:start w:val="1"/>
      <w:numFmt w:val="decimal"/>
      <w:lvlText w:val="%1."/>
      <w:lvlJc w:val="left"/>
      <w:pPr>
        <w:tabs>
          <w:tab w:val="num" w:pos="2520"/>
        </w:tabs>
        <w:ind w:left="1440" w:firstLine="720"/>
      </w:pPr>
      <w:rPr>
        <w:rFonts w:hint="default"/>
        <w:b w:val="0"/>
        <w:bCs/>
      </w:rPr>
    </w:lvl>
    <w:lvl w:ilvl="1">
      <w:start w:val="1"/>
      <w:numFmt w:val="decimal"/>
      <w:lvlText w:val="%2."/>
      <w:lvlJc w:val="left"/>
      <w:pPr>
        <w:tabs>
          <w:tab w:val="num" w:pos="2160"/>
        </w:tabs>
        <w:ind w:left="1080" w:firstLine="72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0">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5"/>
  </w:num>
  <w:num w:numId="4">
    <w:abstractNumId w:val="3"/>
  </w:num>
  <w:num w:numId="5">
    <w:abstractNumId w:val="8"/>
  </w:num>
  <w:num w:numId="6">
    <w:abstractNumId w:val="2"/>
  </w:num>
  <w:num w:numId="7">
    <w:abstractNumId w:val="4"/>
  </w:num>
  <w:num w:numId="8">
    <w:abstractNumId w:val="0"/>
  </w:num>
  <w:num w:numId="9">
    <w:abstractNumId w:val="10"/>
  </w:num>
  <w:num w:numId="10">
    <w:abstractNumId w:val="9"/>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removeDateAndTime/>
  <w:embedSystemFonts/>
  <w:proofState w:spelling="clean"/>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FD6"/>
    <w:rsid w:val="00004D7B"/>
    <w:rsid w:val="000135B9"/>
    <w:rsid w:val="00020716"/>
    <w:rsid w:val="00025DB8"/>
    <w:rsid w:val="0002620D"/>
    <w:rsid w:val="00034F05"/>
    <w:rsid w:val="000408A0"/>
    <w:rsid w:val="00041FC9"/>
    <w:rsid w:val="00051066"/>
    <w:rsid w:val="00052BA5"/>
    <w:rsid w:val="00053304"/>
    <w:rsid w:val="00061BE0"/>
    <w:rsid w:val="0006685C"/>
    <w:rsid w:val="000B1E02"/>
    <w:rsid w:val="000C762E"/>
    <w:rsid w:val="000D11A3"/>
    <w:rsid w:val="000E0949"/>
    <w:rsid w:val="000E151F"/>
    <w:rsid w:val="000E4CF4"/>
    <w:rsid w:val="001037D5"/>
    <w:rsid w:val="001218FC"/>
    <w:rsid w:val="00122518"/>
    <w:rsid w:val="0016781F"/>
    <w:rsid w:val="00186F85"/>
    <w:rsid w:val="001D3397"/>
    <w:rsid w:val="001E4127"/>
    <w:rsid w:val="001F227B"/>
    <w:rsid w:val="001F3370"/>
    <w:rsid w:val="00203CC3"/>
    <w:rsid w:val="002316C8"/>
    <w:rsid w:val="00245730"/>
    <w:rsid w:val="00247B99"/>
    <w:rsid w:val="00253411"/>
    <w:rsid w:val="002623C9"/>
    <w:rsid w:val="00274D93"/>
    <w:rsid w:val="00295D05"/>
    <w:rsid w:val="002A394B"/>
    <w:rsid w:val="003157F1"/>
    <w:rsid w:val="0032018E"/>
    <w:rsid w:val="00343DF1"/>
    <w:rsid w:val="003464BE"/>
    <w:rsid w:val="0036724E"/>
    <w:rsid w:val="003749D5"/>
    <w:rsid w:val="00396A08"/>
    <w:rsid w:val="003B61CC"/>
    <w:rsid w:val="00404375"/>
    <w:rsid w:val="00405A7F"/>
    <w:rsid w:val="00413A3B"/>
    <w:rsid w:val="0042378E"/>
    <w:rsid w:val="00435319"/>
    <w:rsid w:val="004523AD"/>
    <w:rsid w:val="004653EC"/>
    <w:rsid w:val="00465FD6"/>
    <w:rsid w:val="00470D27"/>
    <w:rsid w:val="00475F2C"/>
    <w:rsid w:val="004761D3"/>
    <w:rsid w:val="004809F3"/>
    <w:rsid w:val="00482548"/>
    <w:rsid w:val="004949D9"/>
    <w:rsid w:val="004C3722"/>
    <w:rsid w:val="004F55FB"/>
    <w:rsid w:val="005059D4"/>
    <w:rsid w:val="00516D41"/>
    <w:rsid w:val="00521BE2"/>
    <w:rsid w:val="005335E9"/>
    <w:rsid w:val="0054405A"/>
    <w:rsid w:val="00552DCC"/>
    <w:rsid w:val="005546D7"/>
    <w:rsid w:val="005766C0"/>
    <w:rsid w:val="0058396B"/>
    <w:rsid w:val="005A09B6"/>
    <w:rsid w:val="005C47FA"/>
    <w:rsid w:val="005C64FD"/>
    <w:rsid w:val="005D090A"/>
    <w:rsid w:val="005E4065"/>
    <w:rsid w:val="005F5C0E"/>
    <w:rsid w:val="00624C2D"/>
    <w:rsid w:val="00625665"/>
    <w:rsid w:val="00640B96"/>
    <w:rsid w:val="00650B69"/>
    <w:rsid w:val="00651965"/>
    <w:rsid w:val="00653994"/>
    <w:rsid w:val="00660C30"/>
    <w:rsid w:val="00683B6A"/>
    <w:rsid w:val="006866F6"/>
    <w:rsid w:val="00697B7D"/>
    <w:rsid w:val="006A0D01"/>
    <w:rsid w:val="006B0CAF"/>
    <w:rsid w:val="006B46E8"/>
    <w:rsid w:val="006B7AAB"/>
    <w:rsid w:val="006E2F45"/>
    <w:rsid w:val="006E45ED"/>
    <w:rsid w:val="006E4A30"/>
    <w:rsid w:val="007037B2"/>
    <w:rsid w:val="007051DA"/>
    <w:rsid w:val="00714E5F"/>
    <w:rsid w:val="00715030"/>
    <w:rsid w:val="00721A1C"/>
    <w:rsid w:val="007279F2"/>
    <w:rsid w:val="0074012F"/>
    <w:rsid w:val="00741979"/>
    <w:rsid w:val="00747D30"/>
    <w:rsid w:val="00754775"/>
    <w:rsid w:val="0076391A"/>
    <w:rsid w:val="00780268"/>
    <w:rsid w:val="0079060D"/>
    <w:rsid w:val="00796B16"/>
    <w:rsid w:val="007A3A28"/>
    <w:rsid w:val="007B4E24"/>
    <w:rsid w:val="007C5170"/>
    <w:rsid w:val="007D3786"/>
    <w:rsid w:val="007E5EA7"/>
    <w:rsid w:val="007F7962"/>
    <w:rsid w:val="00813E81"/>
    <w:rsid w:val="00815C0B"/>
    <w:rsid w:val="00847E04"/>
    <w:rsid w:val="0086608F"/>
    <w:rsid w:val="008826B9"/>
    <w:rsid w:val="00885A0E"/>
    <w:rsid w:val="008A0828"/>
    <w:rsid w:val="008A52D5"/>
    <w:rsid w:val="008A7636"/>
    <w:rsid w:val="008B1B39"/>
    <w:rsid w:val="008B7A86"/>
    <w:rsid w:val="008F7F73"/>
    <w:rsid w:val="00906D17"/>
    <w:rsid w:val="009113A6"/>
    <w:rsid w:val="009131B0"/>
    <w:rsid w:val="0093093D"/>
    <w:rsid w:val="00935E6E"/>
    <w:rsid w:val="00936ACB"/>
    <w:rsid w:val="00937330"/>
    <w:rsid w:val="00951806"/>
    <w:rsid w:val="00953D45"/>
    <w:rsid w:val="00962B99"/>
    <w:rsid w:val="009731A5"/>
    <w:rsid w:val="009753F0"/>
    <w:rsid w:val="00983812"/>
    <w:rsid w:val="009914BD"/>
    <w:rsid w:val="009C38FE"/>
    <w:rsid w:val="009D49E9"/>
    <w:rsid w:val="009D4D2E"/>
    <w:rsid w:val="009E44D8"/>
    <w:rsid w:val="009F4890"/>
    <w:rsid w:val="00A01101"/>
    <w:rsid w:val="00A04CBE"/>
    <w:rsid w:val="00A04EBE"/>
    <w:rsid w:val="00A13E9C"/>
    <w:rsid w:val="00A33266"/>
    <w:rsid w:val="00A401A9"/>
    <w:rsid w:val="00A40AB0"/>
    <w:rsid w:val="00A42B32"/>
    <w:rsid w:val="00A44BDE"/>
    <w:rsid w:val="00A52770"/>
    <w:rsid w:val="00A664F1"/>
    <w:rsid w:val="00A85F06"/>
    <w:rsid w:val="00AB07E9"/>
    <w:rsid w:val="00AB2FC6"/>
    <w:rsid w:val="00AC14F2"/>
    <w:rsid w:val="00AC3AC8"/>
    <w:rsid w:val="00AC44DB"/>
    <w:rsid w:val="00AC626F"/>
    <w:rsid w:val="00AE2BB5"/>
    <w:rsid w:val="00AF0D83"/>
    <w:rsid w:val="00AF0D98"/>
    <w:rsid w:val="00B0103A"/>
    <w:rsid w:val="00B41361"/>
    <w:rsid w:val="00B53C16"/>
    <w:rsid w:val="00B825D0"/>
    <w:rsid w:val="00B92DB0"/>
    <w:rsid w:val="00B9566C"/>
    <w:rsid w:val="00B97A89"/>
    <w:rsid w:val="00BA360A"/>
    <w:rsid w:val="00BA713F"/>
    <w:rsid w:val="00BB65B7"/>
    <w:rsid w:val="00BC36B6"/>
    <w:rsid w:val="00BE3831"/>
    <w:rsid w:val="00BF1E85"/>
    <w:rsid w:val="00C078A2"/>
    <w:rsid w:val="00C07E7B"/>
    <w:rsid w:val="00C106E8"/>
    <w:rsid w:val="00C346C9"/>
    <w:rsid w:val="00C35E95"/>
    <w:rsid w:val="00C36CBE"/>
    <w:rsid w:val="00C445D9"/>
    <w:rsid w:val="00C525E9"/>
    <w:rsid w:val="00C5275E"/>
    <w:rsid w:val="00C700D5"/>
    <w:rsid w:val="00C74BC0"/>
    <w:rsid w:val="00C84C52"/>
    <w:rsid w:val="00CB2CC1"/>
    <w:rsid w:val="00CB6047"/>
    <w:rsid w:val="00CD3225"/>
    <w:rsid w:val="00CD41CE"/>
    <w:rsid w:val="00D02B24"/>
    <w:rsid w:val="00D03AB4"/>
    <w:rsid w:val="00D06AA0"/>
    <w:rsid w:val="00D078C5"/>
    <w:rsid w:val="00D26BD7"/>
    <w:rsid w:val="00D40A42"/>
    <w:rsid w:val="00D40A5A"/>
    <w:rsid w:val="00D43524"/>
    <w:rsid w:val="00D45066"/>
    <w:rsid w:val="00D633B5"/>
    <w:rsid w:val="00D641C1"/>
    <w:rsid w:val="00D81503"/>
    <w:rsid w:val="00D860F8"/>
    <w:rsid w:val="00D94C7A"/>
    <w:rsid w:val="00DA6541"/>
    <w:rsid w:val="00DE4CA1"/>
    <w:rsid w:val="00DF758B"/>
    <w:rsid w:val="00E007BB"/>
    <w:rsid w:val="00E2376D"/>
    <w:rsid w:val="00E470B8"/>
    <w:rsid w:val="00E50E11"/>
    <w:rsid w:val="00E67AD4"/>
    <w:rsid w:val="00E870A3"/>
    <w:rsid w:val="00E95C41"/>
    <w:rsid w:val="00E97176"/>
    <w:rsid w:val="00EA0A0A"/>
    <w:rsid w:val="00EA1EC6"/>
    <w:rsid w:val="00EB5AA6"/>
    <w:rsid w:val="00EC10E0"/>
    <w:rsid w:val="00EC5283"/>
    <w:rsid w:val="00EC54E9"/>
    <w:rsid w:val="00EC6303"/>
    <w:rsid w:val="00ED388A"/>
    <w:rsid w:val="00EE58EA"/>
    <w:rsid w:val="00F23459"/>
    <w:rsid w:val="00F41DAF"/>
    <w:rsid w:val="00F44359"/>
    <w:rsid w:val="00F52DA1"/>
    <w:rsid w:val="00F53B65"/>
    <w:rsid w:val="00F76FA3"/>
    <w:rsid w:val="00F803EF"/>
    <w:rsid w:val="00F94978"/>
    <w:rsid w:val="00FB163F"/>
    <w:rsid w:val="00FC6BF0"/>
    <w:rsid w:val="00FD24AF"/>
    <w:rsid w:val="00FD7BC6"/>
    <w:rsid w:val="00FF74F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D31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0"/>
    <w:qFormat/>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pPr>
      <w:keepNext/>
      <w:keepLines/>
      <w:widowControl/>
      <w:numPr>
        <w:ilvl w:val="1"/>
        <w:numId w:val="6"/>
      </w:numPr>
      <w:spacing w:after="120"/>
      <w:outlineLvl w:val="1"/>
    </w:pPr>
    <w:rPr>
      <w:b/>
    </w:rPr>
  </w:style>
  <w:style w:type="paragraph" w:styleId="Heading3">
    <w:name w:val="heading 3"/>
    <w:basedOn w:val="Normal"/>
    <w:next w:val="ParaNum0"/>
    <w:qFormat/>
    <w:pPr>
      <w:keepNext/>
      <w:numPr>
        <w:ilvl w:val="2"/>
        <w:numId w:val="6"/>
      </w:numPr>
      <w:tabs>
        <w:tab w:val="left" w:pos="2160"/>
      </w:tabs>
      <w:spacing w:after="120"/>
      <w:outlineLvl w:val="2"/>
    </w:pPr>
    <w:rPr>
      <w:b/>
    </w:rPr>
  </w:style>
  <w:style w:type="paragraph" w:styleId="Heading4">
    <w:name w:val="heading 4"/>
    <w:basedOn w:val="Normal"/>
    <w:next w:val="ParaNum0"/>
    <w:qFormat/>
    <w:pPr>
      <w:keepNext/>
      <w:numPr>
        <w:ilvl w:val="3"/>
        <w:numId w:val="6"/>
      </w:numPr>
      <w:tabs>
        <w:tab w:val="left" w:pos="2880"/>
      </w:tabs>
      <w:spacing w:after="120"/>
      <w:outlineLvl w:val="3"/>
    </w:pPr>
    <w:rPr>
      <w:b/>
    </w:rPr>
  </w:style>
  <w:style w:type="paragraph" w:styleId="Heading5">
    <w:name w:val="heading 5"/>
    <w:basedOn w:val="Normal"/>
    <w:next w:val="ParaNum0"/>
    <w:qFormat/>
    <w:pPr>
      <w:keepNext/>
      <w:numPr>
        <w:ilvl w:val="4"/>
        <w:numId w:val="6"/>
      </w:numPr>
      <w:tabs>
        <w:tab w:val="left" w:pos="3600"/>
      </w:tabs>
      <w:suppressAutoHyphens/>
      <w:spacing w:after="120"/>
      <w:outlineLvl w:val="4"/>
    </w:pPr>
    <w:rPr>
      <w:b/>
    </w:rPr>
  </w:style>
  <w:style w:type="paragraph" w:styleId="Heading6">
    <w:name w:val="heading 6"/>
    <w:basedOn w:val="Normal"/>
    <w:next w:val="ParaNum0"/>
    <w:qFormat/>
    <w:pPr>
      <w:numPr>
        <w:ilvl w:val="5"/>
        <w:numId w:val="6"/>
      </w:numPr>
      <w:tabs>
        <w:tab w:val="left" w:pos="4320"/>
      </w:tabs>
      <w:spacing w:after="120"/>
      <w:outlineLvl w:val="5"/>
    </w:pPr>
    <w:rPr>
      <w:b/>
    </w:rPr>
  </w:style>
  <w:style w:type="paragraph" w:styleId="Heading7">
    <w:name w:val="heading 7"/>
    <w:basedOn w:val="Normal"/>
    <w:next w:val="ParaNum0"/>
    <w:qFormat/>
    <w:pPr>
      <w:numPr>
        <w:ilvl w:val="6"/>
        <w:numId w:val="6"/>
      </w:numPr>
      <w:tabs>
        <w:tab w:val="left" w:pos="5040"/>
      </w:tabs>
      <w:spacing w:after="120"/>
      <w:ind w:left="5040" w:hanging="720"/>
      <w:outlineLvl w:val="6"/>
    </w:pPr>
    <w:rPr>
      <w:b/>
    </w:rPr>
  </w:style>
  <w:style w:type="paragraph" w:styleId="Heading8">
    <w:name w:val="heading 8"/>
    <w:basedOn w:val="Normal"/>
    <w:next w:val="ParaNum0"/>
    <w:qFormat/>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0"/>
    <w:qFormat/>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spacing w:after="240"/>
      <w:ind w:left="1440" w:right="1440"/>
    </w:pPr>
  </w:style>
  <w:style w:type="paragraph" w:customStyle="1" w:styleId="Bullet">
    <w:name w:val="Bullet"/>
    <w:basedOn w:val="Normal"/>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4"/>
    <w:pPr>
      <w:spacing w:after="120"/>
    </w:pPr>
  </w:style>
  <w:style w:type="paragraph" w:customStyle="1" w:styleId="NumberedList">
    <w:name w:val="Numbered List"/>
    <w:basedOn w:val="Normal"/>
    <w:pPr>
      <w:numPr>
        <w:numId w:val="2"/>
      </w:numPr>
      <w:tabs>
        <w:tab w:val="clear" w:pos="1080"/>
      </w:tabs>
      <w:spacing w:after="220"/>
      <w:ind w:firstLine="0"/>
    </w:pPr>
  </w:style>
  <w:style w:type="paragraph" w:customStyle="1" w:styleId="Paranum">
    <w:name w:val="Paranum"/>
    <w:basedOn w:val="Normal"/>
    <w:pPr>
      <w:numPr>
        <w:numId w:val="3"/>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paragraph" w:styleId="BodyText2">
    <w:name w:val="Body Text 2"/>
    <w:basedOn w:val="Normal"/>
    <w:pPr>
      <w:spacing w:after="120" w:line="480" w:lineRule="auto"/>
    </w:pPr>
  </w:style>
  <w:style w:type="character" w:styleId="Emphasis">
    <w:name w:val="Emphasis"/>
    <w:uiPriority w:val="20"/>
    <w:qFormat/>
    <w:rPr>
      <w:i/>
      <w:iCs/>
    </w:rPr>
  </w:style>
  <w:style w:type="paragraph" w:customStyle="1" w:styleId="Style1">
    <w:name w:val="Style1"/>
    <w:basedOn w:val="FootnoteText"/>
    <w:rPr>
      <w:b/>
      <w:color w:val="000000"/>
      <w:sz w:val="22"/>
    </w:rPr>
  </w:style>
  <w:style w:type="paragraph" w:customStyle="1" w:styleId="Style2">
    <w:name w:val="Style2"/>
    <w:basedOn w:val="FootnoteText"/>
    <w:rPr>
      <w:b/>
      <w:color w:val="000000"/>
      <w:sz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ALTS FOOTNOTE Char Char,ALTS FOOTNOTE Char2,Footnote Text Char Char Char1,Footnote Text Char Char1,Footnote Text Char1 Char Char Char Char,Footnote Text Char1 Char Char Char2,Footnote Text Char1 Char1 Char1,Footnote Text Char1 Char2"/>
    <w:link w:val="FootnoteText"/>
    <w:semiHidden/>
    <w:rPr>
      <w:lang w:val="en-US" w:eastAsia="en-US" w:bidi="ar-SA"/>
    </w:rPr>
  </w:style>
  <w:style w:type="character" w:customStyle="1" w:styleId="FootnoteTextChar3">
    <w:name w:val="Footnote Text Char3"/>
    <w:aliases w:val="ALTS FOOTNOTE Char1,Footnote Text Char Char Char,Footnote Text Char Char2,Footnote Text Char1 Char,Footnote Text Char1 Char Char Char1,Footnote Text Char1 Char1 Char,Footnote Text Char2 Char,Footnote Text Char2 Char Char Char,fn Char"/>
    <w:uiPriority w:val="99"/>
    <w:rPr>
      <w:lang w:val="en-US" w:eastAsia="en-US" w:bidi="ar-SA"/>
    </w:rPr>
  </w:style>
  <w:style w:type="character" w:customStyle="1" w:styleId="FootnoteTextChar3Char">
    <w:name w:val="Footnote Text Char3 Char"/>
    <w:aliases w:val="ALTS FOOTNOTE Char1 Char,Footnote Text Char Char Char Char,Footnote Text Char1 Char Char Char1 Char,Footnote Text Char1 Char1 Char Char,fn Char Char,fn Char2"/>
    <w:rPr>
      <w:snapToGrid w:val="0"/>
      <w:kern w:val="28"/>
      <w:sz w:val="22"/>
      <w:lang w:val="en-US" w:eastAsia="en-US" w:bidi="ar-SA"/>
    </w:rPr>
  </w:style>
  <w:style w:type="paragraph" w:customStyle="1" w:styleId="Para">
    <w:name w:val="Para"/>
    <w:basedOn w:val="Normal"/>
    <w:pPr>
      <w:numPr>
        <w:numId w:val="4"/>
      </w:numPr>
      <w:tabs>
        <w:tab w:val="num" w:pos="900"/>
        <w:tab w:val="clear" w:pos="1170"/>
      </w:tabs>
      <w:ind w:left="-180"/>
    </w:pPr>
  </w:style>
  <w:style w:type="paragraph" w:customStyle="1" w:styleId="ParaNum0">
    <w:name w:val="ParaNum"/>
    <w:basedOn w:val="Normal"/>
    <w:pPr>
      <w:numPr>
        <w:numId w:val="5"/>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character" w:customStyle="1" w:styleId="EquationCaption">
    <w:name w:val="_Equation Caption"/>
  </w:style>
  <w:style w:type="paragraph" w:customStyle="1" w:styleId="Paratitle">
    <w:name w:val="Para title"/>
    <w:basedOn w:val="Normal"/>
    <w:pPr>
      <w:tabs>
        <w:tab w:val="center" w:pos="9270"/>
      </w:tabs>
      <w:spacing w:after="240"/>
    </w:pPr>
    <w:rPr>
      <w:spacing w:val="-2"/>
    </w:rPr>
  </w:style>
  <w:style w:type="paragraph" w:customStyle="1" w:styleId="TableFormat0">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customStyle="1" w:styleId="FooterChar">
    <w:name w:val="Footer Char"/>
    <w:link w:val="Footer"/>
    <w:uiPriority w:val="99"/>
    <w:rPr>
      <w:snapToGrid w:val="0"/>
      <w:kern w:val="28"/>
      <w:sz w:val="22"/>
    </w:rPr>
  </w:style>
  <w:style w:type="paragraph" w:styleId="ListParagraph">
    <w:name w:val="List Paragraph"/>
    <w:basedOn w:val="Normal"/>
    <w:uiPriority w:val="34"/>
    <w:qFormat/>
    <w:pPr>
      <w:ind w:left="720"/>
    </w:pPr>
  </w:style>
  <w:style w:type="character" w:customStyle="1" w:styleId="HeaderChar">
    <w:name w:val="Header Char"/>
    <w:basedOn w:val="DefaultParagraphFont"/>
    <w:link w:val="Header"/>
    <w:rPr>
      <w:rFonts w:ascii="News Gothic MT" w:hAnsi="News Gothic MT"/>
      <w:snapToGrid w:val="0"/>
      <w:kern w:val="28"/>
      <w:sz w:val="96"/>
      <w:szCs w:val="96"/>
    </w:rPr>
  </w:style>
  <w:style w:type="character" w:customStyle="1" w:styleId="Mention1">
    <w:name w:val="Mention1"/>
    <w:basedOn w:val="DefaultParagraphFont"/>
    <w:uiPriority w:val="99"/>
    <w:semiHidden/>
    <w:unhideWhenUsed/>
    <w:rPr>
      <w:color w:val="2B579A"/>
      <w:shd w:val="clear" w:color="auto" w:fill="E6E6E6"/>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rPr>
      <w:color w:val="605E5C"/>
      <w:shd w:val="clear" w:color="auto" w:fill="E1DFDD"/>
    </w:rPr>
  </w:style>
  <w:style w:type="character" w:customStyle="1" w:styleId="UnresolvedMention3">
    <w:name w:val="Unresolved Mention3"/>
    <w:basedOn w:val="DefaultParagraphFont"/>
    <w:rPr>
      <w:color w:val="605E5C"/>
      <w:shd w:val="clear" w:color="auto" w:fill="E1DFDD"/>
    </w:rPr>
  </w:style>
  <w:style w:type="paragraph" w:styleId="Revision">
    <w:name w:val="Revision"/>
    <w:hidden/>
    <w:uiPriority w:val="99"/>
    <w:semiHidden/>
    <w:rsid w:val="00C36CBE"/>
    <w:rPr>
      <w:snapToGrid w:val="0"/>
      <w:kern w:val="28"/>
      <w:sz w:val="22"/>
    </w:rPr>
  </w:style>
  <w:style w:type="character" w:customStyle="1" w:styleId="CommentTextChar">
    <w:name w:val="Comment Text Char"/>
    <w:link w:val="CommentText"/>
    <w:rsid w:val="0036724E"/>
    <w:rPr>
      <w:snapToGrid w:val="0"/>
      <w:kern w:val="28"/>
      <w:sz w:val="22"/>
    </w:rPr>
  </w:style>
  <w:style w:type="character" w:customStyle="1" w:styleId="normaltextrun">
    <w:name w:val="normaltextrun"/>
    <w:basedOn w:val="DefaultParagraphFont"/>
    <w:rsid w:val="003157F1"/>
  </w:style>
  <w:style w:type="character" w:customStyle="1" w:styleId="spellingerror">
    <w:name w:val="spellingerror"/>
    <w:basedOn w:val="DefaultParagraphFont"/>
    <w:rsid w:val="003157F1"/>
  </w:style>
  <w:style w:type="character" w:customStyle="1" w:styleId="eop">
    <w:name w:val="eop"/>
    <w:basedOn w:val="DefaultParagraphFont"/>
    <w:rsid w:val="003157F1"/>
  </w:style>
  <w:style w:type="character" w:customStyle="1" w:styleId="cosearchterm">
    <w:name w:val="co_searchterm"/>
    <w:basedOn w:val="DefaultParagraphFont"/>
    <w:rsid w:val="00A52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wireless/systems-utilities/universal-licensing-system" TargetMode="External" /><Relationship Id="rId6" Type="http://schemas.openxmlformats.org/officeDocument/2006/relationships/hyperlink" Target="mailto:RuralTribalWindow@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file:///C:\Users\craig.bomberger\AppData\Local\Microsoft\Windows\Temporary%20Internet%20Files\Content.Outlook\BCL5QM18\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