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16518" w14:paraId="531EA6ED" w14:textId="77777777">
      <w:pPr>
        <w:jc w:val="right"/>
        <w:rPr>
          <w:b/>
          <w:sz w:val="24"/>
        </w:rPr>
      </w:pPr>
    </w:p>
    <w:p w:rsidR="00D34C79" w14:paraId="0630C8C8" w14:textId="62D54C47">
      <w:pPr>
        <w:jc w:val="right"/>
        <w:rPr>
          <w:b/>
          <w:sz w:val="24"/>
        </w:rPr>
      </w:pPr>
      <w:r>
        <w:rPr>
          <w:b/>
          <w:sz w:val="24"/>
        </w:rPr>
        <w:t xml:space="preserve"> DA </w:t>
      </w:r>
      <w:r w:rsidR="00FF1272">
        <w:rPr>
          <w:b/>
          <w:sz w:val="24"/>
        </w:rPr>
        <w:t>22-</w:t>
      </w:r>
      <w:r w:rsidR="00C07DF1">
        <w:rPr>
          <w:b/>
          <w:sz w:val="24"/>
        </w:rPr>
        <w:t>153</w:t>
      </w:r>
    </w:p>
    <w:p w:rsidR="00D34C79" w14:paraId="18935003" w14:textId="25F4F852">
      <w:pPr>
        <w:spacing w:before="60"/>
        <w:jc w:val="right"/>
        <w:rPr>
          <w:b/>
          <w:sz w:val="24"/>
        </w:rPr>
      </w:pPr>
      <w:r>
        <w:rPr>
          <w:b/>
          <w:sz w:val="24"/>
        </w:rPr>
        <w:t>Released</w:t>
      </w:r>
      <w:r w:rsidR="008B5EDA">
        <w:rPr>
          <w:b/>
          <w:sz w:val="24"/>
        </w:rPr>
        <w:t xml:space="preserve">:  February </w:t>
      </w:r>
      <w:r w:rsidR="00C07DF1">
        <w:rPr>
          <w:b/>
          <w:sz w:val="24"/>
        </w:rPr>
        <w:t>14</w:t>
      </w:r>
      <w:r w:rsidR="008B5EDA">
        <w:rPr>
          <w:b/>
          <w:sz w:val="24"/>
        </w:rPr>
        <w:t>, 2022</w:t>
      </w:r>
    </w:p>
    <w:p w:rsidR="00D34C79" w14:paraId="66715522" w14:textId="77777777">
      <w:pPr>
        <w:jc w:val="right"/>
        <w:rPr>
          <w:sz w:val="24"/>
        </w:rPr>
      </w:pPr>
    </w:p>
    <w:p w:rsidR="00D34C79" w:rsidP="00C07DF1" w14:paraId="24DBF596" w14:textId="2452DD08">
      <w:pPr>
        <w:jc w:val="center"/>
        <w:rPr>
          <w:rFonts w:ascii="Times New Roman Bold" w:hAnsi="Times New Roman Bold"/>
          <w:b/>
          <w:caps/>
          <w:sz w:val="24"/>
        </w:rPr>
      </w:pPr>
      <w:r>
        <w:rPr>
          <w:b/>
          <w:bCs/>
          <w:szCs w:val="22"/>
        </w:rPr>
        <w:t>WIRELINE</w:t>
      </w:r>
      <w:r>
        <w:rPr>
          <w:rFonts w:ascii="Times New Roman Bold" w:hAnsi="Times New Roman Bold"/>
          <w:b/>
          <w:caps/>
          <w:sz w:val="24"/>
        </w:rPr>
        <w:t xml:space="preserve"> competition Bureau announces </w:t>
      </w:r>
      <w:r w:rsidRPr="0015705E" w:rsidR="007E4FE7">
        <w:rPr>
          <w:rFonts w:ascii="Times New Roman Bold" w:hAnsi="Times New Roman Bold"/>
          <w:b/>
          <w:caps/>
          <w:sz w:val="24"/>
        </w:rPr>
        <w:t>THAT THE</w:t>
      </w:r>
      <w:r w:rsidR="00C07DF1">
        <w:rPr>
          <w:rFonts w:ascii="Times New Roman Bold" w:hAnsi="Times New Roman Bold"/>
          <w:b/>
          <w:caps/>
          <w:sz w:val="24"/>
        </w:rPr>
        <w:t xml:space="preserve"> </w:t>
      </w:r>
      <w:r w:rsidRPr="0015705E" w:rsidR="00AA4C0D">
        <w:rPr>
          <w:rFonts w:ascii="Times New Roman Bold" w:hAnsi="Times New Roman Bold"/>
          <w:b/>
          <w:caps/>
          <w:sz w:val="24"/>
        </w:rPr>
        <w:t>CONSUMER</w:t>
      </w:r>
      <w:r w:rsidR="00C07DF1">
        <w:rPr>
          <w:rFonts w:ascii="Times New Roman Bold" w:hAnsi="Times New Roman Bold"/>
          <w:b/>
          <w:caps/>
          <w:sz w:val="24"/>
        </w:rPr>
        <w:t xml:space="preserve"> </w:t>
      </w:r>
      <w:r w:rsidRPr="0015705E" w:rsidR="00AA4C0D">
        <w:rPr>
          <w:rFonts w:ascii="Times New Roman Bold" w:hAnsi="Times New Roman Bold"/>
          <w:b/>
          <w:caps/>
          <w:sz w:val="24"/>
        </w:rPr>
        <w:t xml:space="preserve">DISCLOSURE </w:t>
      </w:r>
      <w:r w:rsidRPr="0015705E" w:rsidR="007E4FE7">
        <w:rPr>
          <w:rFonts w:ascii="Times New Roman Bold" w:hAnsi="Times New Roman Bold"/>
          <w:b/>
          <w:caps/>
          <w:sz w:val="24"/>
        </w:rPr>
        <w:t>AND WAIVER RULES AD</w:t>
      </w:r>
      <w:r w:rsidRPr="0015705E" w:rsidR="00AA4C0D">
        <w:rPr>
          <w:rFonts w:ascii="Times New Roman Bold" w:hAnsi="Times New Roman Bold"/>
          <w:b/>
          <w:caps/>
          <w:sz w:val="24"/>
        </w:rPr>
        <w:t>o</w:t>
      </w:r>
      <w:r w:rsidRPr="0015705E" w:rsidR="007E4FE7">
        <w:rPr>
          <w:rFonts w:ascii="Times New Roman Bold" w:hAnsi="Times New Roman Bold"/>
          <w:b/>
          <w:caps/>
          <w:sz w:val="24"/>
        </w:rPr>
        <w:t xml:space="preserve">PTED </w:t>
      </w:r>
      <w:r w:rsidRPr="0015705E" w:rsidR="0015705E">
        <w:rPr>
          <w:rFonts w:ascii="Times New Roman Bold" w:hAnsi="Times New Roman Bold"/>
          <w:b/>
          <w:caps/>
          <w:sz w:val="24"/>
        </w:rPr>
        <w:t>IN THE</w:t>
      </w:r>
      <w:r w:rsidR="00C07DF1">
        <w:rPr>
          <w:rFonts w:ascii="Times New Roman Bold" w:hAnsi="Times New Roman Bold"/>
          <w:b/>
          <w:caps/>
          <w:sz w:val="24"/>
        </w:rPr>
        <w:t xml:space="preserve"> </w:t>
      </w:r>
      <w:r w:rsidRPr="00A142FF" w:rsidR="007E4FE7">
        <w:rPr>
          <w:rFonts w:ascii="Times New Roman Bold" w:hAnsi="Times New Roman Bold"/>
          <w:b/>
          <w:i/>
          <w:iCs/>
          <w:caps/>
          <w:sz w:val="24"/>
        </w:rPr>
        <w:t>2021 ics oRDER</w:t>
      </w:r>
      <w:r w:rsidRPr="0015705E" w:rsidR="007E4FE7">
        <w:rPr>
          <w:rFonts w:ascii="Times New Roman Bold" w:hAnsi="Times New Roman Bold"/>
          <w:b/>
          <w:caps/>
          <w:sz w:val="24"/>
        </w:rPr>
        <w:t xml:space="preserve"> </w:t>
      </w:r>
      <w:r w:rsidR="002878BD">
        <w:rPr>
          <w:rFonts w:ascii="Times New Roman Bold" w:hAnsi="Times New Roman Bold"/>
          <w:b/>
          <w:caps/>
          <w:sz w:val="24"/>
        </w:rPr>
        <w:t>ARE NOW EFFECTIVE</w:t>
      </w:r>
    </w:p>
    <w:p w:rsidR="0015705E" w:rsidP="0015705E" w14:paraId="5FBF41F5" w14:textId="77777777">
      <w:pPr>
        <w:jc w:val="center"/>
        <w:rPr>
          <w:rFonts w:ascii="Times New Roman Bold" w:hAnsi="Times New Roman Bold"/>
          <w:b/>
          <w:caps/>
          <w:sz w:val="24"/>
        </w:rPr>
      </w:pPr>
    </w:p>
    <w:p w:rsidR="00D34C79" w14:paraId="50276729" w14:textId="74EBE7CD">
      <w:pPr>
        <w:jc w:val="center"/>
        <w:rPr>
          <w:b/>
          <w:sz w:val="24"/>
        </w:rPr>
      </w:pPr>
      <w:r w:rsidRPr="008733D5">
        <w:rPr>
          <w:b/>
          <w:sz w:val="24"/>
        </w:rPr>
        <w:t xml:space="preserve">WC Docket No. </w:t>
      </w:r>
      <w:r w:rsidR="00A874DF">
        <w:rPr>
          <w:b/>
          <w:sz w:val="24"/>
        </w:rPr>
        <w:t>12-375</w:t>
      </w:r>
    </w:p>
    <w:p w:rsidR="008733D5" w:rsidP="008733D5" w14:paraId="65539441" w14:textId="1CCE95A5">
      <w:pPr>
        <w:rPr>
          <w:b/>
          <w:sz w:val="24"/>
        </w:rPr>
      </w:pPr>
    </w:p>
    <w:p w:rsidR="00194EB2" w:rsidP="002939B5" w14:paraId="5A1EF5DF" w14:textId="006EDD92">
      <w:pPr>
        <w:spacing w:after="120"/>
        <w:ind w:firstLine="720"/>
        <w:rPr>
          <w:rFonts w:eastAsia="Times New Roman Bold"/>
          <w:szCs w:val="22"/>
        </w:rPr>
      </w:pPr>
      <w:r w:rsidRPr="00616518">
        <w:rPr>
          <w:rStyle w:val="Style12pt"/>
          <w:rFonts w:eastAsia="Times New Roman Bold"/>
          <w:szCs w:val="22"/>
        </w:rPr>
        <w:t xml:space="preserve">By this Public Notice, the Wireline Competition Bureau </w:t>
      </w:r>
      <w:r w:rsidR="00A50FAA">
        <w:rPr>
          <w:rStyle w:val="Style12pt"/>
          <w:rFonts w:eastAsia="Times New Roman Bold"/>
          <w:szCs w:val="22"/>
        </w:rPr>
        <w:t xml:space="preserve">(Bureau) </w:t>
      </w:r>
      <w:r w:rsidR="00A5475E">
        <w:rPr>
          <w:rStyle w:val="Style12pt"/>
          <w:rFonts w:eastAsia="Times New Roman Bold"/>
          <w:szCs w:val="22"/>
        </w:rPr>
        <w:t xml:space="preserve">announces that </w:t>
      </w:r>
      <w:r w:rsidRPr="00616518">
        <w:rPr>
          <w:rStyle w:val="Style12pt"/>
          <w:rFonts w:eastAsia="Times New Roman Bold"/>
          <w:szCs w:val="22"/>
        </w:rPr>
        <w:t xml:space="preserve">the Office of Management and Budget (OMB) </w:t>
      </w:r>
      <w:r w:rsidR="004D0003">
        <w:rPr>
          <w:rStyle w:val="Style12pt"/>
          <w:rFonts w:eastAsia="Times New Roman Bold"/>
          <w:szCs w:val="22"/>
        </w:rPr>
        <w:t xml:space="preserve">has </w:t>
      </w:r>
      <w:r>
        <w:rPr>
          <w:rStyle w:val="Style12pt"/>
          <w:rFonts w:eastAsia="Times New Roman Bold"/>
          <w:szCs w:val="22"/>
        </w:rPr>
        <w:t>approved</w:t>
      </w:r>
      <w:r w:rsidR="004D0003">
        <w:rPr>
          <w:rStyle w:val="Style12pt"/>
          <w:rFonts w:eastAsia="Times New Roman Bold"/>
          <w:szCs w:val="22"/>
        </w:rPr>
        <w:t xml:space="preserve"> </w:t>
      </w:r>
      <w:r>
        <w:rPr>
          <w:rStyle w:val="Style12pt"/>
          <w:rFonts w:eastAsia="Times New Roman Bold"/>
          <w:szCs w:val="22"/>
        </w:rPr>
        <w:t xml:space="preserve">the new information collection requirements adopted in the </w:t>
      </w:r>
      <w:r w:rsidRPr="00616518" w:rsidR="004D0003">
        <w:rPr>
          <w:rFonts w:eastAsia="Times New Roman Bold"/>
          <w:i/>
          <w:iCs/>
          <w:szCs w:val="22"/>
        </w:rPr>
        <w:t>202</w:t>
      </w:r>
      <w:r w:rsidR="004D0003">
        <w:rPr>
          <w:rFonts w:eastAsia="Times New Roman Bold"/>
          <w:i/>
          <w:iCs/>
          <w:szCs w:val="22"/>
        </w:rPr>
        <w:t xml:space="preserve">1 ICS </w:t>
      </w:r>
      <w:r w:rsidRPr="003302EA" w:rsidR="004D0003">
        <w:rPr>
          <w:rFonts w:eastAsia="Times New Roman Bold"/>
          <w:i/>
          <w:iCs/>
          <w:szCs w:val="22"/>
        </w:rPr>
        <w:t>Orde</w:t>
      </w:r>
      <w:r w:rsidR="004D0003">
        <w:rPr>
          <w:rFonts w:eastAsia="Times New Roman Bold"/>
          <w:i/>
          <w:iCs/>
          <w:szCs w:val="22"/>
        </w:rPr>
        <w:t>r</w:t>
      </w:r>
      <w:r w:rsidR="00F32394">
        <w:rPr>
          <w:rFonts w:eastAsia="Times New Roman Bold"/>
          <w:i/>
          <w:iCs/>
          <w:szCs w:val="22"/>
        </w:rPr>
        <w:t xml:space="preserve"> </w:t>
      </w:r>
      <w:r w:rsidR="004D0003">
        <w:rPr>
          <w:rFonts w:eastAsia="Times New Roman Bold"/>
          <w:szCs w:val="22"/>
        </w:rPr>
        <w:t xml:space="preserve">and that those requirements </w:t>
      </w:r>
      <w:r w:rsidR="002878BD">
        <w:rPr>
          <w:rFonts w:eastAsia="Times New Roman Bold"/>
          <w:szCs w:val="22"/>
        </w:rPr>
        <w:t xml:space="preserve">are now </w:t>
      </w:r>
      <w:r w:rsidR="004D0003">
        <w:rPr>
          <w:rFonts w:eastAsia="Times New Roman Bold"/>
          <w:szCs w:val="22"/>
        </w:rPr>
        <w:t>effective.</w:t>
      </w:r>
      <w:r>
        <w:rPr>
          <w:rStyle w:val="FootnoteReference"/>
          <w:rFonts w:eastAsia="Times New Roman Bold"/>
          <w:szCs w:val="22"/>
        </w:rPr>
        <w:footnoteReference w:id="3"/>
      </w:r>
    </w:p>
    <w:p w:rsidR="002878BD" w:rsidRPr="00126F68" w:rsidP="002878BD" w14:paraId="55662BA0" w14:textId="094D5DDE">
      <w:pPr>
        <w:spacing w:after="120"/>
        <w:ind w:firstLine="720"/>
        <w:rPr>
          <w:rStyle w:val="Style12pt"/>
          <w:b/>
          <w:bCs/>
          <w:spacing w:val="-2"/>
          <w:szCs w:val="22"/>
        </w:rPr>
      </w:pPr>
      <w:r>
        <w:rPr>
          <w:rStyle w:val="Style12pt"/>
          <w:szCs w:val="22"/>
        </w:rPr>
        <w:t xml:space="preserve">In the </w:t>
      </w:r>
      <w:r w:rsidRPr="0081320B">
        <w:rPr>
          <w:rStyle w:val="Style12pt"/>
          <w:i/>
          <w:iCs/>
          <w:szCs w:val="22"/>
        </w:rPr>
        <w:t>2021 I</w:t>
      </w:r>
      <w:r>
        <w:rPr>
          <w:rStyle w:val="Style12pt"/>
          <w:i/>
          <w:iCs/>
          <w:szCs w:val="22"/>
        </w:rPr>
        <w:t>CS</w:t>
      </w:r>
      <w:r w:rsidRPr="0081320B">
        <w:rPr>
          <w:rStyle w:val="Style12pt"/>
          <w:i/>
          <w:iCs/>
          <w:szCs w:val="22"/>
        </w:rPr>
        <w:t xml:space="preserve"> Order</w:t>
      </w:r>
      <w:r>
        <w:rPr>
          <w:rStyle w:val="Style12pt"/>
          <w:szCs w:val="22"/>
        </w:rPr>
        <w:t>, t</w:t>
      </w:r>
      <w:r w:rsidRPr="00616518">
        <w:rPr>
          <w:rStyle w:val="Style12pt"/>
          <w:szCs w:val="22"/>
        </w:rPr>
        <w:t xml:space="preserve">he Commission </w:t>
      </w:r>
      <w:r w:rsidR="00DE5A22">
        <w:rPr>
          <w:rStyle w:val="Style12pt"/>
          <w:szCs w:val="22"/>
        </w:rPr>
        <w:t xml:space="preserve">adopted certain rules that required </w:t>
      </w:r>
      <w:r w:rsidR="00533689">
        <w:rPr>
          <w:rStyle w:val="Style12pt"/>
          <w:rFonts w:eastAsia="Times New Roman Bold"/>
          <w:szCs w:val="22"/>
        </w:rPr>
        <w:t>approval by the Office of Management and Budget (OMB) under</w:t>
      </w:r>
      <w:r w:rsidRPr="0054075F" w:rsidR="00533689">
        <w:rPr>
          <w:rStyle w:val="Style12pt"/>
          <w:rFonts w:eastAsia="Times New Roman Bold"/>
          <w:szCs w:val="22"/>
        </w:rPr>
        <w:t xml:space="preserve"> the Paperwork Reduction Act of 1995</w:t>
      </w:r>
      <w:r w:rsidR="001825CB">
        <w:rPr>
          <w:rStyle w:val="Style12pt"/>
          <w:rFonts w:eastAsia="Times New Roman Bold"/>
          <w:szCs w:val="22"/>
        </w:rPr>
        <w:t xml:space="preserve"> (PRA)</w:t>
      </w:r>
      <w:r w:rsidR="00533689">
        <w:rPr>
          <w:rStyle w:val="Style12pt"/>
          <w:rFonts w:eastAsia="Times New Roman Bold"/>
          <w:szCs w:val="22"/>
        </w:rPr>
        <w:t xml:space="preserve">.  The Commission </w:t>
      </w:r>
      <w:r w:rsidRPr="00616518">
        <w:rPr>
          <w:spacing w:val="-2"/>
          <w:szCs w:val="22"/>
        </w:rPr>
        <w:t xml:space="preserve">stated </w:t>
      </w:r>
      <w:r>
        <w:rPr>
          <w:spacing w:val="-2"/>
          <w:szCs w:val="22"/>
        </w:rPr>
        <w:t>that the</w:t>
      </w:r>
      <w:r w:rsidR="00533689">
        <w:rPr>
          <w:spacing w:val="-2"/>
          <w:szCs w:val="22"/>
        </w:rPr>
        <w:t>se</w:t>
      </w:r>
      <w:r w:rsidRPr="00616518">
        <w:rPr>
          <w:spacing w:val="-2"/>
          <w:szCs w:val="22"/>
        </w:rPr>
        <w:t xml:space="preserve"> rules</w:t>
      </w:r>
      <w:r w:rsidR="00A40C54">
        <w:rPr>
          <w:spacing w:val="-2"/>
          <w:szCs w:val="22"/>
        </w:rPr>
        <w:t xml:space="preserve">—section 64.6110, </w:t>
      </w:r>
      <w:r w:rsidR="00533689">
        <w:rPr>
          <w:spacing w:val="-2"/>
          <w:szCs w:val="22"/>
        </w:rPr>
        <w:t xml:space="preserve">which </w:t>
      </w:r>
      <w:r w:rsidR="006D615E">
        <w:rPr>
          <w:rStyle w:val="Style12pt"/>
          <w:szCs w:val="22"/>
        </w:rPr>
        <w:t>govern</w:t>
      </w:r>
      <w:r w:rsidR="00A40C54">
        <w:rPr>
          <w:rStyle w:val="Style12pt"/>
          <w:szCs w:val="22"/>
        </w:rPr>
        <w:t>s</w:t>
      </w:r>
      <w:r w:rsidR="006D615E">
        <w:rPr>
          <w:rStyle w:val="Style12pt"/>
          <w:szCs w:val="22"/>
        </w:rPr>
        <w:t xml:space="preserve"> the disclosure of certain rate-related information to consumers of</w:t>
      </w:r>
      <w:r w:rsidR="00533689">
        <w:rPr>
          <w:rStyle w:val="Style12pt"/>
          <w:szCs w:val="22"/>
        </w:rPr>
        <w:t xml:space="preserve"> </w:t>
      </w:r>
      <w:r w:rsidR="00533689">
        <w:rPr>
          <w:rStyle w:val="Style12pt"/>
          <w:rFonts w:eastAsia="Times New Roman Bold"/>
          <w:szCs w:val="22"/>
        </w:rPr>
        <w:t>inmate calling services (ICS)</w:t>
      </w:r>
      <w:r>
        <w:rPr>
          <w:rStyle w:val="FootnoteReference"/>
          <w:rFonts w:eastAsia="Times New Roman Bold"/>
          <w:szCs w:val="22"/>
        </w:rPr>
        <w:footnoteReference w:id="4"/>
      </w:r>
      <w:r w:rsidR="00533689">
        <w:rPr>
          <w:rStyle w:val="Style12pt"/>
          <w:rFonts w:eastAsia="Times New Roman Bold"/>
          <w:szCs w:val="22"/>
        </w:rPr>
        <w:t xml:space="preserve"> </w:t>
      </w:r>
      <w:r w:rsidR="00533689">
        <w:rPr>
          <w:rStyle w:val="Style12pt"/>
          <w:szCs w:val="22"/>
        </w:rPr>
        <w:t xml:space="preserve">and </w:t>
      </w:r>
      <w:r w:rsidR="00A40C54">
        <w:rPr>
          <w:rStyle w:val="Style12pt"/>
          <w:szCs w:val="22"/>
        </w:rPr>
        <w:t xml:space="preserve">section 64.6120, which </w:t>
      </w:r>
      <w:r w:rsidR="00533689">
        <w:rPr>
          <w:rStyle w:val="Style12pt"/>
          <w:szCs w:val="22"/>
        </w:rPr>
        <w:t>set</w:t>
      </w:r>
      <w:r w:rsidR="00A40C54">
        <w:rPr>
          <w:rStyle w:val="Style12pt"/>
          <w:szCs w:val="22"/>
        </w:rPr>
        <w:t>s</w:t>
      </w:r>
      <w:r w:rsidR="00533689">
        <w:rPr>
          <w:rStyle w:val="Style12pt"/>
          <w:szCs w:val="22"/>
        </w:rPr>
        <w:t xml:space="preserve"> forth </w:t>
      </w:r>
      <w:r w:rsidR="00533689">
        <w:rPr>
          <w:rStyle w:val="Style12pt"/>
          <w:rFonts w:eastAsia="Times New Roman Bold"/>
          <w:szCs w:val="22"/>
        </w:rPr>
        <w:t xml:space="preserve">requirements for </w:t>
      </w:r>
      <w:r w:rsidR="006D615E">
        <w:rPr>
          <w:rStyle w:val="Style12pt"/>
          <w:rFonts w:eastAsia="Times New Roman Bold"/>
          <w:szCs w:val="22"/>
        </w:rPr>
        <w:t>request for</w:t>
      </w:r>
      <w:r w:rsidR="00533689">
        <w:rPr>
          <w:rStyle w:val="Style12pt"/>
          <w:rFonts w:eastAsia="Times New Roman Bold"/>
          <w:szCs w:val="22"/>
        </w:rPr>
        <w:t xml:space="preserve"> waiver of the Commission’s caps on interstate and international rates and ancillary services charges</w:t>
      </w:r>
      <w:r w:rsidR="00A40C54">
        <w:rPr>
          <w:rStyle w:val="Style12pt"/>
          <w:rFonts w:eastAsia="Times New Roman Bold"/>
          <w:szCs w:val="22"/>
        </w:rPr>
        <w:t>—</w:t>
      </w:r>
      <w:r w:rsidRPr="00616518">
        <w:rPr>
          <w:spacing w:val="-2"/>
          <w:szCs w:val="22"/>
        </w:rPr>
        <w:t xml:space="preserve">would become effective </w:t>
      </w:r>
      <w:r w:rsidRPr="00616518">
        <w:rPr>
          <w:rStyle w:val="Style12pt"/>
          <w:szCs w:val="22"/>
        </w:rPr>
        <w:t xml:space="preserve">after publication of a notice in the </w:t>
      </w:r>
      <w:r w:rsidRPr="00616518">
        <w:rPr>
          <w:i/>
          <w:iCs/>
          <w:szCs w:val="22"/>
        </w:rPr>
        <w:t>Federal Register</w:t>
      </w:r>
      <w:r w:rsidRPr="00616518">
        <w:rPr>
          <w:rStyle w:val="Style12pt"/>
          <w:szCs w:val="22"/>
        </w:rPr>
        <w:t xml:space="preserve"> </w:t>
      </w:r>
      <w:r w:rsidRPr="00616518">
        <w:rPr>
          <w:rStyle w:val="Hyperlink"/>
          <w:color w:val="auto"/>
          <w:szCs w:val="22"/>
          <w:u w:val="none"/>
        </w:rPr>
        <w:t>announcing</w:t>
      </w:r>
      <w:r w:rsidRPr="00616518">
        <w:rPr>
          <w:rStyle w:val="Style12pt"/>
          <w:szCs w:val="22"/>
        </w:rPr>
        <w:t xml:space="preserve"> OMB approval and </w:t>
      </w:r>
      <w:r>
        <w:rPr>
          <w:rStyle w:val="Style12pt"/>
          <w:szCs w:val="22"/>
        </w:rPr>
        <w:t xml:space="preserve">establishing </w:t>
      </w:r>
      <w:r w:rsidRPr="00616518">
        <w:rPr>
          <w:rStyle w:val="Style12pt"/>
          <w:szCs w:val="22"/>
        </w:rPr>
        <w:t>the relevant effective date.</w:t>
      </w:r>
      <w:r>
        <w:rPr>
          <w:rStyle w:val="FootnoteReference"/>
          <w:szCs w:val="22"/>
        </w:rPr>
        <w:footnoteReference w:id="5"/>
      </w:r>
      <w:r w:rsidRPr="00616518">
        <w:rPr>
          <w:rStyle w:val="Style12pt"/>
          <w:szCs w:val="22"/>
        </w:rPr>
        <w:t xml:space="preserve">  </w:t>
      </w:r>
      <w:r w:rsidRPr="0054075F" w:rsidR="001825CB">
        <w:rPr>
          <w:rStyle w:val="Style12pt"/>
          <w:rFonts w:eastAsia="Times New Roman Bold"/>
          <w:szCs w:val="22"/>
        </w:rPr>
        <w:t xml:space="preserve">The information collection was submitted to OMB for review under </w:t>
      </w:r>
      <w:r w:rsidR="001825CB">
        <w:rPr>
          <w:rStyle w:val="Style12pt"/>
          <w:rFonts w:eastAsia="Times New Roman Bold"/>
          <w:szCs w:val="22"/>
        </w:rPr>
        <w:t>the PRA</w:t>
      </w:r>
      <w:r w:rsidRPr="0054075F" w:rsidR="001825CB">
        <w:rPr>
          <w:rStyle w:val="Style12pt"/>
          <w:rFonts w:eastAsia="Times New Roman Bold"/>
          <w:szCs w:val="22"/>
        </w:rPr>
        <w:t xml:space="preserve"> and was approved by OMB on January 24, 2022.</w:t>
      </w:r>
      <w:r>
        <w:rPr>
          <w:rStyle w:val="FootnoteReference"/>
          <w:rFonts w:eastAsia="Times New Roman Bold"/>
          <w:szCs w:val="22"/>
        </w:rPr>
        <w:footnoteReference w:id="6"/>
      </w:r>
      <w:r w:rsidR="001825CB">
        <w:rPr>
          <w:rStyle w:val="Style12pt"/>
          <w:rFonts w:eastAsia="Times New Roman Bold"/>
          <w:szCs w:val="22"/>
        </w:rPr>
        <w:t xml:space="preserve">  </w:t>
      </w:r>
      <w:r w:rsidRPr="00616518">
        <w:rPr>
          <w:rStyle w:val="Style12pt"/>
          <w:szCs w:val="22"/>
        </w:rPr>
        <w:t>On</w:t>
      </w:r>
      <w:r>
        <w:rPr>
          <w:rStyle w:val="Style12pt"/>
          <w:szCs w:val="22"/>
        </w:rPr>
        <w:t xml:space="preserve"> February 11, 2022</w:t>
      </w:r>
      <w:r w:rsidRPr="00616518">
        <w:rPr>
          <w:rStyle w:val="Style12pt"/>
          <w:szCs w:val="22"/>
        </w:rPr>
        <w:t xml:space="preserve">, </w:t>
      </w:r>
      <w:r>
        <w:rPr>
          <w:rStyle w:val="Style12pt"/>
          <w:szCs w:val="22"/>
        </w:rPr>
        <w:t xml:space="preserve">the </w:t>
      </w:r>
      <w:r w:rsidRPr="00F32394">
        <w:rPr>
          <w:szCs w:val="22"/>
        </w:rPr>
        <w:t>Federal Register</w:t>
      </w:r>
      <w:r>
        <w:rPr>
          <w:szCs w:val="22"/>
        </w:rPr>
        <w:t xml:space="preserve"> published a notice</w:t>
      </w:r>
      <w:r w:rsidRPr="00616518">
        <w:rPr>
          <w:rStyle w:val="Style12pt"/>
          <w:szCs w:val="22"/>
        </w:rPr>
        <w:t xml:space="preserve"> announcing </w:t>
      </w:r>
      <w:r>
        <w:rPr>
          <w:rStyle w:val="Style12pt"/>
          <w:szCs w:val="22"/>
        </w:rPr>
        <w:t xml:space="preserve">OMB’s approval and establishing an </w:t>
      </w:r>
      <w:r w:rsidRPr="00616518">
        <w:rPr>
          <w:rStyle w:val="Style12pt"/>
          <w:szCs w:val="22"/>
        </w:rPr>
        <w:t>effective date</w:t>
      </w:r>
      <w:r>
        <w:rPr>
          <w:rStyle w:val="Style12pt"/>
          <w:szCs w:val="22"/>
        </w:rPr>
        <w:t xml:space="preserve"> of February 11, 2022</w:t>
      </w:r>
      <w:r w:rsidRPr="00616518">
        <w:rPr>
          <w:rStyle w:val="Style12pt"/>
          <w:szCs w:val="22"/>
        </w:rPr>
        <w:t>.</w:t>
      </w:r>
      <w:r>
        <w:rPr>
          <w:rStyle w:val="FootnoteReference"/>
          <w:szCs w:val="22"/>
        </w:rPr>
        <w:footnoteReference w:id="7"/>
      </w:r>
      <w:r w:rsidRPr="00616518">
        <w:rPr>
          <w:rStyle w:val="Style12pt"/>
          <w:szCs w:val="22"/>
        </w:rPr>
        <w:t xml:space="preserve">  </w:t>
      </w:r>
      <w:r w:rsidRPr="00616518">
        <w:rPr>
          <w:spacing w:val="-2"/>
          <w:szCs w:val="22"/>
        </w:rPr>
        <w:t xml:space="preserve">Accordingly, the </w:t>
      </w:r>
      <w:r w:rsidR="006D615E">
        <w:rPr>
          <w:spacing w:val="-2"/>
          <w:szCs w:val="22"/>
        </w:rPr>
        <w:t xml:space="preserve">consumer disclosure </w:t>
      </w:r>
      <w:r w:rsidR="001825CB">
        <w:rPr>
          <w:spacing w:val="-2"/>
          <w:szCs w:val="22"/>
        </w:rPr>
        <w:t>and</w:t>
      </w:r>
      <w:r w:rsidR="006D615E">
        <w:rPr>
          <w:spacing w:val="-2"/>
          <w:szCs w:val="22"/>
        </w:rPr>
        <w:t xml:space="preserve"> waiver request rules adopted in the </w:t>
      </w:r>
      <w:r w:rsidRPr="0081320B" w:rsidR="006D615E">
        <w:rPr>
          <w:rStyle w:val="Style12pt"/>
          <w:i/>
          <w:iCs/>
          <w:szCs w:val="22"/>
        </w:rPr>
        <w:t>2021 I</w:t>
      </w:r>
      <w:r w:rsidR="006D615E">
        <w:rPr>
          <w:rStyle w:val="Style12pt"/>
          <w:i/>
          <w:iCs/>
          <w:szCs w:val="22"/>
        </w:rPr>
        <w:t>CS</w:t>
      </w:r>
      <w:r w:rsidRPr="0081320B" w:rsidR="006D615E">
        <w:rPr>
          <w:rStyle w:val="Style12pt"/>
          <w:i/>
          <w:iCs/>
          <w:szCs w:val="22"/>
        </w:rPr>
        <w:t xml:space="preserve"> Order</w:t>
      </w:r>
      <w:r w:rsidR="006D615E">
        <w:rPr>
          <w:rStyle w:val="Style12pt"/>
          <w:i/>
          <w:iCs/>
          <w:szCs w:val="22"/>
        </w:rPr>
        <w:t xml:space="preserve"> </w:t>
      </w:r>
      <w:r w:rsidR="006D615E">
        <w:t>are now effective</w:t>
      </w:r>
      <w:r w:rsidRPr="007E4FE7">
        <w:rPr>
          <w:spacing w:val="-2"/>
          <w:szCs w:val="22"/>
        </w:rPr>
        <w:t>.</w:t>
      </w:r>
    </w:p>
    <w:p w:rsidR="0054075F" w:rsidP="00C07DF1" w14:paraId="3BBB1998" w14:textId="28AD37AB">
      <w:pPr>
        <w:widowControl/>
        <w:spacing w:after="120"/>
        <w:ind w:firstLine="720"/>
        <w:rPr>
          <w:rStyle w:val="Style12pt"/>
          <w:rFonts w:eastAsia="Times New Roman Bold"/>
          <w:szCs w:val="22"/>
        </w:rPr>
      </w:pPr>
      <w:r>
        <w:rPr>
          <w:rStyle w:val="Style12pt"/>
          <w:rFonts w:eastAsia="Times New Roman Bold"/>
          <w:szCs w:val="22"/>
        </w:rPr>
        <w:t>We note that the rules adopted in t</w:t>
      </w:r>
      <w:r w:rsidR="00635E06">
        <w:rPr>
          <w:rStyle w:val="Style12pt"/>
          <w:rFonts w:eastAsia="Times New Roman Bold"/>
          <w:szCs w:val="22"/>
        </w:rPr>
        <w:t xml:space="preserve">he </w:t>
      </w:r>
      <w:bookmarkStart w:id="0" w:name="_Hlk95222341"/>
      <w:bookmarkStart w:id="1" w:name="_Hlk95220201"/>
      <w:r w:rsidRPr="00616518" w:rsidR="00CD15B9">
        <w:rPr>
          <w:rFonts w:eastAsia="Times New Roman Bold"/>
          <w:i/>
          <w:iCs/>
          <w:szCs w:val="22"/>
        </w:rPr>
        <w:t>202</w:t>
      </w:r>
      <w:r w:rsidR="009A3FE9">
        <w:rPr>
          <w:rFonts w:eastAsia="Times New Roman Bold"/>
          <w:i/>
          <w:iCs/>
          <w:szCs w:val="22"/>
        </w:rPr>
        <w:t>I</w:t>
      </w:r>
      <w:r w:rsidR="00C0594F">
        <w:rPr>
          <w:rFonts w:eastAsia="Times New Roman Bold"/>
          <w:i/>
          <w:iCs/>
          <w:szCs w:val="22"/>
        </w:rPr>
        <w:t xml:space="preserve"> I</w:t>
      </w:r>
      <w:r w:rsidR="009A3FE9">
        <w:rPr>
          <w:rFonts w:eastAsia="Times New Roman Bold"/>
          <w:i/>
          <w:iCs/>
          <w:szCs w:val="22"/>
        </w:rPr>
        <w:t xml:space="preserve">CS </w:t>
      </w:r>
      <w:r w:rsidRPr="003302EA" w:rsidR="003302EA">
        <w:rPr>
          <w:rFonts w:eastAsia="Times New Roman Bold"/>
          <w:i/>
          <w:iCs/>
          <w:szCs w:val="22"/>
        </w:rPr>
        <w:t>Orde</w:t>
      </w:r>
      <w:bookmarkEnd w:id="0"/>
      <w:r w:rsidR="002939B5">
        <w:rPr>
          <w:rFonts w:eastAsia="Times New Roman Bold"/>
          <w:i/>
          <w:iCs/>
          <w:szCs w:val="22"/>
        </w:rPr>
        <w:t>r</w:t>
      </w:r>
      <w:r w:rsidR="006A1474">
        <w:rPr>
          <w:rFonts w:eastAsia="Times New Roman Bold"/>
          <w:i/>
          <w:iCs/>
          <w:szCs w:val="22"/>
        </w:rPr>
        <w:t xml:space="preserve"> </w:t>
      </w:r>
      <w:r w:rsidR="006A1474">
        <w:rPr>
          <w:rFonts w:eastAsia="Times New Roman Bold"/>
          <w:szCs w:val="22"/>
        </w:rPr>
        <w:t xml:space="preserve">that did not require OMB approval </w:t>
      </w:r>
      <w:r w:rsidR="00504CEC">
        <w:rPr>
          <w:rFonts w:eastAsia="Times New Roman Bold"/>
          <w:szCs w:val="22"/>
        </w:rPr>
        <w:t xml:space="preserve">under </w:t>
      </w:r>
      <w:r w:rsidR="006A1474">
        <w:rPr>
          <w:rFonts w:eastAsia="Times New Roman Bold"/>
          <w:szCs w:val="22"/>
        </w:rPr>
        <w:t xml:space="preserve">the PRA </w:t>
      </w:r>
      <w:bookmarkEnd w:id="1"/>
      <w:r>
        <w:rPr>
          <w:rStyle w:val="Style12pt"/>
          <w:rFonts w:eastAsia="Times New Roman Bold"/>
          <w:szCs w:val="22"/>
        </w:rPr>
        <w:t>became effective October 26, 2021</w:t>
      </w:r>
      <w:r w:rsidR="00DC0EC3">
        <w:rPr>
          <w:rStyle w:val="Style12pt"/>
          <w:rFonts w:eastAsia="Times New Roman Bold"/>
          <w:szCs w:val="22"/>
        </w:rPr>
        <w:t xml:space="preserve">, 90 days after </w:t>
      </w:r>
      <w:r w:rsidR="003C4587">
        <w:rPr>
          <w:rStyle w:val="Style12pt"/>
          <w:rFonts w:eastAsia="Times New Roman Bold"/>
          <w:szCs w:val="22"/>
        </w:rPr>
        <w:t xml:space="preserve">publication of the </w:t>
      </w:r>
      <w:r w:rsidRPr="003C4587" w:rsidR="003C4587">
        <w:rPr>
          <w:rStyle w:val="Style12pt"/>
          <w:rFonts w:eastAsia="Times New Roman Bold"/>
          <w:i/>
          <w:iCs/>
          <w:szCs w:val="22"/>
        </w:rPr>
        <w:t>2021 ICS Order</w:t>
      </w:r>
      <w:r w:rsidR="003C4587">
        <w:rPr>
          <w:rStyle w:val="Style12pt"/>
          <w:rFonts w:eastAsia="Times New Roman Bold"/>
          <w:szCs w:val="22"/>
        </w:rPr>
        <w:t xml:space="preserve"> in the Federal Register</w:t>
      </w:r>
      <w:r w:rsidR="001C61D5">
        <w:rPr>
          <w:rStyle w:val="Style12pt"/>
          <w:rFonts w:eastAsia="Times New Roman Bold"/>
          <w:szCs w:val="22"/>
        </w:rPr>
        <w:t>.</w:t>
      </w:r>
      <w:r>
        <w:rPr>
          <w:rStyle w:val="FootnoteReference"/>
          <w:rFonts w:eastAsia="Times New Roman Bold"/>
          <w:szCs w:val="22"/>
        </w:rPr>
        <w:footnoteReference w:id="8"/>
      </w:r>
      <w:r w:rsidR="001C61D5">
        <w:rPr>
          <w:rStyle w:val="Style12pt"/>
          <w:rFonts w:eastAsia="Times New Roman Bold"/>
          <w:szCs w:val="22"/>
        </w:rPr>
        <w:t xml:space="preserve"> </w:t>
      </w:r>
      <w:r w:rsidR="004D0003">
        <w:rPr>
          <w:rStyle w:val="Style12pt"/>
          <w:rFonts w:eastAsia="Times New Roman Bold"/>
          <w:szCs w:val="22"/>
        </w:rPr>
        <w:t xml:space="preserve"> </w:t>
      </w:r>
      <w:r w:rsidR="006A1474">
        <w:rPr>
          <w:rStyle w:val="Style12pt"/>
          <w:rFonts w:eastAsia="Times New Roman Bold"/>
          <w:szCs w:val="22"/>
        </w:rPr>
        <w:t xml:space="preserve">These rules include the lower interim rate caps for interstate calls, new interim rate caps for international calls, and a rate cap structure that requires ICS providers to differentiate between </w:t>
      </w:r>
      <w:r w:rsidR="006A1474">
        <w:rPr>
          <w:rStyle w:val="Style12pt"/>
          <w:rFonts w:eastAsia="Times New Roman Bold"/>
          <w:szCs w:val="22"/>
        </w:rPr>
        <w:t>legally-mandated and contractually-prescribed site commissions.</w:t>
      </w:r>
    </w:p>
    <w:p w:rsidR="003302EA" w:rsidP="003302EA" w14:paraId="377C4377" w14:textId="1ADE568E">
      <w:pPr>
        <w:spacing w:after="120"/>
        <w:ind w:firstLine="720"/>
        <w:rPr>
          <w:rStyle w:val="Style12pt"/>
          <w:rFonts w:eastAsia="Times New Roman Bold"/>
          <w:szCs w:val="22"/>
        </w:rPr>
      </w:pPr>
      <w:r w:rsidRPr="00616518">
        <w:rPr>
          <w:rStyle w:val="Style12pt"/>
          <w:rFonts w:eastAsia="Times New Roman Bold"/>
          <w:szCs w:val="22"/>
        </w:rPr>
        <w:t>For</w:t>
      </w:r>
      <w:r w:rsidR="0028419F">
        <w:rPr>
          <w:rStyle w:val="Style12pt"/>
          <w:rFonts w:eastAsia="Times New Roman Bold"/>
          <w:szCs w:val="22"/>
        </w:rPr>
        <w:t xml:space="preserve"> </w:t>
      </w:r>
      <w:r w:rsidR="00DE783B">
        <w:rPr>
          <w:rStyle w:val="Style12pt"/>
          <w:rFonts w:eastAsia="Times New Roman Bold"/>
          <w:szCs w:val="22"/>
        </w:rPr>
        <w:t xml:space="preserve">additional </w:t>
      </w:r>
      <w:r w:rsidR="0028419F">
        <w:rPr>
          <w:rStyle w:val="Style12pt"/>
          <w:rFonts w:eastAsia="Times New Roman Bold"/>
          <w:szCs w:val="22"/>
        </w:rPr>
        <w:t xml:space="preserve">information regarding this </w:t>
      </w:r>
      <w:r w:rsidR="001825CB">
        <w:rPr>
          <w:rStyle w:val="Style12pt"/>
          <w:rFonts w:eastAsia="Times New Roman Bold"/>
          <w:szCs w:val="22"/>
        </w:rPr>
        <w:t>matter</w:t>
      </w:r>
      <w:r w:rsidR="0028419F">
        <w:rPr>
          <w:rStyle w:val="Style12pt"/>
          <w:rFonts w:eastAsia="Times New Roman Bold"/>
          <w:szCs w:val="22"/>
        </w:rPr>
        <w:t>, contac</w:t>
      </w:r>
      <w:r w:rsidR="00F32394">
        <w:rPr>
          <w:rStyle w:val="Style12pt"/>
          <w:rFonts w:eastAsia="Times New Roman Bold"/>
          <w:szCs w:val="22"/>
        </w:rPr>
        <w:t>t Amy Goodman,</w:t>
      </w:r>
      <w:r>
        <w:rPr>
          <w:rStyle w:val="Style12pt"/>
          <w:rFonts w:eastAsia="Times New Roman Bold"/>
          <w:szCs w:val="22"/>
        </w:rPr>
        <w:t xml:space="preserve"> </w:t>
      </w:r>
      <w:r>
        <w:rPr>
          <w:rStyle w:val="Style12pt"/>
          <w:rFonts w:eastAsia="Times New Roman Bold"/>
          <w:szCs w:val="22"/>
        </w:rPr>
        <w:t xml:space="preserve">Pricing Policy Division, </w:t>
      </w:r>
      <w:r>
        <w:rPr>
          <w:rStyle w:val="Style12pt"/>
          <w:rFonts w:eastAsia="Times New Roman Bold"/>
          <w:szCs w:val="22"/>
        </w:rPr>
        <w:t>Wireline Competition Bureau</w:t>
      </w:r>
      <w:r>
        <w:rPr>
          <w:rStyle w:val="Style12pt"/>
          <w:rFonts w:eastAsia="Times New Roman Bold"/>
          <w:szCs w:val="22"/>
        </w:rPr>
        <w:t>, (202) 418-15</w:t>
      </w:r>
      <w:r w:rsidR="00F32394">
        <w:rPr>
          <w:rStyle w:val="Style12pt"/>
          <w:rFonts w:eastAsia="Times New Roman Bold"/>
          <w:szCs w:val="22"/>
        </w:rPr>
        <w:t>49</w:t>
      </w:r>
      <w:r>
        <w:rPr>
          <w:rStyle w:val="Style12pt"/>
          <w:rFonts w:eastAsia="Times New Roman Bold"/>
          <w:szCs w:val="22"/>
        </w:rPr>
        <w:t xml:space="preserve">, or email </w:t>
      </w:r>
      <w:hyperlink r:id="rId5" w:history="1">
        <w:r w:rsidR="00C07DF1">
          <w:rPr>
            <w:rStyle w:val="Hyperlink"/>
            <w:rFonts w:eastAsia="Times New Roman Bold"/>
            <w:szCs w:val="22"/>
          </w:rPr>
          <w:t>Amy.Goodman@</w:t>
        </w:r>
        <w:r w:rsidR="00C07DF1">
          <w:rPr>
            <w:rStyle w:val="Hyperlink"/>
            <w:rFonts w:eastAsia="Times New Roman Bold"/>
            <w:szCs w:val="22"/>
          </w:rPr>
          <w:t>fcc.gov</w:t>
        </w:r>
      </w:hyperlink>
      <w:r>
        <w:rPr>
          <w:rStyle w:val="Style12pt"/>
          <w:rFonts w:eastAsia="Times New Roman Bold"/>
          <w:szCs w:val="22"/>
        </w:rPr>
        <w:t>.</w:t>
      </w:r>
    </w:p>
    <w:p w:rsidR="00616518" w:rsidRPr="00616518" w:rsidP="003302EA" w14:paraId="51302EA5" w14:textId="4E51E99E">
      <w:pPr>
        <w:spacing w:after="120"/>
        <w:ind w:firstLine="720"/>
        <w:rPr>
          <w:rStyle w:val="Hyperlink"/>
          <w:rFonts w:eastAsia="Times New Roman Bold"/>
          <w:color w:val="auto"/>
          <w:szCs w:val="22"/>
          <w:u w:val="none"/>
        </w:rPr>
      </w:pPr>
      <w:r>
        <w:rPr>
          <w:rStyle w:val="Style12pt"/>
          <w:rFonts w:eastAsia="Times New Roman Bold"/>
          <w:szCs w:val="22"/>
        </w:rPr>
        <w:t xml:space="preserve"> </w:t>
      </w:r>
    </w:p>
    <w:p w:rsidR="008733D5" w:rsidP="008733D5" w14:paraId="538BFEED" w14:textId="478D449C">
      <w:pPr>
        <w:spacing w:after="120"/>
        <w:jc w:val="center"/>
      </w:pPr>
      <w:r>
        <w:rPr>
          <w:rStyle w:val="Hyperlink"/>
          <w:rFonts w:eastAsia="Times New Roman Bold"/>
          <w:b/>
          <w:bCs/>
          <w:color w:val="auto"/>
          <w:szCs w:val="22"/>
          <w:u w:val="none"/>
        </w:rPr>
        <w:t>- FCC -</w:t>
      </w:r>
      <w:r>
        <w:rPr>
          <w:b/>
          <w:bCs/>
          <w:sz w:val="24"/>
        </w:rPr>
        <w:t xml:space="preserve"> </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355A5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4C79" w14:paraId="65CC85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2D47C2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35E3523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220D" w14:paraId="14FA9FB6" w14:textId="77777777">
      <w:r>
        <w:separator/>
      </w:r>
    </w:p>
  </w:footnote>
  <w:footnote w:type="continuationSeparator" w:id="1">
    <w:p w:rsidR="00C2220D" w14:paraId="0BEAE0D0" w14:textId="77777777">
      <w:pPr>
        <w:rPr>
          <w:sz w:val="20"/>
        </w:rPr>
      </w:pPr>
      <w:r>
        <w:rPr>
          <w:sz w:val="20"/>
        </w:rPr>
        <w:t xml:space="preserve">(Continued from previous page)  </w:t>
      </w:r>
      <w:r>
        <w:rPr>
          <w:sz w:val="20"/>
        </w:rPr>
        <w:separator/>
      </w:r>
    </w:p>
  </w:footnote>
  <w:footnote w:type="continuationNotice" w:id="2">
    <w:p w:rsidR="00C2220D" w14:paraId="5FFEF303" w14:textId="77777777">
      <w:pPr>
        <w:jc w:val="right"/>
        <w:rPr>
          <w:sz w:val="20"/>
        </w:rPr>
      </w:pPr>
      <w:r>
        <w:rPr>
          <w:sz w:val="20"/>
        </w:rPr>
        <w:t>(continued….)</w:t>
      </w:r>
    </w:p>
  </w:footnote>
  <w:footnote w:id="3">
    <w:p w:rsidR="004D0003" w14:paraId="7B71FE1F" w14:textId="0E043394">
      <w:pPr>
        <w:pStyle w:val="FootnoteText"/>
      </w:pPr>
      <w:r>
        <w:rPr>
          <w:rStyle w:val="FootnoteReference"/>
        </w:rPr>
        <w:footnoteRef/>
      </w:r>
      <w:r>
        <w:t xml:space="preserve"> </w:t>
      </w:r>
      <w:r w:rsidRPr="00C0594F" w:rsidR="00957DC8">
        <w:rPr>
          <w:i/>
          <w:iCs/>
        </w:rPr>
        <w:t>Rates for Interstate Inmate Calling Services</w:t>
      </w:r>
      <w:r w:rsidRPr="00C0594F" w:rsidR="00957DC8">
        <w:t>, WC Docket No. 12-375, Third Report and Order, Order on Reconsideration, and Fifth Further Notice of Proposed Rulemaking, 36 FCC Rcd 9519 (2021) (</w:t>
      </w:r>
      <w:r w:rsidRPr="00C0594F" w:rsidR="00957DC8">
        <w:rPr>
          <w:i/>
          <w:iCs/>
        </w:rPr>
        <w:t>2021 ICS Order</w:t>
      </w:r>
      <w:r w:rsidRPr="00C0594F" w:rsidR="00957DC8">
        <w:t>)</w:t>
      </w:r>
      <w:r w:rsidR="00957DC8">
        <w:t>;</w:t>
      </w:r>
      <w:r w:rsidR="00F32394">
        <w:t xml:space="preserve"> </w:t>
      </w:r>
      <w:r w:rsidR="007E4FE7">
        <w:t xml:space="preserve">Federal Communications Commission, </w:t>
      </w:r>
      <w:r w:rsidRPr="00C0594F" w:rsidR="007E4FE7">
        <w:rPr>
          <w:i/>
          <w:iCs/>
        </w:rPr>
        <w:t>Rates for Interstate Inmate Calling Services</w:t>
      </w:r>
      <w:r w:rsidR="007E4FE7">
        <w:t xml:space="preserve">, 86 Fed. </w:t>
      </w:r>
      <w:r w:rsidRPr="00A6025A" w:rsidR="007E4FE7">
        <w:t xml:space="preserve">Reg. </w:t>
      </w:r>
      <w:r w:rsidRPr="00A6025A" w:rsidR="00A6025A">
        <w:t xml:space="preserve">7955 </w:t>
      </w:r>
      <w:r w:rsidRPr="00A6025A" w:rsidR="007E4FE7">
        <w:t>(Feb</w:t>
      </w:r>
      <w:r w:rsidR="007E4FE7">
        <w:t>. 11, 2022)</w:t>
      </w:r>
      <w:r w:rsidR="00A142FF">
        <w:t xml:space="preserve"> (</w:t>
      </w:r>
      <w:r w:rsidR="00A142FF">
        <w:rPr>
          <w:i/>
          <w:iCs/>
        </w:rPr>
        <w:t>ICS Effective Date Notice</w:t>
      </w:r>
      <w:r w:rsidR="00A142FF">
        <w:t>).</w:t>
      </w:r>
    </w:p>
  </w:footnote>
  <w:footnote w:id="4">
    <w:p w:rsidR="00504CEC" w14:paraId="79170F99" w14:textId="15460D53">
      <w:pPr>
        <w:pStyle w:val="FootnoteText"/>
      </w:pPr>
      <w:r>
        <w:rPr>
          <w:rStyle w:val="FootnoteReference"/>
        </w:rPr>
        <w:footnoteRef/>
      </w:r>
      <w:r>
        <w:t xml:space="preserve"> </w:t>
      </w:r>
      <w:r w:rsidR="004224EA">
        <w:t xml:space="preserve">Specifically, the Commission required that providers disclose as separate line items on any consumer bills the site commission charges in connection with the consumer’s calls as well as whether the provider’s obligation to pay site commissions is mandated by a state statute, law, or regulation, among other information.  </w:t>
      </w:r>
    </w:p>
  </w:footnote>
  <w:footnote w:id="5">
    <w:p w:rsidR="002878BD" w:rsidP="002878BD" w14:paraId="4BA47F40" w14:textId="77777777">
      <w:pPr>
        <w:pStyle w:val="FootnoteText"/>
      </w:pPr>
      <w:r>
        <w:rPr>
          <w:rStyle w:val="FootnoteReference"/>
        </w:rPr>
        <w:footnoteRef/>
      </w:r>
      <w:r>
        <w:t xml:space="preserve"> </w:t>
      </w:r>
      <w:r>
        <w:rPr>
          <w:i/>
        </w:rPr>
        <w:t>See</w:t>
      </w:r>
      <w:r>
        <w:t xml:space="preserve"> </w:t>
      </w:r>
      <w:r>
        <w:rPr>
          <w:i/>
          <w:iCs/>
        </w:rPr>
        <w:t xml:space="preserve">2021 ICS </w:t>
      </w:r>
      <w:r>
        <w:rPr>
          <w:i/>
        </w:rPr>
        <w:t>Order</w:t>
      </w:r>
      <w:r>
        <w:rPr>
          <w:iCs/>
        </w:rPr>
        <w:t>, 36 FCC Rcd at 9681, para. 377.</w:t>
      </w:r>
    </w:p>
  </w:footnote>
  <w:footnote w:id="6">
    <w:p w:rsidR="001825CB" w:rsidP="001825CB" w14:paraId="7FFA5F50" w14:textId="77777777">
      <w:pPr>
        <w:pStyle w:val="FootnoteText"/>
      </w:pPr>
      <w:r>
        <w:rPr>
          <w:rStyle w:val="FootnoteReference"/>
        </w:rPr>
        <w:footnoteRef/>
      </w:r>
      <w:r>
        <w:t xml:space="preserve"> </w:t>
      </w:r>
      <w:r w:rsidRPr="00AE12B3">
        <w:rPr>
          <w:i/>
          <w:iCs/>
        </w:rPr>
        <w:t>See</w:t>
      </w:r>
      <w:r w:rsidRPr="00AE12B3">
        <w:t xml:space="preserve"> Notice of Office of Management and Budget Action for OMB Control No. 3060-1222 (approved Jan. 24, 2022)</w:t>
      </w:r>
      <w:r>
        <w:t>.</w:t>
      </w:r>
    </w:p>
  </w:footnote>
  <w:footnote w:id="7">
    <w:p w:rsidR="002878BD" w:rsidRPr="00A6025A" w:rsidP="002878BD" w14:paraId="00B2AA32" w14:textId="77777777">
      <w:pPr>
        <w:pStyle w:val="FootnoteText"/>
      </w:pPr>
      <w:r>
        <w:rPr>
          <w:rStyle w:val="FootnoteReference"/>
        </w:rPr>
        <w:footnoteRef/>
      </w:r>
      <w:r>
        <w:t xml:space="preserve"> </w:t>
      </w:r>
      <w:r>
        <w:rPr>
          <w:i/>
        </w:rPr>
        <w:t>See</w:t>
      </w:r>
      <w:r>
        <w:t xml:space="preserve"> </w:t>
      </w:r>
      <w:r>
        <w:rPr>
          <w:i/>
          <w:iCs/>
        </w:rPr>
        <w:t>ICS Effective Date Notice</w:t>
      </w:r>
      <w:r>
        <w:t xml:space="preserve">, 86 Fed. Reg. </w:t>
      </w:r>
      <w:r w:rsidRPr="00A6025A">
        <w:t>at 7955.</w:t>
      </w:r>
    </w:p>
  </w:footnote>
  <w:footnote w:id="8">
    <w:p w:rsidR="004D0003" w14:paraId="2F2D5332" w14:textId="1F6F5867">
      <w:pPr>
        <w:pStyle w:val="FootnoteText"/>
      </w:pPr>
      <w:r>
        <w:rPr>
          <w:rStyle w:val="FootnoteReference"/>
        </w:rPr>
        <w:footnoteRef/>
      </w:r>
      <w:r>
        <w:t xml:space="preserve"> </w:t>
      </w:r>
      <w:r w:rsidR="00DC0EC3">
        <w:t xml:space="preserve">Federal Communications Commission, </w:t>
      </w:r>
      <w:r w:rsidRPr="00DC0EC3" w:rsidR="00DC0EC3">
        <w:rPr>
          <w:i/>
          <w:iCs/>
        </w:rPr>
        <w:t>Rates for Interstate Inmate Calling Services,</w:t>
      </w:r>
      <w:r w:rsidR="00DC0EC3">
        <w:t xml:space="preserve"> 86 Fed. Reg. 40682 (July 28,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07C" w14:paraId="75502A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5C562186" w14:textId="2491630F">
    <w:pPr>
      <w:tabs>
        <w:tab w:val="center" w:pos="4680"/>
        <w:tab w:val="right" w:pos="9360"/>
      </w:tabs>
    </w:pPr>
    <w:r>
      <w:rPr>
        <w:b/>
      </w:rPr>
      <w:tab/>
      <w:t>Federal Communications Commission</w:t>
    </w:r>
    <w:r>
      <w:rPr>
        <w:b/>
      </w:rPr>
      <w:tab/>
    </w:r>
    <w:r w:rsidR="00A6025A">
      <w:rPr>
        <w:b/>
      </w:rPr>
      <w:t>DA 22-</w:t>
    </w:r>
    <w:r w:rsidR="0041407C">
      <w:rPr>
        <w:b/>
      </w:rPr>
      <w:t>153</w:t>
    </w:r>
  </w:p>
  <w:p w:rsidR="00D34C79" w14:paraId="6F50F675" w14:textId="147D84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34C79" w14:paraId="100BE31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16C328F9" w14:textId="535D8FA6">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5"/>
    <w:rsid w:val="00034029"/>
    <w:rsid w:val="00035B2F"/>
    <w:rsid w:val="000A1F65"/>
    <w:rsid w:val="000A5816"/>
    <w:rsid w:val="000B6EF4"/>
    <w:rsid w:val="00104808"/>
    <w:rsid w:val="00126F68"/>
    <w:rsid w:val="00133D80"/>
    <w:rsid w:val="001440C7"/>
    <w:rsid w:val="0015705E"/>
    <w:rsid w:val="00176D69"/>
    <w:rsid w:val="001825CB"/>
    <w:rsid w:val="00192310"/>
    <w:rsid w:val="00194EB2"/>
    <w:rsid w:val="00196356"/>
    <w:rsid w:val="001C61D5"/>
    <w:rsid w:val="001E2334"/>
    <w:rsid w:val="001F7590"/>
    <w:rsid w:val="00227D35"/>
    <w:rsid w:val="00231EF6"/>
    <w:rsid w:val="002603FC"/>
    <w:rsid w:val="002654D1"/>
    <w:rsid w:val="0028419F"/>
    <w:rsid w:val="002878BD"/>
    <w:rsid w:val="002925A7"/>
    <w:rsid w:val="002939B5"/>
    <w:rsid w:val="002C0375"/>
    <w:rsid w:val="0030318B"/>
    <w:rsid w:val="00307AB8"/>
    <w:rsid w:val="00326B9D"/>
    <w:rsid w:val="003302EA"/>
    <w:rsid w:val="003555F0"/>
    <w:rsid w:val="00365986"/>
    <w:rsid w:val="003B3AEF"/>
    <w:rsid w:val="003C1A79"/>
    <w:rsid w:val="003C4587"/>
    <w:rsid w:val="003D19F2"/>
    <w:rsid w:val="003F4AC9"/>
    <w:rsid w:val="003F641E"/>
    <w:rsid w:val="0041407C"/>
    <w:rsid w:val="004224EA"/>
    <w:rsid w:val="00426E1D"/>
    <w:rsid w:val="0044160F"/>
    <w:rsid w:val="0044490D"/>
    <w:rsid w:val="00494D5E"/>
    <w:rsid w:val="004A4DF4"/>
    <w:rsid w:val="004C1F10"/>
    <w:rsid w:val="004C5FE4"/>
    <w:rsid w:val="004D0003"/>
    <w:rsid w:val="004D0586"/>
    <w:rsid w:val="004E3114"/>
    <w:rsid w:val="00504CEC"/>
    <w:rsid w:val="00506346"/>
    <w:rsid w:val="00533689"/>
    <w:rsid w:val="0054075F"/>
    <w:rsid w:val="00550536"/>
    <w:rsid w:val="00557D2E"/>
    <w:rsid w:val="00571476"/>
    <w:rsid w:val="00573AB3"/>
    <w:rsid w:val="00583CA8"/>
    <w:rsid w:val="005A060E"/>
    <w:rsid w:val="005A4D56"/>
    <w:rsid w:val="005C6CFD"/>
    <w:rsid w:val="005D23B6"/>
    <w:rsid w:val="00616518"/>
    <w:rsid w:val="006354A0"/>
    <w:rsid w:val="00635E06"/>
    <w:rsid w:val="00684E36"/>
    <w:rsid w:val="006A0457"/>
    <w:rsid w:val="006A0648"/>
    <w:rsid w:val="006A1474"/>
    <w:rsid w:val="006B046B"/>
    <w:rsid w:val="006D615E"/>
    <w:rsid w:val="006E1EB9"/>
    <w:rsid w:val="00743BB8"/>
    <w:rsid w:val="0075032A"/>
    <w:rsid w:val="00752531"/>
    <w:rsid w:val="007A1D1C"/>
    <w:rsid w:val="007B7509"/>
    <w:rsid w:val="007E4FE7"/>
    <w:rsid w:val="008062DB"/>
    <w:rsid w:val="0081320B"/>
    <w:rsid w:val="008233CB"/>
    <w:rsid w:val="00823E4F"/>
    <w:rsid w:val="008733D5"/>
    <w:rsid w:val="00876138"/>
    <w:rsid w:val="00882575"/>
    <w:rsid w:val="008875C7"/>
    <w:rsid w:val="008A13FB"/>
    <w:rsid w:val="008B5EDA"/>
    <w:rsid w:val="008D42E0"/>
    <w:rsid w:val="0094652C"/>
    <w:rsid w:val="00946ED1"/>
    <w:rsid w:val="00957DC8"/>
    <w:rsid w:val="009631C0"/>
    <w:rsid w:val="00991AB8"/>
    <w:rsid w:val="009A3FE9"/>
    <w:rsid w:val="009D4F89"/>
    <w:rsid w:val="009F34DD"/>
    <w:rsid w:val="009F6505"/>
    <w:rsid w:val="00A00973"/>
    <w:rsid w:val="00A01E44"/>
    <w:rsid w:val="00A108AA"/>
    <w:rsid w:val="00A142FF"/>
    <w:rsid w:val="00A155AF"/>
    <w:rsid w:val="00A25D04"/>
    <w:rsid w:val="00A31262"/>
    <w:rsid w:val="00A40C54"/>
    <w:rsid w:val="00A50FAA"/>
    <w:rsid w:val="00A5475E"/>
    <w:rsid w:val="00A6025A"/>
    <w:rsid w:val="00A707A0"/>
    <w:rsid w:val="00A874DF"/>
    <w:rsid w:val="00AA4C0D"/>
    <w:rsid w:val="00AC135B"/>
    <w:rsid w:val="00AD1762"/>
    <w:rsid w:val="00AE12B3"/>
    <w:rsid w:val="00AF7EFA"/>
    <w:rsid w:val="00B95BB4"/>
    <w:rsid w:val="00BA25E4"/>
    <w:rsid w:val="00BB7831"/>
    <w:rsid w:val="00BC7834"/>
    <w:rsid w:val="00BD0A0E"/>
    <w:rsid w:val="00BF0D1E"/>
    <w:rsid w:val="00BF68E6"/>
    <w:rsid w:val="00C0594F"/>
    <w:rsid w:val="00C07DF1"/>
    <w:rsid w:val="00C2220D"/>
    <w:rsid w:val="00C32388"/>
    <w:rsid w:val="00C421F2"/>
    <w:rsid w:val="00C54D75"/>
    <w:rsid w:val="00C5524C"/>
    <w:rsid w:val="00CC1CE3"/>
    <w:rsid w:val="00CD15B9"/>
    <w:rsid w:val="00CF0F38"/>
    <w:rsid w:val="00D07DC1"/>
    <w:rsid w:val="00D23407"/>
    <w:rsid w:val="00D27389"/>
    <w:rsid w:val="00D31883"/>
    <w:rsid w:val="00D34C79"/>
    <w:rsid w:val="00D520C6"/>
    <w:rsid w:val="00D61626"/>
    <w:rsid w:val="00D87E9C"/>
    <w:rsid w:val="00D91C0E"/>
    <w:rsid w:val="00DA44A5"/>
    <w:rsid w:val="00DB66FB"/>
    <w:rsid w:val="00DC0EC3"/>
    <w:rsid w:val="00DC2307"/>
    <w:rsid w:val="00DE5A22"/>
    <w:rsid w:val="00DE783B"/>
    <w:rsid w:val="00E44BD3"/>
    <w:rsid w:val="00E8265D"/>
    <w:rsid w:val="00E965C7"/>
    <w:rsid w:val="00EC6ADF"/>
    <w:rsid w:val="00ED6518"/>
    <w:rsid w:val="00EF0C67"/>
    <w:rsid w:val="00F32394"/>
    <w:rsid w:val="00F509DC"/>
    <w:rsid w:val="00F55286"/>
    <w:rsid w:val="00F66255"/>
    <w:rsid w:val="00F870B9"/>
    <w:rsid w:val="00F94DC8"/>
    <w:rsid w:val="00FB76A5"/>
    <w:rsid w:val="00FD1658"/>
    <w:rsid w:val="00FF12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51683"/>
  <w15:chartTrackingRefBased/>
  <w15:docId w15:val="{CF2EB845-1C45-472B-980F-588D37CB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8733D5"/>
  </w:style>
  <w:style w:type="character" w:customStyle="1" w:styleId="Style12pt">
    <w:name w:val="Style 12 pt"/>
    <w:rsid w:val="008733D5"/>
    <w:rPr>
      <w:sz w:val="22"/>
    </w:rPr>
  </w:style>
  <w:style w:type="character" w:customStyle="1" w:styleId="UnresolvedMention">
    <w:name w:val="Unresolved Mention"/>
    <w:basedOn w:val="DefaultParagraphFont"/>
    <w:uiPriority w:val="99"/>
    <w:rsid w:val="003302EA"/>
    <w:rPr>
      <w:color w:val="605E5C"/>
      <w:shd w:val="clear" w:color="auto" w:fill="E1DFDD"/>
    </w:rPr>
  </w:style>
  <w:style w:type="character" w:styleId="CommentReference">
    <w:name w:val="annotation reference"/>
    <w:basedOn w:val="DefaultParagraphFont"/>
    <w:uiPriority w:val="99"/>
    <w:semiHidden/>
    <w:unhideWhenUsed/>
    <w:rsid w:val="006354A0"/>
    <w:rPr>
      <w:sz w:val="16"/>
      <w:szCs w:val="16"/>
    </w:rPr>
  </w:style>
  <w:style w:type="paragraph" w:styleId="CommentText">
    <w:name w:val="annotation text"/>
    <w:basedOn w:val="Normal"/>
    <w:link w:val="CommentTextChar"/>
    <w:uiPriority w:val="99"/>
    <w:semiHidden/>
    <w:unhideWhenUsed/>
    <w:rsid w:val="006354A0"/>
    <w:rPr>
      <w:sz w:val="20"/>
    </w:rPr>
  </w:style>
  <w:style w:type="character" w:customStyle="1" w:styleId="CommentTextChar">
    <w:name w:val="Comment Text Char"/>
    <w:basedOn w:val="DefaultParagraphFont"/>
    <w:link w:val="CommentText"/>
    <w:uiPriority w:val="99"/>
    <w:semiHidden/>
    <w:rsid w:val="006354A0"/>
    <w:rPr>
      <w:snapToGrid w:val="0"/>
      <w:kern w:val="28"/>
    </w:rPr>
  </w:style>
  <w:style w:type="paragraph" w:styleId="CommentSubject">
    <w:name w:val="annotation subject"/>
    <w:basedOn w:val="CommentText"/>
    <w:next w:val="CommentText"/>
    <w:link w:val="CommentSubjectChar"/>
    <w:uiPriority w:val="99"/>
    <w:semiHidden/>
    <w:unhideWhenUsed/>
    <w:rsid w:val="006354A0"/>
    <w:rPr>
      <w:b/>
      <w:bCs/>
    </w:rPr>
  </w:style>
  <w:style w:type="character" w:customStyle="1" w:styleId="CommentSubjectChar">
    <w:name w:val="Comment Subject Char"/>
    <w:basedOn w:val="CommentTextChar"/>
    <w:link w:val="CommentSubject"/>
    <w:uiPriority w:val="99"/>
    <w:semiHidden/>
    <w:rsid w:val="006354A0"/>
    <w:rPr>
      <w:b/>
      <w:bCs/>
      <w:snapToGrid w:val="0"/>
      <w:kern w:val="28"/>
    </w:rPr>
  </w:style>
  <w:style w:type="character" w:styleId="FollowedHyperlink">
    <w:name w:val="FollowedHyperlink"/>
    <w:basedOn w:val="DefaultParagraphFont"/>
    <w:uiPriority w:val="99"/>
    <w:semiHidden/>
    <w:unhideWhenUsed/>
    <w:rsid w:val="00C07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my.Goodma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