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4AA" w:rsidRPr="00B02A93" w:rsidP="0088295E" w14:paraId="6FFC2D4A" w14:textId="452C01CD">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164114">
        <w:rPr>
          <w:b/>
        </w:rPr>
        <w:t>156</w:t>
      </w:r>
    </w:p>
    <w:p w:rsidR="003474AA" w:rsidRPr="00B02A93" w:rsidP="003474AA" w14:paraId="38626B24" w14:textId="77777777">
      <w:pPr>
        <w:widowControl/>
        <w:suppressAutoHyphens/>
        <w:spacing w:after="240"/>
        <w:jc w:val="right"/>
        <w:rPr>
          <w:b/>
        </w:rPr>
      </w:pPr>
      <w:r w:rsidRPr="00B02A93">
        <w:rPr>
          <w:b/>
        </w:rPr>
        <w:t xml:space="preserve">Released:  </w:t>
      </w:r>
      <w:r w:rsidR="00E73F37">
        <w:rPr>
          <w:b/>
        </w:rPr>
        <w:t>February</w:t>
      </w:r>
      <w:r w:rsidR="005A029F">
        <w:rPr>
          <w:b/>
        </w:rPr>
        <w:t xml:space="preserve"> </w:t>
      </w:r>
      <w:r w:rsidRPr="008014D0" w:rsidR="0082172A">
        <w:rPr>
          <w:b/>
        </w:rPr>
        <w:t>15</w:t>
      </w:r>
      <w:r>
        <w:rPr>
          <w:b/>
        </w:rPr>
        <w:t>, 202</w:t>
      </w:r>
      <w:r w:rsidR="001D13D1">
        <w:rPr>
          <w:b/>
        </w:rPr>
        <w:t>2</w:t>
      </w:r>
    </w:p>
    <w:p w:rsidR="003474AA" w:rsidRPr="00341E03" w:rsidP="00341E03" w14:paraId="32B51647"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00E73F37">
        <w:rPr>
          <w:b/>
          <w:bCs/>
          <w:szCs w:val="22"/>
        </w:rPr>
        <w:t>DID</w:t>
      </w:r>
      <w:r w:rsidR="00FD54F2">
        <w:rPr>
          <w:b/>
          <w:bCs/>
          <w:szCs w:val="22"/>
        </w:rPr>
        <w:t xml:space="preserve"> </w:t>
      </w:r>
      <w:r w:rsidR="00E73F37">
        <w:rPr>
          <w:b/>
          <w:bCs/>
          <w:szCs w:val="22"/>
        </w:rPr>
        <w:t>CENTRAL, LLC TO DIDCENTRAL PTY</w:t>
      </w:r>
      <w:r w:rsidR="0088295E">
        <w:rPr>
          <w:b/>
          <w:bCs/>
          <w:szCs w:val="22"/>
        </w:rPr>
        <w:t xml:space="preserve"> LTD.</w:t>
      </w:r>
    </w:p>
    <w:p w:rsidR="003474AA" w:rsidRPr="00B02A93" w:rsidP="003474AA" w14:paraId="68245F3B" w14:textId="77777777">
      <w:pPr>
        <w:autoSpaceDE w:val="0"/>
        <w:autoSpaceDN w:val="0"/>
        <w:adjustRightInd w:val="0"/>
        <w:rPr>
          <w:b/>
          <w:szCs w:val="22"/>
        </w:rPr>
      </w:pPr>
    </w:p>
    <w:p w:rsidR="003474AA" w:rsidRPr="00477B03" w:rsidP="003474AA" w14:paraId="56665889" w14:textId="77777777">
      <w:pPr>
        <w:autoSpaceDE w:val="0"/>
        <w:autoSpaceDN w:val="0"/>
        <w:adjustRightInd w:val="0"/>
        <w:jc w:val="center"/>
        <w:rPr>
          <w:b/>
          <w:szCs w:val="22"/>
        </w:rPr>
      </w:pPr>
      <w:r w:rsidRPr="004D2C30">
        <w:rPr>
          <w:b/>
          <w:szCs w:val="22"/>
        </w:rPr>
        <w:t>NON-</w:t>
      </w:r>
      <w:r w:rsidRPr="00477B03" w:rsidR="002351E7">
        <w:rPr>
          <w:b/>
          <w:szCs w:val="22"/>
        </w:rPr>
        <w:t>STREAMLINED PLEADING CYCLE ESTABLISHED</w:t>
      </w:r>
    </w:p>
    <w:p w:rsidR="003474AA" w:rsidP="003474AA" w14:paraId="2F5F7482" w14:textId="77777777">
      <w:pPr>
        <w:autoSpaceDE w:val="0"/>
        <w:autoSpaceDN w:val="0"/>
        <w:adjustRightInd w:val="0"/>
        <w:jc w:val="center"/>
        <w:rPr>
          <w:b/>
          <w:szCs w:val="22"/>
        </w:rPr>
      </w:pPr>
    </w:p>
    <w:p w:rsidR="003474AA" w:rsidP="003474AA" w14:paraId="7C0578EA" w14:textId="77777777">
      <w:pPr>
        <w:autoSpaceDE w:val="0"/>
        <w:autoSpaceDN w:val="0"/>
        <w:adjustRightInd w:val="0"/>
        <w:jc w:val="center"/>
        <w:rPr>
          <w:b/>
          <w:szCs w:val="22"/>
        </w:rPr>
      </w:pPr>
      <w:r w:rsidRPr="00B02A93">
        <w:rPr>
          <w:b/>
          <w:szCs w:val="22"/>
        </w:rPr>
        <w:t>WC Docket No. 2</w:t>
      </w:r>
      <w:r w:rsidR="005A029F">
        <w:rPr>
          <w:b/>
          <w:szCs w:val="22"/>
        </w:rPr>
        <w:t>2-</w:t>
      </w:r>
      <w:r w:rsidR="00D62993">
        <w:rPr>
          <w:b/>
          <w:szCs w:val="22"/>
        </w:rPr>
        <w:t>44</w:t>
      </w:r>
    </w:p>
    <w:p w:rsidR="003474AA" w:rsidP="003474AA" w14:paraId="78FC931A" w14:textId="77777777">
      <w:pPr>
        <w:autoSpaceDE w:val="0"/>
        <w:autoSpaceDN w:val="0"/>
        <w:adjustRightInd w:val="0"/>
        <w:jc w:val="center"/>
        <w:rPr>
          <w:b/>
          <w:szCs w:val="22"/>
        </w:rPr>
      </w:pPr>
    </w:p>
    <w:p w:rsidR="003474AA" w:rsidP="003474AA" w14:paraId="0CA45472" w14:textId="77777777">
      <w:pPr>
        <w:pStyle w:val="NoSpacing"/>
        <w:rPr>
          <w:b/>
          <w:szCs w:val="22"/>
        </w:rPr>
      </w:pPr>
      <w:r w:rsidRPr="005B2105">
        <w:rPr>
          <w:b/>
          <w:szCs w:val="22"/>
        </w:rPr>
        <w:t xml:space="preserve">Comments Due:  </w:t>
      </w:r>
      <w:r w:rsidR="008014D0">
        <w:rPr>
          <w:b/>
          <w:szCs w:val="22"/>
        </w:rPr>
        <w:t>March 1</w:t>
      </w:r>
      <w:r>
        <w:rPr>
          <w:b/>
          <w:szCs w:val="22"/>
        </w:rPr>
        <w:t>,</w:t>
      </w:r>
      <w:r w:rsidRPr="005B2105">
        <w:rPr>
          <w:b/>
          <w:szCs w:val="22"/>
        </w:rPr>
        <w:t xml:space="preserve"> 202</w:t>
      </w:r>
      <w:r>
        <w:rPr>
          <w:b/>
          <w:szCs w:val="22"/>
        </w:rPr>
        <w:t xml:space="preserve">2 </w:t>
      </w:r>
    </w:p>
    <w:p w:rsidR="003474AA" w:rsidRPr="005B2105" w:rsidP="003474AA" w14:paraId="1748409B" w14:textId="77777777">
      <w:pPr>
        <w:pStyle w:val="NoSpacing"/>
        <w:rPr>
          <w:b/>
          <w:szCs w:val="22"/>
        </w:rPr>
      </w:pPr>
      <w:r>
        <w:rPr>
          <w:b/>
          <w:szCs w:val="22"/>
        </w:rPr>
        <w:t xml:space="preserve">Reply Comment Due:  </w:t>
      </w:r>
      <w:r w:rsidR="008014D0">
        <w:rPr>
          <w:b/>
          <w:szCs w:val="22"/>
        </w:rPr>
        <w:t>March 8</w:t>
      </w:r>
      <w:r>
        <w:rPr>
          <w:b/>
          <w:szCs w:val="22"/>
        </w:rPr>
        <w:t xml:space="preserve">, 2022 </w:t>
      </w:r>
    </w:p>
    <w:p w:rsidR="003474AA" w:rsidRPr="00B02A93" w:rsidP="003474AA" w14:paraId="49E32DB6" w14:textId="77777777">
      <w:pPr>
        <w:autoSpaceDE w:val="0"/>
        <w:autoSpaceDN w:val="0"/>
        <w:adjustRightInd w:val="0"/>
        <w:jc w:val="center"/>
        <w:rPr>
          <w:b/>
          <w:szCs w:val="22"/>
        </w:rPr>
      </w:pPr>
    </w:p>
    <w:p w:rsidR="0054766A" w:rsidP="0054766A" w14:paraId="2B5D69D3" w14:textId="77777777">
      <w:pPr>
        <w:widowControl/>
        <w:autoSpaceDE w:val="0"/>
        <w:autoSpaceDN w:val="0"/>
        <w:adjustRightInd w:val="0"/>
        <w:spacing w:after="120"/>
        <w:ind w:firstLine="720"/>
        <w:rPr>
          <w:snapToGrid/>
          <w:kern w:val="0"/>
          <w:szCs w:val="22"/>
        </w:rPr>
      </w:pPr>
      <w:r w:rsidRPr="00477B03">
        <w:rPr>
          <w:snapToGrid/>
          <w:kern w:val="0"/>
          <w:szCs w:val="22"/>
        </w:rPr>
        <w:t xml:space="preserve">By this Public Notice, the Wireline Competition Bureau seeks comment from interested parties on an application filed by </w:t>
      </w:r>
      <w:bookmarkStart w:id="0" w:name="_Hlk87961388"/>
      <w:r w:rsidR="00E73F37">
        <w:rPr>
          <w:snapToGrid/>
          <w:kern w:val="0"/>
          <w:szCs w:val="22"/>
        </w:rPr>
        <w:t>Dean Rogers, DID Central, LLC (DIDCentral)</w:t>
      </w:r>
      <w:r w:rsidR="008D4566">
        <w:rPr>
          <w:snapToGrid/>
          <w:kern w:val="0"/>
          <w:szCs w:val="22"/>
        </w:rPr>
        <w:t>,</w:t>
      </w:r>
      <w:r w:rsidR="00E73F37">
        <w:rPr>
          <w:snapToGrid/>
          <w:kern w:val="0"/>
          <w:szCs w:val="22"/>
        </w:rPr>
        <w:t xml:space="preserve"> and DIDCentral Pty Ltd. (DIDCentral Pty) </w:t>
      </w:r>
      <w:bookmarkEnd w:id="0"/>
      <w:r w:rsidRPr="00477B03">
        <w:rPr>
          <w:snapToGrid/>
          <w:kern w:val="0"/>
          <w:szCs w:val="22"/>
        </w:rPr>
        <w:t xml:space="preserve">(collectively, Applicants), pursuant to section 214 of the Communications Act of 1934, as amended, and sections 63.03-04 of the Commission’s rules, requesting consent </w:t>
      </w:r>
      <w:r w:rsidR="008D4566">
        <w:rPr>
          <w:snapToGrid/>
          <w:kern w:val="0"/>
          <w:szCs w:val="22"/>
        </w:rPr>
        <w:t xml:space="preserve">to </w:t>
      </w:r>
      <w:r w:rsidR="00E73F37">
        <w:rPr>
          <w:snapToGrid/>
          <w:kern w:val="0"/>
          <w:szCs w:val="22"/>
        </w:rPr>
        <w:t>t</w:t>
      </w:r>
      <w:r w:rsidR="005A029F">
        <w:rPr>
          <w:snapToGrid/>
          <w:kern w:val="0"/>
          <w:szCs w:val="22"/>
        </w:rPr>
        <w:t xml:space="preserve">ransfer control of </w:t>
      </w:r>
      <w:r w:rsidR="00E73F37">
        <w:rPr>
          <w:snapToGrid/>
          <w:kern w:val="0"/>
          <w:szCs w:val="22"/>
        </w:rPr>
        <w:t xml:space="preserve">DIDCentral </w:t>
      </w:r>
      <w:r w:rsidR="008D4566">
        <w:rPr>
          <w:snapToGrid/>
          <w:kern w:val="0"/>
          <w:szCs w:val="22"/>
        </w:rPr>
        <w:t xml:space="preserve">from </w:t>
      </w:r>
      <w:r w:rsidR="00264753">
        <w:rPr>
          <w:snapToGrid/>
          <w:kern w:val="0"/>
          <w:szCs w:val="22"/>
        </w:rPr>
        <w:t>Dean</w:t>
      </w:r>
      <w:r w:rsidR="008D4566">
        <w:rPr>
          <w:snapToGrid/>
          <w:kern w:val="0"/>
          <w:szCs w:val="22"/>
        </w:rPr>
        <w:t xml:space="preserve"> Rogers to </w:t>
      </w:r>
      <w:r w:rsidR="00E73F37">
        <w:rPr>
          <w:snapToGrid/>
          <w:kern w:val="0"/>
          <w:szCs w:val="22"/>
        </w:rPr>
        <w:t>DIDCentral Pty.</w:t>
      </w:r>
      <w:r>
        <w:rPr>
          <w:snapToGrid/>
          <w:kern w:val="0"/>
          <w:szCs w:val="22"/>
          <w:vertAlign w:val="superscript"/>
        </w:rPr>
        <w:footnoteReference w:id="3"/>
      </w:r>
      <w:r w:rsidRPr="00477B03">
        <w:rPr>
          <w:snapToGrid/>
          <w:kern w:val="0"/>
          <w:szCs w:val="22"/>
        </w:rPr>
        <w:t xml:space="preserve"> </w:t>
      </w:r>
    </w:p>
    <w:p w:rsidR="00F1658C" w:rsidP="00F1658C" w14:paraId="39B17ACD" w14:textId="77777777">
      <w:pPr>
        <w:widowControl/>
        <w:autoSpaceDE w:val="0"/>
        <w:autoSpaceDN w:val="0"/>
        <w:adjustRightInd w:val="0"/>
        <w:spacing w:after="120"/>
        <w:ind w:firstLine="720"/>
        <w:rPr>
          <w:snapToGrid/>
          <w:kern w:val="0"/>
          <w:szCs w:val="22"/>
        </w:rPr>
      </w:pPr>
      <w:r w:rsidRPr="0054766A">
        <w:rPr>
          <w:snapToGrid/>
          <w:kern w:val="0"/>
          <w:szCs w:val="22"/>
        </w:rPr>
        <w:t>Dean Rogers</w:t>
      </w:r>
      <w:r w:rsidR="008D4566">
        <w:rPr>
          <w:snapToGrid/>
          <w:kern w:val="0"/>
          <w:szCs w:val="22"/>
        </w:rPr>
        <w:t>, an Australian citizen,</w:t>
      </w:r>
      <w:r w:rsidRPr="0054766A">
        <w:rPr>
          <w:snapToGrid/>
          <w:kern w:val="0"/>
          <w:szCs w:val="22"/>
        </w:rPr>
        <w:t xml:space="preserve"> </w:t>
      </w:r>
      <w:r w:rsidR="0082172A">
        <w:rPr>
          <w:snapToGrid/>
          <w:kern w:val="0"/>
          <w:szCs w:val="22"/>
        </w:rPr>
        <w:t>wholly-owns</w:t>
      </w:r>
      <w:r w:rsidR="00D00796">
        <w:rPr>
          <w:snapToGrid/>
          <w:kern w:val="0"/>
          <w:szCs w:val="22"/>
        </w:rPr>
        <w:t xml:space="preserve"> </w:t>
      </w:r>
      <w:r w:rsidRPr="0054766A">
        <w:rPr>
          <w:snapToGrid/>
          <w:kern w:val="0"/>
          <w:szCs w:val="22"/>
        </w:rPr>
        <w:t>DIDCentral</w:t>
      </w:r>
      <w:r w:rsidR="008D4566">
        <w:rPr>
          <w:snapToGrid/>
          <w:kern w:val="0"/>
          <w:szCs w:val="22"/>
        </w:rPr>
        <w:t>,</w:t>
      </w:r>
      <w:r w:rsidRPr="0054766A" w:rsidR="00E73F37">
        <w:rPr>
          <w:snapToGrid/>
          <w:kern w:val="0"/>
          <w:szCs w:val="22"/>
        </w:rPr>
        <w:t xml:space="preserve"> a Wyoming limited liability company</w:t>
      </w:r>
      <w:r w:rsidR="0082172A">
        <w:rPr>
          <w:snapToGrid/>
          <w:kern w:val="0"/>
          <w:szCs w:val="22"/>
        </w:rPr>
        <w:t xml:space="preserve"> that </w:t>
      </w:r>
      <w:r>
        <w:rPr>
          <w:snapToGrid/>
          <w:kern w:val="0"/>
          <w:szCs w:val="22"/>
        </w:rPr>
        <w:t xml:space="preserve">provides wholesale </w:t>
      </w:r>
      <w:r w:rsidR="005D6887">
        <w:rPr>
          <w:snapToGrid/>
          <w:kern w:val="0"/>
          <w:szCs w:val="22"/>
        </w:rPr>
        <w:t xml:space="preserve">telecommunications </w:t>
      </w:r>
      <w:r w:rsidR="008D4566">
        <w:rPr>
          <w:snapToGrid/>
          <w:kern w:val="0"/>
          <w:szCs w:val="22"/>
        </w:rPr>
        <w:t>services</w:t>
      </w:r>
      <w:r>
        <w:rPr>
          <w:snapToGrid/>
          <w:kern w:val="0"/>
          <w:szCs w:val="22"/>
        </w:rPr>
        <w:t xml:space="preserve"> </w:t>
      </w:r>
      <w:r w:rsidR="007A5499">
        <w:rPr>
          <w:snapToGrid/>
          <w:kern w:val="0"/>
          <w:szCs w:val="22"/>
        </w:rPr>
        <w:t xml:space="preserve">throughout the United States </w:t>
      </w:r>
      <w:r>
        <w:rPr>
          <w:snapToGrid/>
          <w:kern w:val="0"/>
          <w:szCs w:val="22"/>
        </w:rPr>
        <w:t>to telecommunications carriers, including competitive and incumbent local exchange carriers</w:t>
      </w:r>
      <w:r w:rsidR="007A5499">
        <w:rPr>
          <w:snapToGrid/>
          <w:kern w:val="0"/>
          <w:szCs w:val="22"/>
        </w:rPr>
        <w:t>.</w:t>
      </w:r>
      <w:r>
        <w:rPr>
          <w:rStyle w:val="FootnoteReference"/>
          <w:snapToGrid/>
          <w:kern w:val="0"/>
          <w:szCs w:val="22"/>
        </w:rPr>
        <w:footnoteReference w:id="4"/>
      </w:r>
      <w:r>
        <w:rPr>
          <w:snapToGrid/>
          <w:kern w:val="0"/>
          <w:szCs w:val="22"/>
        </w:rPr>
        <w:t xml:space="preserve"> </w:t>
      </w:r>
    </w:p>
    <w:p w:rsidR="006769DC" w:rsidRPr="0054766A" w:rsidP="006769DC" w14:paraId="68C0D852" w14:textId="77777777">
      <w:pPr>
        <w:widowControl/>
        <w:autoSpaceDE w:val="0"/>
        <w:autoSpaceDN w:val="0"/>
        <w:adjustRightInd w:val="0"/>
        <w:spacing w:after="120"/>
        <w:ind w:firstLine="720"/>
        <w:rPr>
          <w:snapToGrid/>
          <w:kern w:val="0"/>
          <w:szCs w:val="22"/>
        </w:rPr>
      </w:pPr>
      <w:r>
        <w:rPr>
          <w:snapToGrid/>
          <w:kern w:val="0"/>
          <w:szCs w:val="22"/>
        </w:rPr>
        <w:t>DIDCentral Pty</w:t>
      </w:r>
      <w:r w:rsidR="008D4566">
        <w:rPr>
          <w:snapToGrid/>
          <w:kern w:val="0"/>
          <w:szCs w:val="22"/>
        </w:rPr>
        <w:t xml:space="preserve">, an </w:t>
      </w:r>
      <w:r>
        <w:rPr>
          <w:snapToGrid/>
          <w:kern w:val="0"/>
          <w:szCs w:val="22"/>
        </w:rPr>
        <w:t>Australia</w:t>
      </w:r>
      <w:r w:rsidR="008D4566">
        <w:rPr>
          <w:snapToGrid/>
          <w:kern w:val="0"/>
          <w:szCs w:val="22"/>
        </w:rPr>
        <w:t>n</w:t>
      </w:r>
      <w:r>
        <w:rPr>
          <w:snapToGrid/>
          <w:kern w:val="0"/>
          <w:szCs w:val="22"/>
        </w:rPr>
        <w:t xml:space="preserve"> holding company</w:t>
      </w:r>
      <w:r w:rsidR="008D4566">
        <w:rPr>
          <w:snapToGrid/>
          <w:kern w:val="0"/>
          <w:szCs w:val="22"/>
        </w:rPr>
        <w:t>,</w:t>
      </w:r>
      <w:r>
        <w:rPr>
          <w:snapToGrid/>
          <w:kern w:val="0"/>
          <w:szCs w:val="22"/>
        </w:rPr>
        <w:t xml:space="preserve"> </w:t>
      </w:r>
      <w:r w:rsidR="005D6887">
        <w:rPr>
          <w:snapToGrid/>
          <w:kern w:val="0"/>
          <w:szCs w:val="22"/>
        </w:rPr>
        <w:t xml:space="preserve">does not provide telecommunications services.  </w:t>
      </w:r>
      <w:r>
        <w:rPr>
          <w:snapToGrid/>
          <w:kern w:val="0"/>
          <w:szCs w:val="22"/>
        </w:rPr>
        <w:t xml:space="preserve">Clarity Networks Holdings Pty Ltd. (Clarity Networks), </w:t>
      </w:r>
      <w:r w:rsidR="00434F60">
        <w:rPr>
          <w:snapToGrid/>
          <w:kern w:val="0"/>
          <w:szCs w:val="22"/>
        </w:rPr>
        <w:t xml:space="preserve">an </w:t>
      </w:r>
      <w:r>
        <w:rPr>
          <w:snapToGrid/>
          <w:kern w:val="0"/>
          <w:szCs w:val="22"/>
        </w:rPr>
        <w:t>Australia</w:t>
      </w:r>
      <w:r w:rsidR="00434F60">
        <w:rPr>
          <w:snapToGrid/>
          <w:kern w:val="0"/>
          <w:szCs w:val="22"/>
        </w:rPr>
        <w:t>n</w:t>
      </w:r>
      <w:r>
        <w:rPr>
          <w:snapToGrid/>
          <w:kern w:val="0"/>
          <w:szCs w:val="22"/>
        </w:rPr>
        <w:t xml:space="preserve"> holding company</w:t>
      </w:r>
      <w:r w:rsidR="00997881">
        <w:rPr>
          <w:snapToGrid/>
          <w:kern w:val="0"/>
          <w:szCs w:val="22"/>
        </w:rPr>
        <w:t>, is the sole member of DIDCentral</w:t>
      </w:r>
      <w:r w:rsidR="00434F60">
        <w:rPr>
          <w:snapToGrid/>
          <w:kern w:val="0"/>
          <w:szCs w:val="22"/>
        </w:rPr>
        <w:t>.</w:t>
      </w:r>
      <w:r>
        <w:rPr>
          <w:rStyle w:val="FootnoteReference"/>
          <w:snapToGrid/>
          <w:kern w:val="0"/>
          <w:szCs w:val="22"/>
        </w:rPr>
        <w:footnoteReference w:id="5"/>
      </w:r>
      <w:r>
        <w:rPr>
          <w:snapToGrid/>
          <w:kern w:val="0"/>
          <w:szCs w:val="22"/>
        </w:rPr>
        <w:t xml:space="preserve">  </w:t>
      </w:r>
      <w:r w:rsidR="00434F60">
        <w:rPr>
          <w:snapToGrid/>
          <w:kern w:val="0"/>
          <w:szCs w:val="22"/>
        </w:rPr>
        <w:t xml:space="preserve">Clarity Networks, in turn, is owned by the following three Australian trusts:  </w:t>
      </w:r>
      <w:r>
        <w:rPr>
          <w:snapToGrid/>
          <w:kern w:val="0"/>
          <w:szCs w:val="22"/>
        </w:rPr>
        <w:t>Aman Trust (45%)</w:t>
      </w:r>
      <w:r w:rsidR="007A5499">
        <w:rPr>
          <w:snapToGrid/>
          <w:kern w:val="0"/>
          <w:szCs w:val="22"/>
        </w:rPr>
        <w:t>;</w:t>
      </w:r>
      <w:r>
        <w:rPr>
          <w:snapToGrid/>
          <w:kern w:val="0"/>
          <w:szCs w:val="22"/>
        </w:rPr>
        <w:t xml:space="preserve"> Dean Rogers Family Trust (45%)</w:t>
      </w:r>
      <w:r w:rsidR="007A5499">
        <w:rPr>
          <w:snapToGrid/>
          <w:kern w:val="0"/>
          <w:szCs w:val="22"/>
        </w:rPr>
        <w:t>;</w:t>
      </w:r>
      <w:r>
        <w:rPr>
          <w:snapToGrid/>
          <w:kern w:val="0"/>
          <w:szCs w:val="22"/>
        </w:rPr>
        <w:t xml:space="preserve"> and Robinson Family Trust (10%).</w:t>
      </w:r>
      <w:r>
        <w:rPr>
          <w:rStyle w:val="FootnoteReference"/>
          <w:snapToGrid/>
          <w:kern w:val="0"/>
          <w:szCs w:val="22"/>
        </w:rPr>
        <w:footnoteReference w:id="6"/>
      </w:r>
      <w:r w:rsidR="00CF6AF5">
        <w:rPr>
          <w:snapToGrid/>
          <w:kern w:val="0"/>
          <w:szCs w:val="22"/>
        </w:rPr>
        <w:t xml:space="preserve">  Applicants state that neither DIDCentral Pty, Clarity Networks, nor any of the </w:t>
      </w:r>
      <w:r w:rsidR="00FD54F2">
        <w:rPr>
          <w:snapToGrid/>
          <w:kern w:val="0"/>
          <w:szCs w:val="22"/>
        </w:rPr>
        <w:t xml:space="preserve">three </w:t>
      </w:r>
      <w:r w:rsidR="007A5499">
        <w:rPr>
          <w:snapToGrid/>
          <w:kern w:val="0"/>
          <w:szCs w:val="22"/>
        </w:rPr>
        <w:t xml:space="preserve">Australian </w:t>
      </w:r>
      <w:r w:rsidR="00CF6AF5">
        <w:rPr>
          <w:snapToGrid/>
          <w:kern w:val="0"/>
          <w:szCs w:val="22"/>
        </w:rPr>
        <w:t>trusts hold a 10% or greater interest in any other p</w:t>
      </w:r>
      <w:r w:rsidR="0071128C">
        <w:rPr>
          <w:snapToGrid/>
          <w:kern w:val="0"/>
          <w:szCs w:val="22"/>
        </w:rPr>
        <w:t>rovider of domestic telecommunications services.</w:t>
      </w:r>
      <w:r>
        <w:rPr>
          <w:rStyle w:val="FootnoteReference"/>
          <w:snapToGrid/>
          <w:kern w:val="0"/>
          <w:szCs w:val="22"/>
        </w:rPr>
        <w:footnoteReference w:id="7"/>
      </w:r>
    </w:p>
    <w:p w:rsidR="000B170B" w:rsidRPr="00F62AF6" w:rsidP="008014D0" w14:paraId="4937B76D" w14:textId="77777777">
      <w:pPr>
        <w:widowControl/>
        <w:autoSpaceDE w:val="0"/>
        <w:autoSpaceDN w:val="0"/>
        <w:adjustRightInd w:val="0"/>
        <w:spacing w:after="120"/>
        <w:ind w:firstLine="720"/>
        <w:rPr>
          <w:snapToGrid/>
        </w:rPr>
      </w:pPr>
      <w:r w:rsidRPr="00477B03">
        <w:rPr>
          <w:snapToGrid/>
        </w:rPr>
        <w:t xml:space="preserve">Pursuant to the terms of the </w:t>
      </w:r>
      <w:r w:rsidR="00A46790">
        <w:rPr>
          <w:snapToGrid/>
        </w:rPr>
        <w:t xml:space="preserve">proposed transaction, </w:t>
      </w:r>
      <w:r w:rsidR="006769DC">
        <w:rPr>
          <w:snapToGrid/>
        </w:rPr>
        <w:t xml:space="preserve">DIDCentral Pty will acquire </w:t>
      </w:r>
      <w:r w:rsidR="00A46790">
        <w:rPr>
          <w:snapToGrid/>
        </w:rPr>
        <w:t xml:space="preserve">all of </w:t>
      </w:r>
      <w:r w:rsidR="009C23D3">
        <w:rPr>
          <w:snapToGrid/>
        </w:rPr>
        <w:t>Dean</w:t>
      </w:r>
      <w:r w:rsidR="006769DC">
        <w:rPr>
          <w:snapToGrid/>
        </w:rPr>
        <w:t xml:space="preserve"> Rogers’s membership interest in DIDCentral</w:t>
      </w:r>
      <w:r w:rsidR="007A5499">
        <w:rPr>
          <w:snapToGrid/>
        </w:rPr>
        <w:t>, thus, post-consummation, DIDCentral will become a wholly-owned subsidiary of DIDCentral Pty.</w:t>
      </w:r>
      <w:r>
        <w:rPr>
          <w:rStyle w:val="FootnoteReference"/>
          <w:snapToGrid/>
        </w:rPr>
        <w:footnoteReference w:id="8"/>
      </w:r>
      <w:r w:rsidR="006769DC">
        <w:rPr>
          <w:snapToGrid/>
        </w:rPr>
        <w:t xml:space="preserve">  </w:t>
      </w:r>
      <w:r w:rsidRPr="00F62AF6" w:rsidR="00F62AF6">
        <w:rPr>
          <w:snapToGrid/>
        </w:rPr>
        <w:t>Applicants assert that a grant of the Application would serve the public interest, convenience, and necessity</w:t>
      </w:r>
      <w:r w:rsidR="00F62AF6">
        <w:rPr>
          <w:snapToGrid/>
        </w:rPr>
        <w:t>.</w:t>
      </w:r>
      <w:r>
        <w:rPr>
          <w:rStyle w:val="FootnoteReference"/>
          <w:snapToGrid/>
        </w:rPr>
        <w:footnoteReference w:id="9"/>
      </w:r>
      <w:r w:rsidR="00F62AF6">
        <w:rPr>
          <w:snapToGrid/>
        </w:rPr>
        <w:t xml:space="preserve">  Applicants state</w:t>
      </w:r>
      <w:r w:rsidR="008014D0">
        <w:rPr>
          <w:snapToGrid/>
        </w:rPr>
        <w:t xml:space="preserve"> the transaction, </w:t>
      </w:r>
      <w:r w:rsidR="00F62AF6">
        <w:rPr>
          <w:snapToGrid/>
        </w:rPr>
        <w:t>“</w:t>
      </w:r>
      <w:r w:rsidRPr="00F62AF6" w:rsidR="00F62AF6">
        <w:rPr>
          <w:snapToGrid/>
        </w:rPr>
        <w:t>will</w:t>
      </w:r>
      <w:r w:rsidR="00F62AF6">
        <w:rPr>
          <w:snapToGrid/>
        </w:rPr>
        <w:t xml:space="preserve"> </w:t>
      </w:r>
      <w:r w:rsidRPr="00F62AF6" w:rsidR="00F62AF6">
        <w:rPr>
          <w:snapToGrid/>
        </w:rPr>
        <w:t>provide DIDCentral with access to the financial resources of DIDCentral Pty thus strengthening</w:t>
      </w:r>
      <w:r w:rsidR="00F62AF6">
        <w:rPr>
          <w:snapToGrid/>
        </w:rPr>
        <w:t xml:space="preserve"> </w:t>
      </w:r>
      <w:r w:rsidRPr="00F62AF6" w:rsidR="00F62AF6">
        <w:rPr>
          <w:snapToGrid/>
        </w:rPr>
        <w:t>the operations of DIDCentral in the wholesale telecommunications services market</w:t>
      </w:r>
      <w:r w:rsidR="008014D0">
        <w:rPr>
          <w:snapToGrid/>
        </w:rPr>
        <w:t>,</w:t>
      </w:r>
      <w:r w:rsidR="00F62AF6">
        <w:rPr>
          <w:snapToGrid/>
        </w:rPr>
        <w:t>”</w:t>
      </w:r>
      <w:r w:rsidR="008014D0">
        <w:rPr>
          <w:snapToGrid/>
        </w:rPr>
        <w:t xml:space="preserve"> and that “[f]</w:t>
      </w:r>
      <w:r w:rsidR="007A5499">
        <w:rPr>
          <w:snapToGrid/>
        </w:rPr>
        <w:t>o</w:t>
      </w:r>
      <w:r w:rsidRPr="008014D0" w:rsidR="008014D0">
        <w:rPr>
          <w:snapToGrid/>
        </w:rPr>
        <w:t>llowing</w:t>
      </w:r>
      <w:r w:rsidR="008014D0">
        <w:rPr>
          <w:snapToGrid/>
        </w:rPr>
        <w:t xml:space="preserve"> </w:t>
      </w:r>
      <w:r w:rsidRPr="008014D0" w:rsidR="008014D0">
        <w:rPr>
          <w:snapToGrid/>
        </w:rPr>
        <w:t xml:space="preserve">consummation of the </w:t>
      </w:r>
      <w:r w:rsidR="007A5499">
        <w:rPr>
          <w:snapToGrid/>
        </w:rPr>
        <w:t>[t]</w:t>
      </w:r>
      <w:r w:rsidRPr="008014D0" w:rsidR="008014D0">
        <w:rPr>
          <w:snapToGrid/>
        </w:rPr>
        <w:t>ransaction, DIDCentral will continue to provide the full range of services</w:t>
      </w:r>
      <w:r w:rsidR="008014D0">
        <w:rPr>
          <w:snapToGrid/>
        </w:rPr>
        <w:t xml:space="preserve"> </w:t>
      </w:r>
      <w:r w:rsidRPr="008014D0" w:rsidR="008014D0">
        <w:rPr>
          <w:snapToGrid/>
        </w:rPr>
        <w:t>it does today, without diminishment or interruption.</w:t>
      </w:r>
      <w:r w:rsidR="008014D0">
        <w:rPr>
          <w:snapToGrid/>
        </w:rPr>
        <w:t>”</w:t>
      </w:r>
      <w:r>
        <w:rPr>
          <w:rStyle w:val="FootnoteReference"/>
          <w:snapToGrid/>
        </w:rPr>
        <w:footnoteReference w:id="10"/>
      </w:r>
      <w:r w:rsidRPr="008014D0" w:rsidR="008014D0">
        <w:rPr>
          <w:rFonts w:ascii="Source Sans Pro" w:hAnsi="Source Sans Pro"/>
          <w:color w:val="3D3D3D"/>
          <w:sz w:val="27"/>
          <w:szCs w:val="27"/>
          <w:shd w:val="clear" w:color="auto" w:fill="FFFFFF"/>
        </w:rPr>
        <w:t xml:space="preserve"> </w:t>
      </w:r>
      <w:r w:rsidR="008014D0">
        <w:rPr>
          <w:rFonts w:ascii="Source Sans Pro" w:hAnsi="Source Sans Pro"/>
          <w:color w:val="3D3D3D"/>
          <w:sz w:val="27"/>
          <w:szCs w:val="27"/>
          <w:shd w:val="clear" w:color="auto" w:fill="FFFFFF"/>
        </w:rPr>
        <w:t xml:space="preserve"> </w:t>
      </w:r>
      <w:r w:rsidRPr="008014D0" w:rsidR="008014D0">
        <w:rPr>
          <w:snapToGrid/>
        </w:rPr>
        <w:t>In light of the multiple applications pending before the Commission with respect to this transaction and the public interest review associated with them, we accept the Application for non-streamlined processing.</w:t>
      </w:r>
      <w:r>
        <w:rPr>
          <w:rStyle w:val="FootnoteReference"/>
          <w:snapToGrid/>
        </w:rPr>
        <w:footnoteReference w:id="11"/>
      </w:r>
    </w:p>
    <w:p w:rsidR="00162B46" w:rsidRPr="0082172A" w:rsidP="0082172A" w14:paraId="7984B12D" w14:textId="77777777">
      <w:pPr>
        <w:widowControl/>
        <w:autoSpaceDE w:val="0"/>
        <w:autoSpaceDN w:val="0"/>
        <w:adjustRightInd w:val="0"/>
        <w:spacing w:after="120"/>
        <w:ind w:firstLine="720"/>
        <w:rPr>
          <w:bCs/>
          <w:snapToGrid/>
          <w:kern w:val="0"/>
          <w:szCs w:val="22"/>
        </w:rPr>
      </w:pPr>
      <w:r w:rsidRPr="0082172A">
        <w:rPr>
          <w:bCs/>
          <w:snapToGrid/>
          <w:kern w:val="0"/>
          <w:szCs w:val="22"/>
          <w:u w:val="single"/>
        </w:rPr>
        <w:t>Referral to Executive Branch Agencies</w:t>
      </w:r>
      <w:r w:rsidRPr="0082172A">
        <w:rPr>
          <w:bCs/>
          <w:snapToGrid/>
          <w:kern w:val="0"/>
          <w:szCs w:val="22"/>
        </w:rPr>
        <w:t xml:space="preserve">.  Through this Public Notice, pursuant to Commission practice, the Application and the associated international application, </w:t>
      </w:r>
      <w:r w:rsidRPr="0088295E">
        <w:rPr>
          <w:bCs/>
          <w:snapToGrid/>
          <w:kern w:val="0"/>
          <w:szCs w:val="22"/>
        </w:rPr>
        <w:t>ITC-T/C-202</w:t>
      </w:r>
      <w:r w:rsidR="0088295E">
        <w:rPr>
          <w:bCs/>
          <w:snapToGrid/>
          <w:kern w:val="0"/>
          <w:szCs w:val="22"/>
        </w:rPr>
        <w:t>20202-00027</w:t>
      </w:r>
      <w:r w:rsidRPr="0088295E">
        <w:rPr>
          <w:bCs/>
          <w:snapToGrid/>
          <w:kern w:val="0"/>
          <w:szCs w:val="22"/>
        </w:rPr>
        <w:t>,</w:t>
      </w:r>
      <w:r w:rsidRPr="0082172A">
        <w:rPr>
          <w:bCs/>
          <w:snapToGrid/>
          <w:kern w:val="0"/>
          <w:szCs w:val="22"/>
        </w:rPr>
        <w:t xml:space="preserve"> are being referred to the relevant Executive Branch agencies for their views on any national security, law enforcement, foreign policy, or trade policy concerns related to the foreign ownership of the Applicants.</w:t>
      </w:r>
      <w:r>
        <w:rPr>
          <w:bCs/>
          <w:snapToGrid/>
          <w:kern w:val="0"/>
          <w:szCs w:val="22"/>
          <w:vertAlign w:val="superscript"/>
        </w:rPr>
        <w:footnoteReference w:id="12"/>
      </w:r>
    </w:p>
    <w:p w:rsidR="003474AA" w:rsidRPr="005C743D" w:rsidP="00B773BA" w14:paraId="728E10B8" w14:textId="77777777">
      <w:pPr>
        <w:widowControl/>
        <w:ind w:left="720"/>
        <w:rPr>
          <w:snapToGrid/>
          <w:kern w:val="0"/>
          <w:szCs w:val="22"/>
        </w:rPr>
      </w:pPr>
      <w:r w:rsidRPr="005C743D">
        <w:rPr>
          <w:snapToGrid/>
          <w:kern w:val="0"/>
          <w:szCs w:val="22"/>
        </w:rPr>
        <w:t xml:space="preserve">Domestic Section 214 Application Filed for the Transfer of Control of </w:t>
      </w:r>
      <w:r w:rsidR="000B170B">
        <w:rPr>
          <w:snapToGrid/>
          <w:kern w:val="0"/>
          <w:szCs w:val="22"/>
        </w:rPr>
        <w:t>DID</w:t>
      </w:r>
      <w:r w:rsidR="00FD54F2">
        <w:rPr>
          <w:snapToGrid/>
          <w:kern w:val="0"/>
          <w:szCs w:val="22"/>
        </w:rPr>
        <w:t xml:space="preserve"> </w:t>
      </w:r>
      <w:r w:rsidR="000B170B">
        <w:rPr>
          <w:snapToGrid/>
          <w:kern w:val="0"/>
          <w:szCs w:val="22"/>
        </w:rPr>
        <w:t>Central, LLC to DIDCentral Pty Ltd.</w:t>
      </w:r>
      <w:r w:rsidRPr="005C743D">
        <w:rPr>
          <w:snapToGrid/>
          <w:kern w:val="0"/>
          <w:szCs w:val="22"/>
        </w:rPr>
        <w:t>, WC Docket No. 2</w:t>
      </w:r>
      <w:r w:rsidR="005A029F">
        <w:rPr>
          <w:snapToGrid/>
          <w:kern w:val="0"/>
          <w:szCs w:val="22"/>
        </w:rPr>
        <w:t>2</w:t>
      </w:r>
      <w:r w:rsidRPr="005C743D">
        <w:rPr>
          <w:snapToGrid/>
          <w:kern w:val="0"/>
          <w:szCs w:val="22"/>
        </w:rPr>
        <w:t>-</w:t>
      </w:r>
      <w:r w:rsidR="00D62993">
        <w:rPr>
          <w:snapToGrid/>
          <w:kern w:val="0"/>
          <w:szCs w:val="22"/>
        </w:rPr>
        <w:t>44</w:t>
      </w:r>
      <w:r w:rsidRPr="005C743D">
        <w:rPr>
          <w:snapToGrid/>
          <w:kern w:val="0"/>
          <w:szCs w:val="22"/>
        </w:rPr>
        <w:t xml:space="preserve"> (filed </w:t>
      </w:r>
      <w:r w:rsidR="005A029F">
        <w:rPr>
          <w:snapToGrid/>
          <w:kern w:val="0"/>
          <w:szCs w:val="22"/>
        </w:rPr>
        <w:t>Jan</w:t>
      </w:r>
      <w:r>
        <w:rPr>
          <w:snapToGrid/>
          <w:kern w:val="0"/>
          <w:szCs w:val="22"/>
        </w:rPr>
        <w:t>.</w:t>
      </w:r>
      <w:r w:rsidRPr="005C743D">
        <w:rPr>
          <w:snapToGrid/>
          <w:kern w:val="0"/>
          <w:szCs w:val="22"/>
        </w:rPr>
        <w:t xml:space="preserve"> </w:t>
      </w:r>
      <w:r w:rsidR="00B675BE">
        <w:rPr>
          <w:snapToGrid/>
          <w:kern w:val="0"/>
          <w:szCs w:val="22"/>
        </w:rPr>
        <w:t>3</w:t>
      </w:r>
      <w:r w:rsidRPr="005C743D">
        <w:rPr>
          <w:snapToGrid/>
          <w:kern w:val="0"/>
          <w:szCs w:val="22"/>
        </w:rPr>
        <w:t>1, 202</w:t>
      </w:r>
      <w:r w:rsidR="005A029F">
        <w:rPr>
          <w:snapToGrid/>
          <w:kern w:val="0"/>
          <w:szCs w:val="22"/>
        </w:rPr>
        <w:t>2</w:t>
      </w:r>
      <w:r w:rsidRPr="005C743D">
        <w:rPr>
          <w:snapToGrid/>
          <w:kern w:val="0"/>
          <w:szCs w:val="22"/>
        </w:rPr>
        <w:t>).</w:t>
      </w:r>
    </w:p>
    <w:p w:rsidR="00590452" w:rsidP="003474AA" w14:paraId="4F2448F8" w14:textId="77777777">
      <w:pPr>
        <w:widowControl/>
        <w:autoSpaceDE w:val="0"/>
        <w:autoSpaceDN w:val="0"/>
        <w:adjustRightInd w:val="0"/>
        <w:rPr>
          <w:b/>
          <w:snapToGrid/>
          <w:kern w:val="0"/>
          <w:szCs w:val="22"/>
          <w:u w:val="single"/>
        </w:rPr>
      </w:pPr>
      <w:bookmarkStart w:id="2" w:name="_Hlk91058179"/>
    </w:p>
    <w:p w:rsidR="003474AA" w:rsidRPr="005C743D" w:rsidP="003474AA" w14:paraId="3E10421D"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10C51B38" w14:textId="77777777">
      <w:pPr>
        <w:widowControl/>
        <w:autoSpaceDE w:val="0"/>
        <w:autoSpaceDN w:val="0"/>
        <w:adjustRightInd w:val="0"/>
        <w:rPr>
          <w:snapToGrid/>
          <w:kern w:val="0"/>
          <w:szCs w:val="22"/>
        </w:rPr>
      </w:pPr>
    </w:p>
    <w:p w:rsidR="008014D0" w:rsidRPr="008014D0" w:rsidP="008014D0" w14:paraId="74B1EE29" w14:textId="77777777">
      <w:pPr>
        <w:widowControl/>
        <w:autoSpaceDE w:val="0"/>
        <w:autoSpaceDN w:val="0"/>
        <w:adjustRightInd w:val="0"/>
        <w:spacing w:after="120"/>
        <w:ind w:firstLine="720"/>
        <w:rPr>
          <w:snapToGrid/>
          <w:kern w:val="0"/>
          <w:szCs w:val="22"/>
        </w:rPr>
      </w:pPr>
      <w:r w:rsidRPr="008014D0">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690A8B49" w14:textId="77777777">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Pr>
          <w:b/>
          <w:snapToGrid/>
          <w:kern w:val="0"/>
          <w:szCs w:val="22"/>
        </w:rPr>
        <w:t>March</w:t>
      </w:r>
      <w:r w:rsidRPr="008014D0">
        <w:rPr>
          <w:b/>
          <w:snapToGrid/>
          <w:kern w:val="0"/>
          <w:szCs w:val="22"/>
        </w:rPr>
        <w:t xml:space="preserve"> </w:t>
      </w:r>
      <w:r>
        <w:rPr>
          <w:b/>
          <w:snapToGrid/>
          <w:kern w:val="0"/>
          <w:szCs w:val="22"/>
        </w:rPr>
        <w:t>1</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Pr>
          <w:b/>
          <w:snapToGrid/>
          <w:kern w:val="0"/>
          <w:szCs w:val="22"/>
        </w:rPr>
        <w:t>March 8</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8014D0" w:rsidRPr="008014D0" w:rsidP="008014D0" w14:paraId="548E5B0A" w14:textId="77777777">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Pr="008014D0">
          <w:rPr>
            <w:rStyle w:val="Hyperlink"/>
            <w:snapToGrid/>
            <w:kern w:val="0"/>
            <w:szCs w:val="22"/>
          </w:rPr>
          <w:t>http://apps.fcc.gov/ecfs/</w:t>
        </w:r>
      </w:hyperlink>
      <w:r w:rsidRPr="008014D0">
        <w:rPr>
          <w:snapToGrid/>
          <w:kern w:val="0"/>
          <w:szCs w:val="22"/>
          <w:u w:val="single"/>
        </w:rPr>
        <w:t xml:space="preserve"> </w:t>
      </w:r>
      <w:r w:rsidRPr="008014D0">
        <w:rPr>
          <w:snapToGrid/>
          <w:kern w:val="0"/>
          <w:szCs w:val="22"/>
        </w:rPr>
        <w:t>.</w:t>
      </w:r>
    </w:p>
    <w:p w:rsidR="008014D0" w:rsidRPr="008014D0" w:rsidP="008014D0" w14:paraId="74478192"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7642B04D"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13"/>
      </w:r>
      <w:r w:rsidRPr="008014D0">
        <w:rPr>
          <w:snapToGrid/>
          <w:kern w:val="0"/>
          <w:szCs w:val="22"/>
        </w:rPr>
        <w:t xml:space="preserve">  All filings must be addressed to the Commission’s Secretary, Office of the Secretary, Federal Communications Commission.</w:t>
      </w:r>
    </w:p>
    <w:p w:rsidR="008014D0" w:rsidRPr="008014D0" w:rsidP="008014D0" w14:paraId="77727A52"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7DCBA1D5"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080C66F0"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8014D0" w:rsidRPr="008014D0" w:rsidP="008014D0" w14:paraId="5ED5B0B8"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Tracey Wilson, Competition Policy Division, Wireline Competition Bureau, </w:t>
      </w:r>
      <w:hyperlink r:id="rId7" w:history="1">
        <w:r w:rsidRPr="008014D0">
          <w:rPr>
            <w:rStyle w:val="Hyperlink"/>
            <w:snapToGrid/>
            <w:kern w:val="0"/>
            <w:szCs w:val="22"/>
          </w:rPr>
          <w:t>tracey.wilson@fcc.gov</w:t>
        </w:r>
      </w:hyperlink>
      <w:r w:rsidRPr="008014D0">
        <w:rPr>
          <w:snapToGrid/>
          <w:kern w:val="0"/>
          <w:szCs w:val="22"/>
        </w:rPr>
        <w:t>;</w:t>
      </w:r>
    </w:p>
    <w:p w:rsidR="008014D0" w:rsidRPr="008014D0" w:rsidP="008014D0" w14:paraId="46E97123" w14:textId="77777777">
      <w:pPr>
        <w:widowControl/>
        <w:numPr>
          <w:ilvl w:val="0"/>
          <w:numId w:val="7"/>
        </w:numPr>
        <w:autoSpaceDE w:val="0"/>
        <w:autoSpaceDN w:val="0"/>
        <w:adjustRightInd w:val="0"/>
        <w:spacing w:after="120"/>
        <w:rPr>
          <w:snapToGrid/>
          <w:kern w:val="0"/>
          <w:szCs w:val="22"/>
        </w:rPr>
      </w:pPr>
      <w:r>
        <w:rPr>
          <w:snapToGrid/>
          <w:kern w:val="0"/>
          <w:szCs w:val="22"/>
        </w:rPr>
        <w:t>Gregory Kwan</w:t>
      </w:r>
      <w:r w:rsidRPr="008014D0">
        <w:rPr>
          <w:snapToGrid/>
          <w:kern w:val="0"/>
          <w:szCs w:val="22"/>
        </w:rPr>
        <w:t xml:space="preserve">, Competition Policy Division, Wireline Competition Bureau, </w:t>
      </w:r>
      <w:hyperlink r:id="rId8" w:history="1">
        <w:r w:rsidRPr="00805A48">
          <w:rPr>
            <w:rStyle w:val="Hyperlink"/>
            <w:snapToGrid/>
            <w:kern w:val="0"/>
            <w:szCs w:val="22"/>
          </w:rPr>
          <w:t>gregory.kwan</w:t>
        </w:r>
        <w:r w:rsidRPr="008014D0">
          <w:rPr>
            <w:rStyle w:val="Hyperlink"/>
            <w:snapToGrid/>
            <w:kern w:val="0"/>
            <w:szCs w:val="22"/>
          </w:rPr>
          <w:t>@fcc.gov</w:t>
        </w:r>
      </w:hyperlink>
      <w:r w:rsidRPr="008014D0">
        <w:rPr>
          <w:snapToGrid/>
          <w:kern w:val="0"/>
          <w:szCs w:val="22"/>
        </w:rPr>
        <w:t xml:space="preserve">; </w:t>
      </w:r>
    </w:p>
    <w:p w:rsidR="008014D0" w:rsidRPr="008014D0" w:rsidP="008014D0" w14:paraId="04A633F2" w14:textId="77777777">
      <w:pPr>
        <w:widowControl/>
        <w:numPr>
          <w:ilvl w:val="0"/>
          <w:numId w:val="7"/>
        </w:numPr>
        <w:autoSpaceDE w:val="0"/>
        <w:autoSpaceDN w:val="0"/>
        <w:adjustRightInd w:val="0"/>
        <w:spacing w:after="120"/>
        <w:rPr>
          <w:snapToGrid/>
          <w:kern w:val="0"/>
          <w:szCs w:val="22"/>
        </w:rPr>
      </w:pPr>
      <w:r>
        <w:rPr>
          <w:snapToGrid/>
          <w:kern w:val="0"/>
          <w:szCs w:val="22"/>
        </w:rPr>
        <w:t>Sumita Mukhoty</w:t>
      </w:r>
      <w:r w:rsidRPr="008014D0">
        <w:rPr>
          <w:snapToGrid/>
          <w:kern w:val="0"/>
          <w:szCs w:val="22"/>
        </w:rPr>
        <w:t xml:space="preserve">, Telecommunications and Analysis Division, International Bureau, </w:t>
      </w:r>
      <w:hyperlink r:id="rId9" w:history="1">
        <w:r w:rsidRPr="00805A48">
          <w:rPr>
            <w:rStyle w:val="Hyperlink"/>
            <w:snapToGrid/>
            <w:kern w:val="0"/>
            <w:szCs w:val="22"/>
          </w:rPr>
          <w:t>sumita.mukhoty</w:t>
        </w:r>
        <w:r w:rsidRPr="008014D0">
          <w:rPr>
            <w:rStyle w:val="Hyperlink"/>
            <w:snapToGrid/>
            <w:kern w:val="0"/>
            <w:szCs w:val="22"/>
          </w:rPr>
          <w:t>@fcc.gov</w:t>
        </w:r>
      </w:hyperlink>
      <w:r w:rsidRPr="008014D0">
        <w:rPr>
          <w:snapToGrid/>
          <w:kern w:val="0"/>
          <w:szCs w:val="22"/>
        </w:rPr>
        <w:t>; and</w:t>
      </w:r>
    </w:p>
    <w:p w:rsidR="008014D0" w:rsidRPr="008014D0" w:rsidP="008014D0" w14:paraId="7723716D" w14:textId="77777777">
      <w:pPr>
        <w:widowControl/>
        <w:numPr>
          <w:ilvl w:val="0"/>
          <w:numId w:val="7"/>
        </w:numPr>
        <w:autoSpaceDE w:val="0"/>
        <w:autoSpaceDN w:val="0"/>
        <w:adjustRightInd w:val="0"/>
        <w:spacing w:after="120"/>
        <w:rPr>
          <w:snapToGrid/>
          <w:kern w:val="0"/>
          <w:szCs w:val="22"/>
        </w:rPr>
      </w:pPr>
      <w:r w:rsidRPr="008014D0">
        <w:rPr>
          <w:snapToGrid/>
          <w:kern w:val="0"/>
          <w:szCs w:val="22"/>
        </w:rPr>
        <w:t xml:space="preserve">Jim Bird, Office of General Counsel, </w:t>
      </w:r>
      <w:hyperlink r:id="rId10" w:history="1">
        <w:r w:rsidRPr="008014D0">
          <w:rPr>
            <w:rStyle w:val="Hyperlink"/>
            <w:snapToGrid/>
            <w:kern w:val="0"/>
            <w:szCs w:val="22"/>
          </w:rPr>
          <w:t>jim.bird@fcc.gov</w:t>
        </w:r>
      </w:hyperlink>
    </w:p>
    <w:p w:rsidR="008014D0" w:rsidRPr="008014D0" w:rsidP="008014D0" w14:paraId="25C34A60"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Notice shall be treated as a “permit-but-disclose” proceeding in accordance with the Commission’s </w:t>
      </w:r>
      <w:r w:rsidRPr="008014D0">
        <w:rPr>
          <w:i/>
          <w:snapToGrid/>
          <w:kern w:val="0"/>
          <w:szCs w:val="22"/>
        </w:rPr>
        <w:t>ex parte</w:t>
      </w:r>
      <w:r w:rsidRPr="008014D0">
        <w:rPr>
          <w:snapToGrid/>
          <w:kern w:val="0"/>
          <w:szCs w:val="22"/>
        </w:rPr>
        <w:t xml:space="preserve"> rules.  Persons making </w:t>
      </w:r>
      <w:r w:rsidRPr="008014D0">
        <w:rPr>
          <w:i/>
          <w:snapToGrid/>
          <w:kern w:val="0"/>
          <w:szCs w:val="22"/>
        </w:rPr>
        <w:t>ex 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ex 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ex 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ex parte</w:t>
      </w:r>
      <w:r w:rsidRPr="008014D0">
        <w:rPr>
          <w:snapToGrid/>
          <w:kern w:val="0"/>
          <w:szCs w:val="22"/>
        </w:rPr>
        <w:t xml:space="preserve"> meetings are deemed to be written </w:t>
      </w:r>
      <w:r w:rsidRPr="008014D0">
        <w:rPr>
          <w:i/>
          <w:snapToGrid/>
          <w:kern w:val="0"/>
          <w:szCs w:val="22"/>
        </w:rPr>
        <w:t>ex parte</w:t>
      </w:r>
      <w:r w:rsidRPr="008014D0">
        <w:rPr>
          <w:snapToGrid/>
          <w:kern w:val="0"/>
          <w:szCs w:val="22"/>
        </w:rPr>
        <w:t xml:space="preserve"> presentations and must be filed consistent with rule 1.1206(b), 47 CFR § 1.1206(b).  Participants in this proceeding should familiarize themselves with the Commission’s </w:t>
      </w:r>
      <w:r w:rsidRPr="008014D0">
        <w:rPr>
          <w:i/>
          <w:snapToGrid/>
          <w:kern w:val="0"/>
          <w:szCs w:val="22"/>
        </w:rPr>
        <w:t>ex parte</w:t>
      </w:r>
      <w:r w:rsidRPr="008014D0">
        <w:rPr>
          <w:snapToGrid/>
          <w:kern w:val="0"/>
          <w:szCs w:val="22"/>
        </w:rPr>
        <w:t xml:space="preserve"> rules.</w:t>
      </w:r>
    </w:p>
    <w:p w:rsidR="008014D0" w:rsidRPr="008014D0" w:rsidP="008014D0" w14:paraId="50090E61" w14:textId="77777777">
      <w:pPr>
        <w:widowControl/>
        <w:autoSpaceDE w:val="0"/>
        <w:autoSpaceDN w:val="0"/>
        <w:adjustRightInd w:val="0"/>
        <w:spacing w:after="120"/>
        <w:ind w:firstLine="720"/>
        <w:rPr>
          <w:snapToGrid/>
          <w:kern w:val="0"/>
          <w:szCs w:val="22"/>
        </w:rPr>
      </w:pPr>
      <w:r w:rsidRPr="008014D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14"/>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14D0" w:rsidRPr="008014D0" w:rsidP="008014D0" w14:paraId="06798059" w14:textId="77777777">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Pr>
          <w:snapToGrid/>
          <w:kern w:val="0"/>
          <w:szCs w:val="22"/>
        </w:rPr>
        <w:t xml:space="preserve">Gregory Kwan </w:t>
      </w:r>
      <w:r w:rsidRPr="008014D0">
        <w:rPr>
          <w:snapToGrid/>
          <w:kern w:val="0"/>
          <w:szCs w:val="22"/>
        </w:rPr>
        <w:t>at (202)</w:t>
      </w:r>
      <w:r>
        <w:rPr>
          <w:snapToGrid/>
          <w:kern w:val="0"/>
          <w:szCs w:val="22"/>
        </w:rPr>
        <w:t xml:space="preserve"> </w:t>
      </w:r>
      <w:r w:rsidRPr="008014D0">
        <w:rPr>
          <w:snapToGrid/>
          <w:kern w:val="0"/>
          <w:szCs w:val="22"/>
        </w:rPr>
        <w:t>418-</w:t>
      </w:r>
      <w:r>
        <w:rPr>
          <w:snapToGrid/>
          <w:kern w:val="0"/>
          <w:szCs w:val="22"/>
        </w:rPr>
        <w:t>1191</w:t>
      </w:r>
      <w:r w:rsidRPr="008014D0">
        <w:rPr>
          <w:snapToGrid/>
          <w:kern w:val="0"/>
          <w:szCs w:val="22"/>
        </w:rPr>
        <w:t>.</w:t>
      </w:r>
    </w:p>
    <w:p w:rsidR="008014D0" w:rsidP="003A06D0" w14:paraId="588A9CCF" w14:textId="01C0D14C">
      <w:pPr>
        <w:widowControl/>
        <w:autoSpaceDE w:val="0"/>
        <w:autoSpaceDN w:val="0"/>
        <w:adjustRightInd w:val="0"/>
        <w:spacing w:after="120"/>
        <w:ind w:firstLine="720"/>
        <w:jc w:val="center"/>
        <w:rPr>
          <w:snapToGrid/>
          <w:kern w:val="0"/>
          <w:szCs w:val="22"/>
        </w:rPr>
      </w:pPr>
      <w:r w:rsidRPr="008014D0">
        <w:rPr>
          <w:b/>
          <w:snapToGrid/>
          <w:kern w:val="0"/>
          <w:szCs w:val="22"/>
        </w:rPr>
        <w:t>-FCC-</w:t>
      </w:r>
    </w:p>
    <w:bookmarkEnd w:id="2"/>
    <w:p w:rsidR="003474AA" w:rsidP="003474AA" w14:paraId="58AE8E8F" w14:textId="77777777">
      <w:pPr>
        <w:spacing w:before="120" w:after="240"/>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082B4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2165C1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003238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17297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AB9" w14:paraId="3B9FEA3A" w14:textId="77777777">
      <w:r>
        <w:separator/>
      </w:r>
    </w:p>
  </w:footnote>
  <w:footnote w:type="continuationSeparator" w:id="1">
    <w:p w:rsidR="00200AB9" w14:paraId="1A767C54" w14:textId="77777777">
      <w:pPr>
        <w:rPr>
          <w:sz w:val="20"/>
        </w:rPr>
      </w:pPr>
      <w:r>
        <w:rPr>
          <w:sz w:val="20"/>
        </w:rPr>
        <w:t xml:space="preserve">(Continued from previous page)  </w:t>
      </w:r>
      <w:r>
        <w:rPr>
          <w:sz w:val="20"/>
        </w:rPr>
        <w:separator/>
      </w:r>
    </w:p>
  </w:footnote>
  <w:footnote w:type="continuationNotice" w:id="2">
    <w:p w:rsidR="00200AB9" w14:paraId="7AA0595D" w14:textId="77777777">
      <w:pPr>
        <w:jc w:val="right"/>
        <w:rPr>
          <w:sz w:val="20"/>
        </w:rPr>
      </w:pPr>
      <w:r>
        <w:rPr>
          <w:sz w:val="20"/>
        </w:rPr>
        <w:t>(continued….)</w:t>
      </w:r>
    </w:p>
  </w:footnote>
  <w:footnote w:id="3">
    <w:p w:rsidR="003474AA" w:rsidRPr="00D354C2" w:rsidP="00997881" w14:paraId="52154E39" w14:textId="77777777">
      <w:pPr>
        <w:pStyle w:val="FootnoteText"/>
        <w:rPr>
          <w:bCs/>
        </w:rPr>
      </w:pPr>
      <w:r w:rsidRPr="00D354C2">
        <w:rPr>
          <w:rStyle w:val="FootnoteReference"/>
          <w:sz w:val="20"/>
        </w:rPr>
        <w:footnoteRef/>
      </w:r>
      <w:r w:rsidRPr="00D354C2">
        <w:t xml:space="preserve"> </w:t>
      </w:r>
      <w:r w:rsidRPr="00D354C2">
        <w:rPr>
          <w:i/>
        </w:rPr>
        <w:t>See</w:t>
      </w:r>
      <w:r w:rsidRPr="00D354C2">
        <w:t xml:space="preserve"> 47 U.S.C. § 214; 47 CFR §§ 63.03-04</w:t>
      </w:r>
      <w:r w:rsidRPr="00884C47">
        <w:t>.</w:t>
      </w:r>
      <w:r w:rsidRPr="00884C47" w:rsidR="001A3419">
        <w:t xml:space="preserve">  </w:t>
      </w:r>
      <w:bookmarkStart w:id="1" w:name="_Hlk92356124"/>
      <w:r w:rsidR="00D00796">
        <w:t xml:space="preserve">Application of Dean Rogers, DID Central, LLC, and DIDCentral Pty Ltd., for Consent to a Transaction that </w:t>
      </w:r>
      <w:r w:rsidR="00997881">
        <w:t>W</w:t>
      </w:r>
      <w:r w:rsidR="00D00796">
        <w:t xml:space="preserve">ill Result in a Change of Control Pursuant to Section 214 of the Communications Act, as Amended, WC Docket No. 22-44 (filed Jan. 31, 2022) (Application).  </w:t>
      </w:r>
      <w:r w:rsidRPr="00B773BA" w:rsidR="00B773BA">
        <w:t xml:space="preserve">Applicants also filed applications for the transfer of authorizations associated with international services.  On </w:t>
      </w:r>
      <w:r w:rsidR="00B773BA">
        <w:t xml:space="preserve">February </w:t>
      </w:r>
      <w:r w:rsidR="00E4652F">
        <w:t>9</w:t>
      </w:r>
      <w:r w:rsidRPr="00B773BA" w:rsidR="00B773BA">
        <w:t>, 202</w:t>
      </w:r>
      <w:r w:rsidR="00B773BA">
        <w:t>2</w:t>
      </w:r>
      <w:r w:rsidRPr="00B773BA" w:rsidR="00B773BA">
        <w:t>, Applicants filed a supplement to the</w:t>
      </w:r>
      <w:r w:rsidR="00D00796">
        <w:t xml:space="preserve"> A</w:t>
      </w:r>
      <w:r w:rsidRPr="00B773BA" w:rsidR="00B773BA">
        <w:t xml:space="preserve">pplication.  </w:t>
      </w:r>
      <w:r w:rsidR="00D00796">
        <w:t xml:space="preserve">Letter from Debra McGuire Mercer, </w:t>
      </w:r>
      <w:r w:rsidR="00997881">
        <w:t>C</w:t>
      </w:r>
      <w:r w:rsidR="00D00796">
        <w:t xml:space="preserve">ounsel to DID Central, LLC, to Marlene H. Dortch, Secretary, </w:t>
      </w:r>
      <w:r w:rsidR="00412A27">
        <w:t xml:space="preserve">FCC, </w:t>
      </w:r>
      <w:r w:rsidR="00D00796">
        <w:t xml:space="preserve">WC Docket No. 22-44 </w:t>
      </w:r>
      <w:r w:rsidR="00F62AF6">
        <w:t>(filed Feb. 9, 2022) (Supplement).</w:t>
      </w:r>
      <w:r w:rsidR="00D00796">
        <w:t xml:space="preserve">  </w:t>
      </w:r>
      <w:r w:rsidRPr="00B773BA" w:rsidR="00B773BA">
        <w:t>Any action on this domestic section 214 application is without prejudice to Commission action on other related, pending applications</w:t>
      </w:r>
      <w:r w:rsidRPr="00B773BA" w:rsidR="00B773BA">
        <w:rPr>
          <w:bCs/>
        </w:rPr>
        <w:t>.</w:t>
      </w:r>
      <w:bookmarkEnd w:id="1"/>
      <w:r>
        <w:t xml:space="preserve">  </w:t>
      </w:r>
      <w:r w:rsidRPr="00D354C2">
        <w:t xml:space="preserve">  </w:t>
      </w:r>
    </w:p>
  </w:footnote>
  <w:footnote w:id="4">
    <w:p w:rsidR="00F62AF6" w14:paraId="1666AFFC" w14:textId="77777777">
      <w:pPr>
        <w:pStyle w:val="FootnoteText"/>
      </w:pPr>
      <w:r>
        <w:rPr>
          <w:rStyle w:val="FootnoteReference"/>
        </w:rPr>
        <w:footnoteRef/>
      </w:r>
      <w:r>
        <w:t xml:space="preserve"> </w:t>
      </w:r>
      <w:r>
        <w:t xml:space="preserve">Application at 2-3. </w:t>
      </w:r>
    </w:p>
  </w:footnote>
  <w:footnote w:id="5">
    <w:p w:rsidR="00F62AF6" w:rsidRPr="00F62AF6" w14:paraId="7C7A10C3" w14:textId="77777777">
      <w:pPr>
        <w:pStyle w:val="FootnoteText"/>
      </w:pPr>
      <w:r>
        <w:rPr>
          <w:rStyle w:val="FootnoteReference"/>
        </w:rPr>
        <w:footnoteRef/>
      </w:r>
      <w:r>
        <w:t xml:space="preserve"> </w:t>
      </w:r>
      <w:r>
        <w:rPr>
          <w:i/>
          <w:iCs/>
        </w:rPr>
        <w:t xml:space="preserve">Id. </w:t>
      </w:r>
      <w:r>
        <w:t>at 3.</w:t>
      </w:r>
    </w:p>
  </w:footnote>
  <w:footnote w:id="6">
    <w:p w:rsidR="00434F60" w14:paraId="71E20E36" w14:textId="77777777">
      <w:pPr>
        <w:pStyle w:val="FootnoteText"/>
      </w:pPr>
      <w:r w:rsidRPr="0071128C">
        <w:rPr>
          <w:rStyle w:val="FootnoteReference"/>
        </w:rPr>
        <w:footnoteRef/>
      </w:r>
      <w:r w:rsidR="00F62AF6">
        <w:t xml:space="preserve"> </w:t>
      </w:r>
      <w:r w:rsidR="00F62AF6">
        <w:rPr>
          <w:i/>
          <w:iCs/>
        </w:rPr>
        <w:t xml:space="preserve">Id </w:t>
      </w:r>
      <w:r w:rsidR="00F62AF6">
        <w:t xml:space="preserve">at 3, 7, and Attach. 2 (DID Central Post-Close Ownership Chart).  </w:t>
      </w:r>
      <w:r w:rsidR="00FD54F2">
        <w:t xml:space="preserve">For each of these three </w:t>
      </w:r>
      <w:r w:rsidR="00E06C4C">
        <w:t xml:space="preserve">Australian </w:t>
      </w:r>
      <w:r w:rsidR="00FD54F2">
        <w:t>trusts, A</w:t>
      </w:r>
      <w:r w:rsidRPr="00F62AF6" w:rsidR="0071128C">
        <w:t>pplicants</w:t>
      </w:r>
      <w:r w:rsidR="0071128C">
        <w:t xml:space="preserve"> provide the names of the trustees and beneficiaries, </w:t>
      </w:r>
      <w:r w:rsidR="00997881">
        <w:t>all</w:t>
      </w:r>
      <w:r w:rsidR="0071128C">
        <w:t xml:space="preserve"> Australian citizens</w:t>
      </w:r>
      <w:r w:rsidR="00FD54F2">
        <w:t>.</w:t>
      </w:r>
      <w:r w:rsidR="00F62AF6">
        <w:t xml:space="preserve">  Supplement at 1.</w:t>
      </w:r>
    </w:p>
  </w:footnote>
  <w:footnote w:id="7">
    <w:p w:rsidR="00F62AF6" w14:paraId="084813C0" w14:textId="77777777">
      <w:pPr>
        <w:pStyle w:val="FootnoteText"/>
      </w:pPr>
      <w:r>
        <w:rPr>
          <w:rStyle w:val="FootnoteReference"/>
        </w:rPr>
        <w:footnoteRef/>
      </w:r>
      <w:r>
        <w:t xml:space="preserve"> </w:t>
      </w:r>
      <w:r>
        <w:t>Supplement at 1.</w:t>
      </w:r>
    </w:p>
  </w:footnote>
  <w:footnote w:id="8">
    <w:p w:rsidR="00F62AF6" w14:paraId="502A500A" w14:textId="77777777">
      <w:pPr>
        <w:pStyle w:val="FootnoteText"/>
      </w:pPr>
      <w:r>
        <w:rPr>
          <w:rStyle w:val="FootnoteReference"/>
        </w:rPr>
        <w:footnoteRef/>
      </w:r>
      <w:r>
        <w:t xml:space="preserve"> </w:t>
      </w:r>
      <w:r>
        <w:t>Application at 3.</w:t>
      </w:r>
    </w:p>
  </w:footnote>
  <w:footnote w:id="9">
    <w:p w:rsidR="00F62AF6" w:rsidRPr="00F62AF6" w14:paraId="024D7EAE" w14:textId="77777777">
      <w:pPr>
        <w:pStyle w:val="FootnoteText"/>
      </w:pPr>
      <w:r>
        <w:rPr>
          <w:rStyle w:val="FootnoteReference"/>
        </w:rPr>
        <w:footnoteRef/>
      </w:r>
      <w:r>
        <w:t xml:space="preserve"> </w:t>
      </w:r>
      <w:r>
        <w:rPr>
          <w:i/>
          <w:iCs/>
        </w:rPr>
        <w:t xml:space="preserve">Id. </w:t>
      </w:r>
      <w:r>
        <w:t>at 4.</w:t>
      </w:r>
    </w:p>
  </w:footnote>
  <w:footnote w:id="10">
    <w:p w:rsidR="008014D0" w:rsidRPr="008014D0" w14:paraId="72019407" w14:textId="77777777">
      <w:pPr>
        <w:pStyle w:val="FootnoteText"/>
        <w:rPr>
          <w:i/>
          <w:iCs/>
        </w:rPr>
      </w:pPr>
      <w:r>
        <w:rPr>
          <w:rStyle w:val="FootnoteReference"/>
        </w:rPr>
        <w:footnoteRef/>
      </w:r>
      <w:r>
        <w:t xml:space="preserve"> </w:t>
      </w:r>
      <w:r>
        <w:rPr>
          <w:i/>
          <w:iCs/>
        </w:rPr>
        <w:t>Id.</w:t>
      </w:r>
    </w:p>
  </w:footnote>
  <w:footnote w:id="11">
    <w:p w:rsidR="008014D0" w14:paraId="4198C0F0" w14:textId="77777777">
      <w:pPr>
        <w:pStyle w:val="FootnoteText"/>
      </w:pPr>
      <w:r>
        <w:rPr>
          <w:rStyle w:val="FootnoteReference"/>
        </w:rPr>
        <w:footnoteRef/>
      </w:r>
      <w:r>
        <w:t xml:space="preserve"> </w:t>
      </w:r>
      <w:r w:rsidRPr="008014D0">
        <w:t>47 CFR § 63.03.</w:t>
      </w:r>
    </w:p>
  </w:footnote>
  <w:footnote w:id="12">
    <w:p w:rsidR="0082172A" w:rsidRPr="00796872" w:rsidP="0082172A" w14:paraId="1C2E936D" w14:textId="77777777">
      <w:pPr>
        <w:pStyle w:val="FootnoteText"/>
      </w:pPr>
      <w:r w:rsidRPr="00796872">
        <w:rPr>
          <w:rStyle w:val="FootnoteReference"/>
        </w:rPr>
        <w:footnoteRef/>
      </w:r>
      <w:r w:rsidRPr="00796872">
        <w:t xml:space="preserve"> </w:t>
      </w:r>
      <w:r w:rsidRPr="00796872">
        <w:rPr>
          <w:color w:val="000000"/>
        </w:rPr>
        <w:t xml:space="preserve">47 CFR § 1.40001.  </w:t>
      </w:r>
      <w:r w:rsidRPr="00796872">
        <w:rPr>
          <w:i/>
          <w:iCs/>
        </w:rPr>
        <w:t>See Process Reform for Executive Branch Review of Certain FCC Applications and Petitions Involving Foreign Ownership,</w:t>
      </w:r>
      <w:r w:rsidRPr="00796872">
        <w:t xml:space="preserve"> IB Docket 16-155, Report and Order, 35 FCC Rcd 10927 (2020), Erratum (Appendix B — Final Rules), DA 20-1404 (OMD/IB rel. Nov. 27, 2020).  </w:t>
      </w:r>
      <w:r w:rsidRPr="00796872">
        <w:rPr>
          <w:i/>
          <w:iCs/>
        </w:rPr>
        <w:t>See also Rules and Policies on Foreign Participation in the U.S. Telecommunications Market; Market Entry and Regulation of Foreign- Affiliated Entities</w:t>
      </w:r>
      <w:r w:rsidRPr="00796872">
        <w:t>, IB Docket Nos. 97-142 and 95-22, Report and Order and Order on Reconsideration, 12 FCC Rcd 23891, 23918-19, paras. 61-63 (1997) (</w:t>
      </w:r>
      <w:r w:rsidRPr="00796872">
        <w:rPr>
          <w:i/>
          <w:iCs/>
        </w:rPr>
        <w:t>Foreign Participation Order</w:t>
      </w:r>
      <w:r w:rsidRPr="00796872">
        <w:t xml:space="preserve">), recon. denied, 15 FCC Rcd 18158 (2000).  </w:t>
      </w:r>
    </w:p>
  </w:footnote>
  <w:footnote w:id="13">
    <w:p w:rsidR="008014D0" w:rsidRPr="00796872" w:rsidP="008014D0" w14:paraId="41DA8714" w14:textId="77777777">
      <w:pPr>
        <w:pStyle w:val="FootnoteText"/>
        <w:rPr>
          <w:u w:val="single"/>
        </w:rPr>
      </w:pPr>
      <w:r w:rsidRPr="00796872">
        <w:rPr>
          <w:rStyle w:val="FootnoteReference"/>
        </w:rPr>
        <w:footnoteRef/>
      </w:r>
      <w:r w:rsidRPr="00796872">
        <w:t xml:space="preserve"> </w:t>
      </w:r>
      <w:r w:rsidRPr="00796872">
        <w:t>Effective March 19, 2020, and until further notice, the Commission no longer accepts any hand or messenger delivered filings.  This is a temporary measure taken to help protect the health and safety of individuals, and to mitigate the transmission of COVID-19.</w:t>
      </w:r>
      <w:r w:rsidR="00264753">
        <w:t xml:space="preserve"> </w:t>
      </w:r>
      <w:r w:rsidRPr="00796872">
        <w:t xml:space="preserve"> </w:t>
      </w:r>
      <w:r w:rsidRPr="00796872">
        <w:rPr>
          <w:rFonts w:eastAsia="Calibri"/>
          <w:i/>
          <w:iCs/>
        </w:rPr>
        <w:t>See FCC Announces Closure of FCC Headquarters Open Window and Change in Hand-Delivery Policy</w:t>
      </w:r>
      <w:r w:rsidRPr="00796872">
        <w:rPr>
          <w:rFonts w:eastAsia="Calibri"/>
        </w:rPr>
        <w:t>, Public Notice, 35 FCC Rcd 2788 (OS 2020).</w:t>
      </w:r>
    </w:p>
  </w:footnote>
  <w:footnote w:id="14">
    <w:p w:rsidR="008014D0" w:rsidRPr="00796872" w:rsidP="008014D0" w14:paraId="777CD2DE" w14:textId="77777777">
      <w:pPr>
        <w:pStyle w:val="FootnoteText"/>
      </w:pPr>
      <w:r w:rsidRPr="00796872">
        <w:rPr>
          <w:rStyle w:val="FootnoteReference"/>
        </w:rPr>
        <w:footnoteRef/>
      </w:r>
      <w:r w:rsidRPr="00796872">
        <w:t xml:space="preserve"> </w:t>
      </w:r>
      <w:r w:rsidRPr="00796872">
        <w:rPr>
          <w:i/>
        </w:rPr>
        <w:t>See</w:t>
      </w:r>
      <w:r w:rsidRPr="00796872">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9DDB9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2FF2DE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5.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65A2D"/>
    <w:rsid w:val="000B170B"/>
    <w:rsid w:val="000C32E8"/>
    <w:rsid w:val="000F15DC"/>
    <w:rsid w:val="0011284D"/>
    <w:rsid w:val="00113860"/>
    <w:rsid w:val="0013532E"/>
    <w:rsid w:val="001421A0"/>
    <w:rsid w:val="00162B46"/>
    <w:rsid w:val="00164114"/>
    <w:rsid w:val="001805F0"/>
    <w:rsid w:val="001A3419"/>
    <w:rsid w:val="001C1595"/>
    <w:rsid w:val="001C5E50"/>
    <w:rsid w:val="001D13D1"/>
    <w:rsid w:val="001D4B15"/>
    <w:rsid w:val="00200AB9"/>
    <w:rsid w:val="0021422C"/>
    <w:rsid w:val="00214986"/>
    <w:rsid w:val="002206FA"/>
    <w:rsid w:val="002351E7"/>
    <w:rsid w:val="0024459C"/>
    <w:rsid w:val="00264753"/>
    <w:rsid w:val="00273EBC"/>
    <w:rsid w:val="002F5A1F"/>
    <w:rsid w:val="00317B11"/>
    <w:rsid w:val="0032055D"/>
    <w:rsid w:val="00341E03"/>
    <w:rsid w:val="003474AA"/>
    <w:rsid w:val="00351578"/>
    <w:rsid w:val="00351689"/>
    <w:rsid w:val="00381D63"/>
    <w:rsid w:val="003A06D0"/>
    <w:rsid w:val="003D18FA"/>
    <w:rsid w:val="00412A27"/>
    <w:rsid w:val="004301FA"/>
    <w:rsid w:val="00434F60"/>
    <w:rsid w:val="00446101"/>
    <w:rsid w:val="00452453"/>
    <w:rsid w:val="00477B03"/>
    <w:rsid w:val="004A5F0F"/>
    <w:rsid w:val="004A75F3"/>
    <w:rsid w:val="004D2C30"/>
    <w:rsid w:val="0053740B"/>
    <w:rsid w:val="0054766A"/>
    <w:rsid w:val="00590452"/>
    <w:rsid w:val="005A029F"/>
    <w:rsid w:val="005B2105"/>
    <w:rsid w:val="005C743D"/>
    <w:rsid w:val="005D1BA2"/>
    <w:rsid w:val="005D4EA8"/>
    <w:rsid w:val="005D6887"/>
    <w:rsid w:val="005E18B7"/>
    <w:rsid w:val="00603D3C"/>
    <w:rsid w:val="00607DD7"/>
    <w:rsid w:val="00610F36"/>
    <w:rsid w:val="0063636A"/>
    <w:rsid w:val="00637C9C"/>
    <w:rsid w:val="006431E7"/>
    <w:rsid w:val="00644592"/>
    <w:rsid w:val="006769DC"/>
    <w:rsid w:val="006924C8"/>
    <w:rsid w:val="00696223"/>
    <w:rsid w:val="006D349F"/>
    <w:rsid w:val="006F2CB7"/>
    <w:rsid w:val="0071128C"/>
    <w:rsid w:val="00763A02"/>
    <w:rsid w:val="00770F07"/>
    <w:rsid w:val="00796872"/>
    <w:rsid w:val="007A5499"/>
    <w:rsid w:val="007D7102"/>
    <w:rsid w:val="007E76AD"/>
    <w:rsid w:val="008014D0"/>
    <w:rsid w:val="00804C77"/>
    <w:rsid w:val="00805A48"/>
    <w:rsid w:val="0082172A"/>
    <w:rsid w:val="00841223"/>
    <w:rsid w:val="008633AD"/>
    <w:rsid w:val="0088295E"/>
    <w:rsid w:val="00884C47"/>
    <w:rsid w:val="00885A98"/>
    <w:rsid w:val="008C56C5"/>
    <w:rsid w:val="008D4566"/>
    <w:rsid w:val="00905F78"/>
    <w:rsid w:val="0091104D"/>
    <w:rsid w:val="00914BB8"/>
    <w:rsid w:val="009308B7"/>
    <w:rsid w:val="009854AD"/>
    <w:rsid w:val="00997881"/>
    <w:rsid w:val="009C23D3"/>
    <w:rsid w:val="00A3458C"/>
    <w:rsid w:val="00A46790"/>
    <w:rsid w:val="00A65CFD"/>
    <w:rsid w:val="00A808A5"/>
    <w:rsid w:val="00A87085"/>
    <w:rsid w:val="00AA0192"/>
    <w:rsid w:val="00AA5EF7"/>
    <w:rsid w:val="00AD1C04"/>
    <w:rsid w:val="00B02A93"/>
    <w:rsid w:val="00B2695F"/>
    <w:rsid w:val="00B30C59"/>
    <w:rsid w:val="00B45BDE"/>
    <w:rsid w:val="00B675BE"/>
    <w:rsid w:val="00B773BA"/>
    <w:rsid w:val="00B83962"/>
    <w:rsid w:val="00B9122A"/>
    <w:rsid w:val="00C11660"/>
    <w:rsid w:val="00C42323"/>
    <w:rsid w:val="00C457F5"/>
    <w:rsid w:val="00C75306"/>
    <w:rsid w:val="00C87AF0"/>
    <w:rsid w:val="00CD0F58"/>
    <w:rsid w:val="00CF27DD"/>
    <w:rsid w:val="00CF6AF5"/>
    <w:rsid w:val="00D00796"/>
    <w:rsid w:val="00D02BB8"/>
    <w:rsid w:val="00D1683E"/>
    <w:rsid w:val="00D311C9"/>
    <w:rsid w:val="00D354C2"/>
    <w:rsid w:val="00D43260"/>
    <w:rsid w:val="00D62993"/>
    <w:rsid w:val="00DB0790"/>
    <w:rsid w:val="00DB41A7"/>
    <w:rsid w:val="00E06C4C"/>
    <w:rsid w:val="00E3339B"/>
    <w:rsid w:val="00E4652F"/>
    <w:rsid w:val="00E554BA"/>
    <w:rsid w:val="00E57208"/>
    <w:rsid w:val="00E73F37"/>
    <w:rsid w:val="00E82844"/>
    <w:rsid w:val="00E84325"/>
    <w:rsid w:val="00E9389E"/>
    <w:rsid w:val="00E96300"/>
    <w:rsid w:val="00EE04BD"/>
    <w:rsid w:val="00EE55A6"/>
    <w:rsid w:val="00EE58FE"/>
    <w:rsid w:val="00EE736C"/>
    <w:rsid w:val="00F034E1"/>
    <w:rsid w:val="00F043DD"/>
    <w:rsid w:val="00F1658C"/>
    <w:rsid w:val="00F57C05"/>
    <w:rsid w:val="00F62AF6"/>
    <w:rsid w:val="00F71244"/>
    <w:rsid w:val="00FC11C8"/>
    <w:rsid w:val="00FD54F2"/>
    <w:rsid w:val="00FF135C"/>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83B97F"/>
  <w15:chartTrackingRefBased/>
  <w15:docId w15:val="{B28EA279-AEB2-41E2-9272-A27DA97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
    <w:name w:val="Unresolved Mention"/>
    <w:uiPriority w:val="99"/>
    <w:rsid w:val="00C4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tracey.wilson@fcc.gov" TargetMode="External" /><Relationship Id="rId8" Type="http://schemas.openxmlformats.org/officeDocument/2006/relationships/hyperlink" Target="mailto:gregory.kwan@fcc.gov" TargetMode="External" /><Relationship Id="rId9" Type="http://schemas.openxmlformats.org/officeDocument/2006/relationships/hyperlink" Target="mailto:sumita.mukhoty@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