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40184D0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F4FF6AE" w14:textId="77777777">
      <w:pPr>
        <w:pStyle w:val="StyleBoldCentered"/>
      </w:pPr>
      <w:r>
        <w:t>F</w:t>
      </w:r>
      <w:r>
        <w:rPr>
          <w:caps w:val="0"/>
        </w:rPr>
        <w:t>ederal Communications Commission</w:t>
      </w:r>
    </w:p>
    <w:p w:rsidR="004C2EE3" w:rsidP="00096D8C" w14:paraId="39B77C0E" w14:textId="77777777">
      <w:pPr>
        <w:pStyle w:val="StyleBoldCentered"/>
      </w:pPr>
      <w:r>
        <w:rPr>
          <w:caps w:val="0"/>
        </w:rPr>
        <w:t>Washington, D.C. 20554</w:t>
      </w:r>
    </w:p>
    <w:p w:rsidR="004C2EE3" w:rsidP="0070224F" w14:paraId="4F1EEEE4" w14:textId="77777777"/>
    <w:p w:rsidR="004C2EE3" w:rsidP="0070224F" w14:paraId="70BF7771" w14:textId="77777777"/>
    <w:tbl>
      <w:tblPr>
        <w:tblW w:w="9576" w:type="dxa"/>
        <w:tblLayout w:type="fixed"/>
        <w:tblLook w:val="0000"/>
      </w:tblPr>
      <w:tblGrid>
        <w:gridCol w:w="4698"/>
        <w:gridCol w:w="630"/>
        <w:gridCol w:w="4248"/>
      </w:tblGrid>
      <w:tr w14:paraId="7C3DDA13" w14:textId="77777777" w:rsidTr="00CA4006">
        <w:tblPrEx>
          <w:tblW w:w="9576" w:type="dxa"/>
          <w:tblLayout w:type="fixed"/>
          <w:tblLook w:val="0000"/>
        </w:tblPrEx>
        <w:tc>
          <w:tcPr>
            <w:tcW w:w="4698" w:type="dxa"/>
          </w:tcPr>
          <w:p w:rsidR="004C2EE3" w14:paraId="7C56295A" w14:textId="77777777">
            <w:pPr>
              <w:tabs>
                <w:tab w:val="center" w:pos="4680"/>
              </w:tabs>
              <w:suppressAutoHyphens/>
              <w:rPr>
                <w:spacing w:val="-2"/>
              </w:rPr>
            </w:pPr>
            <w:r>
              <w:rPr>
                <w:spacing w:val="-2"/>
              </w:rPr>
              <w:t>In the Matter of</w:t>
            </w:r>
          </w:p>
          <w:p w:rsidR="004C2EE3" w14:paraId="107D52EA" w14:textId="77777777">
            <w:pPr>
              <w:tabs>
                <w:tab w:val="center" w:pos="4680"/>
              </w:tabs>
              <w:suppressAutoHyphens/>
              <w:rPr>
                <w:spacing w:val="-2"/>
              </w:rPr>
            </w:pPr>
          </w:p>
          <w:p w:rsidR="00B7316B" w:rsidRPr="00B7316B" w:rsidP="00B7316B" w14:paraId="20B74549" w14:textId="1EE35EA8">
            <w:pPr>
              <w:tabs>
                <w:tab w:val="center" w:pos="4680"/>
              </w:tabs>
              <w:suppressAutoHyphens/>
              <w:rPr>
                <w:spacing w:val="-2"/>
              </w:rPr>
            </w:pPr>
            <w:r w:rsidRPr="00B7316B">
              <w:rPr>
                <w:spacing w:val="-2"/>
              </w:rPr>
              <w:t xml:space="preserve">Intelsat S.A., as debtor-in-possession, </w:t>
            </w:r>
          </w:p>
          <w:p w:rsidR="00B7316B" w:rsidRPr="00B7316B" w:rsidP="00B7316B" w14:paraId="31E9CD6C" w14:textId="77777777">
            <w:pPr>
              <w:tabs>
                <w:tab w:val="center" w:pos="4680"/>
              </w:tabs>
              <w:suppressAutoHyphens/>
              <w:rPr>
                <w:spacing w:val="-2"/>
              </w:rPr>
            </w:pPr>
            <w:r w:rsidRPr="00B7316B">
              <w:rPr>
                <w:spacing w:val="-2"/>
              </w:rPr>
              <w:t>(Transferor)</w:t>
            </w:r>
          </w:p>
          <w:p w:rsidR="00B7316B" w:rsidRPr="00B7316B" w:rsidP="00B7316B" w14:paraId="717A8225" w14:textId="77777777">
            <w:pPr>
              <w:tabs>
                <w:tab w:val="center" w:pos="4680"/>
              </w:tabs>
              <w:suppressAutoHyphens/>
              <w:rPr>
                <w:spacing w:val="-2"/>
              </w:rPr>
            </w:pPr>
          </w:p>
          <w:p w:rsidR="00B7316B" w:rsidRPr="00B7316B" w:rsidP="00B7316B" w14:paraId="03DFC473" w14:textId="77777777">
            <w:pPr>
              <w:tabs>
                <w:tab w:val="center" w:pos="4680"/>
              </w:tabs>
              <w:suppressAutoHyphens/>
              <w:rPr>
                <w:spacing w:val="-2"/>
              </w:rPr>
            </w:pPr>
            <w:r w:rsidRPr="00B7316B">
              <w:rPr>
                <w:spacing w:val="-2"/>
              </w:rPr>
              <w:t xml:space="preserve">and </w:t>
            </w:r>
          </w:p>
          <w:p w:rsidR="00B7316B" w:rsidRPr="00B7316B" w:rsidP="00B7316B" w14:paraId="3A801EC2" w14:textId="77777777">
            <w:pPr>
              <w:tabs>
                <w:tab w:val="center" w:pos="4680"/>
              </w:tabs>
              <w:suppressAutoHyphens/>
              <w:rPr>
                <w:spacing w:val="-2"/>
              </w:rPr>
            </w:pPr>
          </w:p>
          <w:p w:rsidR="00B7316B" w:rsidRPr="00B7316B" w:rsidP="000B0E74" w14:paraId="18756679" w14:textId="3C7BC9BD">
            <w:pPr>
              <w:tabs>
                <w:tab w:val="center" w:pos="4680"/>
              </w:tabs>
              <w:suppressAutoHyphens/>
              <w:rPr>
                <w:spacing w:val="-2"/>
              </w:rPr>
            </w:pPr>
            <w:r w:rsidRPr="000B0E74">
              <w:rPr>
                <w:spacing w:val="-2"/>
              </w:rPr>
              <w:t xml:space="preserve">New </w:t>
            </w:r>
            <w:r w:rsidRPr="000B0E74">
              <w:rPr>
                <w:spacing w:val="-2"/>
              </w:rPr>
              <w:t>TopCo</w:t>
            </w:r>
            <w:r>
              <w:rPr>
                <w:spacing w:val="-2"/>
              </w:rPr>
              <w:t xml:space="preserve"> </w:t>
            </w:r>
            <w:r w:rsidRPr="000B0E74">
              <w:rPr>
                <w:spacing w:val="-2"/>
              </w:rPr>
              <w:t xml:space="preserve">S.A. </w:t>
            </w:r>
            <w:r w:rsidRPr="00B7316B">
              <w:rPr>
                <w:spacing w:val="-2"/>
              </w:rPr>
              <w:t>(Transferee)</w:t>
            </w:r>
          </w:p>
          <w:p w:rsidR="00B7316B" w:rsidRPr="00B7316B" w:rsidP="00B7316B" w14:paraId="6AE8E7B4" w14:textId="77777777">
            <w:pPr>
              <w:tabs>
                <w:tab w:val="center" w:pos="4680"/>
              </w:tabs>
              <w:suppressAutoHyphens/>
              <w:rPr>
                <w:spacing w:val="-2"/>
              </w:rPr>
            </w:pPr>
          </w:p>
          <w:p w:rsidR="004C2EE3" w:rsidRPr="007115F7" w:rsidP="00B7316B" w14:paraId="32E2A02B" w14:textId="73F72B6D">
            <w:pPr>
              <w:tabs>
                <w:tab w:val="center" w:pos="4680"/>
              </w:tabs>
              <w:suppressAutoHyphens/>
              <w:rPr>
                <w:spacing w:val="-2"/>
              </w:rPr>
            </w:pPr>
          </w:p>
        </w:tc>
        <w:tc>
          <w:tcPr>
            <w:tcW w:w="630" w:type="dxa"/>
          </w:tcPr>
          <w:p w:rsidR="004C2EE3" w14:paraId="3B275E33" w14:textId="77777777">
            <w:pPr>
              <w:tabs>
                <w:tab w:val="center" w:pos="4680"/>
              </w:tabs>
              <w:suppressAutoHyphens/>
              <w:rPr>
                <w:b/>
                <w:spacing w:val="-2"/>
              </w:rPr>
            </w:pPr>
            <w:r>
              <w:rPr>
                <w:b/>
                <w:spacing w:val="-2"/>
              </w:rPr>
              <w:t>)</w:t>
            </w:r>
          </w:p>
          <w:p w:rsidR="004C2EE3" w14:paraId="7055966D" w14:textId="77777777">
            <w:pPr>
              <w:tabs>
                <w:tab w:val="center" w:pos="4680"/>
              </w:tabs>
              <w:suppressAutoHyphens/>
              <w:rPr>
                <w:b/>
                <w:spacing w:val="-2"/>
              </w:rPr>
            </w:pPr>
            <w:r>
              <w:rPr>
                <w:b/>
                <w:spacing w:val="-2"/>
              </w:rPr>
              <w:t>)</w:t>
            </w:r>
          </w:p>
          <w:p w:rsidR="004C2EE3" w14:paraId="1E78D3E1" w14:textId="77777777">
            <w:pPr>
              <w:tabs>
                <w:tab w:val="center" w:pos="4680"/>
              </w:tabs>
              <w:suppressAutoHyphens/>
              <w:rPr>
                <w:b/>
                <w:spacing w:val="-2"/>
              </w:rPr>
            </w:pPr>
            <w:r>
              <w:rPr>
                <w:b/>
                <w:spacing w:val="-2"/>
              </w:rPr>
              <w:t>)</w:t>
            </w:r>
          </w:p>
          <w:p w:rsidR="004C2EE3" w14:paraId="1C651105" w14:textId="77777777">
            <w:pPr>
              <w:tabs>
                <w:tab w:val="center" w:pos="4680"/>
              </w:tabs>
              <w:suppressAutoHyphens/>
              <w:rPr>
                <w:b/>
                <w:spacing w:val="-2"/>
              </w:rPr>
            </w:pPr>
            <w:r>
              <w:rPr>
                <w:b/>
                <w:spacing w:val="-2"/>
              </w:rPr>
              <w:t>)</w:t>
            </w:r>
          </w:p>
          <w:p w:rsidR="004C2EE3" w14:paraId="6C4A9BB8" w14:textId="77777777">
            <w:pPr>
              <w:tabs>
                <w:tab w:val="center" w:pos="4680"/>
              </w:tabs>
              <w:suppressAutoHyphens/>
              <w:rPr>
                <w:b/>
                <w:spacing w:val="-2"/>
              </w:rPr>
            </w:pPr>
            <w:r>
              <w:rPr>
                <w:b/>
                <w:spacing w:val="-2"/>
              </w:rPr>
              <w:t>)</w:t>
            </w:r>
          </w:p>
          <w:p w:rsidR="004C2EE3" w14:paraId="0544D6D0" w14:textId="77777777">
            <w:pPr>
              <w:tabs>
                <w:tab w:val="center" w:pos="4680"/>
              </w:tabs>
              <w:suppressAutoHyphens/>
              <w:rPr>
                <w:b/>
                <w:spacing w:val="-2"/>
              </w:rPr>
            </w:pPr>
            <w:r>
              <w:rPr>
                <w:b/>
                <w:spacing w:val="-2"/>
              </w:rPr>
              <w:t>)</w:t>
            </w:r>
          </w:p>
          <w:p w:rsidR="004C2EE3" w14:paraId="3CF18B81" w14:textId="77777777">
            <w:pPr>
              <w:tabs>
                <w:tab w:val="center" w:pos="4680"/>
              </w:tabs>
              <w:suppressAutoHyphens/>
              <w:rPr>
                <w:b/>
                <w:spacing w:val="-2"/>
              </w:rPr>
            </w:pPr>
            <w:r>
              <w:rPr>
                <w:b/>
                <w:spacing w:val="-2"/>
              </w:rPr>
              <w:t>)</w:t>
            </w:r>
          </w:p>
          <w:p w:rsidR="004C2EE3" w:rsidRPr="008F729B" w14:paraId="20927150" w14:textId="7C8B5608">
            <w:pPr>
              <w:tabs>
                <w:tab w:val="center" w:pos="4680"/>
              </w:tabs>
              <w:suppressAutoHyphens/>
              <w:rPr>
                <w:b/>
                <w:spacing w:val="-2"/>
              </w:rPr>
            </w:pPr>
            <w:r>
              <w:rPr>
                <w:b/>
                <w:spacing w:val="-2"/>
              </w:rPr>
              <w:t>)</w:t>
            </w:r>
          </w:p>
        </w:tc>
        <w:tc>
          <w:tcPr>
            <w:tcW w:w="4248" w:type="dxa"/>
          </w:tcPr>
          <w:p w:rsidR="004C2EE3" w14:paraId="2D11CD59" w14:textId="77777777">
            <w:pPr>
              <w:tabs>
                <w:tab w:val="center" w:pos="4680"/>
              </w:tabs>
              <w:suppressAutoHyphens/>
              <w:rPr>
                <w:spacing w:val="-2"/>
              </w:rPr>
            </w:pPr>
          </w:p>
          <w:p w:rsidR="004C2EE3" w14:paraId="1EFFAD85" w14:textId="77777777">
            <w:pPr>
              <w:pStyle w:val="TOAHeading"/>
              <w:tabs>
                <w:tab w:val="center" w:pos="4680"/>
                <w:tab w:val="clear" w:pos="9360"/>
              </w:tabs>
              <w:rPr>
                <w:spacing w:val="-2"/>
              </w:rPr>
            </w:pPr>
          </w:p>
          <w:p w:rsidR="004C2EE3" w14:paraId="51B08728" w14:textId="16BD20EA">
            <w:pPr>
              <w:tabs>
                <w:tab w:val="center" w:pos="4680"/>
              </w:tabs>
              <w:suppressAutoHyphens/>
              <w:rPr>
                <w:spacing w:val="-2"/>
              </w:rPr>
            </w:pPr>
            <w:r w:rsidRPr="00AA12B9">
              <w:rPr>
                <w:spacing w:val="-2"/>
              </w:rPr>
              <w:t>IB Docket No. 21-375</w:t>
            </w:r>
          </w:p>
        </w:tc>
      </w:tr>
    </w:tbl>
    <w:p w:rsidR="00841AB1" w:rsidP="00F021FA" w14:paraId="280EEB2C" w14:textId="711D444F">
      <w:pPr>
        <w:pStyle w:val="StyleBoldCentered"/>
      </w:pPr>
      <w:r>
        <w:t>Order</w:t>
      </w:r>
    </w:p>
    <w:p w:rsidR="004C2EE3" w14:paraId="5F60CB21" w14:textId="77777777">
      <w:pPr>
        <w:tabs>
          <w:tab w:val="left" w:pos="-720"/>
        </w:tabs>
        <w:suppressAutoHyphens/>
        <w:spacing w:line="227" w:lineRule="auto"/>
        <w:rPr>
          <w:spacing w:val="-2"/>
        </w:rPr>
      </w:pPr>
    </w:p>
    <w:p w:rsidR="004C2EE3" w:rsidP="00133F79" w14:paraId="1F5D8A28" w14:textId="4196F575">
      <w:pPr>
        <w:tabs>
          <w:tab w:val="left" w:pos="720"/>
          <w:tab w:val="right" w:pos="9360"/>
        </w:tabs>
        <w:suppressAutoHyphens/>
        <w:spacing w:line="227" w:lineRule="auto"/>
        <w:rPr>
          <w:spacing w:val="-2"/>
        </w:rPr>
      </w:pPr>
      <w:r>
        <w:rPr>
          <w:b/>
          <w:spacing w:val="-2"/>
        </w:rPr>
        <w:t xml:space="preserve">Adopted:  </w:t>
      </w:r>
      <w:r w:rsidR="00242122">
        <w:rPr>
          <w:b/>
          <w:spacing w:val="-2"/>
        </w:rPr>
        <w:t xml:space="preserve">February </w:t>
      </w:r>
      <w:r w:rsidR="00C372C3">
        <w:rPr>
          <w:b/>
          <w:spacing w:val="-2"/>
        </w:rPr>
        <w:t>16</w:t>
      </w:r>
      <w:r w:rsidR="009210A6">
        <w:rPr>
          <w:b/>
          <w:spacing w:val="-2"/>
        </w:rPr>
        <w:t>, 202</w:t>
      </w:r>
      <w:r w:rsidR="00082CD9">
        <w:rPr>
          <w:b/>
          <w:spacing w:val="-2"/>
        </w:rPr>
        <w:t>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42122">
        <w:rPr>
          <w:b/>
          <w:spacing w:val="-2"/>
        </w:rPr>
        <w:t xml:space="preserve">February </w:t>
      </w:r>
      <w:r w:rsidRPr="00C372C3" w:rsidR="00C372C3">
        <w:rPr>
          <w:b/>
          <w:spacing w:val="-2"/>
        </w:rPr>
        <w:t>16</w:t>
      </w:r>
      <w:r w:rsidRPr="009210A6" w:rsidR="009210A6">
        <w:rPr>
          <w:b/>
          <w:spacing w:val="-2"/>
        </w:rPr>
        <w:t>, 202</w:t>
      </w:r>
      <w:r w:rsidR="00082CD9">
        <w:rPr>
          <w:b/>
          <w:spacing w:val="-2"/>
        </w:rPr>
        <w:t>2</w:t>
      </w:r>
    </w:p>
    <w:p w:rsidR="00822CE0" w14:paraId="6289D9DA" w14:textId="77777777"/>
    <w:p w:rsidR="004C2EE3" w14:paraId="5D77584F" w14:textId="5A215D39">
      <w:pPr>
        <w:rPr>
          <w:spacing w:val="-2"/>
        </w:rPr>
      </w:pPr>
      <w:r>
        <w:t xml:space="preserve">By </w:t>
      </w:r>
      <w:r w:rsidR="004E4A22">
        <w:t>the</w:t>
      </w:r>
      <w:r w:rsidR="002A2D2E">
        <w:t xml:space="preserve"> </w:t>
      </w:r>
      <w:r w:rsidR="00E70758">
        <w:rPr>
          <w:spacing w:val="-2"/>
        </w:rPr>
        <w:t>Chief, International Bureau</w:t>
      </w:r>
      <w:r w:rsidR="00D26993">
        <w:rPr>
          <w:spacing w:val="-2"/>
        </w:rPr>
        <w:t>;</w:t>
      </w:r>
      <w:r w:rsidR="00082CD9">
        <w:rPr>
          <w:spacing w:val="-2"/>
        </w:rPr>
        <w:t xml:space="preserve"> and </w:t>
      </w:r>
      <w:r w:rsidR="0037067C">
        <w:rPr>
          <w:spacing w:val="-2"/>
        </w:rPr>
        <w:t xml:space="preserve">the </w:t>
      </w:r>
      <w:r w:rsidR="00082CD9">
        <w:rPr>
          <w:spacing w:val="-2"/>
        </w:rPr>
        <w:t>Acting Chief</w:t>
      </w:r>
      <w:r w:rsidR="000C7EE9">
        <w:rPr>
          <w:spacing w:val="-2"/>
        </w:rPr>
        <w:t>s</w:t>
      </w:r>
      <w:r w:rsidR="00082CD9">
        <w:rPr>
          <w:spacing w:val="-2"/>
        </w:rPr>
        <w:t xml:space="preserve">, </w:t>
      </w:r>
      <w:r w:rsidRPr="00082CD9" w:rsidR="00082CD9">
        <w:rPr>
          <w:spacing w:val="-2"/>
        </w:rPr>
        <w:t>Wireless Telecommunications Bureau</w:t>
      </w:r>
      <w:r w:rsidR="000C7EE9">
        <w:rPr>
          <w:spacing w:val="-2"/>
        </w:rPr>
        <w:t xml:space="preserve"> and Office of Engineering and Technology</w:t>
      </w:r>
      <w:r>
        <w:rPr>
          <w:spacing w:val="-2"/>
        </w:rPr>
        <w:t>:</w:t>
      </w:r>
    </w:p>
    <w:p w:rsidR="00526AB3" w14:paraId="36545241" w14:textId="77777777">
      <w:pPr>
        <w:rPr>
          <w:spacing w:val="-2"/>
        </w:rPr>
      </w:pPr>
    </w:p>
    <w:p w:rsidR="000C5EA0" w:rsidP="000C5EA0" w14:paraId="31215D9D" w14:textId="77777777">
      <w:pPr>
        <w:pStyle w:val="Heading1"/>
      </w:pPr>
      <w:r>
        <w:t>INTRODUCTION</w:t>
      </w:r>
    </w:p>
    <w:p w:rsidR="000C7EE9" w:rsidRPr="000C5EA0" w:rsidP="008F729B" w14:paraId="12F0A765" w14:textId="56942CC4">
      <w:pPr>
        <w:pStyle w:val="ParaNum"/>
      </w:pPr>
      <w:r>
        <w:t>In this Order</w:t>
      </w:r>
      <w:r w:rsidRPr="000C7EE9">
        <w:t>, the International Bureau</w:t>
      </w:r>
      <w:r>
        <w:t xml:space="preserve">, </w:t>
      </w:r>
      <w:r w:rsidRPr="000C7EE9">
        <w:t>Wireless Telecommunications Bureau, and Office of Engineering and Technology grant the request</w:t>
      </w:r>
      <w:r>
        <w:t xml:space="preserve">s of </w:t>
      </w:r>
      <w:r w:rsidRPr="0055013C">
        <w:rPr>
          <w:szCs w:val="22"/>
        </w:rPr>
        <w:t>Intelsat S.A., as debtor-in-possession</w:t>
      </w:r>
      <w:r>
        <w:rPr>
          <w:szCs w:val="22"/>
        </w:rPr>
        <w:t xml:space="preserve"> (Intelsat DIP), and </w:t>
      </w:r>
      <w:r w:rsidRPr="00496500">
        <w:rPr>
          <w:szCs w:val="22"/>
        </w:rPr>
        <w:t xml:space="preserve">New </w:t>
      </w:r>
      <w:r w:rsidRPr="00496500">
        <w:rPr>
          <w:szCs w:val="22"/>
        </w:rPr>
        <w:t>TopCo</w:t>
      </w:r>
      <w:r w:rsidRPr="00496500">
        <w:rPr>
          <w:szCs w:val="22"/>
        </w:rPr>
        <w:t xml:space="preserve"> S.A. (</w:t>
      </w:r>
      <w:r w:rsidR="00465761">
        <w:rPr>
          <w:szCs w:val="22"/>
        </w:rPr>
        <w:t>Restructured</w:t>
      </w:r>
      <w:r w:rsidRPr="00496500" w:rsidR="00194FBB">
        <w:rPr>
          <w:szCs w:val="22"/>
        </w:rPr>
        <w:t xml:space="preserve"> </w:t>
      </w:r>
      <w:r w:rsidRPr="00496500">
        <w:rPr>
          <w:szCs w:val="22"/>
        </w:rPr>
        <w:t>Intelsat)</w:t>
      </w:r>
      <w:r>
        <w:rPr>
          <w:szCs w:val="22"/>
        </w:rPr>
        <w:t xml:space="preserve"> (together, the Applicants),</w:t>
      </w:r>
      <w:r>
        <w:rPr>
          <w:rStyle w:val="FootnoteReference"/>
          <w:szCs w:val="22"/>
        </w:rPr>
        <w:footnoteReference w:id="3"/>
      </w:r>
      <w:r>
        <w:rPr>
          <w:szCs w:val="22"/>
        </w:rPr>
        <w:t xml:space="preserve"> </w:t>
      </w:r>
      <w:r w:rsidRPr="000C7EE9">
        <w:rPr>
          <w:szCs w:val="22"/>
        </w:rPr>
        <w:t xml:space="preserve">for consent to the assignment and transfer of control of </w:t>
      </w:r>
      <w:r w:rsidR="00767E63">
        <w:rPr>
          <w:szCs w:val="22"/>
        </w:rPr>
        <w:t>authorizations</w:t>
      </w:r>
      <w:r w:rsidRPr="000C7EE9">
        <w:rPr>
          <w:szCs w:val="22"/>
        </w:rPr>
        <w:t xml:space="preserve"> under a plan </w:t>
      </w:r>
      <w:r w:rsidR="00411A75">
        <w:rPr>
          <w:szCs w:val="22"/>
        </w:rPr>
        <w:t xml:space="preserve">for emergence </w:t>
      </w:r>
      <w:r w:rsidRPr="000C7EE9">
        <w:rPr>
          <w:szCs w:val="22"/>
        </w:rPr>
        <w:t>of Intelsat DIP from Chapter 11 bankruptcy</w:t>
      </w:r>
      <w:r w:rsidR="00706013">
        <w:rPr>
          <w:szCs w:val="22"/>
        </w:rPr>
        <w:t xml:space="preserve"> </w:t>
      </w:r>
      <w:r w:rsidRPr="00706013" w:rsidR="00706013">
        <w:rPr>
          <w:szCs w:val="22"/>
        </w:rPr>
        <w:t>subject to the conditions set out herein</w:t>
      </w:r>
      <w:r>
        <w:rPr>
          <w:szCs w:val="22"/>
        </w:rPr>
        <w:t>.</w:t>
      </w:r>
      <w:r>
        <w:rPr>
          <w:rStyle w:val="FootnoteReference"/>
          <w:szCs w:val="22"/>
        </w:rPr>
        <w:footnoteReference w:id="4"/>
      </w:r>
    </w:p>
    <w:p w:rsidR="000C5EA0" w:rsidP="000C5EA0" w14:paraId="792BB651" w14:textId="5BBDAE6F">
      <w:pPr>
        <w:pStyle w:val="Heading1"/>
      </w:pPr>
      <w:r>
        <w:t>BACKGROUND</w:t>
      </w:r>
    </w:p>
    <w:p w:rsidR="003422B0" w:rsidP="003422B0" w14:paraId="2B6F9CF5" w14:textId="36D84E9C">
      <w:pPr>
        <w:pStyle w:val="Heading2"/>
      </w:pPr>
      <w:r>
        <w:t>T</w:t>
      </w:r>
      <w:r w:rsidR="00DC62B1">
        <w:t>he Applicants and t</w:t>
      </w:r>
      <w:r>
        <w:t>he Transaction</w:t>
      </w:r>
    </w:p>
    <w:p w:rsidR="00DC62B1" w:rsidP="00DC62B1" w14:paraId="5DE1CB52" w14:textId="7B9387FF">
      <w:pPr>
        <w:pStyle w:val="ParaNum"/>
      </w:pPr>
      <w:bookmarkStart w:id="1" w:name="_Hlk94519268"/>
      <w:r>
        <w:t xml:space="preserve">Intelsat DIP is </w:t>
      </w:r>
      <w:r w:rsidR="00BA2FCC">
        <w:t>a</w:t>
      </w:r>
      <w:r w:rsidRPr="00524685">
        <w:t xml:space="preserve"> satellite</w:t>
      </w:r>
      <w:r>
        <w:t>-</w:t>
      </w:r>
      <w:r w:rsidRPr="00524685">
        <w:t xml:space="preserve">service </w:t>
      </w:r>
      <w:r>
        <w:t>provider</w:t>
      </w:r>
      <w:r w:rsidR="00BA2FCC">
        <w:t xml:space="preserve"> </w:t>
      </w:r>
      <w:r w:rsidR="00164500">
        <w:t xml:space="preserve">whose administrative headquarters is in McLean, Virginia, and corporate headquarters </w:t>
      </w:r>
      <w:r w:rsidR="00BA2FCC">
        <w:t>in Luxembourg</w:t>
      </w:r>
      <w:bookmarkEnd w:id="1"/>
      <w:r>
        <w:t>.</w:t>
      </w:r>
      <w:r>
        <w:rPr>
          <w:rStyle w:val="FootnoteReference"/>
        </w:rPr>
        <w:footnoteReference w:id="5"/>
      </w:r>
      <w:r>
        <w:t xml:space="preserve">  It offers </w:t>
      </w:r>
      <w:r w:rsidRPr="00524685">
        <w:t>voice, video, and data</w:t>
      </w:r>
      <w:r>
        <w:t xml:space="preserve"> services to customers including </w:t>
      </w:r>
      <w:r w:rsidRPr="00524685">
        <w:t>media companies, Internet service providers, and the U.S. government</w:t>
      </w:r>
      <w:r w:rsidRPr="007159BA">
        <w:t xml:space="preserve"> </w:t>
      </w:r>
      <w:r>
        <w:t>using its</w:t>
      </w:r>
      <w:r w:rsidRPr="007159BA">
        <w:t xml:space="preserve"> </w:t>
      </w:r>
      <w:r>
        <w:t xml:space="preserve">network of satellites, earth stations, and other </w:t>
      </w:r>
      <w:r w:rsidRPr="007159BA">
        <w:t>connectivity infrastructure</w:t>
      </w:r>
      <w:r w:rsidRPr="00524685">
        <w:t>.</w:t>
      </w:r>
      <w:r>
        <w:rPr>
          <w:rStyle w:val="FootnoteReference"/>
        </w:rPr>
        <w:footnoteReference w:id="6"/>
      </w:r>
    </w:p>
    <w:p w:rsidR="003422B0" w:rsidP="001E12D0" w14:paraId="22502821" w14:textId="13BB5D12">
      <w:pPr>
        <w:pStyle w:val="ParaNum"/>
        <w:widowControl/>
      </w:pPr>
      <w:r>
        <w:t>On May 13, 2020, Intelsat DIP and several of its subsidiaries, including Commission license holders, commenced voluntary cases under Chapter 11 of the U.S. Bankruptcy Code.</w:t>
      </w:r>
      <w:r>
        <w:rPr>
          <w:rStyle w:val="FootnoteReference"/>
        </w:rPr>
        <w:footnoteReference w:id="7"/>
      </w:r>
      <w:r>
        <w:t xml:space="preserve">  On</w:t>
      </w:r>
      <w:r w:rsidRPr="006F34A3">
        <w:t xml:space="preserve"> </w:t>
      </w:r>
      <w:r w:rsidRPr="00E526A3" w:rsidR="00E526A3">
        <w:t>December 16, 2021</w:t>
      </w:r>
      <w:r w:rsidRPr="006F34A3">
        <w:t xml:space="preserve">, </w:t>
      </w:r>
      <w:r w:rsidR="00E526A3">
        <w:t xml:space="preserve">the bankruptcy court approved a plan submitted by </w:t>
      </w:r>
      <w:r w:rsidRPr="006F34A3">
        <w:t xml:space="preserve">Intelsat </w:t>
      </w:r>
      <w:r>
        <w:t>DIP</w:t>
      </w:r>
      <w:r w:rsidR="00411A75">
        <w:t xml:space="preserve"> for emerging from bankruptcy</w:t>
      </w:r>
      <w:r w:rsidRPr="006F34A3">
        <w:t>.</w:t>
      </w:r>
      <w:r>
        <w:rPr>
          <w:rStyle w:val="FootnoteReference"/>
        </w:rPr>
        <w:footnoteReference w:id="8"/>
      </w:r>
      <w:r w:rsidRPr="006F34A3">
        <w:t xml:space="preserve"> </w:t>
      </w:r>
      <w:r>
        <w:t xml:space="preserve"> The plan </w:t>
      </w:r>
      <w:r w:rsidRPr="006F34A3">
        <w:t>repay</w:t>
      </w:r>
      <w:r w:rsidR="00E526A3">
        <w:t>s</w:t>
      </w:r>
      <w:r w:rsidRPr="006F34A3">
        <w:t xml:space="preserve"> secured debt obligations using a new financing facility</w:t>
      </w:r>
      <w:r>
        <w:t xml:space="preserve"> and convert</w:t>
      </w:r>
      <w:r w:rsidR="00E526A3">
        <w:t>s</w:t>
      </w:r>
      <w:r w:rsidRPr="006F34A3">
        <w:t xml:space="preserve"> </w:t>
      </w:r>
      <w:r w:rsidRPr="006F34A3">
        <w:t>approximately $8 billion of unsecured funded debt</w:t>
      </w:r>
      <w:r>
        <w:t xml:space="preserve"> to equity interests</w:t>
      </w:r>
      <w:r w:rsidRPr="006F34A3">
        <w:t xml:space="preserve">, leaving approximately $7.125 billion of funded debt </w:t>
      </w:r>
      <w:r>
        <w:t>and</w:t>
      </w:r>
      <w:r w:rsidRPr="006F34A3">
        <w:t xml:space="preserve"> a revolving credit facility with up to $500 million of availability.</w:t>
      </w:r>
      <w:r>
        <w:rPr>
          <w:rStyle w:val="FootnoteReference"/>
        </w:rPr>
        <w:footnoteReference w:id="9"/>
      </w:r>
    </w:p>
    <w:p w:rsidR="003422B0" w:rsidP="003422B0" w14:paraId="782049DC" w14:textId="5FC63F95">
      <w:pPr>
        <w:pStyle w:val="ParaNum"/>
      </w:pPr>
      <w:r w:rsidRPr="006F34A3">
        <w:t>Intelsat</w:t>
      </w:r>
      <w:r>
        <w:t xml:space="preserve"> DIP</w:t>
      </w:r>
      <w:r w:rsidRPr="006F34A3">
        <w:t xml:space="preserve"> </w:t>
      </w:r>
      <w:r>
        <w:t xml:space="preserve">plans to emerge </w:t>
      </w:r>
      <w:r w:rsidRPr="006F34A3">
        <w:t>from bankruptcy with a new ultimate parent company</w:t>
      </w:r>
      <w:r>
        <w:t xml:space="preserve">, </w:t>
      </w:r>
      <w:r w:rsidR="00465761">
        <w:rPr>
          <w:szCs w:val="22"/>
        </w:rPr>
        <w:t>Restructured</w:t>
      </w:r>
      <w:r w:rsidR="00194FBB">
        <w:t xml:space="preserve"> </w:t>
      </w:r>
      <w:r>
        <w:t xml:space="preserve">Intelsat, </w:t>
      </w:r>
      <w:r w:rsidRPr="00690080">
        <w:t>a Luxembourg company</w:t>
      </w:r>
      <w:r>
        <w:t xml:space="preserve"> </w:t>
      </w:r>
      <w:r w:rsidRPr="006F34A3">
        <w:t xml:space="preserve">that </w:t>
      </w:r>
      <w:r>
        <w:t>would</w:t>
      </w:r>
      <w:r w:rsidRPr="006F34A3">
        <w:t xml:space="preserve"> be privately held by the creditors receiving equity in </w:t>
      </w:r>
      <w:r w:rsidR="00465761">
        <w:rPr>
          <w:szCs w:val="22"/>
        </w:rPr>
        <w:t>Restructured</w:t>
      </w:r>
      <w:r w:rsidRPr="006F34A3" w:rsidR="00194FBB">
        <w:t xml:space="preserve"> </w:t>
      </w:r>
      <w:r w:rsidRPr="006F34A3">
        <w:t xml:space="preserve">Intelsat as a result of the </w:t>
      </w:r>
      <w:r>
        <w:t>restructuring plan</w:t>
      </w:r>
      <w:r w:rsidRPr="006F34A3">
        <w:t>.</w:t>
      </w:r>
      <w:r>
        <w:rPr>
          <w:rStyle w:val="FootnoteReference"/>
        </w:rPr>
        <w:footnoteReference w:id="10"/>
      </w:r>
      <w:r w:rsidRPr="006F34A3">
        <w:t xml:space="preserve"> </w:t>
      </w:r>
      <w:r>
        <w:t xml:space="preserve"> </w:t>
      </w:r>
      <w:r w:rsidRPr="006F34A3">
        <w:t>Pacific Investment Management Company LLC (PIMCO)</w:t>
      </w:r>
      <w:r>
        <w:t xml:space="preserve">, a Delaware limited liability company serving as the investment advisor for its managed funds, would </w:t>
      </w:r>
      <w:r w:rsidRPr="006F34A3">
        <w:t xml:space="preserve">indirectly hold approximately 32.8% of the voting and equity interests in </w:t>
      </w:r>
      <w:r w:rsidR="00465761">
        <w:rPr>
          <w:szCs w:val="22"/>
        </w:rPr>
        <w:t>Restructured</w:t>
      </w:r>
      <w:r w:rsidRPr="006F34A3" w:rsidR="00194FBB">
        <w:t xml:space="preserve"> </w:t>
      </w:r>
      <w:r w:rsidRPr="006F34A3">
        <w:t>Intelsat.</w:t>
      </w:r>
      <w:r>
        <w:rPr>
          <w:rStyle w:val="FootnoteReference"/>
        </w:rPr>
        <w:footnoteReference w:id="11"/>
      </w:r>
      <w:r w:rsidRPr="006F34A3">
        <w:t xml:space="preserve"> </w:t>
      </w:r>
      <w:r>
        <w:t xml:space="preserve"> </w:t>
      </w:r>
      <w:r w:rsidRPr="006F34A3">
        <w:t>The ultimate parent of PIMCO is Allianz SE, a German company</w:t>
      </w:r>
      <w:r>
        <w:t>.</w:t>
      </w:r>
      <w:r>
        <w:rPr>
          <w:rStyle w:val="FootnoteReference"/>
        </w:rPr>
        <w:footnoteReference w:id="12"/>
      </w:r>
      <w:r w:rsidRPr="006F34A3">
        <w:t xml:space="preserve"> </w:t>
      </w:r>
      <w:r>
        <w:t xml:space="preserve"> </w:t>
      </w:r>
      <w:r w:rsidRPr="006F34A3">
        <w:t xml:space="preserve">Other than companies in the PIMCO ownership chain, </w:t>
      </w:r>
      <w:r>
        <w:t>the Applicants</w:t>
      </w:r>
      <w:r w:rsidRPr="006F34A3">
        <w:t xml:space="preserve"> expect that no other shareholder </w:t>
      </w:r>
      <w:r>
        <w:t>would</w:t>
      </w:r>
      <w:r w:rsidRPr="006F34A3">
        <w:t xml:space="preserve"> directly or indirectly hold 10% or more of the voting or equity interests in </w:t>
      </w:r>
      <w:r w:rsidR="00465761">
        <w:rPr>
          <w:szCs w:val="22"/>
        </w:rPr>
        <w:t>Restructured</w:t>
      </w:r>
      <w:r w:rsidRPr="006F34A3" w:rsidR="00194FBB">
        <w:t xml:space="preserve"> </w:t>
      </w:r>
      <w:r w:rsidRPr="006F34A3">
        <w:t>Intelsat.</w:t>
      </w:r>
      <w:r>
        <w:rPr>
          <w:rStyle w:val="FootnoteReference"/>
        </w:rPr>
        <w:footnoteReference w:id="13"/>
      </w:r>
    </w:p>
    <w:p w:rsidR="003422B0" w:rsidRPr="003422B0" w:rsidP="003422B0" w14:paraId="5ACC9018" w14:textId="1DDDD5D0">
      <w:pPr>
        <w:pStyle w:val="Heading2"/>
      </w:pPr>
      <w:r>
        <w:t>Intelsat and ITSO</w:t>
      </w:r>
    </w:p>
    <w:p w:rsidR="00872980" w:rsidP="00925389" w14:paraId="5D2889EC" w14:textId="538225DF">
      <w:pPr>
        <w:pStyle w:val="ParaNum"/>
      </w:pPr>
      <w:r>
        <w:t xml:space="preserve">Intelsat </w:t>
      </w:r>
      <w:r w:rsidR="00977E6B">
        <w:t xml:space="preserve">License LLC, as debtor-in-possession, (Intelsat License </w:t>
      </w:r>
      <w:r>
        <w:t>DIP</w:t>
      </w:r>
      <w:r w:rsidR="00977E6B">
        <w:t>)</w:t>
      </w:r>
      <w:r>
        <w:t xml:space="preserve"> is </w:t>
      </w:r>
      <w:r w:rsidR="00977E6B">
        <w:t>a</w:t>
      </w:r>
      <w:r>
        <w:t xml:space="preserve"> successor </w:t>
      </w:r>
      <w:r w:rsidR="00351792">
        <w:t xml:space="preserve">to </w:t>
      </w:r>
      <w:r w:rsidRPr="0054427A">
        <w:t>INTELSAT</w:t>
      </w:r>
      <w:r w:rsidR="00351792">
        <w:t xml:space="preserve">, an </w:t>
      </w:r>
      <w:r w:rsidRPr="00351792" w:rsidR="00351792">
        <w:t xml:space="preserve">intergovernmental organization </w:t>
      </w:r>
      <w:r w:rsidR="00351792">
        <w:t xml:space="preserve">created </w:t>
      </w:r>
      <w:r w:rsidRPr="00351792" w:rsidR="00351792">
        <w:t>in 1973 to operate a global commercial telecommunications system</w:t>
      </w:r>
      <w:r>
        <w:t>.</w:t>
      </w:r>
      <w:r>
        <w:rPr>
          <w:rStyle w:val="FootnoteReference"/>
        </w:rPr>
        <w:footnoteReference w:id="14"/>
      </w:r>
      <w:r>
        <w:t xml:space="preserve">  </w:t>
      </w:r>
      <w:r w:rsidR="00351792">
        <w:t>In 2001, INTELSAT was privatized.</w:t>
      </w:r>
      <w:r>
        <w:rPr>
          <w:rStyle w:val="FootnoteReference"/>
        </w:rPr>
        <w:footnoteReference w:id="15"/>
      </w:r>
      <w:r w:rsidR="00351792">
        <w:t xml:space="preserve">  </w:t>
      </w:r>
      <w:r w:rsidR="001560BC">
        <w:t xml:space="preserve">In connection with </w:t>
      </w:r>
      <w:r w:rsidR="00937F33">
        <w:t xml:space="preserve">its </w:t>
      </w:r>
      <w:r w:rsidR="001560BC">
        <w:t xml:space="preserve">privatization, </w:t>
      </w:r>
      <w:r w:rsidR="00867A7F">
        <w:t xml:space="preserve">the </w:t>
      </w:r>
      <w:r w:rsidR="00937F33">
        <w:t>company</w:t>
      </w:r>
      <w:r w:rsidRPr="002527E0" w:rsidR="002527E0">
        <w:t xml:space="preserve"> </w:t>
      </w:r>
      <w:r w:rsidR="00937F33">
        <w:t xml:space="preserve">entered into a </w:t>
      </w:r>
      <w:r w:rsidRPr="00A67F4E" w:rsidR="00937F33">
        <w:t>Public Services Agreement</w:t>
      </w:r>
      <w:r w:rsidR="00937F33">
        <w:t xml:space="preserve"> with the </w:t>
      </w:r>
      <w:r w:rsidR="00867A7F">
        <w:t>International Telecommunications Satellite Organization (ITSO)</w:t>
      </w:r>
      <w:r w:rsidR="00937F33">
        <w:t>.</w:t>
      </w:r>
      <w:r>
        <w:rPr>
          <w:rStyle w:val="FootnoteReference"/>
        </w:rPr>
        <w:footnoteReference w:id="16"/>
      </w:r>
      <w:r w:rsidR="00867A7F">
        <w:t xml:space="preserve"> </w:t>
      </w:r>
      <w:r w:rsidR="00937F33">
        <w:t xml:space="preserve"> </w:t>
      </w:r>
      <w:r w:rsidR="000665BB">
        <w:t xml:space="preserve">Through the Public Services Agreement, ITSO supervises the company’s compliance with </w:t>
      </w:r>
      <w:r w:rsidR="008D0B7D">
        <w:t xml:space="preserve">its </w:t>
      </w:r>
      <w:r w:rsidRPr="000665BB" w:rsidR="000665BB">
        <w:t>public service obligations</w:t>
      </w:r>
      <w:r w:rsidR="00642A52">
        <w:t xml:space="preserve">, </w:t>
      </w:r>
      <w:r w:rsidR="00B42B0D">
        <w:t>called</w:t>
      </w:r>
      <w:r w:rsidR="00642A52">
        <w:t xml:space="preserve"> “core principles.”</w:t>
      </w:r>
      <w:r>
        <w:rPr>
          <w:rStyle w:val="FootnoteReference"/>
        </w:rPr>
        <w:footnoteReference w:id="17"/>
      </w:r>
      <w:r w:rsidR="000665BB">
        <w:t xml:space="preserve">  </w:t>
      </w:r>
      <w:r w:rsidR="00B24A73">
        <w:t>T</w:t>
      </w:r>
      <w:r w:rsidRPr="00B24A73" w:rsidR="00B24A73">
        <w:t>he Public Services Agreement</w:t>
      </w:r>
      <w:r w:rsidR="00B24A73">
        <w:t xml:space="preserve"> also governs funding of ITSO by </w:t>
      </w:r>
      <w:r w:rsidR="0032761A">
        <w:t>the company</w:t>
      </w:r>
      <w:r w:rsidR="00B24A73">
        <w:t>.</w:t>
      </w:r>
      <w:r>
        <w:rPr>
          <w:rStyle w:val="FootnoteReference"/>
        </w:rPr>
        <w:footnoteReference w:id="18"/>
      </w:r>
      <w:r w:rsidR="003904A0">
        <w:t xml:space="preserve">  </w:t>
      </w:r>
      <w:r w:rsidR="00FF7540">
        <w:t>Any dispute</w:t>
      </w:r>
      <w:r w:rsidR="00FA3245">
        <w:t xml:space="preserve"> </w:t>
      </w:r>
      <w:r w:rsidR="00143E2F">
        <w:t xml:space="preserve">arising out of </w:t>
      </w:r>
      <w:r w:rsidR="00FF7540">
        <w:t xml:space="preserve">the Public Services Agreement that </w:t>
      </w:r>
      <w:r w:rsidR="001B4ABB">
        <w:t>is</w:t>
      </w:r>
      <w:r w:rsidR="00FF7540">
        <w:t xml:space="preserve"> not resolved through negotiation </w:t>
      </w:r>
      <w:r w:rsidR="00F17EA7">
        <w:t xml:space="preserve">between the company and ITSO </w:t>
      </w:r>
      <w:r>
        <w:t>“shall be settled by arbitration.”</w:t>
      </w:r>
      <w:r>
        <w:rPr>
          <w:rStyle w:val="FootnoteReference"/>
        </w:rPr>
        <w:footnoteReference w:id="19"/>
      </w:r>
    </w:p>
    <w:p w:rsidR="000D31EB" w:rsidP="00925389" w14:paraId="196680A2" w14:textId="498CB904">
      <w:pPr>
        <w:pStyle w:val="ParaNum"/>
      </w:pPr>
      <w:r>
        <w:t>Intelsat space station licenses</w:t>
      </w:r>
      <w:r>
        <w:rPr>
          <w:rStyle w:val="FootnoteReference"/>
        </w:rPr>
        <w:footnoteReference w:id="20"/>
      </w:r>
      <w:r>
        <w:t xml:space="preserve"> </w:t>
      </w:r>
      <w:r w:rsidR="0085578B">
        <w:t>are conditioned upon the company remaining a signatory to the Public Services Agreement</w:t>
      </w:r>
      <w:r w:rsidR="009C66DD">
        <w:t>.</w:t>
      </w:r>
      <w:r>
        <w:rPr>
          <w:rStyle w:val="FootnoteReference"/>
        </w:rPr>
        <w:footnoteReference w:id="21"/>
      </w:r>
      <w:r w:rsidR="009C66DD">
        <w:t xml:space="preserve">  In addition,</w:t>
      </w:r>
      <w:r w:rsidR="0085578B">
        <w:t xml:space="preserve"> </w:t>
      </w:r>
      <w:r w:rsidR="009C66DD">
        <w:t xml:space="preserve">no </w:t>
      </w:r>
      <w:r w:rsidR="0085578B">
        <w:t xml:space="preserve">entity will be considered a </w:t>
      </w:r>
      <w:r w:rsidRPr="0085578B" w:rsidR="0085578B">
        <w:t xml:space="preserve">successor-in-interest to </w:t>
      </w:r>
      <w:r w:rsidRPr="00911A12" w:rsidR="00911A12">
        <w:t xml:space="preserve">the original signatory to the </w:t>
      </w:r>
      <w:r w:rsidR="00911A12">
        <w:t>Public Services Agreement</w:t>
      </w:r>
      <w:r w:rsidRPr="00911A12" w:rsidR="00911A12">
        <w:t xml:space="preserve"> </w:t>
      </w:r>
      <w:r w:rsidRPr="0085578B" w:rsidR="0085578B">
        <w:t>under the ITSO Agreement for licensing purposes unless it has undertaken to perform the obligations of the Public Services Agreement</w:t>
      </w:r>
      <w:r w:rsidR="0085578B">
        <w:t>.</w:t>
      </w:r>
      <w:r>
        <w:rPr>
          <w:rStyle w:val="FootnoteReference"/>
        </w:rPr>
        <w:footnoteReference w:id="22"/>
      </w:r>
      <w:r w:rsidR="0085578B">
        <w:t xml:space="preserve">  </w:t>
      </w:r>
      <w:r w:rsidR="00B32F0B">
        <w:t xml:space="preserve">These conditions </w:t>
      </w:r>
      <w:r w:rsidR="006E56A5">
        <w:t>are</w:t>
      </w:r>
      <w:r w:rsidRPr="006E56A5" w:rsidR="006E56A5">
        <w:t xml:space="preserve"> intended to ensure compliance with the ITSO Agreement to which the United States is a party</w:t>
      </w:r>
      <w:r w:rsidR="006E56A5">
        <w:t>.</w:t>
      </w:r>
      <w:r>
        <w:rPr>
          <w:rStyle w:val="FootnoteReference"/>
        </w:rPr>
        <w:footnoteReference w:id="23"/>
      </w:r>
      <w:r w:rsidR="006E56A5">
        <w:t xml:space="preserve"> </w:t>
      </w:r>
      <w:r w:rsidRPr="006E56A5" w:rsidR="006E56A5">
        <w:t xml:space="preserve"> </w:t>
      </w:r>
      <w:r w:rsidR="006E56A5">
        <w:t xml:space="preserve">They </w:t>
      </w:r>
      <w:r w:rsidR="00E97720">
        <w:t>“</w:t>
      </w:r>
      <w:r w:rsidR="00B32F0B">
        <w:t>are not intended to serve as an enforcement mechanism for the Public Services Agreement between ITSO and Intelsat or in any way to modify the contractual relationship between Intelsat and ITSO.”</w:t>
      </w:r>
      <w:r>
        <w:rPr>
          <w:rStyle w:val="FootnoteReference"/>
        </w:rPr>
        <w:footnoteReference w:id="24"/>
      </w:r>
    </w:p>
    <w:p w:rsidR="003422B0" w:rsidRPr="003422B0" w:rsidP="003422B0" w14:paraId="270A38A5" w14:textId="57A9F356">
      <w:pPr>
        <w:pStyle w:val="Heading2"/>
      </w:pPr>
      <w:r>
        <w:t>Application Review Process</w:t>
      </w:r>
    </w:p>
    <w:p w:rsidR="009F1FAD" w:rsidRPr="005F7FA4" w:rsidP="009B5684" w14:paraId="4C574780" w14:textId="58ED8F4B">
      <w:pPr>
        <w:pStyle w:val="ParaNum"/>
        <w:rPr>
          <w:u w:val="single"/>
        </w:rPr>
      </w:pPr>
      <w:r>
        <w:t>The Application</w:t>
      </w:r>
      <w:r w:rsidR="00733EC1">
        <w:t>s were</w:t>
      </w:r>
      <w:r>
        <w:t xml:space="preserve"> accepted for filing o</w:t>
      </w:r>
      <w:r w:rsidR="00ED033F">
        <w:t>n September 24, 2021.</w:t>
      </w:r>
      <w:r>
        <w:rPr>
          <w:rStyle w:val="FootnoteReference"/>
        </w:rPr>
        <w:footnoteReference w:id="25"/>
      </w:r>
      <w:r w:rsidR="00300EAD">
        <w:t xml:space="preserve">  </w:t>
      </w:r>
      <w:r>
        <w:t>T</w:t>
      </w:r>
      <w:r w:rsidRPr="00EE7A3E" w:rsidR="00EE7A3E">
        <w:t>he Chair of the Assembly of Parties</w:t>
      </w:r>
      <w:r w:rsidR="00694064">
        <w:t xml:space="preserve"> </w:t>
      </w:r>
      <w:r w:rsidR="00EE7A3E">
        <w:t xml:space="preserve">of ITSO </w:t>
      </w:r>
      <w:r w:rsidR="00694064">
        <w:t xml:space="preserve">(ITSO Chair) </w:t>
      </w:r>
      <w:r w:rsidR="00741769">
        <w:t>filed comments</w:t>
      </w:r>
      <w:r w:rsidR="00930BC6">
        <w:t>,</w:t>
      </w:r>
      <w:r>
        <w:rPr>
          <w:rStyle w:val="FootnoteReference"/>
        </w:rPr>
        <w:footnoteReference w:id="26"/>
      </w:r>
      <w:r w:rsidR="00741769">
        <w:t xml:space="preserve"> </w:t>
      </w:r>
      <w:r w:rsidR="00930BC6">
        <w:t>and</w:t>
      </w:r>
      <w:r w:rsidR="008B7D9D">
        <w:t xml:space="preserve"> </w:t>
      </w:r>
      <w:r w:rsidRPr="006B505C" w:rsidR="006B505C">
        <w:t xml:space="preserve">Intelsat License </w:t>
      </w:r>
      <w:r w:rsidR="00400DC4">
        <w:t>DIP</w:t>
      </w:r>
      <w:r w:rsidRPr="006B505C" w:rsidR="006B505C">
        <w:t xml:space="preserve"> </w:t>
      </w:r>
      <w:r w:rsidR="00741769">
        <w:t>filed reply comments.</w:t>
      </w:r>
      <w:r>
        <w:rPr>
          <w:rStyle w:val="FootnoteReference"/>
        </w:rPr>
        <w:footnoteReference w:id="27"/>
      </w:r>
    </w:p>
    <w:p w:rsidR="00B37153" w:rsidRPr="00930BC6" w:rsidP="00B37153" w14:paraId="366683D0" w14:textId="307D38D2">
      <w:pPr>
        <w:pStyle w:val="ParaNum"/>
      </w:pPr>
      <w:r>
        <w:t xml:space="preserve">The ITSO </w:t>
      </w:r>
      <w:r w:rsidR="007F7FA5">
        <w:t>Chair</w:t>
      </w:r>
      <w:r w:rsidR="00672F5B">
        <w:t xml:space="preserve">’s comments relate to an ongoing </w:t>
      </w:r>
      <w:r w:rsidR="009D6976">
        <w:t>disagreement</w:t>
      </w:r>
      <w:r w:rsidR="00672F5B">
        <w:t xml:space="preserve"> </w:t>
      </w:r>
      <w:r w:rsidR="00911A12">
        <w:t>over funding of ITSO under the Public Services Agreement</w:t>
      </w:r>
      <w:r w:rsidR="0000796C">
        <w:t>.</w:t>
      </w:r>
      <w:r w:rsidR="00672F5B">
        <w:t xml:space="preserve">  </w:t>
      </w:r>
      <w:r w:rsidR="009D6976">
        <w:t>The ITSO Chair describes particular difficulties that ITSO experienced because of uncertainties caused by the bankruptcy proceeding.</w:t>
      </w:r>
      <w:r>
        <w:rPr>
          <w:rStyle w:val="FootnoteReference"/>
        </w:rPr>
        <w:footnoteReference w:id="28"/>
      </w:r>
      <w:r w:rsidR="009D6976">
        <w:t xml:space="preserve">  The ITSO Chair also states that, </w:t>
      </w:r>
      <w:r w:rsidRPr="00A526D5" w:rsidR="009D6976">
        <w:t>since June 2021</w:t>
      </w:r>
      <w:r w:rsidR="009D6976">
        <w:t>, only “</w:t>
      </w:r>
      <w:r w:rsidRPr="00A526D5" w:rsidR="009D6976">
        <w:t>insufficient funding</w:t>
      </w:r>
      <w:r w:rsidR="009D6976">
        <w:t xml:space="preserve">” </w:t>
      </w:r>
      <w:r w:rsidR="00A15A9B">
        <w:t xml:space="preserve">has been offered </w:t>
      </w:r>
      <w:r w:rsidR="009D6976">
        <w:t>on “</w:t>
      </w:r>
      <w:r w:rsidRPr="009D6976" w:rsidR="009D6976">
        <w:t>totally unacceptable</w:t>
      </w:r>
      <w:r w:rsidR="009D6976">
        <w:t>” terms which has resulted in the current lack of a funding agreement for ITSO.</w:t>
      </w:r>
      <w:r>
        <w:rPr>
          <w:rStyle w:val="FootnoteReference"/>
        </w:rPr>
        <w:footnoteReference w:id="29"/>
      </w:r>
      <w:r w:rsidR="009A2022">
        <w:t xml:space="preserve">  </w:t>
      </w:r>
      <w:r w:rsidR="0049567B">
        <w:t xml:space="preserve">The ITSO Chair argues that this </w:t>
      </w:r>
      <w:r w:rsidR="0049567B">
        <w:t xml:space="preserve">proceeding must confirm </w:t>
      </w:r>
      <w:r w:rsidRPr="00FE644E" w:rsidR="0049567B">
        <w:t xml:space="preserve">Intelsat’s obligations in the </w:t>
      </w:r>
      <w:r w:rsidRPr="0085578B" w:rsidR="0049567B">
        <w:t>Public Services Agreement</w:t>
      </w:r>
      <w:r w:rsidRPr="00FE644E" w:rsidR="0049567B">
        <w:t xml:space="preserve">, </w:t>
      </w:r>
      <w:r w:rsidR="0049567B">
        <w:t>“</w:t>
      </w:r>
      <w:r w:rsidRPr="00FE644E" w:rsidR="0049567B">
        <w:t xml:space="preserve">including funding </w:t>
      </w:r>
      <w:r w:rsidR="00E557C2">
        <w:t>[ITSO]</w:t>
      </w:r>
      <w:r w:rsidRPr="00FE644E" w:rsidR="0049567B">
        <w:t xml:space="preserve"> at appropriate levels and on reasonable terms.</w:t>
      </w:r>
      <w:r w:rsidR="0049567B">
        <w:t>”</w:t>
      </w:r>
      <w:r>
        <w:rPr>
          <w:rStyle w:val="FootnoteReference"/>
        </w:rPr>
        <w:footnoteReference w:id="30"/>
      </w:r>
      <w:r w:rsidRPr="00B37153" w:rsidR="0049567B">
        <w:t xml:space="preserve"> </w:t>
      </w:r>
      <w:r w:rsidR="0049567B">
        <w:t xml:space="preserve"> </w:t>
      </w:r>
      <w:r>
        <w:t xml:space="preserve">The ITSO Chair relates a request of the ITSO </w:t>
      </w:r>
      <w:r w:rsidRPr="009A2022">
        <w:t xml:space="preserve">Assembly of Parties in August 2020 </w:t>
      </w:r>
      <w:r>
        <w:t>to</w:t>
      </w:r>
      <w:r w:rsidRPr="009A2022">
        <w:t xml:space="preserve"> </w:t>
      </w:r>
      <w:r>
        <w:t>“</w:t>
      </w:r>
      <w:r w:rsidR="009E637B">
        <w:t>‘</w:t>
      </w:r>
      <w:r w:rsidRPr="009A2022">
        <w:t xml:space="preserve">the U.S. and U.K. Notifying Administrations (a) to endeavor to ensure that Intelsat remains party to a </w:t>
      </w:r>
      <w:r>
        <w:t>[Public Services Agreement]</w:t>
      </w:r>
      <w:r w:rsidRPr="009A2022">
        <w:t xml:space="preserve"> with ITSO, consistent with applicable domestic procedures of the respective Parties; and (b) to approve conditioning the execution of any new </w:t>
      </w:r>
      <w:r>
        <w:t>[Public Services Agreement]</w:t>
      </w:r>
      <w:r w:rsidRPr="009A2022">
        <w:t xml:space="preserve"> with post-bankruptcy Intelsat on the payment of all outstanding obligations accrued by ITSO prior thereto, taking into consideration the national regulations of the Notifying Administrations.</w:t>
      </w:r>
      <w:r w:rsidR="009E637B">
        <w:t>’</w:t>
      </w:r>
      <w:r w:rsidRPr="009A2022">
        <w:t>”</w:t>
      </w:r>
      <w:r>
        <w:rPr>
          <w:rStyle w:val="FootnoteReference"/>
        </w:rPr>
        <w:footnoteReference w:id="31"/>
      </w:r>
      <w:r>
        <w:t xml:space="preserve">  Finally, the ITSO Chair </w:t>
      </w:r>
      <w:r w:rsidRPr="00A3615B">
        <w:t>request</w:t>
      </w:r>
      <w:r>
        <w:t xml:space="preserve">s that </w:t>
      </w:r>
      <w:r w:rsidR="00580416">
        <w:t>the Commission</w:t>
      </w:r>
      <w:r>
        <w:t xml:space="preserve"> note </w:t>
      </w:r>
      <w:r w:rsidRPr="00A3615B">
        <w:t xml:space="preserve">that the transfer of control </w:t>
      </w:r>
      <w:r>
        <w:t>“</w:t>
      </w:r>
      <w:r w:rsidRPr="00A3615B">
        <w:t xml:space="preserve">will be </w:t>
      </w:r>
      <w:r w:rsidRPr="004A1310">
        <w:t>subject to confirmation</w:t>
      </w:r>
      <w:r>
        <w:t xml:space="preserve"> </w:t>
      </w:r>
      <w:r w:rsidRPr="00A3615B">
        <w:t>by the Assembly of Parties of ITSO.</w:t>
      </w:r>
      <w:r>
        <w:t>”</w:t>
      </w:r>
      <w:r>
        <w:rPr>
          <w:rStyle w:val="FootnoteReference"/>
        </w:rPr>
        <w:footnoteReference w:id="32"/>
      </w:r>
    </w:p>
    <w:p w:rsidR="003F28B9" w:rsidP="00A00C38" w14:paraId="3F345257" w14:textId="23F844B7">
      <w:pPr>
        <w:pStyle w:val="ParaNum"/>
      </w:pPr>
      <w:r>
        <w:t xml:space="preserve">In reply comments, </w:t>
      </w:r>
      <w:r w:rsidRPr="001C0B68">
        <w:t xml:space="preserve">Intelsat License </w:t>
      </w:r>
      <w:r>
        <w:t xml:space="preserve">DIP argues that approval </w:t>
      </w:r>
      <w:r w:rsidR="00FA5211">
        <w:t>of the Application</w:t>
      </w:r>
      <w:r w:rsidR="00733EC1">
        <w:t>s</w:t>
      </w:r>
      <w:r>
        <w:t xml:space="preserve"> will not affect </w:t>
      </w:r>
      <w:r w:rsidR="001642E6">
        <w:t>its</w:t>
      </w:r>
      <w:r>
        <w:t xml:space="preserve"> existing license conditions related to ITSO, the terms of the Public Services Agreement, or </w:t>
      </w:r>
      <w:r w:rsidR="001642E6">
        <w:t>its</w:t>
      </w:r>
      <w:r>
        <w:t xml:space="preserve"> adherence to the “</w:t>
      </w:r>
      <w:r w:rsidR="00FA5211">
        <w:t>c</w:t>
      </w:r>
      <w:r>
        <w:t xml:space="preserve">ore </w:t>
      </w:r>
      <w:r w:rsidR="00FA5211">
        <w:t>p</w:t>
      </w:r>
      <w:r>
        <w:t xml:space="preserve">rinciples” of non-discriminatory access to </w:t>
      </w:r>
      <w:r w:rsidR="005728B8">
        <w:t xml:space="preserve">the </w:t>
      </w:r>
      <w:r>
        <w:t>Intelsat system and global connectivity and coverage.</w:t>
      </w:r>
      <w:r>
        <w:rPr>
          <w:rStyle w:val="FootnoteReference"/>
        </w:rPr>
        <w:footnoteReference w:id="33"/>
      </w:r>
      <w:r w:rsidRPr="003F28B9">
        <w:t xml:space="preserve"> </w:t>
      </w:r>
      <w:r>
        <w:t xml:space="preserve"> Intelsat License DIP notes that Intelsat’s obligation under the </w:t>
      </w:r>
      <w:r w:rsidRPr="0085578B" w:rsidR="0049567B">
        <w:t>Public Services Agreement</w:t>
      </w:r>
      <w:r w:rsidR="0049567B">
        <w:t xml:space="preserve"> </w:t>
      </w:r>
      <w:r>
        <w:t>to fund ITSO is subject to negotiation, and</w:t>
      </w:r>
      <w:r w:rsidR="00FF5864">
        <w:t xml:space="preserve"> describes its perspective on </w:t>
      </w:r>
      <w:r w:rsidR="008148CC">
        <w:t>difficulties in arriving at agreement on a reasonable funding amount.</w:t>
      </w:r>
      <w:r>
        <w:rPr>
          <w:rStyle w:val="FootnoteReference"/>
        </w:rPr>
        <w:footnoteReference w:id="34"/>
      </w:r>
      <w:r>
        <w:t xml:space="preserve">  Intelsat License DIP </w:t>
      </w:r>
      <w:r w:rsidR="00192665">
        <w:t>contends</w:t>
      </w:r>
      <w:r>
        <w:t xml:space="preserve"> that the ITSO Chair’s </w:t>
      </w:r>
      <w:r w:rsidR="00BA42AB">
        <w:t xml:space="preserve">requests are not </w:t>
      </w:r>
      <w:r w:rsidR="00B84D22">
        <w:t>related</w:t>
      </w:r>
      <w:r w:rsidR="00BA42AB">
        <w:t xml:space="preserve"> to the Application</w:t>
      </w:r>
      <w:r w:rsidR="00A97D48">
        <w:t>s</w:t>
      </w:r>
      <w:r w:rsidR="00BA42AB">
        <w:t xml:space="preserve"> or Intelsat DIP’s emergence from bankruptcy</w:t>
      </w:r>
      <w:r w:rsidR="00551234">
        <w:t xml:space="preserve"> and</w:t>
      </w:r>
      <w:r w:rsidR="00BA42AB">
        <w:t xml:space="preserve"> </w:t>
      </w:r>
      <w:r w:rsidR="00551234">
        <w:t xml:space="preserve">therefore there is no basis in the Act or the Commission’s rules to </w:t>
      </w:r>
      <w:r w:rsidR="008148CC">
        <w:t>adopt conditions on the points raised by ITSO.</w:t>
      </w:r>
      <w:r>
        <w:rPr>
          <w:rStyle w:val="FootnoteReference"/>
        </w:rPr>
        <w:footnoteReference w:id="35"/>
      </w:r>
      <w:r w:rsidR="00551234">
        <w:t xml:space="preserve"> </w:t>
      </w:r>
      <w:r w:rsidR="00BA42AB">
        <w:t xml:space="preserve"> </w:t>
      </w:r>
      <w:r w:rsidR="00551234">
        <w:t xml:space="preserve">Intelsat License DIP </w:t>
      </w:r>
      <w:r w:rsidR="00BA42AB">
        <w:t>urges the Commission not to become involved in a contract dispute.</w:t>
      </w:r>
      <w:r>
        <w:rPr>
          <w:rStyle w:val="FootnoteReference"/>
        </w:rPr>
        <w:footnoteReference w:id="36"/>
      </w:r>
    </w:p>
    <w:p w:rsidR="007F7FA5" w:rsidRPr="007F7FA5" w:rsidP="00D56DE5" w14:paraId="11186B2E" w14:textId="7EAF8C7A">
      <w:pPr>
        <w:pStyle w:val="ParaNum"/>
      </w:pPr>
      <w:r>
        <w:t xml:space="preserve">Both </w:t>
      </w:r>
      <w:r w:rsidR="00921F7B">
        <w:t xml:space="preserve">the ITSO Chair and Intelsat </w:t>
      </w:r>
      <w:r w:rsidR="009037D9">
        <w:t xml:space="preserve">License </w:t>
      </w:r>
      <w:r w:rsidR="00921F7B">
        <w:t xml:space="preserve">DIP </w:t>
      </w:r>
      <w:r w:rsidR="009B31A8">
        <w:t>note</w:t>
      </w:r>
      <w:r>
        <w:t xml:space="preserve"> that arbitration</w:t>
      </w:r>
      <w:r w:rsidR="00921F7B">
        <w:t xml:space="preserve"> between the parties</w:t>
      </w:r>
      <w:r>
        <w:t xml:space="preserve">, not </w:t>
      </w:r>
      <w:r w:rsidR="00B0436C">
        <w:t xml:space="preserve">a </w:t>
      </w:r>
      <w:r>
        <w:t xml:space="preserve">U.S. domestic proceeding, </w:t>
      </w:r>
      <w:r>
        <w:t>“</w:t>
      </w:r>
      <w:r w:rsidRPr="007F7FA5">
        <w:t xml:space="preserve">was supposed to be the sole mechanism for resolving issues arising under the </w:t>
      </w:r>
      <w:r>
        <w:t>[Public Services Agreement]</w:t>
      </w:r>
      <w:r>
        <w:t>.</w:t>
      </w:r>
      <w:r>
        <w:t>”</w:t>
      </w:r>
      <w:r>
        <w:rPr>
          <w:rStyle w:val="FootnoteReference"/>
        </w:rPr>
        <w:footnoteReference w:id="37"/>
      </w:r>
    </w:p>
    <w:p w:rsidR="00300EAD" w:rsidP="009C44A6" w14:paraId="337B0947" w14:textId="4F593E51">
      <w:pPr>
        <w:pStyle w:val="ParaNum"/>
      </w:pPr>
      <w:r w:rsidRPr="00D7761E">
        <w:rPr>
          <w:i/>
        </w:rPr>
        <w:t xml:space="preserve">National Security, Law Enforcement, Foreign Policy and Trade Policy Review.  </w:t>
      </w:r>
      <w:r w:rsidRPr="00D7761E">
        <w:rPr>
          <w:szCs w:val="22"/>
        </w:rPr>
        <w:t>Pursuant to Commission practice, the Application</w:t>
      </w:r>
      <w:r w:rsidR="00733EC1">
        <w:rPr>
          <w:szCs w:val="22"/>
        </w:rPr>
        <w:t>s were</w:t>
      </w:r>
      <w:r w:rsidRPr="00D7761E">
        <w:rPr>
          <w:szCs w:val="22"/>
        </w:rPr>
        <w:t xml:space="preserve"> </w:t>
      </w:r>
      <w:r w:rsidRPr="00D7761E" w:rsidR="00C96621">
        <w:rPr>
          <w:szCs w:val="22"/>
        </w:rPr>
        <w:t xml:space="preserve">referred </w:t>
      </w:r>
      <w:r w:rsidRPr="00D7761E">
        <w:rPr>
          <w:szCs w:val="22"/>
        </w:rPr>
        <w:t xml:space="preserve">to the relevant Executive Branch agencies for their views on any national security, law enforcement, foreign policy, or trade policy concerns related to the foreign ownership of </w:t>
      </w:r>
      <w:r w:rsidR="00465761">
        <w:rPr>
          <w:szCs w:val="22"/>
        </w:rPr>
        <w:t>Restructured</w:t>
      </w:r>
      <w:r w:rsidRPr="00D7761E" w:rsidR="00194FBB">
        <w:rPr>
          <w:szCs w:val="22"/>
        </w:rPr>
        <w:t xml:space="preserve"> </w:t>
      </w:r>
      <w:r w:rsidRPr="00D7761E">
        <w:rPr>
          <w:szCs w:val="22"/>
        </w:rPr>
        <w:t>Intelsat.</w:t>
      </w:r>
      <w:r>
        <w:rPr>
          <w:szCs w:val="22"/>
          <w:vertAlign w:val="superscript"/>
        </w:rPr>
        <w:footnoteReference w:id="38"/>
      </w:r>
      <w:r w:rsidRPr="00D7761E">
        <w:rPr>
          <w:szCs w:val="22"/>
        </w:rPr>
        <w:t xml:space="preserve">  </w:t>
      </w:r>
      <w:r w:rsidRPr="00D7761E">
        <w:rPr>
          <w:iCs/>
        </w:rPr>
        <w:t xml:space="preserve">On </w:t>
      </w:r>
      <w:r w:rsidRPr="00D7761E" w:rsidR="004A2462">
        <w:rPr>
          <w:iCs/>
        </w:rPr>
        <w:t>September 30, 2021</w:t>
      </w:r>
      <w:r w:rsidRPr="00D7761E">
        <w:rPr>
          <w:iCs/>
        </w:rPr>
        <w:t xml:space="preserve">, </w:t>
      </w:r>
      <w:r>
        <w:t xml:space="preserve">the </w:t>
      </w:r>
      <w:r w:rsidRPr="004A2462" w:rsidR="004A2462">
        <w:t>Committee for the Assessment of Foreign Participation in the United States Telecommunications Services Sector</w:t>
      </w:r>
      <w:r w:rsidRPr="00D7761E">
        <w:rPr>
          <w:szCs w:val="22"/>
        </w:rPr>
        <w:t xml:space="preserve"> </w:t>
      </w:r>
      <w:r w:rsidRPr="00D7761E" w:rsidR="00660D11">
        <w:rPr>
          <w:szCs w:val="22"/>
        </w:rPr>
        <w:t xml:space="preserve">(Committee) </w:t>
      </w:r>
      <w:r w:rsidRPr="00D7761E">
        <w:rPr>
          <w:szCs w:val="22"/>
        </w:rPr>
        <w:t>notified the Commission that it was reviewing the Application</w:t>
      </w:r>
      <w:r w:rsidR="00733EC1">
        <w:rPr>
          <w:szCs w:val="22"/>
        </w:rPr>
        <w:t>s</w:t>
      </w:r>
      <w:r w:rsidR="008902A5">
        <w:rPr>
          <w:szCs w:val="22"/>
        </w:rPr>
        <w:t xml:space="preserve"> </w:t>
      </w:r>
      <w:r w:rsidRPr="00D31E62" w:rsidR="008902A5">
        <w:rPr>
          <w:snapToGrid/>
          <w:kern w:val="0"/>
          <w:szCs w:val="22"/>
        </w:rPr>
        <w:t>for any national security and law enforcement concerns that may be raised by foreign participation in the United States telecommunications services sector and requested that the Commission defer action on the Application</w:t>
      </w:r>
      <w:r w:rsidR="008902A5">
        <w:rPr>
          <w:snapToGrid/>
          <w:kern w:val="0"/>
          <w:szCs w:val="22"/>
        </w:rPr>
        <w:t>s</w:t>
      </w:r>
      <w:r>
        <w:t>.</w:t>
      </w:r>
      <w:r>
        <w:rPr>
          <w:rStyle w:val="FootnoteReference"/>
          <w:szCs w:val="22"/>
        </w:rPr>
        <w:footnoteReference w:id="39"/>
      </w:r>
      <w:r>
        <w:t xml:space="preserve">  </w:t>
      </w:r>
      <w:r w:rsidRPr="00D31E62" w:rsidR="00EE6C09">
        <w:rPr>
          <w:snapToGrid/>
          <w:kern w:val="0"/>
          <w:szCs w:val="22"/>
        </w:rPr>
        <w:t>We deferred action on the Application</w:t>
      </w:r>
      <w:r w:rsidR="00EE6C09">
        <w:rPr>
          <w:snapToGrid/>
          <w:kern w:val="0"/>
          <w:szCs w:val="22"/>
        </w:rPr>
        <w:t>s</w:t>
      </w:r>
      <w:r w:rsidRPr="00D31E62" w:rsidR="00EE6C09">
        <w:rPr>
          <w:snapToGrid/>
          <w:kern w:val="0"/>
          <w:szCs w:val="22"/>
        </w:rPr>
        <w:t xml:space="preserve"> in response to this request from the Committee.</w:t>
      </w:r>
      <w:r w:rsidR="00EE6C09">
        <w:rPr>
          <w:snapToGrid/>
          <w:kern w:val="0"/>
          <w:szCs w:val="22"/>
        </w:rPr>
        <w:t xml:space="preserve">  </w:t>
      </w:r>
      <w:r>
        <w:t xml:space="preserve">Subsequently, on </w:t>
      </w:r>
      <w:r w:rsidRPr="004A2462" w:rsidR="004A2462">
        <w:t>October 20, 2021</w:t>
      </w:r>
      <w:r>
        <w:t xml:space="preserve">, the Committee notified the Commission that </w:t>
      </w:r>
      <w:r w:rsidR="00402730">
        <w:t>the Applicants</w:t>
      </w:r>
      <w:r>
        <w:t xml:space="preserve"> provided complete responses to the Committee’s initial questions and that it was conducting its review to assess whether granting the </w:t>
      </w:r>
      <w:r w:rsidR="00660D11">
        <w:t>Application</w:t>
      </w:r>
      <w:r w:rsidR="00A97D48">
        <w:t>s</w:t>
      </w:r>
      <w:r>
        <w:t xml:space="preserve"> </w:t>
      </w:r>
      <w:r w:rsidR="00960C68">
        <w:t>would</w:t>
      </w:r>
      <w:r>
        <w:t xml:space="preserve"> pose a risk to the national security or law enforcement interests of the United States.</w:t>
      </w:r>
      <w:r>
        <w:rPr>
          <w:rStyle w:val="FootnoteReference"/>
          <w:szCs w:val="22"/>
        </w:rPr>
        <w:footnoteReference w:id="40"/>
      </w:r>
      <w:r>
        <w:t xml:space="preserve">  On </w:t>
      </w:r>
      <w:r w:rsidR="00016AE7">
        <w:t>February 2, 2022</w:t>
      </w:r>
      <w:r>
        <w:t xml:space="preserve">, the National Telecommunications and Information </w:t>
      </w:r>
      <w:r w:rsidRPr="00591E93">
        <w:rPr>
          <w:szCs w:val="22"/>
        </w:rPr>
        <w:t>Administration (NTIA) submitted a Petition to Adopt Conditions on behalf of the Committee</w:t>
      </w:r>
      <w:r w:rsidRPr="000E0359" w:rsidR="00B05AB0">
        <w:rPr>
          <w:szCs w:val="22"/>
        </w:rPr>
        <w:t xml:space="preserve"> (Committee </w:t>
      </w:r>
      <w:r w:rsidRPr="00633338" w:rsidR="00B05AB0">
        <w:rPr>
          <w:szCs w:val="22"/>
        </w:rPr>
        <w:t>Petition)</w:t>
      </w:r>
      <w:r>
        <w:t>.</w:t>
      </w:r>
      <w:r>
        <w:rPr>
          <w:rStyle w:val="FootnoteReference"/>
        </w:rPr>
        <w:footnoteReference w:id="41"/>
      </w:r>
      <w:r>
        <w:t xml:space="preserve">  In this filing the Committee advised the Commission that it has no objection to grant of the </w:t>
      </w:r>
      <w:r w:rsidR="00402730">
        <w:t>Application</w:t>
      </w:r>
      <w:r w:rsidR="00733EC1">
        <w:t>s</w:t>
      </w:r>
      <w:r>
        <w:t xml:space="preserve">, provided that the Commission condition its approval on the assurance of </w:t>
      </w:r>
      <w:r w:rsidR="00402730">
        <w:t>Intelsat</w:t>
      </w:r>
      <w:r>
        <w:t xml:space="preserve"> </w:t>
      </w:r>
      <w:r w:rsidR="005D2C93">
        <w:t xml:space="preserve">S.A. </w:t>
      </w:r>
      <w:r>
        <w:t xml:space="preserve">to abide by the commitments and undertakings set forth in the </w:t>
      </w:r>
      <w:r w:rsidRPr="00016AE7" w:rsidR="00016AE7">
        <w:t>January 18, 2022</w:t>
      </w:r>
      <w:r>
        <w:t xml:space="preserve">, </w:t>
      </w:r>
      <w:r w:rsidRPr="00591E93">
        <w:rPr>
          <w:szCs w:val="22"/>
        </w:rPr>
        <w:t xml:space="preserve">Letter of Agreement </w:t>
      </w:r>
      <w:r w:rsidRPr="00411A75" w:rsidR="00CE4A31">
        <w:rPr>
          <w:szCs w:val="22"/>
        </w:rPr>
        <w:t xml:space="preserve">setting </w:t>
      </w:r>
      <w:r w:rsidRPr="00900697" w:rsidR="00CE4A31">
        <w:rPr>
          <w:szCs w:val="22"/>
        </w:rPr>
        <w:t xml:space="preserve">forth the commitments that Intelsat S.A., New </w:t>
      </w:r>
      <w:r w:rsidRPr="00900697" w:rsidR="00CE4A31">
        <w:rPr>
          <w:szCs w:val="22"/>
        </w:rPr>
        <w:t>TopCo</w:t>
      </w:r>
      <w:r w:rsidRPr="00900697" w:rsidR="00CE4A31">
        <w:rPr>
          <w:szCs w:val="22"/>
        </w:rPr>
        <w:t xml:space="preserve"> S.A., and Intelsat S.A. subsidiaries make to the Department of Justice, including the Federal Bureau of Investigation, the Department of Homeland Security and the Department of Defense </w:t>
      </w:r>
      <w:r w:rsidRPr="00591E93" w:rsidR="00B05AB0">
        <w:rPr>
          <w:szCs w:val="22"/>
        </w:rPr>
        <w:t>(LOA)</w:t>
      </w:r>
      <w:r>
        <w:t>.</w:t>
      </w:r>
      <w:r>
        <w:rPr>
          <w:rStyle w:val="FootnoteReference"/>
        </w:rPr>
        <w:footnoteReference w:id="42"/>
      </w:r>
    </w:p>
    <w:p w:rsidR="00DC05EC" w:rsidP="00DC05EC" w14:paraId="1E0ECC5E" w14:textId="232A0C16">
      <w:pPr>
        <w:pStyle w:val="Heading1"/>
      </w:pPr>
      <w:r>
        <w:t>DISCUSSION</w:t>
      </w:r>
    </w:p>
    <w:p w:rsidR="004E45E4" w:rsidRPr="00700E96" w:rsidP="004E45E4" w14:paraId="73F740DA" w14:textId="2DB87EC5">
      <w:pPr>
        <w:pStyle w:val="ParaNum"/>
        <w:widowControl/>
      </w:pPr>
      <w:r w:rsidRPr="0052690D">
        <w:rPr>
          <w:i/>
          <w:iCs/>
        </w:rPr>
        <w:t>Standard of Review.</w:t>
      </w:r>
      <w:r>
        <w:t xml:space="preserve">  </w:t>
      </w:r>
      <w:r>
        <w:t xml:space="preserve">Under </w:t>
      </w:r>
      <w:r w:rsidRPr="00A60E7D" w:rsidR="00A60E7D">
        <w:t>sections 214(a)</w:t>
      </w:r>
      <w:r w:rsidR="00A60E7D">
        <w:t xml:space="preserve"> and </w:t>
      </w:r>
      <w:r>
        <w:t xml:space="preserve">310(d) of the </w:t>
      </w:r>
      <w:r w:rsidR="00D967FC">
        <w:t xml:space="preserve">Communications </w:t>
      </w:r>
      <w:r>
        <w:t>Act</w:t>
      </w:r>
      <w:r w:rsidR="00D967FC">
        <w:t xml:space="preserve"> of 1934</w:t>
      </w:r>
      <w:r>
        <w:t>,</w:t>
      </w:r>
      <w:r w:rsidR="00D967FC">
        <w:t xml:space="preserve"> as amended (the Act)</w:t>
      </w:r>
      <w:r>
        <w:t xml:space="preserve"> we must determine whether the proposed transfer of control of </w:t>
      </w:r>
      <w:r w:rsidR="00F75EF0">
        <w:t>authorizations</w:t>
      </w:r>
      <w:r>
        <w:t xml:space="preserve"> from </w:t>
      </w:r>
      <w:r w:rsidR="0013476D">
        <w:rPr>
          <w:szCs w:val="22"/>
        </w:rPr>
        <w:t>Intelsat DIP</w:t>
      </w:r>
      <w:r w:rsidR="0013476D">
        <w:t xml:space="preserve"> </w:t>
      </w:r>
      <w:r>
        <w:t xml:space="preserve">to </w:t>
      </w:r>
      <w:r w:rsidR="00465761">
        <w:rPr>
          <w:szCs w:val="22"/>
        </w:rPr>
        <w:t>Restructured</w:t>
      </w:r>
      <w:r w:rsidR="00194FBB">
        <w:t xml:space="preserve"> </w:t>
      </w:r>
      <w:r w:rsidR="0013476D">
        <w:t>Intelsat</w:t>
      </w:r>
      <w:r>
        <w:t xml:space="preserve"> will serve the public interest, convenience, and necessity.</w:t>
      </w:r>
      <w:r>
        <w:rPr>
          <w:rStyle w:val="FootnoteReference"/>
        </w:rPr>
        <w:footnoteReference w:id="43"/>
      </w:r>
      <w:r>
        <w:t xml:space="preserve">  In making this determination, we </w:t>
      </w:r>
      <w:r w:rsidRPr="000C2646" w:rsidR="000C2646">
        <w:t xml:space="preserve">first assess </w:t>
      </w:r>
      <w:r w:rsidRPr="00E960BE">
        <w:t xml:space="preserve">whether the proposed transaction </w:t>
      </w:r>
      <w:r>
        <w:t xml:space="preserve">complies with </w:t>
      </w:r>
      <w:r w:rsidRPr="00E960BE">
        <w:t xml:space="preserve">the </w:t>
      </w:r>
      <w:r>
        <w:t xml:space="preserve">specific provisions of the </w:t>
      </w:r>
      <w:r w:rsidRPr="00E960BE">
        <w:t xml:space="preserve">Act, other applicable statutes, </w:t>
      </w:r>
      <w:r>
        <w:t xml:space="preserve">and </w:t>
      </w:r>
      <w:r w:rsidRPr="00E960BE">
        <w:t>the</w:t>
      </w:r>
      <w:r>
        <w:t xml:space="preserve"> </w:t>
      </w:r>
      <w:r w:rsidRPr="00E960BE">
        <w:t>Commission’s rules.</w:t>
      </w:r>
      <w:r>
        <w:rPr>
          <w:rStyle w:val="FootnoteReference"/>
        </w:rPr>
        <w:footnoteReference w:id="44"/>
      </w:r>
      <w:r>
        <w:t xml:space="preserve">  </w:t>
      </w:r>
      <w:r w:rsidRPr="00FD37B0">
        <w:rPr>
          <w:color w:val="000000" w:themeColor="text1"/>
          <w:szCs w:val="22"/>
        </w:rPr>
        <w:t>If the transaction does not violate a statute or rule, we consider whether the transaction could result in public interest harms by substantially frustrating or impairing the objectives or implementation of the Act or related statutes.</w:t>
      </w:r>
      <w:r>
        <w:rPr>
          <w:rFonts w:eastAsia="MS Mincho"/>
          <w:color w:val="000000" w:themeColor="text1"/>
          <w:szCs w:val="22"/>
          <w:vertAlign w:val="superscript"/>
          <w:lang w:eastAsia="ja-JP"/>
        </w:rPr>
        <w:footnoteReference w:id="45"/>
      </w:r>
      <w:r w:rsidRPr="00FD37B0">
        <w:rPr>
          <w:color w:val="000000" w:themeColor="text1"/>
          <w:szCs w:val="22"/>
        </w:rPr>
        <w:t xml:space="preserve">  We then employ a balancing test weighing any </w:t>
      </w:r>
      <w:r w:rsidRPr="00FD37B0">
        <w:rPr>
          <w:snapToGrid/>
          <w:color w:val="000000" w:themeColor="text1"/>
          <w:szCs w:val="22"/>
        </w:rPr>
        <w:t>potential</w:t>
      </w:r>
      <w:r w:rsidRPr="00FD37B0">
        <w:rPr>
          <w:color w:val="000000" w:themeColor="text1"/>
          <w:szCs w:val="22"/>
        </w:rPr>
        <w:t xml:space="preserve"> public interest harms of the proposed transaction against any potential public interest benefits.</w:t>
      </w:r>
      <w:r>
        <w:rPr>
          <w:rFonts w:eastAsia="MS Mincho"/>
          <w:color w:val="000000" w:themeColor="text1"/>
          <w:szCs w:val="22"/>
          <w:vertAlign w:val="superscript"/>
          <w:lang w:eastAsia="ja-JP"/>
        </w:rPr>
        <w:footnoteReference w:id="46"/>
      </w:r>
      <w:r w:rsidRPr="00FD37B0">
        <w:rPr>
          <w:rFonts w:eastAsia="MS Mincho"/>
          <w:color w:val="000000" w:themeColor="text1"/>
          <w:szCs w:val="22"/>
          <w:lang w:eastAsia="ja-JP"/>
        </w:rPr>
        <w:t xml:space="preserve">  </w:t>
      </w:r>
      <w:r w:rsidRPr="00FD37B0">
        <w:rPr>
          <w:color w:val="000000" w:themeColor="text1"/>
          <w:szCs w:val="22"/>
        </w:rPr>
        <w:t>The Applicants bear the burden of proving, by a preponderance of the evidence, that the proposed transaction, on balance, serves the public interest.</w:t>
      </w:r>
      <w:r>
        <w:rPr>
          <w:rStyle w:val="FootnoteReference"/>
          <w:color w:val="000000" w:themeColor="text1"/>
          <w:szCs w:val="22"/>
        </w:rPr>
        <w:footnoteReference w:id="47"/>
      </w:r>
    </w:p>
    <w:p w:rsidR="009A3EE5" w:rsidP="0026752E" w14:paraId="45B865EB" w14:textId="6E80ADF2">
      <w:pPr>
        <w:pStyle w:val="ParaNum"/>
        <w:widowControl/>
      </w:pPr>
      <w:r w:rsidRPr="00491C41">
        <w:rPr>
          <w:i/>
          <w:iCs/>
        </w:rPr>
        <w:t>Overall Analysis.</w:t>
      </w:r>
      <w:r>
        <w:t xml:space="preserve">  </w:t>
      </w:r>
      <w:r w:rsidR="00491C41">
        <w:t>After review of the Application</w:t>
      </w:r>
      <w:r w:rsidR="00A97D48">
        <w:t>s</w:t>
      </w:r>
      <w:r w:rsidR="00491C41">
        <w:t xml:space="preserve"> and the record, we conclude that grant of the Application</w:t>
      </w:r>
      <w:r w:rsidR="00A97D48">
        <w:t>s</w:t>
      </w:r>
      <w:r w:rsidR="00491C41">
        <w:t xml:space="preserve"> will serve the public interest.  </w:t>
      </w:r>
      <w:r>
        <w:t xml:space="preserve">It is the Commission’s longstanding practice to “support the bankruptcy laws, and where possible to accommodate them in a manner that is consistent </w:t>
      </w:r>
      <w:r>
        <w:t>with the Act.”</w:t>
      </w:r>
      <w:r>
        <w:rPr>
          <w:rStyle w:val="FootnoteReference"/>
        </w:rPr>
        <w:footnoteReference w:id="48"/>
      </w:r>
      <w:r>
        <w:t xml:space="preserve">  F</w:t>
      </w:r>
      <w:r w:rsidRPr="009013CF">
        <w:t xml:space="preserve">acilitating prompt emergence </w:t>
      </w:r>
      <w:r>
        <w:t xml:space="preserve">from bankruptcy </w:t>
      </w:r>
      <w:r w:rsidRPr="009013CF">
        <w:t>“advances the public interest by providing economic and social benefits, especially including the compensation of innocent creditors.”</w:t>
      </w:r>
      <w:r>
        <w:rPr>
          <w:rStyle w:val="FootnoteReference"/>
        </w:rPr>
        <w:footnoteReference w:id="49"/>
      </w:r>
      <w:r>
        <w:t xml:space="preserve">  </w:t>
      </w:r>
      <w:r w:rsidRPr="009013CF">
        <w:t xml:space="preserve">The public interest is further served </w:t>
      </w:r>
      <w:r>
        <w:t>because</w:t>
      </w:r>
      <w:r w:rsidRPr="009013CF">
        <w:t xml:space="preserve"> prompt emergence from bankruptcy is critical to the continued operation of </w:t>
      </w:r>
      <w:r>
        <w:t>authorized s</w:t>
      </w:r>
      <w:r w:rsidRPr="009013CF">
        <w:t>tations</w:t>
      </w:r>
      <w:r>
        <w:t>.</w:t>
      </w:r>
      <w:r>
        <w:rPr>
          <w:rStyle w:val="FootnoteReference"/>
        </w:rPr>
        <w:footnoteReference w:id="50"/>
      </w:r>
    </w:p>
    <w:p w:rsidR="003644FD" w:rsidP="0026752E" w14:paraId="58F4E1C2" w14:textId="3269C659">
      <w:pPr>
        <w:pStyle w:val="ParaNum"/>
        <w:widowControl/>
      </w:pPr>
      <w:r>
        <w:t>Granting the Application</w:t>
      </w:r>
      <w:r w:rsidR="00A97D48">
        <w:t>s</w:t>
      </w:r>
      <w:r>
        <w:t xml:space="preserve"> would not violate any statute or Commission rule, and we find that the Applicants are qualified to hold Commission licenses.</w:t>
      </w:r>
      <w:r>
        <w:rPr>
          <w:rStyle w:val="FootnoteReference"/>
        </w:rPr>
        <w:footnoteReference w:id="51"/>
      </w:r>
      <w:r>
        <w:t xml:space="preserve">  The Applicants argue that grant would </w:t>
      </w:r>
      <w:r w:rsidRPr="00F77FBE">
        <w:t xml:space="preserve">provide </w:t>
      </w:r>
      <w:r w:rsidR="00305617">
        <w:t xml:space="preserve">for </w:t>
      </w:r>
      <w:r w:rsidRPr="00F77FBE">
        <w:t xml:space="preserve">a new capital structure that </w:t>
      </w:r>
      <w:r>
        <w:t>would</w:t>
      </w:r>
      <w:r w:rsidRPr="00F77FBE">
        <w:t xml:space="preserve"> help reduce its debt</w:t>
      </w:r>
      <w:r>
        <w:t xml:space="preserve"> and </w:t>
      </w:r>
      <w:r w:rsidRPr="00F77FBE">
        <w:t>allow for continued service to customers</w:t>
      </w:r>
      <w:r>
        <w:t xml:space="preserve">, without creating </w:t>
      </w:r>
      <w:r w:rsidRPr="00C935E9">
        <w:t>competitive harm</w:t>
      </w:r>
      <w:r>
        <w:t>s</w:t>
      </w:r>
      <w:r w:rsidRPr="00F77FBE">
        <w:t>.</w:t>
      </w:r>
      <w:r>
        <w:rPr>
          <w:rStyle w:val="FootnoteReference"/>
        </w:rPr>
        <w:footnoteReference w:id="52"/>
      </w:r>
      <w:r>
        <w:t xml:space="preserve"> </w:t>
      </w:r>
      <w:r w:rsidRPr="00700E96">
        <w:t xml:space="preserve"> </w:t>
      </w:r>
      <w:r>
        <w:t>These claims are unchallenged</w:t>
      </w:r>
      <w:r w:rsidR="003B2186">
        <w:t xml:space="preserve">, and we find that emergence from bankruptcy under the court-approved restructuring plan </w:t>
      </w:r>
      <w:r w:rsidRPr="003B2186" w:rsidR="003B2186">
        <w:t>presents no substantial harms</w:t>
      </w:r>
      <w:r>
        <w:t>.</w:t>
      </w:r>
    </w:p>
    <w:p w:rsidR="005D5C95" w:rsidP="0092202A" w14:paraId="1EEB103D" w14:textId="1354D8F1">
      <w:pPr>
        <w:pStyle w:val="ParaNum"/>
        <w:widowControl/>
      </w:pPr>
      <w:r w:rsidRPr="005D5C95">
        <w:rPr>
          <w:i/>
          <w:iCs/>
        </w:rPr>
        <w:t>ITSO Conditions.</w:t>
      </w:r>
      <w:r>
        <w:t xml:space="preserve">  Emergence from bankruptcy should also alleviate difficulties identified by the ITSO Chair as resulting from the bankruptcy proceeding.</w:t>
      </w:r>
      <w:r>
        <w:rPr>
          <w:rStyle w:val="FootnoteReference"/>
        </w:rPr>
        <w:footnoteReference w:id="53"/>
      </w:r>
      <w:r>
        <w:t xml:space="preserve">  The company will have a more stable financial and legal position than previously, and the ITSO Chair does not raise any concerns specific to the restructuring plan or the associated ownership changes.  The</w:t>
      </w:r>
      <w:r w:rsidR="003C3502">
        <w:t xml:space="preserve"> </w:t>
      </w:r>
      <w:r>
        <w:t>space station license conditions related to ITSO will continue to apply, as they continued to apply through the Intelsat transfer of control approved in 2012.</w:t>
      </w:r>
      <w:r>
        <w:rPr>
          <w:rStyle w:val="FootnoteReference"/>
        </w:rPr>
        <w:footnoteReference w:id="54"/>
      </w:r>
      <w:r>
        <w:t xml:space="preserve">  These existing conditions, together with the fact that the Public Services Agreement between Intelsat License DIP and ITSO remains in effect and will not be among the contracts rejected as part of the bankruptcy process,</w:t>
      </w:r>
      <w:r>
        <w:rPr>
          <w:rStyle w:val="FootnoteReference"/>
        </w:rPr>
        <w:footnoteReference w:id="55"/>
      </w:r>
      <w:r>
        <w:t xml:space="preserve"> satisfy the first request of the ITSO Assembly of Parties that Intelsat </w:t>
      </w:r>
      <w:r w:rsidRPr="00B72F74">
        <w:t>remain party to a Public Services Agreement</w:t>
      </w:r>
      <w:r>
        <w:t xml:space="preserve">.  Regarding its second request, concerning repayment of incurred ITSO obligations, the Applicants do not present a new or modified </w:t>
      </w:r>
      <w:r w:rsidRPr="00833CFC">
        <w:t>Public Services Agreement</w:t>
      </w:r>
      <w:r>
        <w:t xml:space="preserve"> as part of this application, and are not seeking approval for any such changes in this application.  The ITSO-related conditions on Intelsat licenses have been in place for over a decade and will continue to </w:t>
      </w:r>
      <w:r w:rsidRPr="00303A86">
        <w:t>ensure compliance with the ITSO Agreement</w:t>
      </w:r>
      <w:r>
        <w:t>, which</w:t>
      </w:r>
      <w:r w:rsidRPr="00F92A47">
        <w:t xml:space="preserve"> </w:t>
      </w:r>
      <w:r>
        <w:t>provides, in part, that ITSO funding shall be obtained “through the Public Services Agreement.”</w:t>
      </w:r>
      <w:r>
        <w:rPr>
          <w:rStyle w:val="FootnoteReference"/>
        </w:rPr>
        <w:footnoteReference w:id="56"/>
      </w:r>
      <w:r>
        <w:t xml:space="preserve">  These conditions support the ITSO </w:t>
      </w:r>
      <w:r>
        <w:t>Agreement, the Public Services Agreement, ongoing discussions between the parties and, if necessary, the dispute resolution mechanism provided by the Public Services Agreement, which both parties recognize is arbitration.</w:t>
      </w:r>
      <w:r>
        <w:rPr>
          <w:rStyle w:val="FootnoteReference"/>
        </w:rPr>
        <w:footnoteReference w:id="57"/>
      </w:r>
      <w:r>
        <w:t xml:space="preserve">  </w:t>
      </w:r>
      <w:r w:rsidRPr="008130FB">
        <w:t>Although the ongoing controversy is understandably a matter of concern for the ITSO membership</w:t>
      </w:r>
      <w:r>
        <w:t>, the ITSO-related conditions on Intelsat space station licenses are not</w:t>
      </w:r>
      <w:r w:rsidRPr="008130FB">
        <w:t xml:space="preserve"> an </w:t>
      </w:r>
      <w:r>
        <w:t xml:space="preserve">additional </w:t>
      </w:r>
      <w:r w:rsidRPr="008130FB">
        <w:t>enforcement mechanism for the Public Services Agreement between ITSO and Intelsat</w:t>
      </w:r>
      <w:r>
        <w:t>.</w:t>
      </w:r>
      <w:r>
        <w:rPr>
          <w:rStyle w:val="FootnoteReference"/>
        </w:rPr>
        <w:footnoteReference w:id="58"/>
      </w:r>
      <w:r>
        <w:t xml:space="preserve"> </w:t>
      </w:r>
      <w:r w:rsidRPr="008130FB">
        <w:t xml:space="preserve"> </w:t>
      </w:r>
      <w:r>
        <w:t>Indeed, i</w:t>
      </w:r>
      <w:r w:rsidRPr="00862D7C">
        <w:t xml:space="preserve">t is long-standing Commission policy not to involve itself with </w:t>
      </w:r>
      <w:r>
        <w:t>particular</w:t>
      </w:r>
      <w:r w:rsidRPr="00862D7C">
        <w:t xml:space="preserve"> contract disputes</w:t>
      </w:r>
      <w:r>
        <w:t>, and we do not depart from that policy here.</w:t>
      </w:r>
      <w:r>
        <w:rPr>
          <w:rStyle w:val="FootnoteReference"/>
        </w:rPr>
        <w:footnoteReference w:id="59"/>
      </w:r>
      <w:r>
        <w:t xml:space="preserve">  </w:t>
      </w:r>
      <w:r w:rsidRPr="0093579C" w:rsidR="00315AEE">
        <w:t>However, consistent with the Commission‘s licensing authorities, in the event that Intelsat does not continue to remain in compliance with these existing licensing conditions the Commission</w:t>
      </w:r>
      <w:r w:rsidRPr="0093579C" w:rsidR="005B60FD">
        <w:t xml:space="preserve"> can</w:t>
      </w:r>
      <w:r w:rsidRPr="0093579C" w:rsidR="00315AEE">
        <w:t xml:space="preserve"> take appropriate licensing action.</w:t>
      </w:r>
      <w:r w:rsidRPr="00315AEE" w:rsidR="00315AEE">
        <w:t xml:space="preserve"> </w:t>
      </w:r>
      <w:r w:rsidR="00536C68">
        <w:t xml:space="preserve"> </w:t>
      </w:r>
      <w:r>
        <w:t>With respect to the ITSO Chair’s request that the Commission note that the transaction will be subject to confirmation by the ITSO Assembly of Parties, we note that Article 11 of the Public Services Agreement states that “[n]o party to this [Public Services Agreement] may assign any of its rights or obligations under this [Public Services Agreement] without the prior written consent of the other party hereto, which consent shall not be unreasonably withheld.”  On the assumption that the emergence from bankruptcy triggers an assignment within the meaning of the Public Services Agreement, and given the current status of the Public Services Agreement negotiations, it is expected that completion of any necessary steps related to this provision may occur at a later date.</w:t>
      </w:r>
    </w:p>
    <w:p w:rsidR="00193778" w:rsidRPr="009729BB" w:rsidP="009729BB" w14:paraId="34FD62D9" w14:textId="40BA3F6D">
      <w:pPr>
        <w:pStyle w:val="ParaNum"/>
        <w:widowControl/>
      </w:pPr>
      <w:r w:rsidRPr="00BA2FCC">
        <w:rPr>
          <w:i/>
          <w:iCs/>
        </w:rPr>
        <w:t>National Security, Law Enforcement, Foreign Policy and Trade Policy Issues</w:t>
      </w:r>
      <w:r>
        <w:t xml:space="preserve">.  </w:t>
      </w:r>
      <w:r w:rsidRPr="009729BB">
        <w:t>When analyzing a transfer of control or assignment application that includes foreign investment, we also consider public interest issues related to national security, law enforcement, foreign policy, or trade policy concerns.</w:t>
      </w:r>
      <w:r>
        <w:rPr>
          <w:sz w:val="20"/>
          <w:vertAlign w:val="superscript"/>
        </w:rPr>
        <w:footnoteReference w:id="60"/>
      </w:r>
      <w:r w:rsidRPr="009729BB">
        <w:t xml:space="preserve">  As part of our public interest analysis, the Commission coordinates with the relevant Executive Branch agencies that have expertise in these particular issues.</w:t>
      </w:r>
      <w:r>
        <w:rPr>
          <w:sz w:val="20"/>
          <w:vertAlign w:val="superscript"/>
        </w:rPr>
        <w:footnoteReference w:id="61"/>
      </w:r>
      <w:r w:rsidRPr="009729BB">
        <w:t xml:space="preserve">  The Commission accords deference to the expertise of these Executive Branch agencies in identifying issues related to national security, law enforcement, foreign policy, or trade policy concerns raised by the agencies.</w:t>
      </w:r>
      <w:r>
        <w:rPr>
          <w:sz w:val="20"/>
          <w:vertAlign w:val="superscript"/>
        </w:rPr>
        <w:footnoteReference w:id="62"/>
      </w:r>
      <w:r w:rsidRPr="00900697">
        <w:rPr>
          <w:vertAlign w:val="superscript"/>
        </w:rPr>
        <w:t xml:space="preserve"> </w:t>
      </w:r>
      <w:r w:rsidRPr="009729BB">
        <w:t xml:space="preserve"> The Commission, however, ultimately makes an independent decision on the application based on the record in the proceedings.</w:t>
      </w:r>
      <w:r>
        <w:rPr>
          <w:sz w:val="20"/>
          <w:vertAlign w:val="superscript"/>
        </w:rPr>
        <w:footnoteReference w:id="63"/>
      </w:r>
    </w:p>
    <w:p w:rsidR="00EC5D24" w:rsidP="00471E6D" w14:paraId="6CD008ED" w14:textId="71A6AEE9">
      <w:pPr>
        <w:pStyle w:val="ParaNum"/>
      </w:pPr>
      <w:r>
        <w:t>T</w:t>
      </w:r>
      <w:r w:rsidR="005628AD">
        <w:t>he Committee has reviewed the Application</w:t>
      </w:r>
      <w:r w:rsidR="00733EC1">
        <w:t>s</w:t>
      </w:r>
      <w:r w:rsidR="005628AD">
        <w:t xml:space="preserve"> and stated it has </w:t>
      </w:r>
      <w:r>
        <w:t xml:space="preserve">no </w:t>
      </w:r>
      <w:r w:rsidR="004931DF">
        <w:t xml:space="preserve">objection to the Commission </w:t>
      </w:r>
      <w:r>
        <w:t>granting</w:t>
      </w:r>
      <w:r w:rsidR="004931DF">
        <w:t xml:space="preserve"> the </w:t>
      </w:r>
      <w:r w:rsidR="005628AD">
        <w:t>Application</w:t>
      </w:r>
      <w:r w:rsidR="00A97D48">
        <w:t>s</w:t>
      </w:r>
      <w:r w:rsidR="004931DF">
        <w:t>, provided it conditions the grant on compliance with the LOA.</w:t>
      </w:r>
      <w:r w:rsidR="00181D37">
        <w:t xml:space="preserve">  </w:t>
      </w:r>
      <w:r w:rsidRPr="00D31E62">
        <w:t xml:space="preserve">In accordance with the </w:t>
      </w:r>
      <w:r>
        <w:t xml:space="preserve">Committee’s request, </w:t>
      </w:r>
      <w:r w:rsidRPr="00D31E62">
        <w:t xml:space="preserve">and in the absence of any objection from the </w:t>
      </w:r>
      <w:r>
        <w:t>Applicants</w:t>
      </w:r>
      <w:r w:rsidRPr="00D31E62">
        <w:t xml:space="preserve">, we grant the </w:t>
      </w:r>
      <w:r>
        <w:t xml:space="preserve">Committee </w:t>
      </w:r>
      <w:r w:rsidRPr="00D31E62">
        <w:t xml:space="preserve">Petition, and, accordingly, we condition grant of the </w:t>
      </w:r>
      <w:r>
        <w:t>Application</w:t>
      </w:r>
      <w:r w:rsidR="00733EC1">
        <w:t>s</w:t>
      </w:r>
      <w:r w:rsidRPr="00D31E62">
        <w:t xml:space="preserve"> on compliance by the </w:t>
      </w:r>
      <w:r>
        <w:t>Applicants</w:t>
      </w:r>
      <w:r w:rsidRPr="00D31E62">
        <w:t xml:space="preserve"> with the commitments and undertakings set out in the LOA.</w:t>
      </w:r>
      <w:r>
        <w:rPr>
          <w:rStyle w:val="FootnoteReference"/>
        </w:rPr>
        <w:footnoteReference w:id="64"/>
      </w:r>
      <w:r>
        <w:t xml:space="preserve"> </w:t>
      </w:r>
      <w:r w:rsidRPr="00D31E62">
        <w:t xml:space="preserve"> A failure to comply with and/or remain in compliance with any of the provisions of the LOA shall constitute a failure to meet a condition of this grant</w:t>
      </w:r>
      <w:r>
        <w:t xml:space="preserve"> and</w:t>
      </w:r>
      <w:r w:rsidRPr="00D31E62">
        <w:t xml:space="preserve"> the underlying authorizations and thus grounds for declaring the underlying authorizations</w:t>
      </w:r>
      <w:r>
        <w:t xml:space="preserve"> </w:t>
      </w:r>
      <w:r w:rsidRPr="00D31E62">
        <w:t>terminated without further action on the part of the Commission.  Failure to meet a condition of this grant and the authorizations may also result in monetary sanctions or other enforcement action by the Commission.</w:t>
      </w:r>
    </w:p>
    <w:p w:rsidR="00DE063C" w:rsidP="00677F80" w14:paraId="20D3FB24" w14:textId="600F4DBB">
      <w:pPr>
        <w:pStyle w:val="Heading1"/>
      </w:pPr>
      <w:r>
        <w:t xml:space="preserve">CONCLUSION AND ORDERING CLAUSES </w:t>
      </w:r>
    </w:p>
    <w:p w:rsidR="00DE063C" w:rsidP="007E2AE4" w14:paraId="0A957F59" w14:textId="15DC6C9E">
      <w:pPr>
        <w:pStyle w:val="ParaNum"/>
      </w:pPr>
      <w:r>
        <w:t>Upon review of the Application</w:t>
      </w:r>
      <w:r w:rsidR="00A97D48">
        <w:t>s</w:t>
      </w:r>
      <w:r>
        <w:t xml:space="preserve"> and the record, we conclude that grant of the Application</w:t>
      </w:r>
      <w:r w:rsidR="00A97D48">
        <w:t>s</w:t>
      </w:r>
      <w:r>
        <w:t xml:space="preserve"> </w:t>
      </w:r>
      <w:r w:rsidRPr="00571D6B">
        <w:t>serve</w:t>
      </w:r>
      <w:r>
        <w:t>s</w:t>
      </w:r>
      <w:r w:rsidRPr="00571D6B">
        <w:t xml:space="preserve"> the public interest, convenience, and necessity</w:t>
      </w:r>
      <w:r>
        <w:t>.</w:t>
      </w:r>
      <w:r>
        <w:rPr>
          <w:rStyle w:val="FootnoteReference"/>
          <w:szCs w:val="22"/>
        </w:rPr>
        <w:footnoteReference w:id="65"/>
      </w:r>
    </w:p>
    <w:p w:rsidR="00556643" w:rsidP="00DE063C" w14:paraId="14F58E00" w14:textId="62EDBDBA">
      <w:pPr>
        <w:pStyle w:val="ParaNum"/>
      </w:pPr>
      <w:r w:rsidRPr="001F5335">
        <w:t xml:space="preserve">Accordingly, IT IS ORDERED, pursuant to </w:t>
      </w:r>
      <w:r w:rsidR="00907E6E">
        <w:t>s</w:t>
      </w:r>
      <w:r w:rsidRPr="001F5335">
        <w:t xml:space="preserve">ections 4(i) and (j), </w:t>
      </w:r>
      <w:r w:rsidRPr="001C568C" w:rsidR="001C568C">
        <w:t>214</w:t>
      </w:r>
      <w:r w:rsidR="001C568C">
        <w:t xml:space="preserve">, </w:t>
      </w:r>
      <w:r w:rsidRPr="001F5335">
        <w:t xml:space="preserve">303(r), 309, and 310(d) of the Communications Act of 1934, as amended, 47 U.S.C. §§ 154(i), 154(j), </w:t>
      </w:r>
      <w:r w:rsidRPr="001C568C" w:rsidR="001C568C">
        <w:t>214</w:t>
      </w:r>
      <w:r w:rsidR="001C568C">
        <w:t xml:space="preserve">, </w:t>
      </w:r>
      <w:r w:rsidRPr="001F5335">
        <w:t xml:space="preserve">303(r), 309, 310(d), and </w:t>
      </w:r>
      <w:r>
        <w:t>s</w:t>
      </w:r>
      <w:r w:rsidRPr="001F5335">
        <w:t>ection</w:t>
      </w:r>
      <w:r>
        <w:t xml:space="preserve">s </w:t>
      </w:r>
      <w:r w:rsidRPr="001C568C" w:rsidR="001C568C">
        <w:t xml:space="preserve">1.948(c), </w:t>
      </w:r>
      <w:r w:rsidRPr="00017776" w:rsidR="00017776">
        <w:t xml:space="preserve">1.40001-04, </w:t>
      </w:r>
      <w:r w:rsidRPr="001C568C" w:rsidR="001C568C">
        <w:t xml:space="preserve">5.79, 25.119, 25.137(g), </w:t>
      </w:r>
      <w:r w:rsidR="00E866E2">
        <w:t xml:space="preserve">63.18, </w:t>
      </w:r>
      <w:r w:rsidRPr="001C568C" w:rsidR="001C568C">
        <w:t>63.24</w:t>
      </w:r>
      <w:r w:rsidR="00017776">
        <w:t>,</w:t>
      </w:r>
      <w:r w:rsidR="001C568C">
        <w:t xml:space="preserve"> </w:t>
      </w:r>
      <w:r w:rsidRPr="001F5335">
        <w:t>of the Commission’s rules, 47 CFR §</w:t>
      </w:r>
      <w:r w:rsidRPr="005E4F71">
        <w:t>§</w:t>
      </w:r>
      <w:r>
        <w:t xml:space="preserve"> </w:t>
      </w:r>
      <w:r w:rsidRPr="001C568C" w:rsidR="001C568C">
        <w:t xml:space="preserve">1.948(c), </w:t>
      </w:r>
      <w:r w:rsidR="00017776">
        <w:rPr>
          <w:szCs w:val="22"/>
        </w:rPr>
        <w:t xml:space="preserve">1.40001-04, </w:t>
      </w:r>
      <w:r w:rsidRPr="001C568C" w:rsidR="001C568C">
        <w:t xml:space="preserve">5.79, 25.119, 25.137(g), </w:t>
      </w:r>
      <w:r w:rsidR="00E866E2">
        <w:t xml:space="preserve">63.18, </w:t>
      </w:r>
      <w:r w:rsidRPr="001C568C" w:rsidR="001C568C">
        <w:t>63.24</w:t>
      </w:r>
      <w:r w:rsidRPr="001F5335">
        <w:t xml:space="preserve">, </w:t>
      </w:r>
      <w:r w:rsidRPr="00BF2DAD" w:rsidR="003166C4">
        <w:rPr>
          <w:szCs w:val="22"/>
        </w:rPr>
        <w:t xml:space="preserve">and pursuant to the authority delegated under sections </w:t>
      </w:r>
      <w:r w:rsidR="003166C4">
        <w:rPr>
          <w:szCs w:val="22"/>
        </w:rPr>
        <w:t xml:space="preserve">0.31, </w:t>
      </w:r>
      <w:r w:rsidRPr="00BF2DAD" w:rsidR="003166C4">
        <w:rPr>
          <w:szCs w:val="22"/>
        </w:rPr>
        <w:t xml:space="preserve">0.51, 0.131, </w:t>
      </w:r>
      <w:r w:rsidR="003166C4">
        <w:rPr>
          <w:szCs w:val="22"/>
        </w:rPr>
        <w:t xml:space="preserve">0.241, </w:t>
      </w:r>
      <w:r w:rsidRPr="00BF2DAD" w:rsidR="003166C4">
        <w:rPr>
          <w:szCs w:val="22"/>
        </w:rPr>
        <w:t xml:space="preserve">0.261, and 0.331 of the Commission’s rules, 47 CFR §§ </w:t>
      </w:r>
      <w:r w:rsidR="003166C4">
        <w:rPr>
          <w:szCs w:val="22"/>
        </w:rPr>
        <w:t xml:space="preserve">0.31, </w:t>
      </w:r>
      <w:r w:rsidRPr="00BF2DAD" w:rsidR="003166C4">
        <w:rPr>
          <w:szCs w:val="22"/>
        </w:rPr>
        <w:t xml:space="preserve">0.51, 0.131, </w:t>
      </w:r>
      <w:r w:rsidR="003166C4">
        <w:rPr>
          <w:szCs w:val="22"/>
        </w:rPr>
        <w:t xml:space="preserve">0.241, </w:t>
      </w:r>
      <w:r w:rsidRPr="00BF2DAD" w:rsidR="003166C4">
        <w:rPr>
          <w:szCs w:val="22"/>
        </w:rPr>
        <w:t xml:space="preserve">0.261, 0.331, </w:t>
      </w:r>
      <w:r w:rsidRPr="001F5335">
        <w:t xml:space="preserve">that the </w:t>
      </w:r>
      <w:r w:rsidRPr="0002372B">
        <w:t xml:space="preserve">Applications of </w:t>
      </w:r>
      <w:r w:rsidRPr="00DA314E" w:rsidR="00DA314E">
        <w:t xml:space="preserve">Intelsat DIP </w:t>
      </w:r>
      <w:r w:rsidRPr="000415EB" w:rsidR="000415EB">
        <w:t xml:space="preserve">and </w:t>
      </w:r>
      <w:r w:rsidR="00465761">
        <w:rPr>
          <w:szCs w:val="22"/>
        </w:rPr>
        <w:t>Restructured</w:t>
      </w:r>
      <w:r w:rsidRPr="00DA314E" w:rsidR="00194FBB">
        <w:t xml:space="preserve"> </w:t>
      </w:r>
      <w:r w:rsidRPr="00DA314E" w:rsidR="00DA314E">
        <w:t xml:space="preserve">Intelsat </w:t>
      </w:r>
      <w:r w:rsidRPr="0002372B">
        <w:t xml:space="preserve">for Consent to </w:t>
      </w:r>
      <w:r w:rsidR="000415EB">
        <w:t xml:space="preserve">the </w:t>
      </w:r>
      <w:r w:rsidRPr="000415EB" w:rsidR="000415EB">
        <w:t xml:space="preserve">Assignment </w:t>
      </w:r>
      <w:r w:rsidR="000415EB">
        <w:t xml:space="preserve">and </w:t>
      </w:r>
      <w:r w:rsidRPr="0002372B">
        <w:t xml:space="preserve">Transfer Control of </w:t>
      </w:r>
      <w:r w:rsidRPr="000415EB" w:rsidR="000415EB">
        <w:t xml:space="preserve">Authorizations </w:t>
      </w:r>
      <w:r>
        <w:t>ARE</w:t>
      </w:r>
      <w:r w:rsidRPr="001F5335">
        <w:t xml:space="preserve"> GRANTED</w:t>
      </w:r>
      <w:r w:rsidRPr="0094543C" w:rsidR="0094543C">
        <w:rPr>
          <w:color w:val="3D3D3D"/>
          <w:szCs w:val="22"/>
          <w:shd w:val="clear" w:color="auto" w:fill="FFFFFF"/>
        </w:rPr>
        <w:t xml:space="preserve"> </w:t>
      </w:r>
      <w:r w:rsidRPr="00336C61" w:rsidR="0094543C">
        <w:rPr>
          <w:color w:val="3D3D3D"/>
          <w:szCs w:val="22"/>
          <w:shd w:val="clear" w:color="auto" w:fill="FFFFFF"/>
        </w:rPr>
        <w:t>to the extent specified and as conditioned in this Order</w:t>
      </w:r>
      <w:r w:rsidR="00907E6E">
        <w:t>.</w:t>
      </w:r>
      <w:r w:rsidRPr="00556643">
        <w:t xml:space="preserve"> </w:t>
      </w:r>
    </w:p>
    <w:p w:rsidR="002C0313" w:rsidP="00A24BE2" w14:paraId="28C4E2AC" w14:textId="21BF2EF6">
      <w:pPr>
        <w:pStyle w:val="ParaNum"/>
      </w:pPr>
      <w:r>
        <w:t xml:space="preserve">IT IS FURTHER ORDERED that, </w:t>
      </w:r>
      <w:r w:rsidRPr="00556643">
        <w:t xml:space="preserve">pursuant to </w:t>
      </w:r>
      <w:r>
        <w:t>s</w:t>
      </w:r>
      <w:r w:rsidRPr="00556643">
        <w:t>ections 4(i) and (j), 214, 303(r), 309, and 310(d) of the Communications Act of 1934, as amended, 47 U.S.C. §§ 154(i), 154(j), 214, 303(r), 309, 310(d),</w:t>
      </w:r>
      <w:r w:rsidRPr="002C0313">
        <w:t xml:space="preserve"> </w:t>
      </w:r>
      <w:r w:rsidRPr="001F5335" w:rsidR="004F4D0A">
        <w:t xml:space="preserve">and </w:t>
      </w:r>
      <w:r w:rsidR="004F4D0A">
        <w:t>s</w:t>
      </w:r>
      <w:r w:rsidRPr="001F5335" w:rsidR="004F4D0A">
        <w:t>ection</w:t>
      </w:r>
      <w:r w:rsidR="004F4D0A">
        <w:t xml:space="preserve">s </w:t>
      </w:r>
      <w:r w:rsidRPr="001C568C" w:rsidR="004F4D0A">
        <w:t>0.241</w:t>
      </w:r>
      <w:r w:rsidR="004F4D0A">
        <w:t xml:space="preserve">, </w:t>
      </w:r>
      <w:r w:rsidRPr="005E4F71" w:rsidR="004F4D0A">
        <w:t>0.261</w:t>
      </w:r>
      <w:r w:rsidR="004F4D0A">
        <w:t xml:space="preserve">, </w:t>
      </w:r>
      <w:r w:rsidRPr="004A0AFC" w:rsidR="004F4D0A">
        <w:t>0.331</w:t>
      </w:r>
      <w:r w:rsidR="004F4D0A">
        <w:t xml:space="preserve">, </w:t>
      </w:r>
      <w:r w:rsidRPr="001C568C" w:rsidR="004F4D0A">
        <w:t xml:space="preserve">1.948(c), </w:t>
      </w:r>
      <w:r w:rsidRPr="00017776" w:rsidR="004F4D0A">
        <w:t xml:space="preserve">1.40001-04, </w:t>
      </w:r>
      <w:r w:rsidRPr="001C568C" w:rsidR="004F4D0A">
        <w:t xml:space="preserve">5.79, 25.119, 25.137(g), </w:t>
      </w:r>
      <w:r w:rsidR="00E866E2">
        <w:t xml:space="preserve">63.18, </w:t>
      </w:r>
      <w:r w:rsidRPr="001C568C" w:rsidR="004F4D0A">
        <w:t>63.24</w:t>
      </w:r>
      <w:r w:rsidR="004F4D0A">
        <w:t xml:space="preserve">, </w:t>
      </w:r>
      <w:r w:rsidRPr="001F5335" w:rsidR="004F4D0A">
        <w:t xml:space="preserve">of the Commission’s rules, 47 CFR </w:t>
      </w:r>
      <w:r w:rsidRPr="00FF14F7" w:rsidR="004F4D0A">
        <w:rPr>
          <w:szCs w:val="22"/>
        </w:rPr>
        <w:t>§</w:t>
      </w:r>
      <w:r w:rsidRPr="00945D4C" w:rsidR="004F4D0A">
        <w:rPr>
          <w:szCs w:val="22"/>
        </w:rPr>
        <w:t xml:space="preserve">§ 0.241, 0.261, 0.331, 1.948(c), </w:t>
      </w:r>
      <w:r w:rsidRPr="00FF14F7" w:rsidR="004F4D0A">
        <w:rPr>
          <w:szCs w:val="22"/>
        </w:rPr>
        <w:t xml:space="preserve">1.40001-04, </w:t>
      </w:r>
      <w:r w:rsidRPr="00945D4C" w:rsidR="004F4D0A">
        <w:rPr>
          <w:szCs w:val="22"/>
        </w:rPr>
        <w:t xml:space="preserve">5.79, 25.119, 25.137(g), </w:t>
      </w:r>
      <w:r w:rsidRPr="00691EF2" w:rsidR="00E866E2">
        <w:rPr>
          <w:szCs w:val="22"/>
        </w:rPr>
        <w:t xml:space="preserve">63.18, </w:t>
      </w:r>
      <w:r w:rsidRPr="00691EF2" w:rsidR="004F4D0A">
        <w:rPr>
          <w:szCs w:val="22"/>
        </w:rPr>
        <w:t xml:space="preserve">63.24, </w:t>
      </w:r>
      <w:r w:rsidRPr="00691EF2">
        <w:rPr>
          <w:szCs w:val="22"/>
        </w:rPr>
        <w:t>the Petition to Adopt Conditions filed by the National Telecommunications and Information Administration</w:t>
      </w:r>
      <w:r w:rsidRPr="00194FBB">
        <w:rPr>
          <w:szCs w:val="22"/>
        </w:rPr>
        <w:t xml:space="preserve"> on </w:t>
      </w:r>
      <w:r w:rsidRPr="00411A75" w:rsidR="003B67BF">
        <w:rPr>
          <w:szCs w:val="22"/>
        </w:rPr>
        <w:t>February 2, 2022</w:t>
      </w:r>
      <w:r w:rsidRPr="00411A75">
        <w:rPr>
          <w:szCs w:val="22"/>
        </w:rPr>
        <w:t>, IS GRANTED.</w:t>
      </w:r>
      <w:r w:rsidRPr="00411A75" w:rsidR="00301C75">
        <w:rPr>
          <w:szCs w:val="22"/>
        </w:rPr>
        <w:t xml:space="preserve">  Grant of the Applications IS CONDITIONED UPON compliance by Intelsat </w:t>
      </w:r>
      <w:r w:rsidRPr="00411A75" w:rsidR="005D2C93">
        <w:rPr>
          <w:szCs w:val="22"/>
        </w:rPr>
        <w:t xml:space="preserve">S.A. </w:t>
      </w:r>
      <w:r w:rsidRPr="00411A75" w:rsidR="00301C75">
        <w:rPr>
          <w:szCs w:val="22"/>
        </w:rPr>
        <w:t xml:space="preserve">with the commitments and undertakings set forth in the </w:t>
      </w:r>
      <w:r w:rsidRPr="00411A75" w:rsidR="003B67BF">
        <w:rPr>
          <w:szCs w:val="22"/>
        </w:rPr>
        <w:t>January 18, 2022</w:t>
      </w:r>
      <w:r w:rsidRPr="00411A75" w:rsidR="00301C75">
        <w:rPr>
          <w:szCs w:val="22"/>
        </w:rPr>
        <w:t xml:space="preserve">, </w:t>
      </w:r>
      <w:r w:rsidRPr="00900697" w:rsidR="00E866E2">
        <w:rPr>
          <w:szCs w:val="22"/>
        </w:rPr>
        <w:t xml:space="preserve">letter from Michelle Bryan, General Counsel and Chief Administrative Officer, Intelsat S.A., to Chief, Foreign Investment Review Section (FIRS), </w:t>
      </w:r>
      <w:r w:rsidRPr="00B047AE" w:rsidR="00B047AE">
        <w:rPr>
          <w:szCs w:val="22"/>
        </w:rPr>
        <w:t xml:space="preserve">Deputy Chief, Compliance and Enforcement (FIRS), On Behalf of the Assistant Attorney General for National Security, </w:t>
      </w:r>
      <w:r w:rsidRPr="00900697" w:rsidR="00E866E2">
        <w:rPr>
          <w:szCs w:val="22"/>
        </w:rPr>
        <w:t>Department of Justice, National Security Division, Under Secretary Robert Silvers, Office of Strategy, Policy, and Plans, Department of Homeland Security, and Office of Foreign Investment Review, Director Under Secretary of Acquisitions and Sustainment, Department of Defense (LOA)</w:t>
      </w:r>
      <w:r w:rsidRPr="00411A75" w:rsidR="00301C75">
        <w:rPr>
          <w:szCs w:val="22"/>
        </w:rPr>
        <w:t xml:space="preserve">.  </w:t>
      </w:r>
      <w:r w:rsidRPr="00411A75" w:rsidR="00EC5D24">
        <w:rPr>
          <w:szCs w:val="22"/>
        </w:rPr>
        <w:t>A failure to comply with and/or remain in compliance with any of the provisions of the LOA shall constitute a failure to meet a condition of this grant and the underlying authorizations and thus grounds for declaring the underlying authorizations</w:t>
      </w:r>
      <w:r w:rsidRPr="00EC5D24" w:rsidR="00EC5D24">
        <w:t xml:space="preserve"> terminated without further action on the part of the Commission.  Failure to meet a condition of this grant and the authorizations may also result in monetary sanctions or other enforcement action by the Commission.</w:t>
      </w:r>
    </w:p>
    <w:p w:rsidR="00B54567" w:rsidP="00A24BE2" w14:paraId="0DB387CC" w14:textId="567D65FF">
      <w:pPr>
        <w:pStyle w:val="ParaNum"/>
      </w:pPr>
      <w:r>
        <w:t xml:space="preserve">IT IS FURTHER ORDERED </w:t>
      </w:r>
      <w:r w:rsidR="00473A53">
        <w:t xml:space="preserve">that, </w:t>
      </w:r>
      <w:r w:rsidRPr="00B54567">
        <w:t xml:space="preserve">pursuant to sections 4(i) and (j), 303(r), 309, </w:t>
      </w:r>
      <w:r w:rsidR="00140DDE">
        <w:t xml:space="preserve">and </w:t>
      </w:r>
      <w:r w:rsidRPr="00B54567">
        <w:t>310(d)</w:t>
      </w:r>
      <w:r>
        <w:t xml:space="preserve"> </w:t>
      </w:r>
      <w:r w:rsidRPr="00B54567">
        <w:t>of the Communications Act of 1934, as amended, 47 U.S.C. §§ 154(i), 154(j), 303(r), 309, 310(d)</w:t>
      </w:r>
      <w:r>
        <w:t xml:space="preserve"> </w:t>
      </w:r>
      <w:r w:rsidRPr="00B54567">
        <w:t>and sections 0.261</w:t>
      </w:r>
      <w:r>
        <w:t xml:space="preserve"> and</w:t>
      </w:r>
      <w:r w:rsidRPr="00B54567">
        <w:t xml:space="preserve"> 25.119 of the Commission’s rules, 47 CFR §§ 0.261, 25.119, </w:t>
      </w:r>
      <w:r>
        <w:t xml:space="preserve">that the conditions specified in paragraph 13 of </w:t>
      </w:r>
      <w:r w:rsidRPr="00E24F3F">
        <w:rPr>
          <w:i/>
          <w:iCs/>
        </w:rPr>
        <w:t>Petition of the International Telecommunications Satellite Organization under Section 316 of the Communications Act, as Amended</w:t>
      </w:r>
      <w:r>
        <w:t xml:space="preserve">, Order of Modification, </w:t>
      </w:r>
      <w:r w:rsidRPr="0077034D">
        <w:t xml:space="preserve">23 FCC </w:t>
      </w:r>
      <w:r w:rsidRPr="0077034D">
        <w:t>Rcd</w:t>
      </w:r>
      <w:r w:rsidRPr="0077034D">
        <w:t xml:space="preserve"> 2764</w:t>
      </w:r>
      <w:r>
        <w:t xml:space="preserve">, </w:t>
      </w:r>
      <w:r w:rsidRPr="00B54567">
        <w:t>2770</w:t>
      </w:r>
      <w:r>
        <w:t xml:space="preserve">-71 (IB 2008), SHALL </w:t>
      </w:r>
      <w:r w:rsidR="00616192">
        <w:t xml:space="preserve">CONTINUE TO </w:t>
      </w:r>
      <w:r>
        <w:t>APPLY to</w:t>
      </w:r>
      <w:r w:rsidR="00616192">
        <w:t xml:space="preserve"> licenses </w:t>
      </w:r>
      <w:r w:rsidR="00263788">
        <w:t>that include such conditions prior to emergence from bankruptcy</w:t>
      </w:r>
      <w:r>
        <w:t>.</w:t>
      </w:r>
    </w:p>
    <w:p w:rsidR="00324B6D" w:rsidP="00324B6D" w14:paraId="387E561A" w14:textId="1DC7927C">
      <w:pPr>
        <w:pStyle w:val="ParaNum"/>
      </w:pPr>
      <w:r w:rsidRPr="001F5335">
        <w:t xml:space="preserve">IT IS FURTHER ORDERED that the above grant shall include authority for </w:t>
      </w:r>
      <w:r w:rsidR="00465761">
        <w:rPr>
          <w:szCs w:val="22"/>
        </w:rPr>
        <w:t>Restructured</w:t>
      </w:r>
      <w:r w:rsidRPr="00B017B0" w:rsidR="00194FBB">
        <w:t xml:space="preserve"> </w:t>
      </w:r>
      <w:r w:rsidRPr="00B017B0" w:rsidR="00B017B0">
        <w:t xml:space="preserve">Intelsat </w:t>
      </w:r>
      <w:r w:rsidRPr="001F5335">
        <w:t xml:space="preserve">to acquire control of: </w:t>
      </w:r>
      <w:r w:rsidR="00EF0F5B">
        <w:t xml:space="preserve"> </w:t>
      </w:r>
      <w:r w:rsidRPr="001F5335">
        <w:t xml:space="preserve">(a) any </w:t>
      </w:r>
      <w:r>
        <w:t>Intelsat DIP</w:t>
      </w:r>
      <w:r w:rsidRPr="009F29C1">
        <w:t xml:space="preserve"> </w:t>
      </w:r>
      <w:r w:rsidRPr="001F5335">
        <w:t>licenses and authorizations that may have been inadvertently omitted from the Application</w:t>
      </w:r>
      <w:r w:rsidR="00A97D48">
        <w:t>s</w:t>
      </w:r>
      <w:r w:rsidRPr="001F5335">
        <w:t xml:space="preserve">; (b) any licenses and authorizations issued to </w:t>
      </w:r>
      <w:r>
        <w:t>Intelsat DIP</w:t>
      </w:r>
      <w:r w:rsidRPr="009F29C1">
        <w:t xml:space="preserve"> </w:t>
      </w:r>
      <w:r w:rsidRPr="001F5335">
        <w:t>or its subsidiaries during the Commission’s consideration of the Application</w:t>
      </w:r>
      <w:r w:rsidR="00A97D48">
        <w:t>s</w:t>
      </w:r>
      <w:r w:rsidRPr="001F5335">
        <w:t xml:space="preserve"> or during the period required for consummation of the transaction following approval; and (c) any applications that have been filed by </w:t>
      </w:r>
      <w:r>
        <w:t>Intelsat DIP</w:t>
      </w:r>
      <w:r w:rsidRPr="009F29C1">
        <w:t xml:space="preserve"> </w:t>
      </w:r>
      <w:r w:rsidRPr="001F5335">
        <w:t>or its subsidiaries and that are pending at the time of consummation.</w:t>
      </w:r>
    </w:p>
    <w:p w:rsidR="00DE063C" w:rsidP="00DE063C" w14:paraId="563D6E13" w14:textId="59B821B4">
      <w:pPr>
        <w:pStyle w:val="ParaNum"/>
        <w:widowControl/>
        <w:spacing w:after="0"/>
      </w:pPr>
      <w:r w:rsidRPr="001F5335">
        <w:t xml:space="preserve">IT IS FURTHER ORDERED that this Order SHALL BE EFFECTIVE upon release, in accordance with </w:t>
      </w:r>
      <w:r>
        <w:t>s</w:t>
      </w:r>
      <w:r w:rsidRPr="001F5335">
        <w:t>ection 1.103 of the Commission’s rules, 47 CFR §</w:t>
      </w:r>
      <w:r>
        <w:t> </w:t>
      </w:r>
      <w:r w:rsidRPr="001F5335">
        <w:t>1.103.</w:t>
      </w:r>
    </w:p>
    <w:p w:rsidR="009871FD" w:rsidP="00DE063C" w14:paraId="346035BE" w14:textId="69FA989E">
      <w:pPr>
        <w:pStyle w:val="ParaNum"/>
        <w:numPr>
          <w:ilvl w:val="0"/>
          <w:numId w:val="0"/>
        </w:numPr>
        <w:spacing w:after="0"/>
        <w:ind w:left="720"/>
      </w:pPr>
    </w:p>
    <w:p w:rsidR="009871FD" w:rsidP="009871FD" w14:paraId="0A2DF498" w14:textId="77777777">
      <w:pPr>
        <w:pStyle w:val="ParaNum"/>
        <w:numPr>
          <w:ilvl w:val="0"/>
          <w:numId w:val="0"/>
        </w:numPr>
        <w:spacing w:after="0"/>
        <w:ind w:left="4320"/>
      </w:pPr>
      <w:r>
        <w:t>FEDERAL COMMUNICATIONS COMMISSION</w:t>
      </w:r>
    </w:p>
    <w:p w:rsidR="009871FD" w:rsidP="009871FD" w14:paraId="57DFF2C6" w14:textId="77777777">
      <w:pPr>
        <w:pStyle w:val="ParaNum"/>
        <w:numPr>
          <w:ilvl w:val="0"/>
          <w:numId w:val="0"/>
        </w:numPr>
        <w:spacing w:after="0"/>
        <w:ind w:left="4320"/>
      </w:pPr>
    </w:p>
    <w:p w:rsidR="009871FD" w:rsidP="009871FD" w14:paraId="2DB6D4C6" w14:textId="77777777">
      <w:pPr>
        <w:pStyle w:val="ParaNum"/>
        <w:numPr>
          <w:ilvl w:val="0"/>
          <w:numId w:val="0"/>
        </w:numPr>
        <w:spacing w:after="0"/>
        <w:ind w:left="4320"/>
      </w:pPr>
    </w:p>
    <w:p w:rsidR="009871FD" w:rsidP="009871FD" w14:paraId="4F91541B" w14:textId="77777777">
      <w:pPr>
        <w:pStyle w:val="ParaNum"/>
        <w:numPr>
          <w:ilvl w:val="0"/>
          <w:numId w:val="0"/>
        </w:numPr>
        <w:spacing w:after="0"/>
        <w:ind w:left="4320"/>
      </w:pPr>
    </w:p>
    <w:p w:rsidR="009871FD" w:rsidP="009871FD" w14:paraId="64AA7CDA" w14:textId="77777777">
      <w:pPr>
        <w:pStyle w:val="ParaNum"/>
        <w:numPr>
          <w:ilvl w:val="0"/>
          <w:numId w:val="0"/>
        </w:numPr>
        <w:spacing w:after="0"/>
        <w:ind w:left="4320"/>
      </w:pPr>
    </w:p>
    <w:p w:rsidR="00082CD9" w:rsidP="009871FD" w14:paraId="6AD5DD1C" w14:textId="77777777">
      <w:pPr>
        <w:pStyle w:val="ParaNum"/>
        <w:numPr>
          <w:ilvl w:val="0"/>
          <w:numId w:val="0"/>
        </w:numPr>
        <w:spacing w:after="0"/>
        <w:ind w:left="4320"/>
      </w:pPr>
      <w:r w:rsidRPr="00082CD9">
        <w:t>Thomas P. Sullivan</w:t>
      </w:r>
    </w:p>
    <w:p w:rsidR="00082CD9" w:rsidP="009871FD" w14:paraId="0C8729BA" w14:textId="299065E0">
      <w:pPr>
        <w:pStyle w:val="ParaNum"/>
        <w:numPr>
          <w:ilvl w:val="0"/>
          <w:numId w:val="0"/>
        </w:numPr>
        <w:spacing w:after="0"/>
        <w:ind w:left="4320"/>
      </w:pPr>
      <w:r>
        <w:t xml:space="preserve">Chief </w:t>
      </w:r>
    </w:p>
    <w:p w:rsidR="009871FD" w:rsidP="009871FD" w14:paraId="4DBDDEBF" w14:textId="2C8F323D">
      <w:pPr>
        <w:pStyle w:val="ParaNum"/>
        <w:numPr>
          <w:ilvl w:val="0"/>
          <w:numId w:val="0"/>
        </w:numPr>
        <w:spacing w:after="0"/>
        <w:ind w:left="4320"/>
      </w:pPr>
      <w:r>
        <w:t>International Bureau</w:t>
      </w:r>
    </w:p>
    <w:p w:rsidR="00082CD9" w:rsidP="009871FD" w14:paraId="691F063F" w14:textId="663F9A37">
      <w:pPr>
        <w:pStyle w:val="ParaNum"/>
        <w:numPr>
          <w:ilvl w:val="0"/>
          <w:numId w:val="0"/>
        </w:numPr>
        <w:spacing w:after="0"/>
        <w:ind w:left="4320"/>
      </w:pPr>
    </w:p>
    <w:p w:rsidR="00082CD9" w:rsidP="009871FD" w14:paraId="310C2F6F" w14:textId="3B848E0A">
      <w:pPr>
        <w:pStyle w:val="ParaNum"/>
        <w:numPr>
          <w:ilvl w:val="0"/>
          <w:numId w:val="0"/>
        </w:numPr>
        <w:spacing w:after="0"/>
        <w:ind w:left="4320"/>
      </w:pPr>
    </w:p>
    <w:p w:rsidR="00082CD9" w:rsidP="009871FD" w14:paraId="6749F1DE" w14:textId="1AD0C27E">
      <w:pPr>
        <w:pStyle w:val="ParaNum"/>
        <w:numPr>
          <w:ilvl w:val="0"/>
          <w:numId w:val="0"/>
        </w:numPr>
        <w:spacing w:after="0"/>
        <w:ind w:left="4320"/>
      </w:pPr>
    </w:p>
    <w:p w:rsidR="00082CD9" w:rsidP="009871FD" w14:paraId="55C22461" w14:textId="13FA7774">
      <w:pPr>
        <w:pStyle w:val="ParaNum"/>
        <w:numPr>
          <w:ilvl w:val="0"/>
          <w:numId w:val="0"/>
        </w:numPr>
        <w:spacing w:after="0"/>
        <w:ind w:left="4320"/>
      </w:pPr>
    </w:p>
    <w:p w:rsidR="00082CD9" w:rsidP="0053172D" w14:paraId="4B543C26" w14:textId="7CD9A840">
      <w:pPr>
        <w:pStyle w:val="ParaNum"/>
        <w:numPr>
          <w:ilvl w:val="0"/>
          <w:numId w:val="0"/>
        </w:numPr>
        <w:spacing w:after="0"/>
        <w:ind w:left="3600" w:firstLine="720"/>
      </w:pPr>
      <w:r>
        <w:t>Joel D. Taubenblatt</w:t>
      </w:r>
    </w:p>
    <w:p w:rsidR="00082CD9" w:rsidP="0053172D" w14:paraId="138BD9AC" w14:textId="5D7D8BF8">
      <w:pPr>
        <w:pStyle w:val="ParaNum"/>
        <w:numPr>
          <w:ilvl w:val="0"/>
          <w:numId w:val="0"/>
        </w:numPr>
        <w:spacing w:after="0"/>
        <w:ind w:left="4320"/>
      </w:pPr>
      <w:r>
        <w:t xml:space="preserve">Acting Chief </w:t>
      </w:r>
    </w:p>
    <w:p w:rsidR="00082CD9" w:rsidP="00082CD9" w14:paraId="0AC56B4B" w14:textId="03BB7F62">
      <w:pPr>
        <w:pStyle w:val="ParaNum"/>
        <w:numPr>
          <w:ilvl w:val="0"/>
          <w:numId w:val="0"/>
        </w:numPr>
        <w:spacing w:after="0"/>
        <w:ind w:left="4320"/>
      </w:pPr>
      <w:r>
        <w:t>Wireless Telecommunications Bureau</w:t>
      </w:r>
    </w:p>
    <w:p w:rsidR="00082CD9" w:rsidP="00082CD9" w14:paraId="4B127CA3" w14:textId="1F444F3C">
      <w:pPr>
        <w:pStyle w:val="ParaNum"/>
        <w:numPr>
          <w:ilvl w:val="0"/>
          <w:numId w:val="0"/>
        </w:numPr>
        <w:spacing w:after="0"/>
        <w:ind w:left="4320"/>
      </w:pPr>
    </w:p>
    <w:p w:rsidR="00082CD9" w:rsidP="00082CD9" w14:paraId="1AA0785B" w14:textId="19360072">
      <w:pPr>
        <w:pStyle w:val="ParaNum"/>
        <w:numPr>
          <w:ilvl w:val="0"/>
          <w:numId w:val="0"/>
        </w:numPr>
        <w:spacing w:after="0"/>
        <w:ind w:left="4320"/>
      </w:pPr>
    </w:p>
    <w:p w:rsidR="00082CD9" w:rsidP="00082CD9" w14:paraId="47BBD088" w14:textId="0B3BD750">
      <w:pPr>
        <w:pStyle w:val="ParaNum"/>
        <w:numPr>
          <w:ilvl w:val="0"/>
          <w:numId w:val="0"/>
        </w:numPr>
        <w:spacing w:after="0"/>
        <w:ind w:left="4320"/>
      </w:pPr>
    </w:p>
    <w:p w:rsidR="00082CD9" w:rsidP="00082CD9" w14:paraId="11BFCCBE" w14:textId="061E3CBD">
      <w:pPr>
        <w:pStyle w:val="ParaNum"/>
        <w:numPr>
          <w:ilvl w:val="0"/>
          <w:numId w:val="0"/>
        </w:numPr>
        <w:spacing w:after="0"/>
        <w:ind w:left="4320"/>
      </w:pPr>
    </w:p>
    <w:p w:rsidR="0015781F" w:rsidP="0015781F" w14:paraId="51003DE8" w14:textId="77777777">
      <w:pPr>
        <w:pStyle w:val="ParaNum"/>
        <w:numPr>
          <w:ilvl w:val="0"/>
          <w:numId w:val="0"/>
        </w:numPr>
        <w:spacing w:after="0"/>
        <w:ind w:left="3600" w:firstLine="720"/>
      </w:pPr>
      <w:r>
        <w:t>Ronald T. Repasi</w:t>
      </w:r>
    </w:p>
    <w:p w:rsidR="00082CD9" w:rsidP="0015781F" w14:paraId="28F7749D" w14:textId="68DF139C">
      <w:pPr>
        <w:pStyle w:val="ParaNum"/>
        <w:numPr>
          <w:ilvl w:val="0"/>
          <w:numId w:val="0"/>
        </w:numPr>
        <w:spacing w:after="0"/>
        <w:ind w:left="3600" w:firstLine="720"/>
      </w:pPr>
      <w:r>
        <w:t>Acting Chief</w:t>
      </w:r>
    </w:p>
    <w:p w:rsidR="00890BD0" w:rsidP="0015781F" w14:paraId="0A360F34" w14:textId="77777777">
      <w:pPr>
        <w:pStyle w:val="ParaNum"/>
        <w:numPr>
          <w:ilvl w:val="0"/>
          <w:numId w:val="0"/>
        </w:numPr>
        <w:spacing w:after="0"/>
        <w:ind w:left="4320"/>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Office of Engineering and Technology</w:t>
      </w:r>
    </w:p>
    <w:p w:rsidR="00890BD0" w:rsidRPr="00B0712D" w:rsidP="00890BD0" w14:paraId="36C6E434" w14:textId="77777777">
      <w:pPr>
        <w:autoSpaceDE w:val="0"/>
        <w:autoSpaceDN w:val="0"/>
        <w:adjustRightInd w:val="0"/>
        <w:contextualSpacing/>
        <w:jc w:val="center"/>
        <w:rPr>
          <w:szCs w:val="22"/>
          <w:u w:val="single"/>
        </w:rPr>
      </w:pPr>
      <w:r w:rsidRPr="00B0712D">
        <w:rPr>
          <w:b/>
          <w:bCs/>
          <w:szCs w:val="22"/>
          <w:u w:val="single"/>
        </w:rPr>
        <w:t>ATTACHMENT</w:t>
      </w:r>
    </w:p>
    <w:p w:rsidR="00890BD0" w:rsidP="00890BD0" w14:paraId="072D670D" w14:textId="77777777">
      <w:pPr>
        <w:autoSpaceDE w:val="0"/>
        <w:autoSpaceDN w:val="0"/>
        <w:adjustRightInd w:val="0"/>
        <w:contextualSpacing/>
      </w:pPr>
    </w:p>
    <w:p w:rsidR="00890BD0" w:rsidP="00890BD0" w14:paraId="73D70E20" w14:textId="77777777">
      <w:pPr>
        <w:contextualSpacing/>
      </w:pPr>
    </w:p>
    <w:p w:rsidR="00890BD0" w:rsidRPr="00C74AA3" w:rsidP="00890BD0" w14:paraId="1C45C881" w14:textId="77777777">
      <w:pPr>
        <w:contextualSpacing/>
        <w:rPr>
          <w:b/>
          <w:bCs/>
        </w:rPr>
      </w:pPr>
      <w:r w:rsidRPr="00C74AA3">
        <w:rPr>
          <w:b/>
          <w:bCs/>
        </w:rPr>
        <w:t>Part 5 – Experimental Licenses</w:t>
      </w:r>
    </w:p>
    <w:p w:rsidR="00890BD0" w:rsidP="00890BD0" w14:paraId="3C29BF7A" w14:textId="77777777">
      <w:pPr>
        <w:contextualSpacing/>
      </w:pPr>
    </w:p>
    <w:p w:rsidR="00890BD0" w:rsidP="00890BD0" w14:paraId="28A37128" w14:textId="77777777">
      <w:pPr>
        <w:contextualSpacing/>
      </w:pPr>
      <w:r w:rsidRPr="001F57A7">
        <w:rPr>
          <w:u w:val="single"/>
        </w:rPr>
        <w:t>File Number</w:t>
      </w:r>
      <w:r>
        <w:tab/>
      </w:r>
      <w:r>
        <w:tab/>
      </w:r>
      <w:r>
        <w:tab/>
      </w:r>
      <w:r>
        <w:tab/>
      </w:r>
      <w:r w:rsidRPr="001F57A7">
        <w:rPr>
          <w:u w:val="single"/>
        </w:rPr>
        <w:t>Licensee</w:t>
      </w:r>
      <w:r>
        <w:tab/>
      </w:r>
      <w:r>
        <w:tab/>
      </w:r>
      <w:r>
        <w:tab/>
      </w:r>
      <w:r>
        <w:tab/>
      </w:r>
      <w:r w:rsidRPr="001F57A7">
        <w:rPr>
          <w:u w:val="single"/>
        </w:rPr>
        <w:t>Call Sign</w:t>
      </w:r>
    </w:p>
    <w:p w:rsidR="00890BD0" w:rsidP="00890BD0" w14:paraId="2138CA19" w14:textId="77777777">
      <w:pPr>
        <w:contextualSpacing/>
      </w:pPr>
    </w:p>
    <w:p w:rsidR="00890BD0" w:rsidP="00890BD0" w14:paraId="1AADEE43" w14:textId="77777777">
      <w:pPr>
        <w:contextualSpacing/>
      </w:pPr>
      <w:r w:rsidRPr="005C5A7B">
        <w:t>0013-EX-AU-2021</w:t>
      </w:r>
      <w:r>
        <w:tab/>
      </w:r>
      <w:r>
        <w:tab/>
      </w:r>
      <w:r>
        <w:tab/>
      </w:r>
      <w:r w:rsidRPr="005C5A7B">
        <w:t>Intelsat License LLC</w:t>
      </w:r>
      <w:r>
        <w:tab/>
      </w:r>
      <w:r>
        <w:tab/>
      </w:r>
      <w:r>
        <w:tab/>
      </w:r>
      <w:r w:rsidRPr="005C5A7B">
        <w:t>WL2XTQ</w:t>
      </w:r>
    </w:p>
    <w:p w:rsidR="00890BD0" w:rsidP="00890BD0" w14:paraId="1D9A3744" w14:textId="77777777">
      <w:pPr>
        <w:contextualSpacing/>
      </w:pPr>
    </w:p>
    <w:p w:rsidR="00890BD0" w:rsidP="00890BD0" w14:paraId="4046E4A6" w14:textId="77777777">
      <w:pPr>
        <w:contextualSpacing/>
      </w:pPr>
      <w:r w:rsidRPr="00336A58">
        <w:t>0014-EX-AU-2021</w:t>
      </w:r>
      <w:r>
        <w:tab/>
      </w:r>
      <w:r>
        <w:tab/>
      </w:r>
      <w:r>
        <w:tab/>
      </w:r>
      <w:r w:rsidRPr="00336A58">
        <w:t xml:space="preserve">Intelsat US LLC, </w:t>
      </w:r>
      <w:r>
        <w:tab/>
      </w:r>
      <w:r>
        <w:tab/>
      </w:r>
      <w:r>
        <w:tab/>
      </w:r>
      <w:r w:rsidRPr="00336A58">
        <w:t>WL2XHT</w:t>
      </w:r>
    </w:p>
    <w:p w:rsidR="00890BD0" w:rsidP="00890BD0" w14:paraId="7ABE8FF0" w14:textId="77777777">
      <w:pPr>
        <w:ind w:left="2880" w:firstLine="720"/>
        <w:contextualSpacing/>
      </w:pPr>
      <w:r w:rsidRPr="00336A58">
        <w:t>as debtor</w:t>
      </w:r>
      <w:r>
        <w:t>-</w:t>
      </w:r>
      <w:r w:rsidRPr="00336A58">
        <w:t>in</w:t>
      </w:r>
      <w:r>
        <w:t>-</w:t>
      </w:r>
      <w:r w:rsidRPr="00336A58">
        <w:t>possession</w:t>
      </w:r>
    </w:p>
    <w:p w:rsidR="00890BD0" w:rsidP="00890BD0" w14:paraId="7BA4F002" w14:textId="77777777">
      <w:pPr>
        <w:contextualSpacing/>
      </w:pPr>
    </w:p>
    <w:p w:rsidR="00890BD0" w:rsidP="00890BD0" w14:paraId="01986674" w14:textId="77777777">
      <w:pPr>
        <w:contextualSpacing/>
      </w:pPr>
      <w:r w:rsidRPr="00336A58">
        <w:t>0032-EX-TU-2021</w:t>
      </w:r>
      <w:r w:rsidRPr="00336A58">
        <w:tab/>
      </w:r>
      <w:r>
        <w:tab/>
      </w:r>
      <w:r>
        <w:tab/>
      </w:r>
      <w:r w:rsidRPr="00336A58">
        <w:t>Intelsat Inflight Licenses LLC</w:t>
      </w:r>
      <w:r>
        <w:tab/>
      </w:r>
      <w:r>
        <w:tab/>
      </w:r>
      <w:r w:rsidRPr="00336A58">
        <w:t>WF2XMC</w:t>
      </w:r>
    </w:p>
    <w:p w:rsidR="00890BD0" w:rsidP="00890BD0" w14:paraId="4E9F2F01" w14:textId="77777777">
      <w:pPr>
        <w:contextualSpacing/>
      </w:pPr>
    </w:p>
    <w:p w:rsidR="00890BD0" w:rsidP="00890BD0" w14:paraId="4BDB226A" w14:textId="77777777">
      <w:pPr>
        <w:contextualSpacing/>
      </w:pPr>
    </w:p>
    <w:p w:rsidR="00890BD0" w:rsidRPr="00450D07" w:rsidP="00890BD0" w14:paraId="30C414C6" w14:textId="77777777">
      <w:pPr>
        <w:contextualSpacing/>
        <w:rPr>
          <w:b/>
          <w:bCs/>
        </w:rPr>
      </w:pPr>
      <w:r w:rsidRPr="00450D07">
        <w:rPr>
          <w:b/>
          <w:bCs/>
        </w:rPr>
        <w:t>Part 25 – Space Station Licenses</w:t>
      </w:r>
    </w:p>
    <w:p w:rsidR="00890BD0" w:rsidP="00890BD0" w14:paraId="6D5DC8B8" w14:textId="77777777">
      <w:pPr>
        <w:contextualSpacing/>
      </w:pPr>
    </w:p>
    <w:p w:rsidR="00890BD0" w:rsidP="00890BD0" w14:paraId="41EA1E0D" w14:textId="77777777">
      <w:pPr>
        <w:contextualSpacing/>
      </w:pPr>
      <w:r w:rsidRPr="001F57A7">
        <w:rPr>
          <w:u w:val="single"/>
        </w:rPr>
        <w:t>File Number</w:t>
      </w:r>
      <w:r>
        <w:tab/>
      </w:r>
      <w:r>
        <w:tab/>
      </w:r>
      <w:r>
        <w:tab/>
      </w:r>
      <w:r>
        <w:tab/>
      </w:r>
      <w:r w:rsidRPr="001F57A7">
        <w:rPr>
          <w:u w:val="single"/>
        </w:rPr>
        <w:t>Licensee</w:t>
      </w:r>
      <w:r>
        <w:tab/>
      </w:r>
      <w:r>
        <w:tab/>
      </w:r>
      <w:r>
        <w:tab/>
      </w:r>
      <w:r>
        <w:tab/>
      </w:r>
      <w:r w:rsidRPr="001F57A7">
        <w:rPr>
          <w:u w:val="single"/>
        </w:rPr>
        <w:t>Lead Call Sign</w:t>
      </w:r>
    </w:p>
    <w:p w:rsidR="00890BD0" w:rsidP="00890BD0" w14:paraId="4D8F9F14" w14:textId="77777777">
      <w:pPr>
        <w:contextualSpacing/>
      </w:pPr>
    </w:p>
    <w:p w:rsidR="00890BD0" w:rsidP="00890BD0" w14:paraId="19D6B19D" w14:textId="77777777">
      <w:pPr>
        <w:contextualSpacing/>
      </w:pPr>
      <w:r w:rsidRPr="00450D07">
        <w:t>SAT-ASG-20210826-00117</w:t>
      </w:r>
      <w:r>
        <w:tab/>
      </w:r>
      <w:r>
        <w:tab/>
      </w:r>
      <w:r w:rsidRPr="004B50A6">
        <w:t xml:space="preserve">Intelsat License LLC, </w:t>
      </w:r>
      <w:r>
        <w:tab/>
      </w:r>
      <w:r>
        <w:tab/>
      </w:r>
      <w:r>
        <w:tab/>
      </w:r>
      <w:r w:rsidRPr="004B50A6">
        <w:t>S2154</w:t>
      </w:r>
    </w:p>
    <w:p w:rsidR="00890BD0" w:rsidP="00890BD0" w14:paraId="5C68845D" w14:textId="77777777">
      <w:pPr>
        <w:ind w:left="2880" w:firstLine="720"/>
        <w:contextualSpacing/>
      </w:pPr>
      <w:r w:rsidRPr="004B50A6">
        <w:t>as debtor-</w:t>
      </w:r>
      <w:r>
        <w:t>in-possession</w:t>
      </w:r>
    </w:p>
    <w:p w:rsidR="00890BD0" w:rsidP="00890BD0" w14:paraId="30AAC3B2" w14:textId="77777777">
      <w:pPr>
        <w:contextualSpacing/>
      </w:pPr>
    </w:p>
    <w:p w:rsidR="00890BD0" w:rsidP="00890BD0" w14:paraId="22224A53" w14:textId="77777777">
      <w:pPr>
        <w:contextualSpacing/>
      </w:pPr>
      <w:r w:rsidRPr="00C332AE">
        <w:t>SAT-ASG-20210827-00118</w:t>
      </w:r>
      <w:r>
        <w:tab/>
      </w:r>
      <w:r>
        <w:tab/>
      </w:r>
      <w:r w:rsidRPr="004B50A6">
        <w:t xml:space="preserve">Intelsat License LLC, </w:t>
      </w:r>
      <w:r>
        <w:tab/>
      </w:r>
      <w:r>
        <w:tab/>
      </w:r>
      <w:r>
        <w:tab/>
      </w:r>
      <w:r w:rsidRPr="00C332AE">
        <w:t>S2385</w:t>
      </w:r>
    </w:p>
    <w:p w:rsidR="00890BD0" w:rsidP="00890BD0" w14:paraId="188A10A5" w14:textId="77777777">
      <w:pPr>
        <w:ind w:left="2880" w:firstLine="720"/>
        <w:contextualSpacing/>
      </w:pPr>
      <w:r w:rsidRPr="004B50A6">
        <w:t>as debtor-</w:t>
      </w:r>
      <w:r>
        <w:t>in-possession</w:t>
      </w:r>
    </w:p>
    <w:p w:rsidR="00890BD0" w:rsidP="00890BD0" w14:paraId="03AD5027" w14:textId="77777777">
      <w:pPr>
        <w:contextualSpacing/>
      </w:pPr>
    </w:p>
    <w:p w:rsidR="00890BD0" w:rsidP="00890BD0" w14:paraId="2AE8A337" w14:textId="77777777">
      <w:pPr>
        <w:contextualSpacing/>
      </w:pPr>
      <w:r w:rsidRPr="00330088">
        <w:t>SAT-T/C-20210826-00114</w:t>
      </w:r>
      <w:r>
        <w:tab/>
      </w:r>
      <w:r>
        <w:tab/>
      </w:r>
      <w:r w:rsidRPr="00330088">
        <w:t>Horizons-3 License LLC</w:t>
      </w:r>
      <w:r>
        <w:tab/>
      </w:r>
      <w:r>
        <w:tab/>
      </w:r>
      <w:r w:rsidRPr="00330088">
        <w:t>S2947</w:t>
      </w:r>
    </w:p>
    <w:p w:rsidR="00890BD0" w:rsidP="00890BD0" w14:paraId="39CA2D8D" w14:textId="77777777">
      <w:pPr>
        <w:contextualSpacing/>
      </w:pPr>
    </w:p>
    <w:p w:rsidR="00890BD0" w:rsidP="00890BD0" w14:paraId="1C425962" w14:textId="77777777">
      <w:pPr>
        <w:contextualSpacing/>
      </w:pPr>
    </w:p>
    <w:p w:rsidR="00890BD0" w:rsidRPr="00450D07" w:rsidP="00890BD0" w14:paraId="386BD24E" w14:textId="77777777">
      <w:pPr>
        <w:contextualSpacing/>
        <w:rPr>
          <w:b/>
          <w:bCs/>
        </w:rPr>
      </w:pPr>
      <w:r w:rsidRPr="00450D07">
        <w:rPr>
          <w:b/>
          <w:bCs/>
        </w:rPr>
        <w:t>Part 25 – Space Station Market Access Grants</w:t>
      </w:r>
    </w:p>
    <w:p w:rsidR="00890BD0" w:rsidP="00890BD0" w14:paraId="1B6FBBAD" w14:textId="77777777">
      <w:pPr>
        <w:contextualSpacing/>
      </w:pPr>
    </w:p>
    <w:p w:rsidR="00890BD0" w:rsidP="00890BD0" w14:paraId="287F9E50" w14:textId="77777777">
      <w:pPr>
        <w:contextualSpacing/>
      </w:pPr>
      <w:r w:rsidRPr="001F57A7">
        <w:rPr>
          <w:u w:val="single"/>
        </w:rPr>
        <w:t>File Number</w:t>
      </w:r>
      <w:r>
        <w:tab/>
      </w:r>
      <w:r>
        <w:tab/>
      </w:r>
      <w:r>
        <w:tab/>
      </w:r>
      <w:r>
        <w:tab/>
      </w:r>
      <w:r>
        <w:rPr>
          <w:u w:val="single"/>
        </w:rPr>
        <w:t>Grantee</w:t>
      </w:r>
      <w:r>
        <w:tab/>
      </w:r>
      <w:r>
        <w:tab/>
      </w:r>
      <w:r>
        <w:tab/>
      </w:r>
      <w:r>
        <w:tab/>
      </w:r>
      <w:r>
        <w:tab/>
      </w:r>
      <w:r w:rsidRPr="001F57A7">
        <w:rPr>
          <w:u w:val="single"/>
        </w:rPr>
        <w:t>Call Sign</w:t>
      </w:r>
    </w:p>
    <w:p w:rsidR="00890BD0" w:rsidP="00890BD0" w14:paraId="42E91AF6" w14:textId="77777777">
      <w:pPr>
        <w:contextualSpacing/>
      </w:pPr>
    </w:p>
    <w:p w:rsidR="00890BD0" w:rsidP="00890BD0" w14:paraId="03BC162E" w14:textId="77777777">
      <w:pPr>
        <w:contextualSpacing/>
      </w:pPr>
      <w:r w:rsidRPr="00C332AE">
        <w:t>SAT-MPL-20210826-00113</w:t>
      </w:r>
      <w:r>
        <w:tab/>
      </w:r>
      <w:r>
        <w:tab/>
      </w:r>
      <w:r w:rsidRPr="00C332AE">
        <w:t>Horizons-1 Satellite LLC</w:t>
      </w:r>
      <w:r>
        <w:tab/>
      </w:r>
      <w:r>
        <w:tab/>
      </w:r>
      <w:r w:rsidRPr="00C332AE">
        <w:t>S2475</w:t>
      </w:r>
    </w:p>
    <w:p w:rsidR="00890BD0" w:rsidP="00890BD0" w14:paraId="61AB88C6" w14:textId="77777777">
      <w:pPr>
        <w:contextualSpacing/>
      </w:pPr>
    </w:p>
    <w:p w:rsidR="00890BD0" w:rsidP="00890BD0" w14:paraId="0CAAF843" w14:textId="77777777">
      <w:pPr>
        <w:contextualSpacing/>
      </w:pPr>
      <w:r w:rsidRPr="006F76D7">
        <w:t>SAT-MPL-20210826-00115</w:t>
      </w:r>
      <w:r>
        <w:tab/>
      </w:r>
      <w:r>
        <w:tab/>
      </w:r>
      <w:r w:rsidRPr="004B50A6">
        <w:t xml:space="preserve">Intelsat License LLC, </w:t>
      </w:r>
      <w:r>
        <w:tab/>
      </w:r>
      <w:r>
        <w:tab/>
      </w:r>
      <w:r>
        <w:tab/>
      </w:r>
      <w:r w:rsidRPr="006F76D7">
        <w:t>S3058</w:t>
      </w:r>
    </w:p>
    <w:p w:rsidR="00890BD0" w:rsidP="00890BD0" w14:paraId="1602DE23" w14:textId="77777777">
      <w:pPr>
        <w:ind w:left="2880" w:firstLine="720"/>
        <w:contextualSpacing/>
      </w:pPr>
      <w:r w:rsidRPr="004B50A6">
        <w:t>as debtor-</w:t>
      </w:r>
      <w:r>
        <w:t>in-possession</w:t>
      </w:r>
    </w:p>
    <w:p w:rsidR="00890BD0" w:rsidP="00890BD0" w14:paraId="0710963F" w14:textId="77777777">
      <w:pPr>
        <w:contextualSpacing/>
      </w:pPr>
    </w:p>
    <w:p w:rsidR="00890BD0" w:rsidP="00890BD0" w14:paraId="2260A4D6" w14:textId="77777777">
      <w:pPr>
        <w:contextualSpacing/>
      </w:pPr>
      <w:r w:rsidRPr="00745015">
        <w:t>SAT-MPL-20210826-00116</w:t>
      </w:r>
      <w:r>
        <w:tab/>
      </w:r>
      <w:r>
        <w:tab/>
      </w:r>
      <w:r w:rsidRPr="004B50A6">
        <w:t xml:space="preserve">Intelsat License LLC, </w:t>
      </w:r>
      <w:r>
        <w:tab/>
      </w:r>
      <w:r>
        <w:tab/>
      </w:r>
      <w:r>
        <w:tab/>
      </w:r>
      <w:r w:rsidRPr="00EF1D2F">
        <w:t>S2592</w:t>
      </w:r>
    </w:p>
    <w:p w:rsidR="00890BD0" w:rsidP="00890BD0" w14:paraId="70A07730" w14:textId="77777777">
      <w:pPr>
        <w:ind w:left="2880" w:firstLine="720"/>
        <w:contextualSpacing/>
      </w:pPr>
      <w:r w:rsidRPr="004B50A6">
        <w:t>as debtor-</w:t>
      </w:r>
      <w:r>
        <w:t>in-possession</w:t>
      </w:r>
    </w:p>
    <w:p w:rsidR="00890BD0" w:rsidP="00890BD0" w14:paraId="57095749" w14:textId="77777777">
      <w:pPr>
        <w:contextualSpacing/>
      </w:pPr>
    </w:p>
    <w:p w:rsidR="00890BD0" w:rsidP="00890BD0" w14:paraId="1C666643" w14:textId="77777777">
      <w:pPr>
        <w:contextualSpacing/>
      </w:pPr>
    </w:p>
    <w:p w:rsidR="00890BD0" w:rsidRPr="00450D07" w:rsidP="00890BD0" w14:paraId="1F6DCA8B" w14:textId="77777777">
      <w:pPr>
        <w:contextualSpacing/>
        <w:rPr>
          <w:b/>
          <w:bCs/>
        </w:rPr>
      </w:pPr>
      <w:r w:rsidRPr="00450D07">
        <w:rPr>
          <w:b/>
          <w:bCs/>
        </w:rPr>
        <w:t>Part 25 – Earth Station Licenses</w:t>
      </w:r>
    </w:p>
    <w:p w:rsidR="00890BD0" w:rsidP="00890BD0" w14:paraId="520004CC" w14:textId="77777777">
      <w:pPr>
        <w:contextualSpacing/>
      </w:pPr>
    </w:p>
    <w:p w:rsidR="00890BD0" w:rsidP="00890BD0" w14:paraId="65C4D8D4" w14:textId="77777777">
      <w:pPr>
        <w:contextualSpacing/>
      </w:pPr>
      <w:r w:rsidRPr="001F57A7">
        <w:rPr>
          <w:u w:val="single"/>
        </w:rPr>
        <w:t>File Number</w:t>
      </w:r>
      <w:r>
        <w:tab/>
      </w:r>
      <w:r>
        <w:tab/>
      </w:r>
      <w:r>
        <w:tab/>
      </w:r>
      <w:r>
        <w:tab/>
      </w:r>
      <w:r w:rsidRPr="001F57A7">
        <w:rPr>
          <w:u w:val="single"/>
        </w:rPr>
        <w:t>Licensee</w:t>
      </w:r>
      <w:r>
        <w:tab/>
      </w:r>
      <w:r>
        <w:tab/>
      </w:r>
      <w:r>
        <w:tab/>
      </w:r>
      <w:r>
        <w:tab/>
      </w:r>
      <w:r w:rsidRPr="001F57A7">
        <w:rPr>
          <w:u w:val="single"/>
        </w:rPr>
        <w:t>Lead Call Sign</w:t>
      </w:r>
    </w:p>
    <w:p w:rsidR="00890BD0" w:rsidP="00890BD0" w14:paraId="4BBF2B3C" w14:textId="77777777">
      <w:pPr>
        <w:contextualSpacing/>
      </w:pPr>
    </w:p>
    <w:p w:rsidR="00890BD0" w:rsidP="00890BD0" w14:paraId="7FEA7E0D" w14:textId="77777777">
      <w:pPr>
        <w:contextualSpacing/>
      </w:pPr>
      <w:r>
        <w:t>SES-ASG-20210907-01540</w:t>
      </w:r>
      <w:r>
        <w:tab/>
      </w:r>
      <w:r>
        <w:tab/>
      </w:r>
      <w:r w:rsidRPr="004B50A6">
        <w:t xml:space="preserve">Intelsat License LLC, </w:t>
      </w:r>
      <w:r>
        <w:tab/>
      </w:r>
      <w:r>
        <w:tab/>
      </w:r>
      <w:r>
        <w:tab/>
      </w:r>
      <w:r w:rsidRPr="00105130">
        <w:t>E050169</w:t>
      </w:r>
    </w:p>
    <w:p w:rsidR="00890BD0" w:rsidP="00890BD0" w14:paraId="61F2B015" w14:textId="77777777">
      <w:pPr>
        <w:ind w:left="2880" w:firstLine="720"/>
        <w:contextualSpacing/>
      </w:pPr>
      <w:r w:rsidRPr="004B50A6">
        <w:t>as debtor-</w:t>
      </w:r>
      <w:r>
        <w:t>in-possession</w:t>
      </w:r>
    </w:p>
    <w:p w:rsidR="00890BD0" w:rsidP="00890BD0" w14:paraId="3659FD1B" w14:textId="77777777">
      <w:pPr>
        <w:rPr>
          <w:szCs w:val="22"/>
        </w:rPr>
      </w:pPr>
    </w:p>
    <w:p w:rsidR="00890BD0" w:rsidP="00890BD0" w14:paraId="354FC8BB" w14:textId="77777777">
      <w:pPr>
        <w:contextualSpacing/>
      </w:pPr>
      <w:r>
        <w:t>SES-ASG-20210907-01541</w:t>
      </w:r>
      <w:r>
        <w:tab/>
      </w:r>
      <w:r>
        <w:tab/>
      </w:r>
      <w:r w:rsidRPr="004B50A6">
        <w:t xml:space="preserve">Intelsat License LLC, </w:t>
      </w:r>
      <w:r>
        <w:tab/>
      </w:r>
      <w:r>
        <w:tab/>
      </w:r>
      <w:r>
        <w:tab/>
      </w:r>
      <w:r w:rsidRPr="00731812">
        <w:t>E000049</w:t>
      </w:r>
    </w:p>
    <w:p w:rsidR="00890BD0" w:rsidP="00890BD0" w14:paraId="50D47231" w14:textId="77777777">
      <w:pPr>
        <w:ind w:left="2880" w:firstLine="720"/>
        <w:contextualSpacing/>
      </w:pPr>
      <w:r w:rsidRPr="004B50A6">
        <w:t>as debtor-</w:t>
      </w:r>
      <w:r>
        <w:t>in-possession</w:t>
      </w:r>
    </w:p>
    <w:p w:rsidR="00890BD0" w:rsidP="00890BD0" w14:paraId="012DADDA" w14:textId="77777777">
      <w:pPr>
        <w:contextualSpacing/>
      </w:pPr>
    </w:p>
    <w:p w:rsidR="00890BD0" w:rsidP="00890BD0" w14:paraId="507334D3" w14:textId="77777777">
      <w:pPr>
        <w:contextualSpacing/>
      </w:pPr>
      <w:r>
        <w:t>SES-ASG-20210907-01542</w:t>
      </w:r>
      <w:r>
        <w:tab/>
      </w:r>
      <w:r>
        <w:tab/>
      </w:r>
      <w:r w:rsidRPr="004B50A6">
        <w:t xml:space="preserve">Intelsat License LLC, </w:t>
      </w:r>
      <w:r>
        <w:tab/>
      </w:r>
      <w:r>
        <w:tab/>
      </w:r>
      <w:r>
        <w:tab/>
      </w:r>
      <w:r w:rsidRPr="00105130">
        <w:t>E070234</w:t>
      </w:r>
    </w:p>
    <w:p w:rsidR="00890BD0" w:rsidP="00890BD0" w14:paraId="6EBE5812" w14:textId="77777777">
      <w:pPr>
        <w:ind w:left="2880" w:firstLine="720"/>
        <w:contextualSpacing/>
      </w:pPr>
      <w:r w:rsidRPr="004B50A6">
        <w:t>as debtor-</w:t>
      </w:r>
      <w:r>
        <w:t>in-possession</w:t>
      </w:r>
    </w:p>
    <w:p w:rsidR="00890BD0" w:rsidP="00890BD0" w14:paraId="1745928B" w14:textId="77777777">
      <w:pPr>
        <w:contextualSpacing/>
      </w:pPr>
    </w:p>
    <w:p w:rsidR="00890BD0" w:rsidP="00890BD0" w14:paraId="63139677" w14:textId="77777777">
      <w:pPr>
        <w:contextualSpacing/>
      </w:pPr>
      <w:r w:rsidRPr="009013B1">
        <w:t>SES-T/C-</w:t>
      </w:r>
      <w:r>
        <w:t>20210827-01539</w:t>
      </w:r>
      <w:r>
        <w:tab/>
      </w:r>
      <w:r>
        <w:tab/>
        <w:t>Intelsat Inflight Licenses LLC</w:t>
      </w:r>
      <w:r>
        <w:tab/>
      </w:r>
      <w:r>
        <w:tab/>
      </w:r>
      <w:r w:rsidRPr="009013B1">
        <w:t>E120106</w:t>
      </w:r>
    </w:p>
    <w:p w:rsidR="00890BD0" w:rsidP="00890BD0" w14:paraId="01804760" w14:textId="77777777">
      <w:pPr>
        <w:contextualSpacing/>
      </w:pPr>
    </w:p>
    <w:p w:rsidR="00890BD0" w:rsidP="00890BD0" w14:paraId="313ECFD2" w14:textId="77777777">
      <w:pPr>
        <w:contextualSpacing/>
      </w:pPr>
      <w:r w:rsidRPr="009013B1">
        <w:t>SES-T/C-</w:t>
      </w:r>
      <w:r>
        <w:t>20210827-01543</w:t>
      </w:r>
      <w:r>
        <w:tab/>
      </w:r>
      <w:r>
        <w:tab/>
        <w:t>Intelsat Inflight Licenses LLC</w:t>
      </w:r>
      <w:r>
        <w:tab/>
      </w:r>
      <w:r>
        <w:tab/>
      </w:r>
      <w:r w:rsidRPr="009013B1">
        <w:t>E150104</w:t>
      </w:r>
    </w:p>
    <w:p w:rsidR="00890BD0" w:rsidP="00890BD0" w14:paraId="51B769A1" w14:textId="77777777">
      <w:pPr>
        <w:contextualSpacing/>
      </w:pPr>
    </w:p>
    <w:p w:rsidR="00890BD0" w:rsidP="00890BD0" w14:paraId="045C2FA1" w14:textId="77777777">
      <w:pPr>
        <w:contextualSpacing/>
      </w:pPr>
    </w:p>
    <w:p w:rsidR="00890BD0" w:rsidRPr="00E256C3" w:rsidP="00890BD0" w14:paraId="5F9BDF18" w14:textId="77777777">
      <w:pPr>
        <w:contextualSpacing/>
        <w:rPr>
          <w:b/>
          <w:bCs/>
        </w:rPr>
      </w:pPr>
      <w:r w:rsidRPr="00E256C3">
        <w:rPr>
          <w:b/>
          <w:bCs/>
        </w:rPr>
        <w:t>Part 25 – Earth Station Receive-Only Registrations</w:t>
      </w:r>
    </w:p>
    <w:p w:rsidR="00890BD0" w:rsidP="00890BD0" w14:paraId="79CA90FA" w14:textId="77777777">
      <w:pPr>
        <w:contextualSpacing/>
      </w:pPr>
    </w:p>
    <w:p w:rsidR="00890BD0" w:rsidP="00890BD0" w14:paraId="6B28D149" w14:textId="77777777">
      <w:pPr>
        <w:contextualSpacing/>
      </w:pPr>
      <w:r w:rsidRPr="00242F96">
        <w:rPr>
          <w:u w:val="single"/>
        </w:rPr>
        <w:t>File Number</w:t>
      </w:r>
      <w:r>
        <w:tab/>
      </w:r>
      <w:r>
        <w:tab/>
      </w:r>
      <w:r>
        <w:tab/>
      </w:r>
      <w:r>
        <w:tab/>
      </w:r>
      <w:r w:rsidRPr="00242F96">
        <w:rPr>
          <w:u w:val="single"/>
        </w:rPr>
        <w:t>Registrant</w:t>
      </w:r>
      <w:r>
        <w:tab/>
      </w:r>
      <w:r>
        <w:tab/>
      </w:r>
      <w:r>
        <w:tab/>
      </w:r>
      <w:r>
        <w:tab/>
      </w:r>
      <w:r w:rsidRPr="00242F96">
        <w:rPr>
          <w:u w:val="single"/>
        </w:rPr>
        <w:t>Lead Call Sign</w:t>
      </w:r>
    </w:p>
    <w:p w:rsidR="00890BD0" w:rsidP="00890BD0" w14:paraId="17F1D123" w14:textId="77777777">
      <w:pPr>
        <w:contextualSpacing/>
      </w:pPr>
    </w:p>
    <w:p w:rsidR="00890BD0" w:rsidP="00890BD0" w14:paraId="32F0E9AF" w14:textId="77777777">
      <w:pPr>
        <w:contextualSpacing/>
      </w:pPr>
      <w:r w:rsidRPr="00797B7D">
        <w:t>SES-ASG-20210826-01513</w:t>
      </w:r>
      <w:r>
        <w:tab/>
      </w:r>
      <w:r>
        <w:tab/>
      </w:r>
      <w:r w:rsidRPr="004B50A6">
        <w:t xml:space="preserve">Intelsat License LLC, </w:t>
      </w:r>
      <w:r>
        <w:tab/>
      </w:r>
      <w:r>
        <w:tab/>
      </w:r>
      <w:r>
        <w:tab/>
      </w:r>
      <w:r w:rsidRPr="00797B7D">
        <w:t>E010334</w:t>
      </w:r>
    </w:p>
    <w:p w:rsidR="00890BD0" w:rsidP="00890BD0" w14:paraId="5F419A5E" w14:textId="77777777">
      <w:pPr>
        <w:ind w:left="2880" w:firstLine="720"/>
        <w:contextualSpacing/>
      </w:pPr>
      <w:r w:rsidRPr="004B50A6">
        <w:t>as debtor-</w:t>
      </w:r>
      <w:r>
        <w:t>in-possession</w:t>
      </w:r>
    </w:p>
    <w:p w:rsidR="00890BD0" w:rsidP="00890BD0" w14:paraId="72CBE009" w14:textId="77777777">
      <w:pPr>
        <w:contextualSpacing/>
      </w:pPr>
    </w:p>
    <w:p w:rsidR="00890BD0" w:rsidP="00890BD0" w14:paraId="125EBBF3" w14:textId="77777777">
      <w:pPr>
        <w:contextualSpacing/>
      </w:pPr>
    </w:p>
    <w:p w:rsidR="00890BD0" w:rsidRPr="008054EB" w:rsidP="00890BD0" w14:paraId="575D045C" w14:textId="77777777">
      <w:pPr>
        <w:autoSpaceDE w:val="0"/>
        <w:autoSpaceDN w:val="0"/>
        <w:adjustRightInd w:val="0"/>
        <w:contextualSpacing/>
        <w:rPr>
          <w:b/>
          <w:bCs/>
        </w:rPr>
      </w:pPr>
      <w:r w:rsidRPr="008054EB">
        <w:rPr>
          <w:b/>
          <w:bCs/>
        </w:rPr>
        <w:t>Part 63 – International Section 214 Authorization</w:t>
      </w:r>
    </w:p>
    <w:p w:rsidR="00890BD0" w:rsidP="00890BD0" w14:paraId="267D2846" w14:textId="77777777">
      <w:pPr>
        <w:contextualSpacing/>
      </w:pPr>
    </w:p>
    <w:p w:rsidR="00890BD0" w:rsidP="00890BD0" w14:paraId="2A7EB9A8" w14:textId="77777777">
      <w:pPr>
        <w:contextualSpacing/>
      </w:pPr>
      <w:r>
        <w:t>The application for consent to the transfer of control of an international section 214 authorization has been assigned the file number listed below.</w:t>
      </w:r>
    </w:p>
    <w:p w:rsidR="00890BD0" w:rsidP="00890BD0" w14:paraId="5AA52CA9" w14:textId="77777777">
      <w:pPr>
        <w:contextualSpacing/>
      </w:pPr>
    </w:p>
    <w:p w:rsidR="00890BD0" w:rsidP="00890BD0" w14:paraId="0DAF25F1" w14:textId="77777777">
      <w:pPr>
        <w:contextualSpacing/>
      </w:pPr>
      <w:r w:rsidRPr="002B0946">
        <w:rPr>
          <w:u w:val="single"/>
        </w:rPr>
        <w:t>File N</w:t>
      </w:r>
      <w:r>
        <w:rPr>
          <w:u w:val="single"/>
        </w:rPr>
        <w:t>umber</w:t>
      </w:r>
      <w:r>
        <w:tab/>
      </w:r>
      <w:r>
        <w:tab/>
      </w:r>
      <w:r>
        <w:tab/>
      </w:r>
      <w:r>
        <w:tab/>
      </w:r>
      <w:r w:rsidRPr="002B0946">
        <w:rPr>
          <w:u w:val="single"/>
        </w:rPr>
        <w:t>Authorization Holder</w:t>
      </w:r>
      <w:r>
        <w:tab/>
      </w:r>
      <w:r>
        <w:tab/>
      </w:r>
      <w:r>
        <w:tab/>
      </w:r>
      <w:r w:rsidRPr="002B0946">
        <w:rPr>
          <w:u w:val="single"/>
        </w:rPr>
        <w:t>Authorization Number</w:t>
      </w:r>
    </w:p>
    <w:p w:rsidR="00890BD0" w:rsidP="00890BD0" w14:paraId="134F3A29" w14:textId="77777777">
      <w:pPr>
        <w:contextualSpacing/>
      </w:pPr>
    </w:p>
    <w:p w:rsidR="00890BD0" w:rsidP="00890BD0" w14:paraId="617705CB" w14:textId="0C4B6688">
      <w:pPr>
        <w:contextualSpacing/>
      </w:pPr>
      <w:r w:rsidRPr="002B0946">
        <w:t>ITC-T/C-20210907-00131</w:t>
      </w:r>
      <w:r>
        <w:tab/>
      </w:r>
      <w:r>
        <w:tab/>
        <w:t xml:space="preserve">Intelsat General </w:t>
      </w:r>
      <w:r>
        <w:tab/>
      </w:r>
      <w:r>
        <w:tab/>
      </w:r>
      <w:r>
        <w:tab/>
      </w:r>
      <w:r w:rsidRPr="008054EB">
        <w:t>ITC-MOD-20050329-</w:t>
      </w:r>
    </w:p>
    <w:p w:rsidR="00890BD0" w:rsidP="00890BD0" w14:paraId="2E2620DA" w14:textId="77777777">
      <w:pPr>
        <w:ind w:left="2880" w:firstLine="720"/>
        <w:contextualSpacing/>
      </w:pPr>
      <w:r>
        <w:t>Communications LLC</w:t>
      </w:r>
      <w:r>
        <w:tab/>
      </w:r>
      <w:r>
        <w:tab/>
      </w:r>
      <w:r>
        <w:tab/>
      </w:r>
      <w:r w:rsidRPr="00813EB4">
        <w:t>00170</w:t>
      </w:r>
    </w:p>
    <w:p w:rsidR="00890BD0" w:rsidP="00890BD0" w14:paraId="07C71873" w14:textId="77777777">
      <w:pPr>
        <w:contextualSpacing/>
      </w:pPr>
    </w:p>
    <w:p w:rsidR="00890BD0" w:rsidP="00890BD0" w14:paraId="7C01B1AA" w14:textId="77777777">
      <w:pPr>
        <w:contextualSpacing/>
      </w:pPr>
    </w:p>
    <w:p w:rsidR="00890BD0" w:rsidRPr="00450D07" w:rsidP="00890BD0" w14:paraId="6809C84F" w14:textId="77777777">
      <w:pPr>
        <w:contextualSpacing/>
        <w:rPr>
          <w:b/>
          <w:bCs/>
        </w:rPr>
      </w:pPr>
      <w:r w:rsidRPr="00450D07">
        <w:rPr>
          <w:b/>
          <w:bCs/>
        </w:rPr>
        <w:t>Part 90 – Private Land Mobile Radio License</w:t>
      </w:r>
    </w:p>
    <w:p w:rsidR="00890BD0" w:rsidP="00890BD0" w14:paraId="5A565AC9" w14:textId="77777777">
      <w:pPr>
        <w:contextualSpacing/>
      </w:pPr>
    </w:p>
    <w:p w:rsidR="00890BD0" w:rsidP="00890BD0" w14:paraId="3DE5B3ED" w14:textId="77777777">
      <w:pPr>
        <w:contextualSpacing/>
      </w:pPr>
      <w:r w:rsidRPr="001F57A7">
        <w:rPr>
          <w:u w:val="single"/>
        </w:rPr>
        <w:t>File Number</w:t>
      </w:r>
      <w:r>
        <w:tab/>
      </w:r>
      <w:r>
        <w:tab/>
      </w:r>
      <w:r>
        <w:tab/>
      </w:r>
      <w:r>
        <w:tab/>
      </w:r>
      <w:r w:rsidRPr="001F57A7">
        <w:rPr>
          <w:u w:val="single"/>
        </w:rPr>
        <w:t>Licensee</w:t>
      </w:r>
      <w:r>
        <w:tab/>
      </w:r>
      <w:r>
        <w:tab/>
      </w:r>
      <w:r>
        <w:tab/>
      </w:r>
      <w:r>
        <w:tab/>
      </w:r>
      <w:r w:rsidRPr="001F57A7">
        <w:rPr>
          <w:u w:val="single"/>
        </w:rPr>
        <w:t>Call Sign</w:t>
      </w:r>
    </w:p>
    <w:p w:rsidR="00890BD0" w:rsidP="00890BD0" w14:paraId="30345BF2" w14:textId="77777777">
      <w:pPr>
        <w:contextualSpacing/>
      </w:pPr>
    </w:p>
    <w:p w:rsidR="00890BD0" w:rsidP="00890BD0" w14:paraId="63B82C60" w14:textId="77777777">
      <w:pPr>
        <w:contextualSpacing/>
      </w:pPr>
      <w:r w:rsidRPr="00082B7E">
        <w:t>0009684601</w:t>
      </w:r>
      <w:r>
        <w:tab/>
      </w:r>
      <w:r>
        <w:tab/>
      </w:r>
      <w:r>
        <w:tab/>
      </w:r>
      <w:r>
        <w:tab/>
      </w:r>
      <w:r w:rsidRPr="004B50A6">
        <w:t xml:space="preserve">Intelsat License LLC, </w:t>
      </w:r>
      <w:r>
        <w:tab/>
      </w:r>
      <w:r>
        <w:tab/>
      </w:r>
      <w:r>
        <w:tab/>
      </w:r>
      <w:r w:rsidRPr="008742F3">
        <w:t>WQSW724</w:t>
      </w:r>
    </w:p>
    <w:p w:rsidR="00082CD9" w:rsidRPr="008F729B" w:rsidP="00890BD0" w14:paraId="510CDC7A" w14:textId="132E4A6C">
      <w:pPr>
        <w:ind w:left="2880" w:firstLine="720"/>
        <w:contextualSpacing/>
      </w:pPr>
      <w:r w:rsidRPr="004B50A6">
        <w:t>as debtor-</w:t>
      </w:r>
      <w:r>
        <w:t>in-possession</w:t>
      </w:r>
    </w:p>
    <w:sectPr w:rsidSect="005D3744">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962D2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A4FF1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C1FD6E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C8452C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E3745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5684" w14:paraId="3CB04516" w14:textId="77777777">
      <w:r>
        <w:separator/>
      </w:r>
    </w:p>
  </w:footnote>
  <w:footnote w:type="continuationSeparator" w:id="1">
    <w:p w:rsidR="005F5684" w:rsidP="00C721AC" w14:paraId="1BF32321" w14:textId="77777777">
      <w:pPr>
        <w:spacing w:before="120"/>
        <w:rPr>
          <w:sz w:val="20"/>
        </w:rPr>
      </w:pPr>
      <w:r>
        <w:rPr>
          <w:sz w:val="20"/>
        </w:rPr>
        <w:t xml:space="preserve">(Continued from previous page)  </w:t>
      </w:r>
      <w:r>
        <w:rPr>
          <w:sz w:val="20"/>
        </w:rPr>
        <w:separator/>
      </w:r>
    </w:p>
  </w:footnote>
  <w:footnote w:type="continuationNotice" w:id="2">
    <w:p w:rsidR="005F5684" w:rsidP="00C721AC" w14:paraId="1F6CAB46" w14:textId="77777777">
      <w:pPr>
        <w:jc w:val="right"/>
        <w:rPr>
          <w:sz w:val="20"/>
        </w:rPr>
      </w:pPr>
      <w:r>
        <w:rPr>
          <w:sz w:val="20"/>
        </w:rPr>
        <w:t>(continued….)</w:t>
      </w:r>
    </w:p>
  </w:footnote>
  <w:footnote w:id="3">
    <w:p w:rsidR="000C7EE9" w:rsidRPr="00C25666" w:rsidP="000C7EE9" w14:paraId="5834EB24" w14:textId="43A92DD2">
      <w:pPr>
        <w:pStyle w:val="FootnoteText"/>
      </w:pPr>
      <w:r w:rsidRPr="00C25666">
        <w:rPr>
          <w:rStyle w:val="FootnoteReference"/>
        </w:rPr>
        <w:footnoteRef/>
      </w:r>
      <w:r w:rsidRPr="00C25666">
        <w:t xml:space="preserve"> </w:t>
      </w:r>
      <w:r w:rsidRPr="00412BB9">
        <w:rPr>
          <w:i/>
          <w:iCs/>
        </w:rPr>
        <w:t>See</w:t>
      </w:r>
      <w:r>
        <w:t xml:space="preserve"> </w:t>
      </w:r>
      <w:r w:rsidRPr="00412BB9">
        <w:t xml:space="preserve">Application for Assignment of Authorizations </w:t>
      </w:r>
      <w:r>
        <w:t xml:space="preserve">held by </w:t>
      </w:r>
      <w:r w:rsidRPr="00412BB9">
        <w:t>Intelsat License</w:t>
      </w:r>
      <w:r>
        <w:t>, as debtor-in-possession,</w:t>
      </w:r>
      <w:r w:rsidRPr="00412BB9">
        <w:t xml:space="preserve"> </w:t>
      </w:r>
      <w:r>
        <w:t xml:space="preserve">Narrative, IBFS File No. </w:t>
      </w:r>
      <w:r w:rsidRPr="00412BB9">
        <w:t>SAT-ASG-20210826-00117</w:t>
      </w:r>
      <w:r>
        <w:t xml:space="preserve"> </w:t>
      </w:r>
      <w:r w:rsidRPr="00C25666">
        <w:t xml:space="preserve">(filed </w:t>
      </w:r>
      <w:r>
        <w:t>Aug. 26</w:t>
      </w:r>
      <w:r w:rsidRPr="00C25666">
        <w:t>, 2021) (</w:t>
      </w:r>
      <w:r w:rsidR="00691EF2">
        <w:t>Narrative</w:t>
      </w:r>
      <w:r w:rsidRPr="00C25666">
        <w:t xml:space="preserve">). </w:t>
      </w:r>
      <w:r>
        <w:t xml:space="preserve"> The full list of applications </w:t>
      </w:r>
      <w:r w:rsidR="00691EF2">
        <w:t xml:space="preserve">(Applications) </w:t>
      </w:r>
      <w:r>
        <w:t>is set forth in the Attachment.</w:t>
      </w:r>
    </w:p>
  </w:footnote>
  <w:footnote w:id="4">
    <w:p w:rsidR="006B7E5B" w:rsidP="006B7E5B" w14:paraId="2E1DC39A" w14:textId="77777777">
      <w:pPr>
        <w:pStyle w:val="FootnoteText"/>
      </w:pPr>
      <w:r>
        <w:rPr>
          <w:rStyle w:val="FootnoteReference"/>
        </w:rPr>
        <w:footnoteRef/>
      </w:r>
      <w:r>
        <w:t xml:space="preserve"> </w:t>
      </w:r>
      <w:r w:rsidRPr="00C25666">
        <w:rPr>
          <w:i/>
        </w:rPr>
        <w:t>See</w:t>
      </w:r>
      <w:r w:rsidRPr="00C25666">
        <w:t xml:space="preserve"> 47 U.S.C. §</w:t>
      </w:r>
      <w:r w:rsidRPr="004F6886">
        <w:rPr>
          <w:rFonts w:eastAsia="Calibri"/>
        </w:rPr>
        <w:t>§</w:t>
      </w:r>
      <w:r w:rsidRPr="00C25666">
        <w:t xml:space="preserve"> 214</w:t>
      </w:r>
      <w:r>
        <w:t xml:space="preserve">, </w:t>
      </w:r>
      <w:r w:rsidRPr="004F6886">
        <w:rPr>
          <w:rFonts w:eastAsia="Calibri"/>
        </w:rPr>
        <w:t>310</w:t>
      </w:r>
      <w:r>
        <w:rPr>
          <w:rFonts w:eastAsia="Calibri"/>
        </w:rPr>
        <w:t>(d)</w:t>
      </w:r>
      <w:r w:rsidRPr="00C25666">
        <w:t xml:space="preserve">; </w:t>
      </w:r>
      <w:r w:rsidRPr="00395733">
        <w:rPr>
          <w:i/>
          <w:iCs/>
        </w:rPr>
        <w:t>see also</w:t>
      </w:r>
      <w:r>
        <w:t xml:space="preserve"> </w:t>
      </w:r>
      <w:r w:rsidRPr="00021F2D">
        <w:t>47 CFR §§</w:t>
      </w:r>
      <w:r>
        <w:t> </w:t>
      </w:r>
      <w:bookmarkStart w:id="0" w:name="_Hlk93755397"/>
      <w:r w:rsidRPr="00395733">
        <w:t>1.948(c)</w:t>
      </w:r>
      <w:r>
        <w:t xml:space="preserve">, </w:t>
      </w:r>
      <w:r w:rsidRPr="004E0FC0">
        <w:rPr>
          <w:szCs w:val="22"/>
        </w:rPr>
        <w:t>5.79</w:t>
      </w:r>
      <w:r>
        <w:rPr>
          <w:szCs w:val="22"/>
        </w:rPr>
        <w:t xml:space="preserve">, </w:t>
      </w:r>
      <w:r>
        <w:t>25.119</w:t>
      </w:r>
      <w:r w:rsidRPr="00907E6E">
        <w:t>, 25.137(g),</w:t>
      </w:r>
      <w:r>
        <w:t xml:space="preserve"> 63.24</w:t>
      </w:r>
      <w:bookmarkEnd w:id="0"/>
      <w:r>
        <w:t>.</w:t>
      </w:r>
    </w:p>
  </w:footnote>
  <w:footnote w:id="5">
    <w:p w:rsidR="00DC62B1" w:rsidP="00DC62B1" w14:paraId="3A4200C0" w14:textId="4C4FB6E4">
      <w:pPr>
        <w:pStyle w:val="FootnoteText"/>
      </w:pPr>
      <w:r>
        <w:rPr>
          <w:rStyle w:val="FootnoteReference"/>
        </w:rPr>
        <w:footnoteRef/>
      </w:r>
      <w:r>
        <w:t xml:space="preserve"> </w:t>
      </w:r>
      <w:r w:rsidRPr="00524685">
        <w:rPr>
          <w:i/>
          <w:iCs/>
        </w:rPr>
        <w:t>See</w:t>
      </w:r>
      <w:r>
        <w:t xml:space="preserve"> </w:t>
      </w:r>
      <w:r w:rsidR="00691EF2">
        <w:t xml:space="preserve">Narrative </w:t>
      </w:r>
      <w:r>
        <w:t>at 1.</w:t>
      </w:r>
    </w:p>
  </w:footnote>
  <w:footnote w:id="6">
    <w:p w:rsidR="00DC62B1" w:rsidRPr="008F48B1" w:rsidP="00DC62B1" w14:paraId="1123982D" w14:textId="77777777">
      <w:pPr>
        <w:pStyle w:val="FootnoteText"/>
      </w:pPr>
      <w:r>
        <w:rPr>
          <w:rStyle w:val="FootnoteReference"/>
        </w:rPr>
        <w:footnoteRef/>
      </w:r>
      <w:r>
        <w:t xml:space="preserve"> </w:t>
      </w:r>
      <w:r w:rsidRPr="00524685">
        <w:rPr>
          <w:i/>
          <w:iCs/>
        </w:rPr>
        <w:t>Se</w:t>
      </w:r>
      <w:r>
        <w:rPr>
          <w:i/>
          <w:iCs/>
        </w:rPr>
        <w:t>e</w:t>
      </w:r>
      <w:r w:rsidRPr="008F7833">
        <w:rPr>
          <w:i/>
          <w:iCs/>
        </w:rPr>
        <w:t xml:space="preserve"> id.</w:t>
      </w:r>
    </w:p>
  </w:footnote>
  <w:footnote w:id="7">
    <w:p w:rsidR="003422B0" w:rsidP="003422B0" w14:paraId="09BE6EE4" w14:textId="77777777">
      <w:pPr>
        <w:pStyle w:val="FootnoteText"/>
      </w:pPr>
      <w:r>
        <w:rPr>
          <w:rStyle w:val="FootnoteReference"/>
        </w:rPr>
        <w:footnoteRef/>
      </w:r>
      <w:r>
        <w:t xml:space="preserve"> </w:t>
      </w:r>
      <w:r w:rsidRPr="00302AFF">
        <w:rPr>
          <w:i/>
          <w:iCs/>
        </w:rPr>
        <w:t>Id.</w:t>
      </w:r>
      <w:r>
        <w:t xml:space="preserve">; </w:t>
      </w:r>
      <w:r w:rsidRPr="00302AFF">
        <w:rPr>
          <w:i/>
          <w:iCs/>
        </w:rPr>
        <w:t>see also, e.g.</w:t>
      </w:r>
      <w:r>
        <w:t xml:space="preserve">, IBFS File No. </w:t>
      </w:r>
      <w:r w:rsidRPr="00427BCE">
        <w:t>SAT-ASG-20200522-00048</w:t>
      </w:r>
      <w:r>
        <w:t>.</w:t>
      </w:r>
    </w:p>
  </w:footnote>
  <w:footnote w:id="8">
    <w:p w:rsidR="003422B0" w:rsidP="003422B0" w14:paraId="69B0DEF1" w14:textId="3A3BB1B2">
      <w:pPr>
        <w:pStyle w:val="FootnoteText"/>
      </w:pPr>
      <w:r>
        <w:rPr>
          <w:rStyle w:val="FootnoteReference"/>
        </w:rPr>
        <w:footnoteRef/>
      </w:r>
      <w:r w:rsidR="009A51A3">
        <w:t xml:space="preserve"> </w:t>
      </w:r>
      <w:r w:rsidRPr="009A51A3" w:rsidR="009A51A3">
        <w:rPr>
          <w:i/>
          <w:iCs/>
        </w:rPr>
        <w:t>See</w:t>
      </w:r>
      <w:r w:rsidR="009A51A3">
        <w:t xml:space="preserve"> </w:t>
      </w:r>
      <w:r w:rsidRPr="00052F1D" w:rsidR="0055380A">
        <w:rPr>
          <w:i/>
          <w:iCs/>
        </w:rPr>
        <w:t xml:space="preserve">In re </w:t>
      </w:r>
      <w:r w:rsidRPr="00052F1D" w:rsidR="009A51A3">
        <w:rPr>
          <w:i/>
          <w:iCs/>
        </w:rPr>
        <w:t>Intelsat S.A.</w:t>
      </w:r>
      <w:r w:rsidR="00543EB8">
        <w:t xml:space="preserve">, </w:t>
      </w:r>
      <w:r w:rsidR="009A51A3">
        <w:t>Ch.11</w:t>
      </w:r>
      <w:r w:rsidR="00052F1D">
        <w:t>,</w:t>
      </w:r>
      <w:r w:rsidR="009A51A3">
        <w:t xml:space="preserve"> </w:t>
      </w:r>
      <w:r w:rsidR="00543EB8">
        <w:t xml:space="preserve">Case No. </w:t>
      </w:r>
      <w:r w:rsidRPr="00543EB8" w:rsidR="00543EB8">
        <w:t>20-32299-KLP</w:t>
      </w:r>
      <w:r w:rsidR="009A51A3">
        <w:t xml:space="preserve"> (</w:t>
      </w:r>
      <w:r w:rsidRPr="00543EB8" w:rsidR="00543EB8">
        <w:t>Bankr</w:t>
      </w:r>
      <w:r w:rsidRPr="00543EB8" w:rsidR="00543EB8">
        <w:t>. E.D. Va.</w:t>
      </w:r>
      <w:r w:rsidR="002D575B">
        <w:t>)</w:t>
      </w:r>
      <w:r>
        <w:t>.</w:t>
      </w:r>
    </w:p>
  </w:footnote>
  <w:footnote w:id="9">
    <w:p w:rsidR="003422B0" w:rsidP="003422B0" w14:paraId="4165B3A5" w14:textId="29282E5C">
      <w:pPr>
        <w:pStyle w:val="FootnoteText"/>
      </w:pPr>
      <w:r>
        <w:rPr>
          <w:rStyle w:val="FootnoteReference"/>
        </w:rPr>
        <w:footnoteRef/>
      </w:r>
      <w:r>
        <w:t xml:space="preserve"> </w:t>
      </w:r>
      <w:r w:rsidR="00691EF2">
        <w:t xml:space="preserve">Narrative </w:t>
      </w:r>
      <w:r w:rsidR="00E526A3">
        <w:t>at 2.</w:t>
      </w:r>
    </w:p>
  </w:footnote>
  <w:footnote w:id="10">
    <w:p w:rsidR="003422B0" w:rsidP="003422B0" w14:paraId="75A99096" w14:textId="77777777">
      <w:pPr>
        <w:pStyle w:val="FootnoteText"/>
      </w:pPr>
      <w:r>
        <w:rPr>
          <w:rStyle w:val="FootnoteReference"/>
        </w:rPr>
        <w:footnoteRef/>
      </w:r>
      <w:r>
        <w:t xml:space="preserve"> </w:t>
      </w:r>
      <w:r w:rsidRPr="00002AED">
        <w:rPr>
          <w:i/>
          <w:iCs/>
        </w:rPr>
        <w:t>I</w:t>
      </w:r>
      <w:r w:rsidRPr="00FE604C">
        <w:rPr>
          <w:i/>
          <w:iCs/>
        </w:rPr>
        <w:t>d.</w:t>
      </w:r>
    </w:p>
  </w:footnote>
  <w:footnote w:id="11">
    <w:p w:rsidR="003422B0" w:rsidP="003422B0" w14:paraId="051CCDEC" w14:textId="77777777">
      <w:pPr>
        <w:pStyle w:val="FootnoteText"/>
      </w:pPr>
      <w:r>
        <w:rPr>
          <w:rStyle w:val="FootnoteReference"/>
        </w:rPr>
        <w:footnoteRef/>
      </w:r>
      <w:r>
        <w:t xml:space="preserve"> </w:t>
      </w:r>
      <w:r w:rsidRPr="008A1DCB">
        <w:rPr>
          <w:i/>
          <w:iCs/>
        </w:rPr>
        <w:t>I</w:t>
      </w:r>
      <w:r w:rsidRPr="00133048">
        <w:rPr>
          <w:i/>
          <w:iCs/>
        </w:rPr>
        <w:t>d.</w:t>
      </w:r>
    </w:p>
  </w:footnote>
  <w:footnote w:id="12">
    <w:p w:rsidR="003422B0" w:rsidP="003422B0" w14:paraId="3D147AED" w14:textId="77777777">
      <w:pPr>
        <w:pStyle w:val="FootnoteText"/>
      </w:pPr>
      <w:r>
        <w:rPr>
          <w:rStyle w:val="FootnoteReference"/>
        </w:rPr>
        <w:footnoteRef/>
      </w:r>
      <w:r>
        <w:t xml:space="preserve"> </w:t>
      </w:r>
      <w:r w:rsidRPr="00133048">
        <w:rPr>
          <w:i/>
          <w:iCs/>
        </w:rPr>
        <w:t>Id.</w:t>
      </w:r>
    </w:p>
  </w:footnote>
  <w:footnote w:id="13">
    <w:p w:rsidR="003422B0" w:rsidRPr="00D006D8" w:rsidP="003422B0" w14:paraId="55BCA5AC" w14:textId="3A0DC6FE">
      <w:pPr>
        <w:pStyle w:val="FootnoteText"/>
      </w:pPr>
      <w:r>
        <w:rPr>
          <w:rStyle w:val="FootnoteReference"/>
        </w:rPr>
        <w:footnoteRef/>
      </w:r>
      <w:r>
        <w:t xml:space="preserve"> </w:t>
      </w:r>
      <w:r w:rsidRPr="00ED6AFB">
        <w:rPr>
          <w:i/>
          <w:iCs/>
        </w:rPr>
        <w:t>Id.</w:t>
      </w:r>
      <w:r w:rsidR="00D006D8">
        <w:t xml:space="preserve"> at 3.</w:t>
      </w:r>
    </w:p>
  </w:footnote>
  <w:footnote w:id="14">
    <w:p w:rsidR="001560BC" w14:paraId="4E6A3BBA" w14:textId="58414B6E">
      <w:pPr>
        <w:pStyle w:val="FootnoteText"/>
      </w:pPr>
      <w:r>
        <w:rPr>
          <w:rStyle w:val="FootnoteReference"/>
        </w:rPr>
        <w:footnoteRef/>
      </w:r>
      <w:r>
        <w:t xml:space="preserve"> </w:t>
      </w:r>
      <w:r w:rsidRPr="001560BC">
        <w:rPr>
          <w:i/>
          <w:iCs/>
        </w:rPr>
        <w:t>See</w:t>
      </w:r>
      <w:r w:rsidRPr="001560BC">
        <w:t xml:space="preserve"> </w:t>
      </w:r>
      <w:r w:rsidRPr="00965DC6" w:rsidR="00965DC6">
        <w:t>Agreement Relating to the International Telecommunications Satellite Organization</w:t>
      </w:r>
      <w:r w:rsidR="00CF08BB">
        <w:t>,</w:t>
      </w:r>
      <w:r w:rsidRPr="00965DC6" w:rsidR="00965DC6">
        <w:t xml:space="preserve"> 23 UST 3813, 1220 UNTS 2</w:t>
      </w:r>
      <w:r w:rsidR="00965DC6">
        <w:t>1</w:t>
      </w:r>
      <w:r w:rsidRPr="00965DC6" w:rsidR="00965DC6">
        <w:t xml:space="preserve"> (entry into force Feb. 12, 1973</w:t>
      </w:r>
      <w:r w:rsidRPr="001560BC">
        <w:t>)</w:t>
      </w:r>
      <w:r w:rsidR="00977E6B">
        <w:t xml:space="preserve">; </w:t>
      </w:r>
      <w:r w:rsidRPr="00911FF1" w:rsidR="00977E6B">
        <w:rPr>
          <w:i/>
          <w:iCs/>
        </w:rPr>
        <w:t xml:space="preserve">Request </w:t>
      </w:r>
      <w:r w:rsidR="00977E6B">
        <w:rPr>
          <w:i/>
          <w:iCs/>
        </w:rPr>
        <w:t>b</w:t>
      </w:r>
      <w:r w:rsidRPr="00911FF1" w:rsidR="00977E6B">
        <w:rPr>
          <w:i/>
          <w:iCs/>
        </w:rPr>
        <w:t xml:space="preserve">y Intelsat License LLC, </w:t>
      </w:r>
      <w:r w:rsidR="00977E6B">
        <w:rPr>
          <w:i/>
          <w:iCs/>
        </w:rPr>
        <w:t>a</w:t>
      </w:r>
      <w:r w:rsidRPr="00911FF1" w:rsidR="00977E6B">
        <w:rPr>
          <w:i/>
          <w:iCs/>
        </w:rPr>
        <w:t xml:space="preserve">s Debtor in Possession, for Modification </w:t>
      </w:r>
      <w:r w:rsidR="00977E6B">
        <w:rPr>
          <w:i/>
          <w:iCs/>
        </w:rPr>
        <w:t>o</w:t>
      </w:r>
      <w:r w:rsidRPr="00911FF1" w:rsidR="00977E6B">
        <w:rPr>
          <w:i/>
          <w:iCs/>
        </w:rPr>
        <w:t xml:space="preserve">f License Conditions Relating </w:t>
      </w:r>
      <w:r w:rsidR="00977E6B">
        <w:rPr>
          <w:i/>
          <w:iCs/>
        </w:rPr>
        <w:t>t</w:t>
      </w:r>
      <w:r w:rsidRPr="00911FF1" w:rsidR="00977E6B">
        <w:rPr>
          <w:i/>
          <w:iCs/>
        </w:rPr>
        <w:t xml:space="preserve">o </w:t>
      </w:r>
      <w:r w:rsidR="00977E6B">
        <w:rPr>
          <w:i/>
          <w:iCs/>
        </w:rPr>
        <w:t>t</w:t>
      </w:r>
      <w:r w:rsidRPr="00911FF1" w:rsidR="00977E6B">
        <w:rPr>
          <w:i/>
          <w:iCs/>
        </w:rPr>
        <w:t>he International Telecommunications Satellite Organization</w:t>
      </w:r>
      <w:r w:rsidR="00977E6B">
        <w:t xml:space="preserve">, Public Notice, </w:t>
      </w:r>
      <w:r w:rsidRPr="00D124F3" w:rsidR="00977E6B">
        <w:t xml:space="preserve">35 FCC </w:t>
      </w:r>
      <w:r w:rsidRPr="00D124F3" w:rsidR="00977E6B">
        <w:t>Rcd</w:t>
      </w:r>
      <w:r w:rsidRPr="00D124F3" w:rsidR="00977E6B">
        <w:t xml:space="preserve"> 14540</w:t>
      </w:r>
      <w:r w:rsidR="00977E6B">
        <w:t xml:space="preserve">, </w:t>
      </w:r>
      <w:r w:rsidRPr="00D124F3" w:rsidR="00977E6B">
        <w:t>1454</w:t>
      </w:r>
      <w:r w:rsidR="00977E6B">
        <w:t>0 n.5 (IB-SD 2020) (</w:t>
      </w:r>
      <w:r w:rsidRPr="00010B8B" w:rsidR="00977E6B">
        <w:rPr>
          <w:i/>
          <w:iCs/>
        </w:rPr>
        <w:t>ITSO Conditions Public Notice</w:t>
      </w:r>
      <w:r w:rsidR="00977E6B">
        <w:rPr>
          <w:i/>
          <w:iCs/>
        </w:rPr>
        <w:t>)</w:t>
      </w:r>
      <w:r w:rsidR="002436CE">
        <w:t>.</w:t>
      </w:r>
      <w:r w:rsidR="00977E6B">
        <w:t xml:space="preserve">  </w:t>
      </w:r>
      <w:r w:rsidRPr="00977E6B" w:rsidR="00977E6B">
        <w:t>Intelsat License DIP is a wholly owned subsidiary of Intelsat DIP.  Narrative at 1 n.1.</w:t>
      </w:r>
    </w:p>
  </w:footnote>
  <w:footnote w:id="15">
    <w:p w:rsidR="00DE4355" w14:paraId="30F52F13" w14:textId="771E423D">
      <w:pPr>
        <w:pStyle w:val="FootnoteText"/>
      </w:pPr>
      <w:r>
        <w:rPr>
          <w:rStyle w:val="FootnoteReference"/>
        </w:rPr>
        <w:footnoteRef/>
      </w:r>
      <w:r>
        <w:t xml:space="preserve"> </w:t>
      </w:r>
      <w:r w:rsidRPr="00DE4355">
        <w:rPr>
          <w:i/>
          <w:iCs/>
        </w:rPr>
        <w:t>See, e.g.</w:t>
      </w:r>
      <w:r w:rsidRPr="00DE4355">
        <w:t xml:space="preserve">, </w:t>
      </w:r>
      <w:r w:rsidRPr="00DE4355">
        <w:rPr>
          <w:i/>
          <w:iCs/>
        </w:rPr>
        <w:t>FCC Report to Congress as Required by the ORBIT Act</w:t>
      </w:r>
      <w:r w:rsidRPr="00DE4355">
        <w:t xml:space="preserve">, </w:t>
      </w:r>
      <w:r w:rsidR="008C51F0">
        <w:t>Fourteenth</w:t>
      </w:r>
      <w:r w:rsidRPr="00DE4355">
        <w:t xml:space="preserve"> Report, </w:t>
      </w:r>
      <w:r w:rsidRPr="008C51F0" w:rsidR="008C51F0">
        <w:t xml:space="preserve">28 FCC </w:t>
      </w:r>
      <w:r w:rsidRPr="008C51F0" w:rsidR="008C51F0">
        <w:t>Rcd</w:t>
      </w:r>
      <w:r w:rsidR="008C51F0">
        <w:t xml:space="preserve"> </w:t>
      </w:r>
      <w:r w:rsidRPr="008C51F0" w:rsidR="008C51F0">
        <w:t>8587</w:t>
      </w:r>
      <w:r w:rsidR="008C51F0">
        <w:t xml:space="preserve">, </w:t>
      </w:r>
      <w:r w:rsidRPr="008C51F0" w:rsidR="008C51F0">
        <w:t>8590</w:t>
      </w:r>
      <w:r w:rsidR="008C51F0">
        <w:t>-</w:t>
      </w:r>
      <w:r w:rsidR="00444683">
        <w:t>9</w:t>
      </w:r>
      <w:r w:rsidR="008C51F0">
        <w:t xml:space="preserve">1 </w:t>
      </w:r>
      <w:r>
        <w:t>(201</w:t>
      </w:r>
      <w:r w:rsidR="008C51F0">
        <w:t>3</w:t>
      </w:r>
      <w:r>
        <w:t>).</w:t>
      </w:r>
    </w:p>
  </w:footnote>
  <w:footnote w:id="16">
    <w:p w:rsidR="00867A7F" w:rsidP="00EE2C07" w14:paraId="0BBB8F8F" w14:textId="151F27CC">
      <w:pPr>
        <w:pStyle w:val="FootnoteText"/>
      </w:pPr>
      <w:r>
        <w:rPr>
          <w:rStyle w:val="FootnoteReference"/>
        </w:rPr>
        <w:footnoteRef/>
      </w:r>
      <w:r>
        <w:t xml:space="preserve"> </w:t>
      </w:r>
      <w:r w:rsidRPr="00CF0BD8">
        <w:rPr>
          <w:i/>
          <w:iCs/>
        </w:rPr>
        <w:t xml:space="preserve">See </w:t>
      </w:r>
      <w:r w:rsidRPr="00CF0BD8">
        <w:t xml:space="preserve">Agreement Relating to the International Telecommunications Satellite Organization, </w:t>
      </w:r>
      <w:r w:rsidRPr="002023AB">
        <w:rPr>
          <w:i/>
          <w:iCs/>
        </w:rPr>
        <w:t>amendment opened for signature</w:t>
      </w:r>
      <w:r w:rsidRPr="00CF0BD8">
        <w:t xml:space="preserve"> Nov. 17, 2000, 23 UST 3813, 1220 UNTS 21 (ITSO Agreement).</w:t>
      </w:r>
    </w:p>
  </w:footnote>
  <w:footnote w:id="17">
    <w:p w:rsidR="00DC7C24" w14:paraId="02A935AB" w14:textId="5B3367C0">
      <w:pPr>
        <w:pStyle w:val="FootnoteText"/>
      </w:pPr>
      <w:r>
        <w:rPr>
          <w:rStyle w:val="FootnoteReference"/>
        </w:rPr>
        <w:footnoteRef/>
      </w:r>
      <w:r>
        <w:t xml:space="preserve"> </w:t>
      </w:r>
      <w:r w:rsidRPr="00DC7C24">
        <w:t xml:space="preserve">The core principles require the company to:  (i) maintain global connectivity and global coverage; (ii) serve its lifeline connectivity customers; and (iii) provide non-discriminatory access to the </w:t>
      </w:r>
      <w:r w:rsidR="004266CA">
        <w:t>Intelsat</w:t>
      </w:r>
      <w:r w:rsidRPr="00DC7C24">
        <w:t xml:space="preserve"> system</w:t>
      </w:r>
      <w:r>
        <w:t>.  ITSO Agreement, Art. III</w:t>
      </w:r>
      <w:r w:rsidR="00770B99">
        <w:t>(</w:t>
      </w:r>
      <w:r>
        <w:t>b</w:t>
      </w:r>
      <w:r w:rsidR="00770B99">
        <w:t>).</w:t>
      </w:r>
      <w:r>
        <w:t xml:space="preserve">  With regard to the second principle, Intelsat DIP has noted that </w:t>
      </w:r>
      <w:r w:rsidRPr="00B8549C">
        <w:t xml:space="preserve">the </w:t>
      </w:r>
      <w:r>
        <w:t>final l</w:t>
      </w:r>
      <w:r w:rsidRPr="00B8549C">
        <w:t>ifeline customer contracts expired</w:t>
      </w:r>
      <w:r>
        <w:t xml:space="preserve"> </w:t>
      </w:r>
      <w:r w:rsidRPr="00B8549C">
        <w:t>in 2019</w:t>
      </w:r>
      <w:r>
        <w:t xml:space="preserve">.  </w:t>
      </w:r>
      <w:r w:rsidRPr="00911FF1">
        <w:rPr>
          <w:i/>
          <w:iCs/>
        </w:rPr>
        <w:t xml:space="preserve">See </w:t>
      </w:r>
      <w:r w:rsidRPr="00010B8B" w:rsidR="00977E6B">
        <w:rPr>
          <w:i/>
          <w:iCs/>
        </w:rPr>
        <w:t>ITSO Conditions Public Notice</w:t>
      </w:r>
      <w:r>
        <w:t xml:space="preserve">, </w:t>
      </w:r>
      <w:r w:rsidRPr="00D124F3" w:rsidR="00D124F3">
        <w:t xml:space="preserve">35 FCC </w:t>
      </w:r>
      <w:r w:rsidRPr="00D124F3" w:rsidR="00D124F3">
        <w:t>Rcd</w:t>
      </w:r>
      <w:r w:rsidRPr="00D124F3" w:rsidR="00D124F3">
        <w:t xml:space="preserve"> 14540</w:t>
      </w:r>
      <w:r>
        <w:t xml:space="preserve">, </w:t>
      </w:r>
      <w:r w:rsidRPr="00D124F3" w:rsidR="00D124F3">
        <w:t>14541</w:t>
      </w:r>
      <w:r w:rsidR="00D124F3">
        <w:t xml:space="preserve"> </w:t>
      </w:r>
      <w:r>
        <w:t>n.8.</w:t>
      </w:r>
    </w:p>
  </w:footnote>
  <w:footnote w:id="18">
    <w:p w:rsidR="00CF781F" w14:paraId="0DB24DE1" w14:textId="6493345A">
      <w:pPr>
        <w:pStyle w:val="FootnoteText"/>
      </w:pPr>
      <w:r>
        <w:rPr>
          <w:rStyle w:val="FootnoteReference"/>
        </w:rPr>
        <w:footnoteRef/>
      </w:r>
      <w:r>
        <w:t xml:space="preserve"> </w:t>
      </w:r>
      <w:r w:rsidRPr="00E8447C">
        <w:rPr>
          <w:i/>
          <w:iCs/>
        </w:rPr>
        <w:t>See</w:t>
      </w:r>
      <w:r>
        <w:t xml:space="preserve"> ITSO Agreement, Art. </w:t>
      </w:r>
      <w:r w:rsidRPr="00CF781F">
        <w:t>VII</w:t>
      </w:r>
      <w:r w:rsidR="00215468">
        <w:t>(</w:t>
      </w:r>
      <w:r>
        <w:t>b</w:t>
      </w:r>
      <w:r w:rsidR="00215468">
        <w:t>)</w:t>
      </w:r>
      <w:r>
        <w:t>.</w:t>
      </w:r>
    </w:p>
  </w:footnote>
  <w:footnote w:id="19">
    <w:p w:rsidR="00872980" w14:paraId="31EEC9C4" w14:textId="29E2381B">
      <w:pPr>
        <w:pStyle w:val="FootnoteText"/>
      </w:pPr>
      <w:r>
        <w:rPr>
          <w:rStyle w:val="FootnoteReference"/>
        </w:rPr>
        <w:footnoteRef/>
      </w:r>
      <w:r>
        <w:t xml:space="preserve"> </w:t>
      </w:r>
      <w:r w:rsidR="00FA3245">
        <w:rPr>
          <w:i/>
          <w:iCs/>
        </w:rPr>
        <w:t>S</w:t>
      </w:r>
      <w:r w:rsidRPr="00A44B2C">
        <w:rPr>
          <w:i/>
          <w:iCs/>
        </w:rPr>
        <w:t xml:space="preserve">ee </w:t>
      </w:r>
      <w:r w:rsidRPr="00B2723D" w:rsidR="009F364C">
        <w:t>Intelsat License LLC Reply Comments</w:t>
      </w:r>
      <w:r w:rsidR="009F364C">
        <w:t xml:space="preserve"> at 4 n.8 (Intelsat Reply) </w:t>
      </w:r>
      <w:r>
        <w:t xml:space="preserve">(quoting </w:t>
      </w:r>
      <w:r w:rsidRPr="00A44B2C">
        <w:t>Article 6.03</w:t>
      </w:r>
      <w:r>
        <w:t xml:space="preserve"> of the Public Services Agreement:  “</w:t>
      </w:r>
      <w:r w:rsidRPr="00A44B2C">
        <w:t xml:space="preserve">Any dispute, controversy or claim between the parties to this </w:t>
      </w:r>
      <w:r>
        <w:t>[Public Services Agreement]</w:t>
      </w:r>
      <w:r w:rsidRPr="00A44B2C">
        <w:t xml:space="preserve"> arising out of or relating to this </w:t>
      </w:r>
      <w:r>
        <w:t>[Public Services Agreement]</w:t>
      </w:r>
      <w:r w:rsidRPr="00A44B2C">
        <w:t xml:space="preserve"> that is not resolved through negotiation as provided for in 6.02 shall be settled by arbitration in the city where ITSO’s headquarters is located</w:t>
      </w:r>
      <w:r>
        <w:t>.”).</w:t>
      </w:r>
    </w:p>
  </w:footnote>
  <w:footnote w:id="20">
    <w:p w:rsidR="009C66DD" w14:paraId="3D3C533F" w14:textId="431F58E5">
      <w:pPr>
        <w:pStyle w:val="FootnoteText"/>
      </w:pPr>
      <w:r>
        <w:rPr>
          <w:rStyle w:val="FootnoteReference"/>
        </w:rPr>
        <w:footnoteRef/>
      </w:r>
      <w:r>
        <w:t xml:space="preserve"> The ITSO-related conditions apply to </w:t>
      </w:r>
      <w:r w:rsidRPr="008B3C45">
        <w:t>space station licenses that make use of pre-privatization International Telecommunication Union filings transferred to the United States at privatization</w:t>
      </w:r>
      <w:r>
        <w:t xml:space="preserve">.  </w:t>
      </w:r>
      <w:r w:rsidRPr="008B3C45" w:rsidR="002B0011">
        <w:rPr>
          <w:i/>
          <w:iCs/>
        </w:rPr>
        <w:t xml:space="preserve">See </w:t>
      </w:r>
      <w:r w:rsidRPr="00E24F3F" w:rsidR="002B0011">
        <w:rPr>
          <w:i/>
          <w:iCs/>
        </w:rPr>
        <w:t>Petition of the International Telecommunications Satellite Organization under Section 316 of the Communications Act, as Amended</w:t>
      </w:r>
      <w:r w:rsidR="002B0011">
        <w:t xml:space="preserve">, Order of Modification, </w:t>
      </w:r>
      <w:r w:rsidRPr="0077034D" w:rsidR="002B0011">
        <w:t xml:space="preserve">23 FCC </w:t>
      </w:r>
      <w:r w:rsidRPr="0077034D" w:rsidR="002B0011">
        <w:t>Rcd</w:t>
      </w:r>
      <w:r w:rsidRPr="0077034D" w:rsidR="002B0011">
        <w:t xml:space="preserve"> 2764</w:t>
      </w:r>
      <w:r w:rsidR="002B0011">
        <w:t xml:space="preserve">, </w:t>
      </w:r>
      <w:r w:rsidRPr="008B3C45" w:rsidR="002B0011">
        <w:t>276</w:t>
      </w:r>
      <w:r w:rsidR="002B0011">
        <w:t>4-6</w:t>
      </w:r>
      <w:r w:rsidRPr="008B3C45" w:rsidR="002B0011">
        <w:t>5</w:t>
      </w:r>
      <w:r w:rsidR="002B0011">
        <w:t>, para. 2 (IB 2008) (</w:t>
      </w:r>
      <w:r w:rsidRPr="002B0011" w:rsidR="002B0011">
        <w:rPr>
          <w:i/>
          <w:iCs/>
        </w:rPr>
        <w:t>Modification Order</w:t>
      </w:r>
      <w:r w:rsidR="002B0011">
        <w:t>).</w:t>
      </w:r>
    </w:p>
  </w:footnote>
  <w:footnote w:id="21">
    <w:p w:rsidR="009C66DD" w14:paraId="6D1FDA6A" w14:textId="7939A9D8">
      <w:pPr>
        <w:pStyle w:val="FootnoteText"/>
      </w:pPr>
      <w:r>
        <w:rPr>
          <w:rStyle w:val="FootnoteReference"/>
        </w:rPr>
        <w:footnoteRef/>
      </w:r>
      <w:r>
        <w:t xml:space="preserve"> </w:t>
      </w:r>
      <w:r w:rsidR="00395DDB">
        <w:rPr>
          <w:i/>
          <w:iCs/>
        </w:rPr>
        <w:t>Id.</w:t>
      </w:r>
      <w:r w:rsidRPr="0077034D">
        <w:t xml:space="preserve"> </w:t>
      </w:r>
      <w:r w:rsidR="0059119B">
        <w:t>at</w:t>
      </w:r>
      <w:r>
        <w:t xml:space="preserve"> </w:t>
      </w:r>
      <w:r w:rsidRPr="0072632D">
        <w:t>2770</w:t>
      </w:r>
      <w:r>
        <w:t>,</w:t>
      </w:r>
      <w:r w:rsidRPr="0072632D">
        <w:t xml:space="preserve"> </w:t>
      </w:r>
      <w:r>
        <w:t>para. 13.</w:t>
      </w:r>
    </w:p>
  </w:footnote>
  <w:footnote w:id="22">
    <w:p w:rsidR="00B32F0B" w14:paraId="176FD2B8" w14:textId="265CD4A3">
      <w:pPr>
        <w:pStyle w:val="FootnoteText"/>
      </w:pPr>
      <w:r>
        <w:rPr>
          <w:rStyle w:val="FootnoteReference"/>
        </w:rPr>
        <w:footnoteRef/>
      </w:r>
      <w:r>
        <w:t xml:space="preserve"> </w:t>
      </w:r>
      <w:r w:rsidR="00395DDB">
        <w:rPr>
          <w:i/>
          <w:iCs/>
        </w:rPr>
        <w:t>Id</w:t>
      </w:r>
      <w:r w:rsidRPr="00395DDB" w:rsidR="00395DDB">
        <w:rPr>
          <w:i/>
          <w:iCs/>
        </w:rPr>
        <w:t>.</w:t>
      </w:r>
      <w:r w:rsidRPr="00395DDB">
        <w:t xml:space="preserve"> </w:t>
      </w:r>
      <w:r w:rsidRPr="00395DDB" w:rsidR="00395DDB">
        <w:t xml:space="preserve"> </w:t>
      </w:r>
      <w:r w:rsidRPr="00395DDB" w:rsidR="00820D3B">
        <w:t>T</w:t>
      </w:r>
      <w:r w:rsidR="00820D3B">
        <w:t xml:space="preserve">his condition </w:t>
      </w:r>
      <w:r w:rsidR="00395DDB">
        <w:t xml:space="preserve">was </w:t>
      </w:r>
      <w:r w:rsidR="00CA556A">
        <w:t>meant</w:t>
      </w:r>
      <w:r w:rsidRPr="00820D3B" w:rsidR="00820D3B">
        <w:t xml:space="preserve"> “to ensure continuing compliance with the core principles even after any potential bankruptcy.”</w:t>
      </w:r>
      <w:r w:rsidR="008558C7">
        <w:t xml:space="preserve"> </w:t>
      </w:r>
      <w:r w:rsidR="00820D3B">
        <w:t xml:space="preserve"> </w:t>
      </w:r>
      <w:r w:rsidRPr="00A034B5" w:rsidR="00820D3B">
        <w:rPr>
          <w:i/>
          <w:iCs/>
        </w:rPr>
        <w:t>See</w:t>
      </w:r>
      <w:r w:rsidRPr="00395DDB" w:rsidR="00820D3B">
        <w:rPr>
          <w:i/>
          <w:iCs/>
        </w:rPr>
        <w:t xml:space="preserve"> </w:t>
      </w:r>
      <w:r w:rsidRPr="00395DDB" w:rsidR="00395DDB">
        <w:rPr>
          <w:i/>
          <w:iCs/>
        </w:rPr>
        <w:t>id.</w:t>
      </w:r>
      <w:r w:rsidRPr="0077034D" w:rsidR="00395DDB">
        <w:t xml:space="preserve"> </w:t>
      </w:r>
      <w:r w:rsidR="00395DDB">
        <w:t xml:space="preserve">at </w:t>
      </w:r>
      <w:r w:rsidR="007E7A7F">
        <w:t>2</w:t>
      </w:r>
      <w:r w:rsidRPr="00395DDB" w:rsidR="00395DDB">
        <w:t>768</w:t>
      </w:r>
      <w:r w:rsidR="00395DDB">
        <w:t>,</w:t>
      </w:r>
      <w:r w:rsidRPr="00395DDB" w:rsidR="00395DDB">
        <w:t xml:space="preserve"> </w:t>
      </w:r>
      <w:r w:rsidR="00820D3B">
        <w:t>para. 7 n.26.</w:t>
      </w:r>
    </w:p>
  </w:footnote>
  <w:footnote w:id="23">
    <w:p w:rsidR="006E56A5" w14:paraId="2623840F" w14:textId="5B921DC2">
      <w:pPr>
        <w:pStyle w:val="FootnoteText"/>
      </w:pPr>
      <w:r>
        <w:rPr>
          <w:rStyle w:val="FootnoteReference"/>
        </w:rPr>
        <w:footnoteRef/>
      </w:r>
      <w:r>
        <w:t xml:space="preserve"> </w:t>
      </w:r>
      <w:r w:rsidR="0094543C">
        <w:rPr>
          <w:i/>
          <w:iCs/>
        </w:rPr>
        <w:t>Id.</w:t>
      </w:r>
      <w:r w:rsidRPr="0077034D">
        <w:t xml:space="preserve"> </w:t>
      </w:r>
      <w:r>
        <w:t xml:space="preserve">at </w:t>
      </w:r>
      <w:r w:rsidRPr="00956AC8">
        <w:t>2769</w:t>
      </w:r>
      <w:r>
        <w:t>, para. 9.</w:t>
      </w:r>
    </w:p>
  </w:footnote>
  <w:footnote w:id="24">
    <w:p w:rsidR="00B32F0B" w:rsidP="00B32F0B" w14:paraId="7A557A2F" w14:textId="3F48518E">
      <w:pPr>
        <w:pStyle w:val="FootnoteText"/>
      </w:pPr>
      <w:r>
        <w:rPr>
          <w:rStyle w:val="FootnoteReference"/>
        </w:rPr>
        <w:footnoteRef/>
      </w:r>
      <w:r>
        <w:t xml:space="preserve"> </w:t>
      </w:r>
      <w:r w:rsidR="009A4023">
        <w:rPr>
          <w:i/>
          <w:iCs/>
        </w:rPr>
        <w:t>Id.</w:t>
      </w:r>
      <w:r>
        <w:t xml:space="preserve"> </w:t>
      </w:r>
      <w:r w:rsidR="009A4023">
        <w:t xml:space="preserve"> </w:t>
      </w:r>
      <w:r w:rsidR="006E7792">
        <w:t xml:space="preserve">In a separate proceeding, Intelsat DIP </w:t>
      </w:r>
      <w:r w:rsidRPr="00EE2C07" w:rsidR="006E7792">
        <w:t xml:space="preserve">seeks modification of </w:t>
      </w:r>
      <w:r w:rsidR="006E7792">
        <w:t xml:space="preserve">these license conditions </w:t>
      </w:r>
      <w:r w:rsidRPr="00EE2C07" w:rsidR="006E7792">
        <w:t>in anticipation of the possible termination of the ITSO Agreement</w:t>
      </w:r>
      <w:r w:rsidR="006E7792">
        <w:t xml:space="preserve">.  </w:t>
      </w:r>
      <w:r w:rsidRPr="00911FF1" w:rsidR="006E7792">
        <w:rPr>
          <w:i/>
          <w:iCs/>
        </w:rPr>
        <w:t xml:space="preserve">See </w:t>
      </w:r>
      <w:r w:rsidRPr="00010B8B" w:rsidR="006E7792">
        <w:rPr>
          <w:i/>
          <w:iCs/>
        </w:rPr>
        <w:t>ITSO Conditions Public Notice</w:t>
      </w:r>
      <w:r w:rsidR="006E7792">
        <w:t xml:space="preserve">, </w:t>
      </w:r>
      <w:r w:rsidRPr="00D124F3" w:rsidR="006E7792">
        <w:t xml:space="preserve">35 FCC </w:t>
      </w:r>
      <w:r w:rsidRPr="00D124F3" w:rsidR="006E7792">
        <w:t>Rcd</w:t>
      </w:r>
      <w:r w:rsidRPr="00D124F3" w:rsidR="006E7792">
        <w:t xml:space="preserve"> 14540</w:t>
      </w:r>
      <w:r w:rsidR="006E7792">
        <w:t>.</w:t>
      </w:r>
    </w:p>
  </w:footnote>
  <w:footnote w:id="25">
    <w:p w:rsidR="00B811DF" w:rsidP="00EA1258" w14:paraId="46AE16A6" w14:textId="0BE931A2">
      <w:pPr>
        <w:pStyle w:val="FootnoteText"/>
      </w:pPr>
      <w:r>
        <w:rPr>
          <w:rStyle w:val="FootnoteReference"/>
        </w:rPr>
        <w:footnoteRef/>
      </w:r>
      <w:r>
        <w:t xml:space="preserve"> </w:t>
      </w:r>
      <w:r w:rsidRPr="006E2DD3">
        <w:rPr>
          <w:i/>
          <w:iCs/>
        </w:rPr>
        <w:t>Applications Filed for Assignment and Transfer of Control by Intelsat S.A., as Debtor-in-Possession</w:t>
      </w:r>
      <w:r>
        <w:t xml:space="preserve">, Public Notice, </w:t>
      </w:r>
      <w:r w:rsidRPr="006E2DD3">
        <w:t>DA 21-1200</w:t>
      </w:r>
      <w:r w:rsidRPr="00870D3A">
        <w:rPr>
          <w:spacing w:val="-2"/>
        </w:rPr>
        <w:t xml:space="preserve"> </w:t>
      </w:r>
      <w:r>
        <w:t>(IB</w:t>
      </w:r>
      <w:r w:rsidR="008B7D9D">
        <w:t>/</w:t>
      </w:r>
      <w:r>
        <w:t>WTB</w:t>
      </w:r>
      <w:r w:rsidR="008B7D9D">
        <w:t>/</w:t>
      </w:r>
      <w:r>
        <w:t>OET</w:t>
      </w:r>
      <w:r w:rsidR="009C4EFB">
        <w:t xml:space="preserve"> </w:t>
      </w:r>
      <w:r w:rsidR="00706013">
        <w:t xml:space="preserve">rel. Sept. 24, </w:t>
      </w:r>
      <w:r>
        <w:t>2021)</w:t>
      </w:r>
      <w:r w:rsidR="00706013">
        <w:t xml:space="preserve"> (</w:t>
      </w:r>
      <w:r w:rsidR="00706013">
        <w:rPr>
          <w:i/>
          <w:iCs/>
        </w:rPr>
        <w:t>Public Notice)</w:t>
      </w:r>
      <w:r>
        <w:t>.</w:t>
      </w:r>
      <w:r w:rsidR="00304D8E">
        <w:t xml:space="preserve">  </w:t>
      </w:r>
      <w:r w:rsidRPr="00304D8E" w:rsidR="00304D8E">
        <w:t>Spectrum Five LLC</w:t>
      </w:r>
      <w:r w:rsidR="00304D8E">
        <w:t xml:space="preserve"> requested an </w:t>
      </w:r>
      <w:r w:rsidRPr="00304D8E" w:rsidR="00304D8E">
        <w:t>extension of time to file comments</w:t>
      </w:r>
      <w:r w:rsidR="00356BDF">
        <w:t xml:space="preserve">.  </w:t>
      </w:r>
      <w:r w:rsidR="00EA1258">
        <w:t xml:space="preserve">Spectrum Five LLC </w:t>
      </w:r>
      <w:r w:rsidRPr="00EA1258" w:rsidR="00EA1258">
        <w:t xml:space="preserve">Motion </w:t>
      </w:r>
      <w:r w:rsidR="00EA1258">
        <w:t>f</w:t>
      </w:r>
      <w:r w:rsidRPr="00EA1258" w:rsidR="00EA1258">
        <w:t xml:space="preserve">or Extension </w:t>
      </w:r>
      <w:r w:rsidR="00EA1258">
        <w:t>o</w:t>
      </w:r>
      <w:r w:rsidRPr="00EA1258" w:rsidR="00EA1258">
        <w:t xml:space="preserve">f Time </w:t>
      </w:r>
      <w:r w:rsidR="00EA1258">
        <w:t>t</w:t>
      </w:r>
      <w:r w:rsidRPr="00EA1258" w:rsidR="00EA1258">
        <w:t>o File Comments</w:t>
      </w:r>
      <w:r w:rsidR="00EA1258">
        <w:t xml:space="preserve"> (</w:t>
      </w:r>
      <w:r w:rsidR="00363DD6">
        <w:t xml:space="preserve">filed </w:t>
      </w:r>
      <w:r w:rsidR="00EA1258">
        <w:t>Oct. 11, 2021)</w:t>
      </w:r>
      <w:r w:rsidR="00363DD6">
        <w:t xml:space="preserve">; </w:t>
      </w:r>
      <w:r w:rsidR="00067611">
        <w:rPr>
          <w:i/>
          <w:iCs/>
        </w:rPr>
        <w:t>but s</w:t>
      </w:r>
      <w:r w:rsidRPr="00363DD6" w:rsidR="00363DD6">
        <w:rPr>
          <w:i/>
          <w:iCs/>
        </w:rPr>
        <w:t>ee</w:t>
      </w:r>
      <w:r w:rsidR="00363DD6">
        <w:t xml:space="preserve"> </w:t>
      </w:r>
      <w:r w:rsidRPr="00363DD6" w:rsidR="00363DD6">
        <w:t>Intelsat License LLC</w:t>
      </w:r>
      <w:r w:rsidR="00363DD6">
        <w:t xml:space="preserve"> </w:t>
      </w:r>
      <w:r w:rsidRPr="00363DD6" w:rsidR="00363DD6">
        <w:t xml:space="preserve">Opposition </w:t>
      </w:r>
      <w:r w:rsidR="00363DD6">
        <w:t>t</w:t>
      </w:r>
      <w:r w:rsidRPr="00363DD6" w:rsidR="00363DD6">
        <w:t xml:space="preserve">o Motion </w:t>
      </w:r>
      <w:r w:rsidR="00363DD6">
        <w:t>f</w:t>
      </w:r>
      <w:r w:rsidRPr="00363DD6" w:rsidR="00363DD6">
        <w:t xml:space="preserve">or Extension </w:t>
      </w:r>
      <w:r w:rsidR="00363DD6">
        <w:t>o</w:t>
      </w:r>
      <w:r w:rsidRPr="00363DD6" w:rsidR="00363DD6">
        <w:t xml:space="preserve">f Time </w:t>
      </w:r>
      <w:r w:rsidR="00363DD6">
        <w:t>t</w:t>
      </w:r>
      <w:r w:rsidRPr="00363DD6" w:rsidR="00363DD6">
        <w:t>o File Comments</w:t>
      </w:r>
      <w:r w:rsidR="00363DD6">
        <w:t xml:space="preserve"> (filed Oct. 14, 2021)</w:t>
      </w:r>
      <w:r w:rsidR="00EA1258">
        <w:t xml:space="preserve">.  </w:t>
      </w:r>
      <w:r w:rsidR="00356BDF">
        <w:t xml:space="preserve">The request was </w:t>
      </w:r>
      <w:r w:rsidR="00304D8E">
        <w:t xml:space="preserve">denied.  </w:t>
      </w:r>
      <w:r w:rsidRPr="00C478D3" w:rsidR="00EA1258">
        <w:rPr>
          <w:i/>
          <w:iCs/>
        </w:rPr>
        <w:t xml:space="preserve">Intelsat S.A., as debtor-in-possession, (Transferor) and New </w:t>
      </w:r>
      <w:r w:rsidRPr="00C478D3" w:rsidR="00EA1258">
        <w:rPr>
          <w:i/>
          <w:iCs/>
        </w:rPr>
        <w:t>TopCo</w:t>
      </w:r>
      <w:r w:rsidRPr="00C478D3" w:rsidR="00EA1258">
        <w:rPr>
          <w:i/>
          <w:iCs/>
        </w:rPr>
        <w:t xml:space="preserve"> S.A. (Transferee)</w:t>
      </w:r>
      <w:r w:rsidR="00EA1258">
        <w:t xml:space="preserve">, Order, </w:t>
      </w:r>
      <w:r w:rsidRPr="00EA1258" w:rsidR="00EA1258">
        <w:t>DA 21-1324</w:t>
      </w:r>
      <w:r w:rsidR="00EA1258">
        <w:t xml:space="preserve"> (IB</w:t>
      </w:r>
      <w:r w:rsidR="008B7D9D">
        <w:t>-</w:t>
      </w:r>
      <w:r w:rsidR="00EA1258">
        <w:t>SD 2021).</w:t>
      </w:r>
    </w:p>
  </w:footnote>
  <w:footnote w:id="26">
    <w:p w:rsidR="006B505C" w:rsidP="006B505C" w14:paraId="495D8133" w14:textId="0F8C770B">
      <w:pPr>
        <w:pStyle w:val="FootnoteText"/>
      </w:pPr>
      <w:r>
        <w:rPr>
          <w:rStyle w:val="FootnoteReference"/>
        </w:rPr>
        <w:footnoteRef/>
      </w:r>
      <w:r>
        <w:t xml:space="preserve"> Letter from Ms. </w:t>
      </w:r>
      <w:r>
        <w:t>Nonkqubela</w:t>
      </w:r>
      <w:r>
        <w:t xml:space="preserve"> Jordan-</w:t>
      </w:r>
      <w:r>
        <w:t>Dyani</w:t>
      </w:r>
      <w:r>
        <w:t>, Acting Director-General, Communications and Digital Technologies, Republic of South Africa, to Marlene H. Dortch, Secretary, FCC (</w:t>
      </w:r>
      <w:r w:rsidR="001D31F3">
        <w:t xml:space="preserve">filed </w:t>
      </w:r>
      <w:r>
        <w:t>Oct. 25, 202</w:t>
      </w:r>
      <w:r w:rsidR="001D31F3">
        <w:t>1</w:t>
      </w:r>
      <w:r>
        <w:t>) (ITSO Letter).</w:t>
      </w:r>
    </w:p>
  </w:footnote>
  <w:footnote w:id="27">
    <w:p w:rsidR="006B505C" w14:paraId="284354E6" w14:textId="00DE89B8">
      <w:pPr>
        <w:pStyle w:val="FootnoteText"/>
      </w:pPr>
      <w:r>
        <w:rPr>
          <w:rStyle w:val="FootnoteReference"/>
        </w:rPr>
        <w:footnoteRef/>
      </w:r>
      <w:r>
        <w:t xml:space="preserve"> </w:t>
      </w:r>
      <w:r w:rsidR="006D5064">
        <w:t>Intelsat Reply</w:t>
      </w:r>
      <w:r w:rsidR="00400DC4">
        <w:t>.</w:t>
      </w:r>
    </w:p>
  </w:footnote>
  <w:footnote w:id="28">
    <w:p w:rsidR="009D6976" w:rsidP="009D6976" w14:paraId="4744FE48" w14:textId="484EF753">
      <w:pPr>
        <w:pStyle w:val="FootnoteText"/>
      </w:pPr>
      <w:r>
        <w:rPr>
          <w:rStyle w:val="FootnoteReference"/>
        </w:rPr>
        <w:footnoteRef/>
      </w:r>
      <w:r>
        <w:t xml:space="preserve"> </w:t>
      </w:r>
      <w:r w:rsidRPr="00B37153" w:rsidR="00B37153">
        <w:rPr>
          <w:i/>
          <w:iCs/>
        </w:rPr>
        <w:t>See</w:t>
      </w:r>
      <w:r w:rsidR="00B37153">
        <w:t xml:space="preserve"> </w:t>
      </w:r>
      <w:r>
        <w:t>ITSO Letter at 3, para. 7-8.</w:t>
      </w:r>
    </w:p>
  </w:footnote>
  <w:footnote w:id="29">
    <w:p w:rsidR="009D6976" w:rsidP="003C314D" w14:paraId="046527AC" w14:textId="4FCC6BCC">
      <w:pPr>
        <w:pStyle w:val="FootnoteText"/>
      </w:pPr>
      <w:r>
        <w:rPr>
          <w:rStyle w:val="FootnoteReference"/>
        </w:rPr>
        <w:footnoteRef/>
      </w:r>
      <w:r>
        <w:t xml:space="preserve"> </w:t>
      </w:r>
      <w:r w:rsidRPr="00E67075" w:rsidR="00E67075">
        <w:rPr>
          <w:i/>
          <w:iCs/>
        </w:rPr>
        <w:t>Id.</w:t>
      </w:r>
      <w:r>
        <w:t xml:space="preserve"> at 3, para. 9.</w:t>
      </w:r>
      <w:r w:rsidR="00C8128A">
        <w:t xml:space="preserve">  The ITSO Chair faults</w:t>
      </w:r>
      <w:r w:rsidRPr="00C8128A" w:rsidR="00C8128A">
        <w:t xml:space="preserve"> </w:t>
      </w:r>
      <w:r w:rsidR="001A5379">
        <w:t>the Applicants</w:t>
      </w:r>
      <w:r w:rsidRPr="00C8128A" w:rsidR="00C8128A">
        <w:t xml:space="preserve"> for </w:t>
      </w:r>
      <w:r w:rsidR="003C314D">
        <w:t>not</w:t>
      </w:r>
      <w:r w:rsidRPr="00C8128A" w:rsidR="00C8128A">
        <w:t xml:space="preserve"> cit</w:t>
      </w:r>
      <w:r w:rsidR="003C314D">
        <w:t>ing,</w:t>
      </w:r>
      <w:r w:rsidRPr="00C8128A" w:rsidR="00C8128A">
        <w:t xml:space="preserve"> </w:t>
      </w:r>
      <w:r w:rsidR="003C314D">
        <w:t>in the Narrative,</w:t>
      </w:r>
      <w:r w:rsidR="00156388">
        <w:t xml:space="preserve"> to</w:t>
      </w:r>
      <w:r w:rsidR="003C314D">
        <w:t xml:space="preserve"> </w:t>
      </w:r>
      <w:r w:rsidRPr="00C8128A" w:rsidR="00C8128A">
        <w:t xml:space="preserve">the </w:t>
      </w:r>
      <w:r w:rsidRPr="00900697" w:rsidR="00C8128A">
        <w:rPr>
          <w:i/>
          <w:iCs/>
        </w:rPr>
        <w:t>Modification Order</w:t>
      </w:r>
      <w:r w:rsidRPr="00C8128A" w:rsidR="00C8128A">
        <w:t xml:space="preserve"> </w:t>
      </w:r>
      <w:r w:rsidR="003C314D">
        <w:t>which adopted t</w:t>
      </w:r>
      <w:r w:rsidRPr="00C8128A" w:rsidR="00C8128A">
        <w:t>he ITSO</w:t>
      </w:r>
      <w:r w:rsidR="00C8128A">
        <w:t>-related</w:t>
      </w:r>
      <w:r w:rsidRPr="00C8128A" w:rsidR="00C8128A">
        <w:t xml:space="preserve"> conditions</w:t>
      </w:r>
      <w:r w:rsidR="003C314D">
        <w:t>,</w:t>
      </w:r>
      <w:r w:rsidR="00C8128A">
        <w:t xml:space="preserve"> in accordance with a condition in that order </w:t>
      </w:r>
      <w:r w:rsidR="005A1430">
        <w:t xml:space="preserve">specifying </w:t>
      </w:r>
      <w:r w:rsidR="00C8128A">
        <w:t xml:space="preserve">that “Intelsat, in filing any application seeking Commission approval to modify, assign, transfer or otherwise take action with respect to this authorization, SHALL CITE TO the </w:t>
      </w:r>
      <w:r w:rsidR="003C314D">
        <w:t>[</w:t>
      </w:r>
      <w:r w:rsidRPr="00900697" w:rsidR="003C314D">
        <w:rPr>
          <w:i/>
          <w:iCs/>
        </w:rPr>
        <w:t>Modification Order</w:t>
      </w:r>
      <w:r w:rsidR="003C314D">
        <w:t>]</w:t>
      </w:r>
      <w:r w:rsidR="00C8128A">
        <w:t xml:space="preserve"> in the narrative section of the relevant application.”  </w:t>
      </w:r>
      <w:r w:rsidRPr="00900C83" w:rsidR="00C8128A">
        <w:rPr>
          <w:i/>
          <w:iCs/>
        </w:rPr>
        <w:t>See</w:t>
      </w:r>
      <w:r w:rsidR="00C8128A">
        <w:t xml:space="preserve"> </w:t>
      </w:r>
      <w:r w:rsidR="00C8128A">
        <w:rPr>
          <w:i/>
          <w:iCs/>
        </w:rPr>
        <w:t>i</w:t>
      </w:r>
      <w:r w:rsidRPr="00900C83" w:rsidR="00C8128A">
        <w:rPr>
          <w:i/>
          <w:iCs/>
        </w:rPr>
        <w:t>d.</w:t>
      </w:r>
      <w:r w:rsidR="00C8128A">
        <w:t xml:space="preserve"> at 3, para. 6; </w:t>
      </w:r>
      <w:r w:rsidRPr="00900697" w:rsidR="00C8128A">
        <w:rPr>
          <w:i/>
          <w:iCs/>
        </w:rPr>
        <w:t>Modification Order</w:t>
      </w:r>
      <w:r w:rsidR="00C628E9">
        <w:t xml:space="preserve">, 23 FCC </w:t>
      </w:r>
      <w:r w:rsidR="00C628E9">
        <w:t>Rcd</w:t>
      </w:r>
      <w:r w:rsidR="00C8128A">
        <w:t xml:space="preserve"> at </w:t>
      </w:r>
      <w:r w:rsidRPr="00C8128A" w:rsidR="00C8128A">
        <w:t>2771</w:t>
      </w:r>
      <w:r w:rsidR="00C8128A">
        <w:t xml:space="preserve">, para. 13.  </w:t>
      </w:r>
      <w:r w:rsidR="003C314D">
        <w:t xml:space="preserve">Intelsat License DIP </w:t>
      </w:r>
      <w:r w:rsidR="005A1430">
        <w:t>responds</w:t>
      </w:r>
      <w:r w:rsidR="003C314D">
        <w:t xml:space="preserve"> that this condition was added at the request of Intelsat “for administrative purposes” so that the ITSO-related conditions would “automatically attach or remove from a satellite license when the satellite moves into or out of a transferred orbital location.”  </w:t>
      </w:r>
      <w:r w:rsidR="00156388">
        <w:t xml:space="preserve">Intelsat Reply at 3, n.6 (quoting </w:t>
      </w:r>
      <w:r w:rsidRPr="00900697" w:rsidR="00156388">
        <w:rPr>
          <w:i/>
          <w:iCs/>
        </w:rPr>
        <w:t>Modification Order</w:t>
      </w:r>
      <w:r w:rsidR="00156388">
        <w:t xml:space="preserve">, 23 FCC </w:t>
      </w:r>
      <w:r w:rsidR="00156388">
        <w:t>Rcd</w:t>
      </w:r>
      <w:r w:rsidR="00156388">
        <w:t xml:space="preserve"> at </w:t>
      </w:r>
      <w:r w:rsidRPr="00156388" w:rsidR="00156388">
        <w:t>2770</w:t>
      </w:r>
      <w:r w:rsidR="00156388">
        <w:t xml:space="preserve">, para. 12).  </w:t>
      </w:r>
      <w:r w:rsidRPr="003C314D" w:rsidR="003C314D">
        <w:t>Intelsat License DIP</w:t>
      </w:r>
      <w:r w:rsidR="003C314D">
        <w:t xml:space="preserve"> argues that it is not clear the </w:t>
      </w:r>
      <w:r w:rsidR="00156388">
        <w:t>present</w:t>
      </w:r>
      <w:r w:rsidR="003C314D">
        <w:t xml:space="preserve"> applications are “relevant” under the condition, but nonetheless cites to </w:t>
      </w:r>
      <w:r w:rsidR="00156388">
        <w:t xml:space="preserve">and acknowledges </w:t>
      </w:r>
      <w:r w:rsidR="003C314D">
        <w:t xml:space="preserve">the </w:t>
      </w:r>
      <w:r w:rsidRPr="00900697" w:rsidR="003C314D">
        <w:rPr>
          <w:i/>
          <w:iCs/>
        </w:rPr>
        <w:t>Modification Order</w:t>
      </w:r>
      <w:r w:rsidR="003C314D">
        <w:t xml:space="preserve"> </w:t>
      </w:r>
      <w:r w:rsidR="00156388">
        <w:t>“</w:t>
      </w:r>
      <w:r w:rsidR="003C314D">
        <w:t>out of an abundance of caution.</w:t>
      </w:r>
      <w:r w:rsidR="00156388">
        <w:t>”</w:t>
      </w:r>
      <w:r w:rsidR="002108F1">
        <w:t xml:space="preserve">  Intelsat Reply at 3, n.6.</w:t>
      </w:r>
    </w:p>
  </w:footnote>
  <w:footnote w:id="30">
    <w:p w:rsidR="0049567B" w:rsidP="0049567B" w14:paraId="7E3E419A" w14:textId="25504B34">
      <w:pPr>
        <w:pStyle w:val="FootnoteText"/>
      </w:pPr>
      <w:r>
        <w:rPr>
          <w:rStyle w:val="FootnoteReference"/>
        </w:rPr>
        <w:footnoteRef/>
      </w:r>
      <w:r>
        <w:t xml:space="preserve"> </w:t>
      </w:r>
      <w:r w:rsidR="00C628E9">
        <w:t xml:space="preserve">ITSO Letter </w:t>
      </w:r>
      <w:r>
        <w:t>at 4, para. 12.</w:t>
      </w:r>
    </w:p>
  </w:footnote>
  <w:footnote w:id="31">
    <w:p w:rsidR="00B37153" w:rsidP="00B37153" w14:paraId="673CBBB3" w14:textId="41951241">
      <w:pPr>
        <w:pStyle w:val="FootnoteText"/>
      </w:pPr>
      <w:r>
        <w:rPr>
          <w:rStyle w:val="FootnoteReference"/>
        </w:rPr>
        <w:footnoteRef/>
      </w:r>
      <w:r>
        <w:t xml:space="preserve"> </w:t>
      </w:r>
      <w:r w:rsidRPr="00E67075" w:rsidR="00E67075">
        <w:rPr>
          <w:i/>
          <w:iCs/>
        </w:rPr>
        <w:t>Id.</w:t>
      </w:r>
      <w:r w:rsidR="00E67075">
        <w:t xml:space="preserve"> </w:t>
      </w:r>
      <w:r>
        <w:t>at 4, para. 11.</w:t>
      </w:r>
    </w:p>
  </w:footnote>
  <w:footnote w:id="32">
    <w:p w:rsidR="00B37153" w:rsidP="00B37153" w14:paraId="22378DAF" w14:textId="201BBE1B">
      <w:pPr>
        <w:pStyle w:val="FootnoteText"/>
      </w:pPr>
      <w:r>
        <w:rPr>
          <w:rStyle w:val="FootnoteReference"/>
        </w:rPr>
        <w:footnoteRef/>
      </w:r>
      <w:r>
        <w:t xml:space="preserve"> </w:t>
      </w:r>
      <w:r w:rsidRPr="00E67075" w:rsidR="00E67075">
        <w:rPr>
          <w:i/>
          <w:iCs/>
        </w:rPr>
        <w:t>Id.</w:t>
      </w:r>
      <w:r w:rsidR="00E67075">
        <w:t xml:space="preserve"> </w:t>
      </w:r>
      <w:r>
        <w:t>at 4, para. 13</w:t>
      </w:r>
      <w:r w:rsidR="002A1931">
        <w:t>.</w:t>
      </w:r>
    </w:p>
  </w:footnote>
  <w:footnote w:id="33">
    <w:p w:rsidR="00E4440B" w14:paraId="1C8DC88A" w14:textId="52A771B1">
      <w:pPr>
        <w:pStyle w:val="FootnoteText"/>
      </w:pPr>
      <w:r>
        <w:rPr>
          <w:rStyle w:val="FootnoteReference"/>
        </w:rPr>
        <w:footnoteRef/>
      </w:r>
      <w:r>
        <w:t xml:space="preserve"> Intelsat Reply at 1.  Intelsat License DIP </w:t>
      </w:r>
      <w:r w:rsidR="00FA5211">
        <w:t xml:space="preserve">also </w:t>
      </w:r>
      <w:r>
        <w:t>states that “[i]</w:t>
      </w:r>
      <w:r w:rsidRPr="00E4440B">
        <w:t xml:space="preserve">n the 20 years since Intelsat’s privatization and entry into the </w:t>
      </w:r>
      <w:r>
        <w:t>[Public Services Agreement]</w:t>
      </w:r>
      <w:r w:rsidRPr="00E4440B">
        <w:t xml:space="preserve">, Intelsat has not once failed to comply with the Core Principles set forth in the </w:t>
      </w:r>
      <w:r>
        <w:t xml:space="preserve">[Public Services Agreement].”  </w:t>
      </w:r>
      <w:r w:rsidRPr="008F37E2">
        <w:rPr>
          <w:i/>
          <w:iCs/>
        </w:rPr>
        <w:t>Id.</w:t>
      </w:r>
      <w:r>
        <w:t xml:space="preserve"> at 3.</w:t>
      </w:r>
    </w:p>
  </w:footnote>
  <w:footnote w:id="34">
    <w:p w:rsidR="003F28B9" w:rsidP="003F28B9" w14:paraId="39E9DF2E" w14:textId="646448C1">
      <w:pPr>
        <w:pStyle w:val="FootnoteText"/>
      </w:pPr>
      <w:r>
        <w:rPr>
          <w:rStyle w:val="FootnoteReference"/>
        </w:rPr>
        <w:footnoteRef/>
      </w:r>
      <w:r>
        <w:t xml:space="preserve"> </w:t>
      </w:r>
      <w:r w:rsidRPr="00DB466C" w:rsidR="00DB466C">
        <w:rPr>
          <w:i/>
          <w:iCs/>
        </w:rPr>
        <w:t>Id.</w:t>
      </w:r>
      <w:r>
        <w:t xml:space="preserve"> at 4.</w:t>
      </w:r>
    </w:p>
  </w:footnote>
  <w:footnote w:id="35">
    <w:p w:rsidR="00551234" w14:paraId="12A22BE5" w14:textId="50C21A5D">
      <w:pPr>
        <w:pStyle w:val="FootnoteText"/>
      </w:pPr>
      <w:r>
        <w:rPr>
          <w:rStyle w:val="FootnoteReference"/>
        </w:rPr>
        <w:footnoteRef/>
      </w:r>
      <w:r>
        <w:t xml:space="preserve"> </w:t>
      </w:r>
      <w:r w:rsidRPr="00900697">
        <w:rPr>
          <w:i/>
          <w:iCs/>
        </w:rPr>
        <w:t>See id.</w:t>
      </w:r>
      <w:r>
        <w:t xml:space="preserve"> at 4-6.</w:t>
      </w:r>
    </w:p>
  </w:footnote>
  <w:footnote w:id="36">
    <w:p w:rsidR="00B6505D" w:rsidRPr="00551234" w14:paraId="3FF13845" w14:textId="16D5D634">
      <w:pPr>
        <w:pStyle w:val="FootnoteText"/>
      </w:pPr>
      <w:r>
        <w:rPr>
          <w:rStyle w:val="FootnoteReference"/>
        </w:rPr>
        <w:footnoteRef/>
      </w:r>
      <w:r>
        <w:t xml:space="preserve"> </w:t>
      </w:r>
      <w:r w:rsidRPr="00DB466C" w:rsidR="00DB466C">
        <w:rPr>
          <w:i/>
          <w:iCs/>
        </w:rPr>
        <w:t>See id.</w:t>
      </w:r>
      <w:r w:rsidR="00551234">
        <w:t xml:space="preserve"> at 4.</w:t>
      </w:r>
    </w:p>
  </w:footnote>
  <w:footnote w:id="37">
    <w:p w:rsidR="0076338A" w14:paraId="1DC084F5" w14:textId="18123FED">
      <w:pPr>
        <w:pStyle w:val="FootnoteText"/>
      </w:pPr>
      <w:r>
        <w:rPr>
          <w:rStyle w:val="FootnoteReference"/>
        </w:rPr>
        <w:footnoteRef/>
      </w:r>
      <w:r>
        <w:t xml:space="preserve"> ITSO Letter at </w:t>
      </w:r>
      <w:r w:rsidR="00143E96">
        <w:t>3, para. 7</w:t>
      </w:r>
      <w:r>
        <w:t>;</w:t>
      </w:r>
      <w:r w:rsidR="00143E96">
        <w:t xml:space="preserve"> </w:t>
      </w:r>
      <w:r w:rsidRPr="00A44B2C" w:rsidR="00A44B2C">
        <w:rPr>
          <w:i/>
          <w:iCs/>
        </w:rPr>
        <w:t>see also</w:t>
      </w:r>
      <w:r w:rsidR="00A44B2C">
        <w:t xml:space="preserve"> </w:t>
      </w:r>
      <w:r w:rsidR="00143E96">
        <w:t xml:space="preserve">Intelsat Reply at </w:t>
      </w:r>
      <w:r w:rsidR="00A44B2C">
        <w:t>4.</w:t>
      </w:r>
    </w:p>
  </w:footnote>
  <w:footnote w:id="38">
    <w:p w:rsidR="00C87ECC" w:rsidRPr="00B96791" w:rsidP="00C87ECC" w14:paraId="02F01865" w14:textId="1D49E100">
      <w:pPr>
        <w:pStyle w:val="FootnoteText"/>
      </w:pPr>
      <w:r w:rsidRPr="00D27907">
        <w:rPr>
          <w:rStyle w:val="FootnoteReference"/>
        </w:rPr>
        <w:footnoteRef/>
      </w:r>
      <w:r w:rsidRPr="00B96791">
        <w:t xml:space="preserve"> </w:t>
      </w:r>
      <w:r w:rsidR="00706013">
        <w:rPr>
          <w:i/>
          <w:iCs/>
        </w:rPr>
        <w:t xml:space="preserve">Public </w:t>
      </w:r>
      <w:r w:rsidRPr="00541861" w:rsidR="00706013">
        <w:rPr>
          <w:i/>
          <w:iCs/>
        </w:rPr>
        <w:t>Notice</w:t>
      </w:r>
      <w:r w:rsidR="00706013">
        <w:t xml:space="preserve"> at </w:t>
      </w:r>
      <w:r w:rsidR="00541861">
        <w:t>2 (</w:t>
      </w:r>
      <w:r w:rsidRPr="00900697" w:rsidR="00541861">
        <w:t>citing</w:t>
      </w:r>
      <w:r w:rsidRPr="00B96791">
        <w:rPr>
          <w:i/>
          <w:iCs/>
        </w:rPr>
        <w:t xml:space="preserve"> Process Reform for Executive Branch Review of Certain FCC Applications and Petitions Involving Foreign Ownership</w:t>
      </w:r>
      <w:r w:rsidRPr="00B96791">
        <w:t xml:space="preserve">, Report and Order, 35 FCC </w:t>
      </w:r>
      <w:r w:rsidRPr="00B96791">
        <w:t>Rcd</w:t>
      </w:r>
      <w:r w:rsidRPr="00B96791">
        <w:t xml:space="preserve"> 10927 (2020) </w:t>
      </w:r>
      <w:r w:rsidRPr="0087506E" w:rsidR="00193778">
        <w:t>(</w:t>
      </w:r>
      <w:r w:rsidRPr="0087506E" w:rsidR="00193778">
        <w:rPr>
          <w:i/>
          <w:iCs/>
        </w:rPr>
        <w:t>Executive Branch Review Order</w:t>
      </w:r>
      <w:r w:rsidRPr="0087506E" w:rsidR="00193778">
        <w:t>)</w:t>
      </w:r>
      <w:r w:rsidRPr="00B96791" w:rsidR="00193778">
        <w:t xml:space="preserve"> </w:t>
      </w:r>
      <w:r w:rsidRPr="00B96791">
        <w:t>(setting rules and procedures for referring applications for Executive Branch review consistent with Executive Order No. 13913)</w:t>
      </w:r>
      <w:r w:rsidR="00541861">
        <w:t>)</w:t>
      </w:r>
      <w:r w:rsidRPr="00B96791">
        <w:t>.</w:t>
      </w:r>
    </w:p>
  </w:footnote>
  <w:footnote w:id="39">
    <w:p w:rsidR="00C87ECC" w:rsidP="004A2462" w14:paraId="4FE48D58" w14:textId="4B5EE41B">
      <w:pPr>
        <w:pStyle w:val="FootnoteText"/>
      </w:pPr>
      <w:r>
        <w:rPr>
          <w:rStyle w:val="FootnoteReference"/>
        </w:rPr>
        <w:footnoteRef/>
      </w:r>
      <w:r>
        <w:t xml:space="preserve"> Letter from </w:t>
      </w:r>
      <w:r w:rsidR="004A2462">
        <w:t>Christopher Clements, Attorney, National Security Division, Department of Justice</w:t>
      </w:r>
      <w:r>
        <w:t>, to Marlene H. Dortch, Secretary, FCC (</w:t>
      </w:r>
      <w:r w:rsidR="001D31F3">
        <w:t xml:space="preserve">filed </w:t>
      </w:r>
      <w:r w:rsidR="004A2462">
        <w:t>Sept. 30</w:t>
      </w:r>
      <w:r>
        <w:t>, 2021).</w:t>
      </w:r>
    </w:p>
  </w:footnote>
  <w:footnote w:id="40">
    <w:p w:rsidR="00C87ECC" w:rsidP="00C87ECC" w14:paraId="0E0F3AB9" w14:textId="7E4701E7">
      <w:pPr>
        <w:pStyle w:val="FootnoteText"/>
      </w:pPr>
      <w:r>
        <w:rPr>
          <w:rStyle w:val="FootnoteReference"/>
        </w:rPr>
        <w:footnoteRef/>
      </w:r>
      <w:r>
        <w:t xml:space="preserve"> </w:t>
      </w:r>
      <w:r w:rsidRPr="00660D11" w:rsidR="00660D11">
        <w:t>Letter from Christopher Clements, Attorney, National Security Division, Department of Justice, to Marlene H. Dortch, Secretary, FCC (</w:t>
      </w:r>
      <w:r w:rsidR="001D31F3">
        <w:t xml:space="preserve">filed </w:t>
      </w:r>
      <w:r w:rsidR="00660D11">
        <w:t>Oct.</w:t>
      </w:r>
      <w:r w:rsidRPr="00660D11" w:rsidR="00660D11">
        <w:t xml:space="preserve"> </w:t>
      </w:r>
      <w:r w:rsidR="00660D11">
        <w:t>2</w:t>
      </w:r>
      <w:r w:rsidRPr="00660D11" w:rsidR="00660D11">
        <w:t>0, 2021)</w:t>
      </w:r>
      <w:r>
        <w:t>.</w:t>
      </w:r>
    </w:p>
  </w:footnote>
  <w:footnote w:id="41">
    <w:p w:rsidR="00C87ECC" w:rsidP="00C87ECC" w14:paraId="794C75D7" w14:textId="643B5DA6">
      <w:pPr>
        <w:pStyle w:val="FootnoteText"/>
      </w:pPr>
      <w:r>
        <w:rPr>
          <w:rStyle w:val="FootnoteReference"/>
        </w:rPr>
        <w:footnoteRef/>
      </w:r>
      <w:r>
        <w:t xml:space="preserve"> </w:t>
      </w:r>
      <w:r w:rsidR="005D2C93">
        <w:t>NTIA</w:t>
      </w:r>
      <w:r w:rsidR="00016AE7">
        <w:t xml:space="preserve"> </w:t>
      </w:r>
      <w:r>
        <w:t>Petition to Adopt Conditions to Authorizations and Licenses (</w:t>
      </w:r>
      <w:r w:rsidR="00C8074D">
        <w:t xml:space="preserve">filed </w:t>
      </w:r>
      <w:r w:rsidR="00016AE7">
        <w:t>Feb. 2, 2022</w:t>
      </w:r>
      <w:r>
        <w:t>).</w:t>
      </w:r>
    </w:p>
  </w:footnote>
  <w:footnote w:id="42">
    <w:p w:rsidR="00C87ECC" w:rsidRPr="00B05AB0" w:rsidP="00B047AE" w14:paraId="0551A083" w14:textId="3D6A68EE">
      <w:pPr>
        <w:pStyle w:val="FootnoteText"/>
        <w:rPr>
          <w:i/>
          <w:iCs/>
        </w:rPr>
      </w:pPr>
      <w:r>
        <w:rPr>
          <w:rStyle w:val="FootnoteReference"/>
        </w:rPr>
        <w:footnoteRef/>
      </w:r>
      <w:r>
        <w:t xml:space="preserve"> </w:t>
      </w:r>
      <w:r w:rsidRPr="00B05AB0" w:rsidR="00016AE7">
        <w:t xml:space="preserve">Letter from Michelle Bryan, General Counsel and Chief Administrative Officer, Intelsat S.A., to Chief, Foreign Investment Review Section (FIRS), </w:t>
      </w:r>
      <w:r w:rsidR="00B047AE">
        <w:t>Deputy Chief, Compliance and Enforcement (FIRS), On Behalf of the Assistant Attorney General for National Security,</w:t>
      </w:r>
      <w:r w:rsidRPr="00B05AB0" w:rsidR="00B047AE">
        <w:t xml:space="preserve"> </w:t>
      </w:r>
      <w:r w:rsidRPr="00B05AB0" w:rsidR="00016AE7">
        <w:t xml:space="preserve">Department of Justice, National Security Division, </w:t>
      </w:r>
      <w:r w:rsidRPr="00B05AB0" w:rsidR="00B05AB0">
        <w:t xml:space="preserve">Under Secretary Robert Silvers, Office of Strategy, Policy, and Plans, </w:t>
      </w:r>
      <w:r w:rsidRPr="00900697" w:rsidR="00B05AB0">
        <w:t>Department of Homeland Security, and Office of Foreign Investment Review, Director Under Secretary of Acquisitions and Sustainment, Department of Defense</w:t>
      </w:r>
      <w:r w:rsidRPr="00B05AB0" w:rsidR="00016AE7">
        <w:t xml:space="preserve"> (Jan. 18, 2022)</w:t>
      </w:r>
      <w:r w:rsidRPr="00B05AB0">
        <w:rPr>
          <w:i/>
          <w:iCs/>
        </w:rPr>
        <w:t>.</w:t>
      </w:r>
    </w:p>
  </w:footnote>
  <w:footnote w:id="43">
    <w:p w:rsidR="004E45E4" w:rsidP="00693101" w14:paraId="6F7FF0A4" w14:textId="5CF1BEAD">
      <w:pPr>
        <w:pStyle w:val="FootnoteText"/>
      </w:pPr>
      <w:r>
        <w:rPr>
          <w:rStyle w:val="FootnoteReference"/>
        </w:rPr>
        <w:footnoteRef/>
      </w:r>
      <w:r>
        <w:t xml:space="preserve"> </w:t>
      </w:r>
      <w:r w:rsidRPr="00941BC2">
        <w:rPr>
          <w:i/>
          <w:iCs/>
        </w:rPr>
        <w:t>See</w:t>
      </w:r>
      <w:r>
        <w:t xml:space="preserve"> </w:t>
      </w:r>
      <w:r w:rsidRPr="004871B8">
        <w:t>47 U.S.C. §</w:t>
      </w:r>
      <w:r w:rsidRPr="00A60E7D" w:rsidR="00A60E7D">
        <w:t>§ 214(a),</w:t>
      </w:r>
      <w:r w:rsidRPr="004871B8">
        <w:t xml:space="preserve"> 310(d)</w:t>
      </w:r>
      <w:r>
        <w:t>;</w:t>
      </w:r>
      <w:r w:rsidRPr="00693101" w:rsidR="00693101">
        <w:t xml:space="preserve"> </w:t>
      </w:r>
      <w:r w:rsidR="004931DF">
        <w:rPr>
          <w:i/>
          <w:iCs/>
        </w:rPr>
        <w:t>se</w:t>
      </w:r>
      <w:r w:rsidRPr="00EC13C4" w:rsidR="00EC13C4">
        <w:rPr>
          <w:i/>
          <w:iCs/>
        </w:rPr>
        <w:t>e</w:t>
      </w:r>
      <w:r w:rsidR="0066725A">
        <w:rPr>
          <w:i/>
          <w:iCs/>
        </w:rPr>
        <w:t xml:space="preserve"> also</w:t>
      </w:r>
      <w:r w:rsidRPr="00EC13C4" w:rsidR="00EC13C4">
        <w:rPr>
          <w:i/>
          <w:iCs/>
        </w:rPr>
        <w:t>, e.g.,</w:t>
      </w:r>
      <w:r w:rsidR="00EC13C4">
        <w:t xml:space="preserve"> </w:t>
      </w:r>
      <w:r w:rsidRPr="005F4B17" w:rsidR="00693101">
        <w:rPr>
          <w:i/>
          <w:iCs/>
        </w:rPr>
        <w:t xml:space="preserve">Application of Verizon Communications Inc. and América </w:t>
      </w:r>
      <w:r w:rsidRPr="005F4B17" w:rsidR="00693101">
        <w:rPr>
          <w:i/>
          <w:iCs/>
        </w:rPr>
        <w:t>Móvil</w:t>
      </w:r>
      <w:r w:rsidRPr="005F4B17" w:rsidR="00693101">
        <w:rPr>
          <w:i/>
          <w:iCs/>
        </w:rPr>
        <w:t>, S.A.B. de C.V. For Consent To Transfer Control of International Section 214 Authorization</w:t>
      </w:r>
      <w:r w:rsidR="00693101">
        <w:t xml:space="preserve">, Memorandum Opinion and Order, </w:t>
      </w:r>
      <w:r w:rsidRPr="00693101" w:rsidR="00693101">
        <w:t>FCC</w:t>
      </w:r>
      <w:r w:rsidR="007D2174">
        <w:t xml:space="preserve"> </w:t>
      </w:r>
      <w:r w:rsidRPr="00693101" w:rsidR="00693101">
        <w:t>21-121</w:t>
      </w:r>
      <w:r w:rsidR="00693101">
        <w:t xml:space="preserve">, </w:t>
      </w:r>
      <w:r w:rsidR="002A65C4">
        <w:t>8</w:t>
      </w:r>
      <w:r w:rsidR="00FC540B">
        <w:t>,</w:t>
      </w:r>
      <w:r w:rsidR="002A65C4">
        <w:t xml:space="preserve"> </w:t>
      </w:r>
      <w:r w:rsidR="00693101">
        <w:t>para. 21 (2021)</w:t>
      </w:r>
      <w:r w:rsidR="005F4B17">
        <w:t xml:space="preserve"> (</w:t>
      </w:r>
      <w:r w:rsidRPr="005F4B17" w:rsidR="005F4B17">
        <w:rPr>
          <w:i/>
          <w:iCs/>
        </w:rPr>
        <w:t>Verizon-TracFone Order</w:t>
      </w:r>
      <w:r w:rsidR="005F4B17">
        <w:t>)</w:t>
      </w:r>
      <w:r w:rsidR="00693101">
        <w:t>;</w:t>
      </w:r>
      <w:r>
        <w:t xml:space="preserve"> </w:t>
      </w:r>
      <w:r w:rsidRPr="00306712">
        <w:rPr>
          <w:i/>
          <w:iCs/>
        </w:rPr>
        <w:t>Applications of AT&amp;T Inc. and DIRECTV for Consent to Assign or Transfer Control of Licenses and Authorizations</w:t>
      </w:r>
      <w:r>
        <w:t xml:space="preserve">, </w:t>
      </w:r>
      <w:r w:rsidRPr="007B2329">
        <w:t xml:space="preserve">Memorandum Opinion </w:t>
      </w:r>
      <w:r>
        <w:t>a</w:t>
      </w:r>
      <w:r w:rsidRPr="007B2329">
        <w:t>nd Order</w:t>
      </w:r>
      <w:r>
        <w:t xml:space="preserve">, </w:t>
      </w:r>
      <w:r w:rsidRPr="00306712">
        <w:t xml:space="preserve">30 FCC </w:t>
      </w:r>
      <w:r w:rsidRPr="00306712">
        <w:t>Rcd</w:t>
      </w:r>
      <w:r w:rsidRPr="00306712">
        <w:t xml:space="preserve"> 9131</w:t>
      </w:r>
      <w:r>
        <w:t xml:space="preserve">, </w:t>
      </w:r>
      <w:r w:rsidRPr="00306712">
        <w:t>9139</w:t>
      </w:r>
      <w:r>
        <w:t>, para. 18 (2015) (</w:t>
      </w:r>
      <w:r w:rsidRPr="00306712">
        <w:rPr>
          <w:i/>
          <w:iCs/>
        </w:rPr>
        <w:t>AT&amp;T/DIRECTV Order</w:t>
      </w:r>
      <w:r>
        <w:t>).</w:t>
      </w:r>
    </w:p>
  </w:footnote>
  <w:footnote w:id="44">
    <w:p w:rsidR="004E45E4" w:rsidRPr="00533689" w:rsidP="004E45E4" w14:paraId="1A3FB0C0" w14:textId="412CD2B8">
      <w:pPr>
        <w:pStyle w:val="FootnoteText"/>
      </w:pPr>
      <w:r>
        <w:rPr>
          <w:rStyle w:val="FootnoteReference"/>
        </w:rPr>
        <w:footnoteRef/>
      </w:r>
      <w:r>
        <w:t xml:space="preserve"> </w:t>
      </w:r>
      <w:r w:rsidRPr="00FC2E73" w:rsidR="00FC2E73">
        <w:rPr>
          <w:i/>
          <w:iCs/>
        </w:rPr>
        <w:t>See</w:t>
      </w:r>
      <w:r w:rsidR="00EC13C4">
        <w:rPr>
          <w:i/>
          <w:iCs/>
        </w:rPr>
        <w:t>, e.g.</w:t>
      </w:r>
      <w:r w:rsidRPr="00EC13C4" w:rsidR="00EC13C4">
        <w:t>,</w:t>
      </w:r>
      <w:r w:rsidR="00FC2E73">
        <w:t xml:space="preserve"> </w:t>
      </w:r>
      <w:r w:rsidRPr="005F4B17" w:rsidR="00FC2E73">
        <w:rPr>
          <w:i/>
          <w:iCs/>
        </w:rPr>
        <w:t>Verizon-TracFone Order</w:t>
      </w:r>
      <w:r w:rsidR="00FC2E73">
        <w:t xml:space="preserve">, </w:t>
      </w:r>
      <w:r w:rsidRPr="00693101" w:rsidR="00FC2E73">
        <w:t>FCC</w:t>
      </w:r>
      <w:r w:rsidR="00FC540B">
        <w:t xml:space="preserve"> </w:t>
      </w:r>
      <w:r w:rsidRPr="00693101" w:rsidR="00FC2E73">
        <w:t>21-121</w:t>
      </w:r>
      <w:r w:rsidR="00FC2E73">
        <w:t>, 8</w:t>
      </w:r>
      <w:r w:rsidR="00FC540B">
        <w:t>,</w:t>
      </w:r>
      <w:r w:rsidR="00FC2E73">
        <w:t xml:space="preserve"> para. 21; </w:t>
      </w:r>
      <w:r w:rsidRPr="00306712">
        <w:rPr>
          <w:i/>
          <w:iCs/>
        </w:rPr>
        <w:t>AT&amp;T/DIRECTV Order</w:t>
      </w:r>
      <w:r>
        <w:t xml:space="preserve">, </w:t>
      </w:r>
      <w:r w:rsidRPr="00533689">
        <w:t xml:space="preserve">30 FCC </w:t>
      </w:r>
      <w:r w:rsidRPr="00533689">
        <w:t>Rcd</w:t>
      </w:r>
      <w:r w:rsidRPr="00533689">
        <w:t xml:space="preserve"> </w:t>
      </w:r>
      <w:r>
        <w:t>at</w:t>
      </w:r>
      <w:r w:rsidRPr="00533689">
        <w:t xml:space="preserve"> 9139</w:t>
      </w:r>
      <w:r>
        <w:t>-40</w:t>
      </w:r>
      <w:r w:rsidRPr="00533689">
        <w:t>, para. 18</w:t>
      </w:r>
      <w:r>
        <w:t>.</w:t>
      </w:r>
    </w:p>
  </w:footnote>
  <w:footnote w:id="45">
    <w:p w:rsidR="004E45E4" w:rsidRPr="00AB140F" w:rsidP="004E45E4" w14:paraId="186C8241" w14:textId="6F9CB329">
      <w:pPr>
        <w:pStyle w:val="FootnoteText"/>
      </w:pPr>
      <w:r w:rsidRPr="00AB140F">
        <w:rPr>
          <w:rStyle w:val="FootnoteReference"/>
        </w:rPr>
        <w:footnoteRef/>
      </w:r>
      <w:r w:rsidRPr="00AB140F">
        <w:rPr>
          <w:i/>
        </w:rPr>
        <w:t xml:space="preserve"> </w:t>
      </w:r>
      <w:r w:rsidRPr="00FC2E73" w:rsidR="00EC13C4">
        <w:rPr>
          <w:i/>
          <w:iCs/>
        </w:rPr>
        <w:t>See</w:t>
      </w:r>
      <w:r w:rsidR="00EC13C4">
        <w:rPr>
          <w:i/>
          <w:iCs/>
        </w:rPr>
        <w:t>, e.g.</w:t>
      </w:r>
      <w:r w:rsidRPr="00EC13C4" w:rsidR="00EC13C4">
        <w:t>,</w:t>
      </w:r>
      <w:r w:rsidR="00EC13C4">
        <w:t xml:space="preserve"> </w:t>
      </w:r>
      <w:r w:rsidRPr="005F4B17" w:rsidR="00FC2E73">
        <w:rPr>
          <w:i/>
          <w:iCs/>
        </w:rPr>
        <w:t>Verizon-TracFone Order</w:t>
      </w:r>
      <w:r w:rsidR="00FC2E73">
        <w:t xml:space="preserve">, </w:t>
      </w:r>
      <w:r w:rsidRPr="00693101" w:rsidR="00FC2E73">
        <w:t>FCC</w:t>
      </w:r>
      <w:r w:rsidR="00FC540B">
        <w:t xml:space="preserve"> </w:t>
      </w:r>
      <w:r w:rsidRPr="00693101" w:rsidR="00FC2E73">
        <w:t>21-121</w:t>
      </w:r>
      <w:r w:rsidR="00FC2E73">
        <w:t>, 8</w:t>
      </w:r>
      <w:r w:rsidR="00FC540B">
        <w:t>,</w:t>
      </w:r>
      <w:r w:rsidR="00FC2E73">
        <w:t xml:space="preserve"> para. 21; </w:t>
      </w:r>
      <w:r w:rsidRPr="00306712" w:rsidR="00FC2E73">
        <w:rPr>
          <w:i/>
          <w:iCs/>
        </w:rPr>
        <w:t>AT&amp;T/DIRECTV Order</w:t>
      </w:r>
      <w:r w:rsidR="00FC2E73">
        <w:t xml:space="preserve">, </w:t>
      </w:r>
      <w:r w:rsidRPr="00533689" w:rsidR="00FC2E73">
        <w:t xml:space="preserve">30 FCC </w:t>
      </w:r>
      <w:r w:rsidRPr="00533689" w:rsidR="00FC2E73">
        <w:t>Rcd</w:t>
      </w:r>
      <w:r w:rsidRPr="00533689" w:rsidR="00FC2E73">
        <w:t xml:space="preserve"> </w:t>
      </w:r>
      <w:r w:rsidR="00FC2E73">
        <w:t>at</w:t>
      </w:r>
      <w:r w:rsidRPr="00533689" w:rsidR="00FC2E73">
        <w:t xml:space="preserve"> 91</w:t>
      </w:r>
      <w:r w:rsidR="00FC2E73">
        <w:t>40</w:t>
      </w:r>
      <w:r w:rsidRPr="00533689" w:rsidR="00FC2E73">
        <w:t>, para. 18</w:t>
      </w:r>
      <w:r w:rsidR="00FC2E73">
        <w:t>.</w:t>
      </w:r>
    </w:p>
  </w:footnote>
  <w:footnote w:id="46">
    <w:p w:rsidR="004E45E4" w:rsidRPr="00AB140F" w:rsidP="004E45E4" w14:paraId="15CDBC8D" w14:textId="69920F52">
      <w:pPr>
        <w:pStyle w:val="FootnoteText"/>
        <w:rPr>
          <w:i/>
        </w:rPr>
      </w:pPr>
      <w:r w:rsidRPr="00AB140F">
        <w:rPr>
          <w:rStyle w:val="FootnoteReference"/>
        </w:rPr>
        <w:footnoteRef/>
      </w:r>
      <w:r w:rsidRPr="00AB140F">
        <w:rPr>
          <w:i/>
        </w:rPr>
        <w:t xml:space="preserve"> </w:t>
      </w:r>
      <w:r w:rsidRPr="00FC2E73" w:rsidR="00C05304">
        <w:rPr>
          <w:i/>
          <w:iCs/>
        </w:rPr>
        <w:t>See</w:t>
      </w:r>
      <w:r w:rsidR="00C05304">
        <w:rPr>
          <w:i/>
          <w:iCs/>
        </w:rPr>
        <w:t>, e.g.</w:t>
      </w:r>
      <w:r w:rsidRPr="00EC13C4" w:rsidR="00C05304">
        <w:t>,</w:t>
      </w:r>
      <w:r w:rsidR="00C05304">
        <w:t xml:space="preserve"> </w:t>
      </w:r>
      <w:r w:rsidRPr="005F4B17" w:rsidR="00C05304">
        <w:rPr>
          <w:i/>
          <w:iCs/>
        </w:rPr>
        <w:t>Verizon-TracFone Order</w:t>
      </w:r>
      <w:r w:rsidR="00C05304">
        <w:t xml:space="preserve">, </w:t>
      </w:r>
      <w:r w:rsidRPr="00693101" w:rsidR="00C05304">
        <w:t>FCC</w:t>
      </w:r>
      <w:r w:rsidR="00FC540B">
        <w:t xml:space="preserve"> </w:t>
      </w:r>
      <w:r w:rsidRPr="00693101" w:rsidR="00C05304">
        <w:t>21-121</w:t>
      </w:r>
      <w:r w:rsidR="00C05304">
        <w:t>, 8</w:t>
      </w:r>
      <w:r w:rsidR="00FC540B">
        <w:t>,</w:t>
      </w:r>
      <w:r w:rsidR="00C05304">
        <w:t xml:space="preserve"> para. 21; </w:t>
      </w:r>
      <w:r w:rsidRPr="00306712" w:rsidR="00C05304">
        <w:rPr>
          <w:i/>
          <w:iCs/>
        </w:rPr>
        <w:t>AT&amp;T/DIRECTV Order</w:t>
      </w:r>
      <w:r w:rsidR="00C05304">
        <w:t xml:space="preserve">, </w:t>
      </w:r>
      <w:r w:rsidRPr="00533689" w:rsidR="00C05304">
        <w:t xml:space="preserve">30 FCC </w:t>
      </w:r>
      <w:r w:rsidRPr="00533689" w:rsidR="00C05304">
        <w:t>Rcd</w:t>
      </w:r>
      <w:r w:rsidRPr="00533689" w:rsidR="00C05304">
        <w:t xml:space="preserve"> </w:t>
      </w:r>
      <w:r w:rsidR="00C05304">
        <w:t>at</w:t>
      </w:r>
      <w:r w:rsidRPr="00533689" w:rsidR="00C05304">
        <w:t xml:space="preserve"> 91</w:t>
      </w:r>
      <w:r w:rsidR="00C05304">
        <w:t>40</w:t>
      </w:r>
      <w:r w:rsidRPr="00533689" w:rsidR="00C05304">
        <w:t>, para. 18</w:t>
      </w:r>
      <w:r w:rsidR="00115C58">
        <w:t>.</w:t>
      </w:r>
    </w:p>
  </w:footnote>
  <w:footnote w:id="47">
    <w:p w:rsidR="004E45E4" w:rsidRPr="00AB140F" w:rsidP="004E45E4" w14:paraId="42DF3D75" w14:textId="2362BE7E">
      <w:pPr>
        <w:pStyle w:val="FootnoteText"/>
      </w:pPr>
      <w:r w:rsidRPr="00AB140F">
        <w:rPr>
          <w:rStyle w:val="FootnoteReference"/>
        </w:rPr>
        <w:footnoteRef/>
      </w:r>
      <w:r w:rsidRPr="00AB140F">
        <w:t xml:space="preserve"> </w:t>
      </w:r>
      <w:r w:rsidRPr="00FC2E73" w:rsidR="00C05304">
        <w:rPr>
          <w:i/>
          <w:iCs/>
        </w:rPr>
        <w:t>See</w:t>
      </w:r>
      <w:r w:rsidR="00C05304">
        <w:rPr>
          <w:i/>
          <w:iCs/>
        </w:rPr>
        <w:t>, e.g.</w:t>
      </w:r>
      <w:r w:rsidRPr="00EC13C4" w:rsidR="00C05304">
        <w:t>,</w:t>
      </w:r>
      <w:r w:rsidR="00C05304">
        <w:t xml:space="preserve"> </w:t>
      </w:r>
      <w:r w:rsidRPr="005F4B17" w:rsidR="00C05304">
        <w:rPr>
          <w:i/>
          <w:iCs/>
        </w:rPr>
        <w:t>Verizon-TracFone Order</w:t>
      </w:r>
      <w:r w:rsidR="00C05304">
        <w:t xml:space="preserve">, </w:t>
      </w:r>
      <w:r w:rsidRPr="00693101" w:rsidR="00C05304">
        <w:t>FCC</w:t>
      </w:r>
      <w:r w:rsidR="00FC540B">
        <w:t xml:space="preserve"> </w:t>
      </w:r>
      <w:r w:rsidRPr="00693101" w:rsidR="00C05304">
        <w:t>21-121</w:t>
      </w:r>
      <w:r w:rsidR="00C05304">
        <w:t>, 8</w:t>
      </w:r>
      <w:r w:rsidR="00FC540B">
        <w:t>,</w:t>
      </w:r>
      <w:r w:rsidR="00C05304">
        <w:t xml:space="preserve"> para. 21; </w:t>
      </w:r>
      <w:r w:rsidRPr="00306712" w:rsidR="00C05304">
        <w:rPr>
          <w:i/>
          <w:iCs/>
        </w:rPr>
        <w:t>AT&amp;T/DIRECTV Order</w:t>
      </w:r>
      <w:r w:rsidR="00C05304">
        <w:t xml:space="preserve">, </w:t>
      </w:r>
      <w:r w:rsidRPr="00533689" w:rsidR="00C05304">
        <w:t xml:space="preserve">30 FCC </w:t>
      </w:r>
      <w:r w:rsidRPr="00533689" w:rsidR="00C05304">
        <w:t>Rcd</w:t>
      </w:r>
      <w:r w:rsidRPr="00533689" w:rsidR="00C05304">
        <w:t xml:space="preserve"> </w:t>
      </w:r>
      <w:r w:rsidR="00C05304">
        <w:t>at</w:t>
      </w:r>
      <w:r w:rsidRPr="00533689" w:rsidR="00C05304">
        <w:t xml:space="preserve"> 91</w:t>
      </w:r>
      <w:r w:rsidR="00C05304">
        <w:t>40</w:t>
      </w:r>
      <w:r w:rsidRPr="00533689" w:rsidR="00C05304">
        <w:t>, para. 18</w:t>
      </w:r>
      <w:r w:rsidR="00C05304">
        <w:t>.</w:t>
      </w:r>
    </w:p>
  </w:footnote>
  <w:footnote w:id="48">
    <w:p w:rsidR="009A3EE5" w:rsidP="009A3EE5" w14:paraId="78A9CEFE" w14:textId="77777777">
      <w:pPr>
        <w:pStyle w:val="FootnoteText"/>
      </w:pPr>
      <w:r>
        <w:rPr>
          <w:rStyle w:val="FootnoteReference"/>
        </w:rPr>
        <w:footnoteRef/>
      </w:r>
      <w:r>
        <w:t xml:space="preserve"> </w:t>
      </w:r>
      <w:r w:rsidRPr="001B0F35">
        <w:rPr>
          <w:i/>
          <w:iCs/>
        </w:rPr>
        <w:t xml:space="preserve">Stanford </w:t>
      </w:r>
      <w:r w:rsidRPr="001B0F35">
        <w:rPr>
          <w:i/>
          <w:iCs/>
        </w:rPr>
        <w:t>Springel</w:t>
      </w:r>
      <w:r w:rsidRPr="001B0F35">
        <w:rPr>
          <w:i/>
          <w:iCs/>
        </w:rPr>
        <w:t xml:space="preserve"> As Chapter 11 Trustee for the Bankruptcy Estate of Innovative Communication Corporation, Transferor and Assignor, and National Rural Utilities Cooperative Finance Corporation and Its Subsidiaries, Transferees and Assignees</w:t>
      </w:r>
      <w:r w:rsidRPr="00850A42">
        <w:rPr>
          <w:i/>
          <w:iCs/>
        </w:rPr>
        <w:t>, Applications for Consent to Assign and Transfer Control,</w:t>
      </w:r>
      <w:r>
        <w:t xml:space="preserve"> </w:t>
      </w:r>
      <w:r w:rsidRPr="001B0F35">
        <w:t>Order</w:t>
      </w:r>
      <w:r>
        <w:t xml:space="preserve">, 24 FCC </w:t>
      </w:r>
      <w:r>
        <w:t>Rcd</w:t>
      </w:r>
      <w:r>
        <w:t xml:space="preserve"> 14360, 14369, para. 19 (WCB/MB/WTB/IB 2009).</w:t>
      </w:r>
    </w:p>
  </w:footnote>
  <w:footnote w:id="49">
    <w:p w:rsidR="009A3EE5" w:rsidP="009A3EE5" w14:paraId="2576EA26" w14:textId="77777777">
      <w:pPr>
        <w:pStyle w:val="FootnoteText"/>
      </w:pPr>
      <w:r>
        <w:rPr>
          <w:rStyle w:val="FootnoteReference"/>
        </w:rPr>
        <w:footnoteRef/>
      </w:r>
      <w:r>
        <w:t xml:space="preserve"> </w:t>
      </w:r>
      <w:r w:rsidRPr="009013CF">
        <w:rPr>
          <w:i/>
          <w:iCs/>
        </w:rPr>
        <w:t>Worldcom</w:t>
      </w:r>
      <w:r w:rsidRPr="009013CF">
        <w:rPr>
          <w:i/>
          <w:iCs/>
        </w:rPr>
        <w:t>, Inc., and Its Subsidiaries (Debtors-in-Possession), Transferor, and MCI, Inc., Transferee, Applications for Consent to Transfer and/or Assign Section 214 Authorizations, Section 310 Licenses, and Submarine Cable Landing Licenses</w:t>
      </w:r>
      <w:r>
        <w:t xml:space="preserve">, Memorandum Opinion and Order, 18 FCC </w:t>
      </w:r>
      <w:r>
        <w:t>Rcd</w:t>
      </w:r>
      <w:r>
        <w:t xml:space="preserve"> 26484, 26503, para. 29 (2003).</w:t>
      </w:r>
    </w:p>
  </w:footnote>
  <w:footnote w:id="50">
    <w:p w:rsidR="009A3EE5" w:rsidP="009A3EE5" w14:paraId="5E0181A7" w14:textId="77777777">
      <w:pPr>
        <w:pStyle w:val="FootnoteText"/>
      </w:pPr>
      <w:r>
        <w:rPr>
          <w:rStyle w:val="FootnoteReference"/>
        </w:rPr>
        <w:footnoteRef/>
      </w:r>
      <w:r>
        <w:t xml:space="preserve"> </w:t>
      </w:r>
      <w:r w:rsidRPr="006A1D97">
        <w:rPr>
          <w:i/>
          <w:iCs/>
        </w:rPr>
        <w:t>Id.</w:t>
      </w:r>
    </w:p>
  </w:footnote>
  <w:footnote w:id="51">
    <w:p w:rsidR="00491C41" w:rsidP="00491C41" w14:paraId="73F013BF" w14:textId="77777777">
      <w:pPr>
        <w:pStyle w:val="FootnoteText"/>
      </w:pPr>
      <w:r>
        <w:rPr>
          <w:rStyle w:val="FootnoteReference"/>
        </w:rPr>
        <w:footnoteRef/>
      </w:r>
      <w:r>
        <w:t xml:space="preserve"> </w:t>
      </w:r>
      <w:r w:rsidRPr="00E624F3">
        <w:t xml:space="preserve">The Commission generally does not reevaluate the qualifications of </w:t>
      </w:r>
      <w:r>
        <w:t xml:space="preserve">a </w:t>
      </w:r>
      <w:r w:rsidRPr="00E624F3">
        <w:t>transferor unless issues related to basic qualifications have been sufficiently raised in petitions to warrant designation for hearing.</w:t>
      </w:r>
      <w:r>
        <w:t xml:space="preserve">  </w:t>
      </w:r>
      <w:r w:rsidRPr="005E0E42">
        <w:rPr>
          <w:i/>
          <w:iCs/>
        </w:rPr>
        <w:t>See, e.g.</w:t>
      </w:r>
      <w:r>
        <w:t xml:space="preserve">, </w:t>
      </w:r>
      <w:r w:rsidRPr="001D56E7">
        <w:rPr>
          <w:i/>
          <w:iCs/>
        </w:rPr>
        <w:t>AT&amp;T/DIRECTV Order</w:t>
      </w:r>
      <w:r w:rsidRPr="005D3409">
        <w:t xml:space="preserve">, 30 FCC </w:t>
      </w:r>
      <w:r w:rsidRPr="005D3409">
        <w:t>Rcd</w:t>
      </w:r>
      <w:r w:rsidRPr="005D3409">
        <w:t xml:space="preserve"> </w:t>
      </w:r>
      <w:r w:rsidRPr="009460C3">
        <w:t>at 9142, para. 25.</w:t>
      </w:r>
    </w:p>
  </w:footnote>
  <w:footnote w:id="52">
    <w:p w:rsidR="00491C41" w:rsidRPr="006C59BB" w:rsidP="00491C41" w14:paraId="74DE80AB" w14:textId="36483C31">
      <w:pPr>
        <w:pStyle w:val="FootnoteText"/>
      </w:pPr>
      <w:r>
        <w:rPr>
          <w:rStyle w:val="FootnoteReference"/>
        </w:rPr>
        <w:footnoteRef/>
      </w:r>
      <w:r>
        <w:t xml:space="preserve"> </w:t>
      </w:r>
      <w:r w:rsidRPr="00C935E9">
        <w:rPr>
          <w:i/>
          <w:iCs/>
        </w:rPr>
        <w:t>See</w:t>
      </w:r>
      <w:r>
        <w:t xml:space="preserve"> </w:t>
      </w:r>
      <w:r w:rsidR="00691EF2">
        <w:t xml:space="preserve">Narrative </w:t>
      </w:r>
      <w:r>
        <w:t>at 4-5.</w:t>
      </w:r>
    </w:p>
  </w:footnote>
  <w:footnote w:id="53">
    <w:p w:rsidR="005D5C95" w:rsidP="005D5C95" w14:paraId="1BC92B51" w14:textId="77777777">
      <w:pPr>
        <w:pStyle w:val="FootnoteText"/>
      </w:pPr>
      <w:r>
        <w:rPr>
          <w:rStyle w:val="FootnoteReference"/>
        </w:rPr>
        <w:footnoteRef/>
      </w:r>
      <w:r>
        <w:t xml:space="preserve"> </w:t>
      </w:r>
      <w:r w:rsidRPr="00BC1BED">
        <w:rPr>
          <w:i/>
          <w:iCs/>
        </w:rPr>
        <w:t>See</w:t>
      </w:r>
      <w:r>
        <w:t xml:space="preserve"> ITSO Letter at 3, para. 7.</w:t>
      </w:r>
    </w:p>
  </w:footnote>
  <w:footnote w:id="54">
    <w:p w:rsidR="005D5C95" w:rsidP="005D5C95" w14:paraId="0F8F7887" w14:textId="77777777">
      <w:pPr>
        <w:pStyle w:val="FootnoteText"/>
      </w:pPr>
      <w:r>
        <w:rPr>
          <w:rStyle w:val="FootnoteReference"/>
        </w:rPr>
        <w:footnoteRef/>
      </w:r>
      <w:r>
        <w:t xml:space="preserve"> </w:t>
      </w:r>
      <w:r w:rsidRPr="005E0214">
        <w:rPr>
          <w:i/>
          <w:iCs/>
        </w:rPr>
        <w:t>See Intelsat Global Holdings, S.A., Applications to Transfer Control of Intelsat Licenses and Authorizations from BC Partners Holdings Limited to Public Ownership</w:t>
      </w:r>
      <w:r>
        <w:t xml:space="preserve">, Order, </w:t>
      </w:r>
      <w:r w:rsidRPr="004774D5">
        <w:t xml:space="preserve">27 FCC </w:t>
      </w:r>
      <w:r w:rsidRPr="004774D5">
        <w:t>Rcd</w:t>
      </w:r>
      <w:r w:rsidRPr="004774D5">
        <w:t xml:space="preserve"> 5226</w:t>
      </w:r>
      <w:r>
        <w:t xml:space="preserve">, </w:t>
      </w:r>
      <w:r w:rsidRPr="004774D5">
        <w:t>5228</w:t>
      </w:r>
      <w:r>
        <w:t>, para. 6</w:t>
      </w:r>
      <w:r w:rsidRPr="004774D5">
        <w:t xml:space="preserve"> </w:t>
      </w:r>
      <w:r>
        <w:t xml:space="preserve">(IB 2012).  </w:t>
      </w:r>
      <w:r w:rsidRPr="001060E1">
        <w:t>Intelsat License DIP has confirmed that the transaction will not affect Intelsat’s adherence to the “</w:t>
      </w:r>
      <w:r>
        <w:t>c</w:t>
      </w:r>
      <w:r w:rsidRPr="001060E1">
        <w:t xml:space="preserve">ore </w:t>
      </w:r>
      <w:r>
        <w:t>p</w:t>
      </w:r>
      <w:r w:rsidRPr="001060E1">
        <w:t>rinciples” of non-discriminatory access to Intelsat’s system and global connectivity and coverage</w:t>
      </w:r>
      <w:r>
        <w:t xml:space="preserve">.  Intelsat Reply at 1; </w:t>
      </w:r>
      <w:r w:rsidRPr="00900697">
        <w:rPr>
          <w:i/>
          <w:iCs/>
        </w:rPr>
        <w:t>see also Modification Order</w:t>
      </w:r>
      <w:r>
        <w:t xml:space="preserve">, 23 FCC </w:t>
      </w:r>
      <w:r>
        <w:t>Rcd</w:t>
      </w:r>
      <w:r w:rsidRPr="0077034D">
        <w:t xml:space="preserve"> </w:t>
      </w:r>
      <w:r>
        <w:t>at</w:t>
      </w:r>
      <w:r w:rsidRPr="00CA3656">
        <w:t xml:space="preserve"> 2768, para. 7</w:t>
      </w:r>
      <w:r>
        <w:t xml:space="preserve"> n.26 (citing </w:t>
      </w:r>
      <w:r w:rsidRPr="001060E1">
        <w:t>Mar</w:t>
      </w:r>
      <w:r>
        <w:t>ch</w:t>
      </w:r>
      <w:r w:rsidRPr="001060E1">
        <w:t xml:space="preserve"> 15, 2007</w:t>
      </w:r>
      <w:r>
        <w:t xml:space="preserve"> letter from Ambassador David A. Gross, United States Coordinator, International Communications and Information Policy, U.S. Department of State, to The Honorable Kevin J. Martin, Chairman, Federal Communications Commission, IB Docket No. 06-137,</w:t>
      </w:r>
      <w:r w:rsidRPr="001060E1">
        <w:t xml:space="preserve"> </w:t>
      </w:r>
      <w:r>
        <w:t>at 1, as supporting the “condition requiring any successor-in-interest to Intelsat to be a signatory of the Public Services Agreement, to ensure continuing compliance with the core principles even after any potential bankruptcy.”)</w:t>
      </w:r>
    </w:p>
  </w:footnote>
  <w:footnote w:id="55">
    <w:p w:rsidR="005D5C95" w:rsidP="005D5C95" w14:paraId="0E0F8C11" w14:textId="77777777">
      <w:pPr>
        <w:pStyle w:val="FootnoteText"/>
      </w:pPr>
      <w:r>
        <w:rPr>
          <w:rStyle w:val="FootnoteReference"/>
        </w:rPr>
        <w:footnoteRef/>
      </w:r>
      <w:r>
        <w:t xml:space="preserve"> Intelsat License DIP ex </w:t>
      </w:r>
      <w:r>
        <w:t>parte</w:t>
      </w:r>
      <w:r>
        <w:t xml:space="preserve"> letter, November 23, 2021.</w:t>
      </w:r>
    </w:p>
  </w:footnote>
  <w:footnote w:id="56">
    <w:p w:rsidR="005D5C95" w:rsidP="005D5C95" w14:paraId="057D246C" w14:textId="77777777">
      <w:pPr>
        <w:pStyle w:val="FootnoteText"/>
      </w:pPr>
      <w:r>
        <w:rPr>
          <w:rStyle w:val="FootnoteReference"/>
        </w:rPr>
        <w:footnoteRef/>
      </w:r>
      <w:r>
        <w:t xml:space="preserve"> ITSO Agreement, Art. </w:t>
      </w:r>
      <w:r w:rsidRPr="00CF781F">
        <w:t>VII</w:t>
      </w:r>
      <w:r>
        <w:t>(b).</w:t>
      </w:r>
    </w:p>
  </w:footnote>
  <w:footnote w:id="57">
    <w:p w:rsidR="005D5C95" w:rsidP="005D5C95" w14:paraId="2CEAF836" w14:textId="77777777">
      <w:pPr>
        <w:pStyle w:val="FootnoteText"/>
      </w:pPr>
      <w:r>
        <w:rPr>
          <w:rStyle w:val="FootnoteReference"/>
        </w:rPr>
        <w:footnoteRef/>
      </w:r>
      <w:r>
        <w:t xml:space="preserve"> Public Services Agreement,</w:t>
      </w:r>
      <w:r w:rsidRPr="00A44B2C">
        <w:t xml:space="preserve"> Art</w:t>
      </w:r>
      <w:r>
        <w:t>.</w:t>
      </w:r>
      <w:r w:rsidRPr="00A44B2C">
        <w:t xml:space="preserve"> 6.03</w:t>
      </w:r>
      <w:r>
        <w:t xml:space="preserve">. </w:t>
      </w:r>
      <w:r w:rsidRPr="0094543C">
        <w:rPr>
          <w:i/>
          <w:iCs/>
        </w:rPr>
        <w:t xml:space="preserve"> </w:t>
      </w:r>
      <w:r w:rsidRPr="004434F2">
        <w:rPr>
          <w:i/>
          <w:iCs/>
        </w:rPr>
        <w:t>See</w:t>
      </w:r>
      <w:r w:rsidRPr="004434F2">
        <w:t xml:space="preserve"> ITSO Letter at 3, para. 7 (referring to arbitration as the “sole mechanism for resolving issues arising under the </w:t>
      </w:r>
      <w:r>
        <w:t>[Public Services Agreement]</w:t>
      </w:r>
      <w:r w:rsidRPr="004434F2">
        <w:t>”</w:t>
      </w:r>
      <w:r>
        <w:t>); Intelsat Reply at 4.</w:t>
      </w:r>
    </w:p>
  </w:footnote>
  <w:footnote w:id="58">
    <w:p w:rsidR="005D5C95" w:rsidP="005D5C95" w14:paraId="4D40F334" w14:textId="77777777">
      <w:pPr>
        <w:pStyle w:val="FootnoteText"/>
      </w:pPr>
      <w:r>
        <w:rPr>
          <w:rStyle w:val="FootnoteReference"/>
        </w:rPr>
        <w:footnoteRef/>
      </w:r>
      <w:r>
        <w:t xml:space="preserve"> </w:t>
      </w:r>
      <w:r>
        <w:rPr>
          <w:i/>
          <w:iCs/>
        </w:rPr>
        <w:t>Modification Order</w:t>
      </w:r>
      <w:r>
        <w:t xml:space="preserve">, 23 FCC </w:t>
      </w:r>
      <w:r>
        <w:t>Rcd</w:t>
      </w:r>
      <w:r w:rsidRPr="0077034D">
        <w:t xml:space="preserve"> </w:t>
      </w:r>
      <w:r>
        <w:t xml:space="preserve">at </w:t>
      </w:r>
      <w:r w:rsidRPr="00956AC8">
        <w:t>2769</w:t>
      </w:r>
      <w:r>
        <w:t>, para. 9.</w:t>
      </w:r>
    </w:p>
  </w:footnote>
  <w:footnote w:id="59">
    <w:p w:rsidR="005D5C95" w:rsidP="005D5C95" w14:paraId="4FBEE596" w14:textId="77777777">
      <w:pPr>
        <w:pStyle w:val="FootnoteText"/>
      </w:pPr>
      <w:r>
        <w:rPr>
          <w:rStyle w:val="FootnoteReference"/>
        </w:rPr>
        <w:footnoteRef/>
      </w:r>
      <w:r>
        <w:t xml:space="preserve"> </w:t>
      </w:r>
      <w:r w:rsidRPr="00763F7B">
        <w:rPr>
          <w:i/>
          <w:iCs/>
        </w:rPr>
        <w:t xml:space="preserve">Applications of </w:t>
      </w:r>
      <w:r w:rsidRPr="00763F7B">
        <w:rPr>
          <w:i/>
          <w:iCs/>
        </w:rPr>
        <w:t>Verestar</w:t>
      </w:r>
      <w:r w:rsidRPr="00763F7B">
        <w:rPr>
          <w:i/>
          <w:iCs/>
        </w:rPr>
        <w:t xml:space="preserve">, Inc. (Debtor-In-Possession) for Consent to Assignment of Licenses to SES </w:t>
      </w:r>
      <w:r w:rsidRPr="00763F7B">
        <w:rPr>
          <w:i/>
          <w:iCs/>
        </w:rPr>
        <w:t>Americom</w:t>
      </w:r>
      <w:r w:rsidRPr="00763F7B">
        <w:rPr>
          <w:i/>
          <w:iCs/>
        </w:rPr>
        <w:t>, Inc.</w:t>
      </w:r>
      <w:r>
        <w:t xml:space="preserve">, Memorandum Opinion, Order, and Authorization, 19 FCC </w:t>
      </w:r>
      <w:r>
        <w:t>Rcd</w:t>
      </w:r>
      <w:r>
        <w:t xml:space="preserve"> 22750, </w:t>
      </w:r>
      <w:r w:rsidRPr="00F70ACE">
        <w:t>22756</w:t>
      </w:r>
      <w:r>
        <w:t>, para. 16 (IB/WTB 2004).</w:t>
      </w:r>
      <w:r w:rsidRPr="008F1F44">
        <w:t xml:space="preserve"> </w:t>
      </w:r>
      <w:r>
        <w:t xml:space="preserve"> We also note that the Applicants’ omission of a citation to the </w:t>
      </w:r>
      <w:r w:rsidRPr="000C5C54">
        <w:rPr>
          <w:i/>
          <w:iCs/>
        </w:rPr>
        <w:t>Modification Order</w:t>
      </w:r>
      <w:r>
        <w:t xml:space="preserve"> in the Narrative is no grounds for any of the relief sought by the ITSO Chair, and nor do we consider it grounds for adverse action in this proceeding.</w:t>
      </w:r>
    </w:p>
  </w:footnote>
  <w:footnote w:id="60">
    <w:p w:rsidR="00193778" w:rsidRPr="0087506E" w:rsidP="00193778" w14:paraId="44270CB1" w14:textId="47C1024B">
      <w:pPr>
        <w:pStyle w:val="FootnoteText"/>
      </w:pPr>
      <w:r w:rsidRPr="0087506E">
        <w:rPr>
          <w:rStyle w:val="FootnoteReference"/>
        </w:rPr>
        <w:footnoteRef/>
      </w:r>
      <w:r w:rsidRPr="0087506E">
        <w:t xml:space="preserve"> </w:t>
      </w:r>
      <w:r w:rsidRPr="0087506E">
        <w:rPr>
          <w:i/>
          <w:iCs/>
        </w:rPr>
        <w:t>See</w:t>
      </w:r>
      <w:r w:rsidRPr="0087506E">
        <w:t xml:space="preserve"> </w:t>
      </w:r>
      <w:r w:rsidRPr="0087506E" w:rsidR="006C0C8E">
        <w:rPr>
          <w:i/>
          <w:iCs/>
        </w:rPr>
        <w:t>Executive Branch Review Order</w:t>
      </w:r>
      <w:r w:rsidR="006C0C8E">
        <w:t xml:space="preserve">, </w:t>
      </w:r>
      <w:r w:rsidRPr="0087506E">
        <w:t xml:space="preserve">35 FCC </w:t>
      </w:r>
      <w:r w:rsidRPr="0087506E">
        <w:t>Rcd</w:t>
      </w:r>
      <w:r w:rsidRPr="0087506E">
        <w:t xml:space="preserve"> 10927; </w:t>
      </w:r>
      <w:r w:rsidRPr="0087506E">
        <w:rPr>
          <w:i/>
          <w:iCs/>
        </w:rPr>
        <w:t>Rules and Policies on Foreign Participation in the U.S. Telecommunications Market; Market Entry and Regulation of Foreign-Affiliated Entities</w:t>
      </w:r>
      <w:r w:rsidRPr="0087506E">
        <w:t xml:space="preserve">, Report and Order and Order on Reconsideration, 12 FCC </w:t>
      </w:r>
      <w:r w:rsidRPr="0087506E">
        <w:t>Rcd</w:t>
      </w:r>
      <w:r w:rsidRPr="0087506E">
        <w:t xml:space="preserve"> 23891, 23918-21, paras. 59-66 (1997) (</w:t>
      </w:r>
      <w:r w:rsidRPr="0087506E">
        <w:rPr>
          <w:i/>
          <w:iCs/>
        </w:rPr>
        <w:t>Foreign Participation Order</w:t>
      </w:r>
      <w:r w:rsidRPr="0087506E">
        <w:t xml:space="preserve">), </w:t>
      </w:r>
      <w:r w:rsidRPr="0087506E">
        <w:rPr>
          <w:i/>
          <w:iCs/>
        </w:rPr>
        <w:t>recon. denied</w:t>
      </w:r>
      <w:r w:rsidRPr="0087506E">
        <w:t xml:space="preserve">, 15 FCC </w:t>
      </w:r>
      <w:r w:rsidRPr="0087506E">
        <w:t>Rcd</w:t>
      </w:r>
      <w:r w:rsidRPr="0087506E">
        <w:t xml:space="preserve">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 for international section 214 authority, submarine cable landing licenses, and declaratory rulings to exceed the foreign ownership benchmarks of section 310(b) of the Act).  </w:t>
      </w:r>
    </w:p>
  </w:footnote>
  <w:footnote w:id="61">
    <w:p w:rsidR="00193778" w:rsidRPr="0087506E" w:rsidP="00193778" w14:paraId="291EC43C" w14:textId="77777777">
      <w:pPr>
        <w:pStyle w:val="FootnoteText"/>
      </w:pPr>
      <w:r w:rsidRPr="0087506E">
        <w:rPr>
          <w:rStyle w:val="FootnoteReference"/>
        </w:rPr>
        <w:footnoteRef/>
      </w:r>
      <w:r w:rsidRPr="0087506E">
        <w:t xml:space="preserve"> </w:t>
      </w:r>
      <w:r w:rsidRPr="0087506E">
        <w:rPr>
          <w:i/>
          <w:iCs/>
        </w:rPr>
        <w:t>See Executive Branch Review Order</w:t>
      </w:r>
      <w:r w:rsidRPr="0087506E">
        <w:t xml:space="preserve">, 35 FCC </w:t>
      </w:r>
      <w:r w:rsidRPr="0087506E">
        <w:t>Rcd</w:t>
      </w:r>
      <w:r w:rsidRPr="0087506E">
        <w:t xml:space="preserve"> at 10935-36, paras. 17, 24.</w:t>
      </w:r>
    </w:p>
  </w:footnote>
  <w:footnote w:id="62">
    <w:p w:rsidR="00193778" w:rsidRPr="0087506E" w:rsidP="00193778" w14:paraId="1C5AF4C9" w14:textId="0C39F374">
      <w:pPr>
        <w:pStyle w:val="FootnoteText"/>
      </w:pPr>
      <w:r w:rsidRPr="0087506E">
        <w:rPr>
          <w:rStyle w:val="FootnoteReference"/>
        </w:rPr>
        <w:footnoteRef/>
      </w:r>
      <w:r w:rsidRPr="0087506E">
        <w:t xml:space="preserve"> </w:t>
      </w:r>
      <w:r w:rsidRPr="0087506E">
        <w:rPr>
          <w:i/>
          <w:iCs/>
        </w:rPr>
        <w:t>Id.</w:t>
      </w:r>
      <w:r w:rsidRPr="0087506E">
        <w:t xml:space="preserve"> at 10930, para. 7 (citing </w:t>
      </w:r>
      <w:r w:rsidRPr="0087506E">
        <w:rPr>
          <w:i/>
          <w:iCs/>
        </w:rPr>
        <w:t>Foreign Participation Order</w:t>
      </w:r>
      <w:r w:rsidRPr="0087506E">
        <w:t xml:space="preserve">, 12 FCC </w:t>
      </w:r>
      <w:r w:rsidRPr="0087506E">
        <w:t>Rcd</w:t>
      </w:r>
      <w:r w:rsidRPr="0087506E">
        <w:t xml:space="preserve"> at 23920-21, paras. 65-66; </w:t>
      </w:r>
      <w:r w:rsidRPr="0087506E">
        <w:rPr>
          <w:i/>
          <w:iCs/>
        </w:rPr>
        <w:t>Amendment of the Commission’s Regulatory Policies to Allow Non-U.S. Licensed Space Stations to Provide Domestic and International Satellite Service in the United States; Amendment of Section 25.131 of the Commission’s Rules and Regulations to Eliminate the Licensing Requirement for Certain International Receive-Only Earth Stations</w:t>
      </w:r>
      <w:r w:rsidRPr="0087506E">
        <w:t xml:space="preserve">, Report and Order, 12 FCC </w:t>
      </w:r>
      <w:r w:rsidRPr="0087506E">
        <w:t>Rcd</w:t>
      </w:r>
      <w:r w:rsidRPr="0087506E">
        <w:t xml:space="preserve"> 24094, 24171-72, paras. 179, 182 (1997)).  </w:t>
      </w:r>
    </w:p>
  </w:footnote>
  <w:footnote w:id="63">
    <w:p w:rsidR="00193778" w:rsidRPr="0087506E" w:rsidP="00193778" w14:paraId="686D8554" w14:textId="77777777">
      <w:pPr>
        <w:pStyle w:val="FootnoteText"/>
      </w:pPr>
      <w:r w:rsidRPr="0087506E">
        <w:rPr>
          <w:rStyle w:val="FootnoteReference"/>
        </w:rPr>
        <w:footnoteRef/>
      </w:r>
      <w:r w:rsidRPr="0087506E">
        <w:t xml:space="preserve"> 47 CFR § 1.40001(b) (“The Commission will consider any recommendations from the [E]</w:t>
      </w:r>
      <w:r w:rsidRPr="0087506E">
        <w:t>xecutive</w:t>
      </w:r>
      <w:r w:rsidRPr="0087506E">
        <w:t xml:space="preserve"> [B]ranch on pending application(s) . . . that may affect national security, law enforcement, foreign policy, and/or trade policy as part of its public interest analysis.  The Commission will evaluate concerns raised by the [E]</w:t>
      </w:r>
      <w:r w:rsidRPr="0087506E">
        <w:t>xecutive</w:t>
      </w:r>
      <w:r w:rsidRPr="0087506E">
        <w:t xml:space="preserve"> [B]ranch and will make an independent decision concerning the pending matter.”).</w:t>
      </w:r>
    </w:p>
  </w:footnote>
  <w:footnote w:id="64">
    <w:p w:rsidR="000C2801" w:rsidRPr="00110BC7" w14:paraId="371FBB33" w14:textId="0ABF366A">
      <w:pPr>
        <w:pStyle w:val="FootnoteText"/>
      </w:pPr>
      <w:r>
        <w:rPr>
          <w:rStyle w:val="FootnoteReference"/>
        </w:rPr>
        <w:footnoteRef/>
      </w:r>
      <w:r>
        <w:t xml:space="preserve"> </w:t>
      </w:r>
      <w:r w:rsidRPr="000C2801">
        <w:rPr>
          <w:i/>
          <w:iCs/>
        </w:rPr>
        <w:t xml:space="preserve">See Applications of T-Mobile US, Inc., and Sprint Corporation, for Consent to Transfer Control of Licenses and Authorizations, </w:t>
      </w:r>
      <w:r>
        <w:rPr>
          <w:i/>
          <w:iCs/>
        </w:rPr>
        <w:t>et al.</w:t>
      </w:r>
      <w:r>
        <w:t xml:space="preserve">, </w:t>
      </w:r>
      <w:r w:rsidRPr="000C2801">
        <w:t>Memorandum Opinion and Order, Declaratory Ruling, and Order of Proposed Modification</w:t>
      </w:r>
      <w:r>
        <w:t xml:space="preserve">, </w:t>
      </w:r>
      <w:r w:rsidRPr="00B96791">
        <w:t xml:space="preserve">34 FCC </w:t>
      </w:r>
      <w:r w:rsidRPr="00B96791">
        <w:t>Rcd</w:t>
      </w:r>
      <w:r w:rsidRPr="00B96791">
        <w:t xml:space="preserve"> </w:t>
      </w:r>
      <w:r>
        <w:t>10578,</w:t>
      </w:r>
      <w:r w:rsidRPr="00B96791">
        <w:t xml:space="preserve"> 10732-33, para. 349</w:t>
      </w:r>
      <w:r>
        <w:t xml:space="preserve"> (2019)</w:t>
      </w:r>
      <w:r w:rsidRPr="000C2801">
        <w:t xml:space="preserve">; </w:t>
      </w:r>
      <w:r w:rsidRPr="00B96791" w:rsidR="00110BC7">
        <w:rPr>
          <w:i/>
          <w:iCs/>
        </w:rPr>
        <w:t>Rules and Policies on Foreign Participation in the U.S. Telecommunications Market; Market Entry and Regulation of Foreign-Affiliated Entities</w:t>
      </w:r>
      <w:r w:rsidRPr="00B96791" w:rsidR="00110BC7">
        <w:t xml:space="preserve">, Report and Order and Order on Reconsideration, 12 FCC </w:t>
      </w:r>
      <w:r w:rsidRPr="00B96791" w:rsidR="00110BC7">
        <w:t>Rcd</w:t>
      </w:r>
      <w:r w:rsidRPr="00B96791" w:rsidR="00110BC7">
        <w:t xml:space="preserve"> 23891, 23918-21, paras. 59-66 (1997)</w:t>
      </w:r>
      <w:r w:rsidRPr="00B96791">
        <w:rPr>
          <w:i/>
          <w:iCs/>
        </w:rPr>
        <w:t>.</w:t>
      </w:r>
    </w:p>
  </w:footnote>
  <w:footnote w:id="65">
    <w:p w:rsidR="00B017B0" w:rsidP="00B017B0" w14:paraId="304A8C14" w14:textId="21B2C2A6">
      <w:pPr>
        <w:pStyle w:val="FootnoteText"/>
      </w:pPr>
      <w:r>
        <w:rPr>
          <w:rStyle w:val="FootnoteReference"/>
        </w:rPr>
        <w:footnoteRef/>
      </w:r>
      <w:r>
        <w:t xml:space="preserve"> </w:t>
      </w:r>
      <w:r w:rsidR="00426163">
        <w:t>W</w:t>
      </w:r>
      <w:r>
        <w:t xml:space="preserve">e also conclude that </w:t>
      </w:r>
      <w:r w:rsidRPr="00FE7BFB">
        <w:t xml:space="preserve">the planned change in ownership will not adversely affect any of the considerations made when </w:t>
      </w:r>
      <w:r>
        <w:t>Intelsat DIP’s non-U.S.-licensed space stations</w:t>
      </w:r>
      <w:r w:rsidRPr="00FE7BFB">
        <w:t xml:space="preserve"> were granted </w:t>
      </w:r>
      <w:r>
        <w:t xml:space="preserve">U.S. </w:t>
      </w:r>
      <w:r w:rsidRPr="00FE7BFB">
        <w:t xml:space="preserve">market access.  </w:t>
      </w:r>
      <w:r>
        <w:rPr>
          <w:i/>
          <w:iCs/>
        </w:rPr>
        <w:t>S</w:t>
      </w:r>
      <w:r w:rsidRPr="00395733">
        <w:rPr>
          <w:i/>
          <w:iCs/>
        </w:rPr>
        <w:t xml:space="preserve">ee </w:t>
      </w:r>
      <w:r w:rsidRPr="00021F2D">
        <w:t>47 CFR §</w:t>
      </w:r>
      <w:r>
        <w:t xml:space="preserve"> 25.137(g).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34EEC24" w14:textId="585F3D20">
    <w:pPr>
      <w:pStyle w:val="Header"/>
      <w:rPr>
        <w:b w:val="0"/>
      </w:rPr>
    </w:pPr>
    <w:r>
      <w:tab/>
      <w:t>Federal Communications Commission</w:t>
    </w:r>
    <w:r>
      <w:tab/>
    </w:r>
    <w:r w:rsidR="007A7C55">
      <w:t xml:space="preserve">DA </w:t>
    </w:r>
    <w:r w:rsidRPr="00F1617B" w:rsidR="00F1617B">
      <w:t>22-162</w:t>
    </w:r>
  </w:p>
  <w:p w:rsidR="00D25FB5" w14:paraId="75C5EA48" w14:textId="0774350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4B9B7C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F88CF9F" w14:textId="4563B8B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A7C55">
      <w:rPr>
        <w:spacing w:val="-2"/>
      </w:rPr>
      <w:t xml:space="preserve">DA </w:t>
    </w:r>
    <w:r w:rsidRPr="00F1617B" w:rsidR="00F1617B">
      <w:rPr>
        <w:spacing w:val="-2"/>
      </w:rPr>
      <w:t>22-162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5E"/>
    <w:rsid w:val="00002AED"/>
    <w:rsid w:val="000031BE"/>
    <w:rsid w:val="0000796C"/>
    <w:rsid w:val="00010B8B"/>
    <w:rsid w:val="00013104"/>
    <w:rsid w:val="0001402E"/>
    <w:rsid w:val="00016AE7"/>
    <w:rsid w:val="00017776"/>
    <w:rsid w:val="00021F2D"/>
    <w:rsid w:val="0002372B"/>
    <w:rsid w:val="00023A34"/>
    <w:rsid w:val="00036039"/>
    <w:rsid w:val="00037F90"/>
    <w:rsid w:val="000415EB"/>
    <w:rsid w:val="00052CE5"/>
    <w:rsid w:val="00052F1D"/>
    <w:rsid w:val="000665BB"/>
    <w:rsid w:val="00067611"/>
    <w:rsid w:val="00075175"/>
    <w:rsid w:val="00082B7E"/>
    <w:rsid w:val="00082CD9"/>
    <w:rsid w:val="000875BF"/>
    <w:rsid w:val="00092FFB"/>
    <w:rsid w:val="000943CE"/>
    <w:rsid w:val="00096D8C"/>
    <w:rsid w:val="000A3F82"/>
    <w:rsid w:val="000A5602"/>
    <w:rsid w:val="000B0E74"/>
    <w:rsid w:val="000C0B65"/>
    <w:rsid w:val="000C2646"/>
    <w:rsid w:val="000C2801"/>
    <w:rsid w:val="000C2FEC"/>
    <w:rsid w:val="000C5C54"/>
    <w:rsid w:val="000C5EA0"/>
    <w:rsid w:val="000C7EE9"/>
    <w:rsid w:val="000D28F1"/>
    <w:rsid w:val="000D2CE5"/>
    <w:rsid w:val="000D31EB"/>
    <w:rsid w:val="000D590B"/>
    <w:rsid w:val="000E0359"/>
    <w:rsid w:val="000E05FE"/>
    <w:rsid w:val="000E12CB"/>
    <w:rsid w:val="000E3D42"/>
    <w:rsid w:val="000E5FCE"/>
    <w:rsid w:val="000F0397"/>
    <w:rsid w:val="0010091B"/>
    <w:rsid w:val="00103569"/>
    <w:rsid w:val="001042A3"/>
    <w:rsid w:val="00105130"/>
    <w:rsid w:val="001060E1"/>
    <w:rsid w:val="00110BC7"/>
    <w:rsid w:val="00115C58"/>
    <w:rsid w:val="00120AB1"/>
    <w:rsid w:val="00122BD5"/>
    <w:rsid w:val="00132D01"/>
    <w:rsid w:val="00133048"/>
    <w:rsid w:val="001334A7"/>
    <w:rsid w:val="00133F79"/>
    <w:rsid w:val="0013476D"/>
    <w:rsid w:val="00135E62"/>
    <w:rsid w:val="00140DDE"/>
    <w:rsid w:val="00142CF2"/>
    <w:rsid w:val="00143E2F"/>
    <w:rsid w:val="00143E96"/>
    <w:rsid w:val="00143FE0"/>
    <w:rsid w:val="00146757"/>
    <w:rsid w:val="00151AF2"/>
    <w:rsid w:val="001521E3"/>
    <w:rsid w:val="00152259"/>
    <w:rsid w:val="001560BC"/>
    <w:rsid w:val="00156388"/>
    <w:rsid w:val="0015781F"/>
    <w:rsid w:val="001642E6"/>
    <w:rsid w:val="00164500"/>
    <w:rsid w:val="001711B1"/>
    <w:rsid w:val="00172EBE"/>
    <w:rsid w:val="00176E71"/>
    <w:rsid w:val="00181D37"/>
    <w:rsid w:val="00192665"/>
    <w:rsid w:val="00193778"/>
    <w:rsid w:val="00194A66"/>
    <w:rsid w:val="00194FBB"/>
    <w:rsid w:val="001A0CA8"/>
    <w:rsid w:val="001A193E"/>
    <w:rsid w:val="001A5379"/>
    <w:rsid w:val="001B0F35"/>
    <w:rsid w:val="001B4ABB"/>
    <w:rsid w:val="001B7EF1"/>
    <w:rsid w:val="001C0B68"/>
    <w:rsid w:val="001C3A8D"/>
    <w:rsid w:val="001C3BC7"/>
    <w:rsid w:val="001C568C"/>
    <w:rsid w:val="001D31F3"/>
    <w:rsid w:val="001D56E7"/>
    <w:rsid w:val="001D6BCF"/>
    <w:rsid w:val="001E01CA"/>
    <w:rsid w:val="001E12D0"/>
    <w:rsid w:val="001F3A32"/>
    <w:rsid w:val="001F5335"/>
    <w:rsid w:val="001F57A7"/>
    <w:rsid w:val="002023AB"/>
    <w:rsid w:val="00207C22"/>
    <w:rsid w:val="002108F1"/>
    <w:rsid w:val="00215468"/>
    <w:rsid w:val="0022457D"/>
    <w:rsid w:val="00224D0E"/>
    <w:rsid w:val="00230449"/>
    <w:rsid w:val="00231A1B"/>
    <w:rsid w:val="0024006E"/>
    <w:rsid w:val="00242122"/>
    <w:rsid w:val="00242F96"/>
    <w:rsid w:val="002436CE"/>
    <w:rsid w:val="00244998"/>
    <w:rsid w:val="00245087"/>
    <w:rsid w:val="002479BC"/>
    <w:rsid w:val="002524CF"/>
    <w:rsid w:val="002527E0"/>
    <w:rsid w:val="00255C79"/>
    <w:rsid w:val="00263788"/>
    <w:rsid w:val="0026752E"/>
    <w:rsid w:val="00275CF5"/>
    <w:rsid w:val="00281DC5"/>
    <w:rsid w:val="0028301F"/>
    <w:rsid w:val="00285017"/>
    <w:rsid w:val="002855B8"/>
    <w:rsid w:val="00296B12"/>
    <w:rsid w:val="002973A9"/>
    <w:rsid w:val="00297B73"/>
    <w:rsid w:val="002A1931"/>
    <w:rsid w:val="002A28AE"/>
    <w:rsid w:val="002A2D2E"/>
    <w:rsid w:val="002A65C4"/>
    <w:rsid w:val="002B0011"/>
    <w:rsid w:val="002B0658"/>
    <w:rsid w:val="002B0946"/>
    <w:rsid w:val="002B5376"/>
    <w:rsid w:val="002C00E8"/>
    <w:rsid w:val="002C0313"/>
    <w:rsid w:val="002C59C2"/>
    <w:rsid w:val="002C74CF"/>
    <w:rsid w:val="002D575B"/>
    <w:rsid w:val="002E4F0E"/>
    <w:rsid w:val="002F50CD"/>
    <w:rsid w:val="002F6516"/>
    <w:rsid w:val="00300EAD"/>
    <w:rsid w:val="00301C75"/>
    <w:rsid w:val="00302AFF"/>
    <w:rsid w:val="00303A86"/>
    <w:rsid w:val="00304D8E"/>
    <w:rsid w:val="00305617"/>
    <w:rsid w:val="00306712"/>
    <w:rsid w:val="00313EC2"/>
    <w:rsid w:val="00315AEE"/>
    <w:rsid w:val="0031658C"/>
    <w:rsid w:val="003166C4"/>
    <w:rsid w:val="00316F64"/>
    <w:rsid w:val="00323619"/>
    <w:rsid w:val="0032402A"/>
    <w:rsid w:val="00324B6D"/>
    <w:rsid w:val="00326BA2"/>
    <w:rsid w:val="0032761A"/>
    <w:rsid w:val="00330088"/>
    <w:rsid w:val="0033273A"/>
    <w:rsid w:val="00336A58"/>
    <w:rsid w:val="00336C61"/>
    <w:rsid w:val="0034005C"/>
    <w:rsid w:val="00340D83"/>
    <w:rsid w:val="003422B0"/>
    <w:rsid w:val="00343749"/>
    <w:rsid w:val="003469DE"/>
    <w:rsid w:val="00347145"/>
    <w:rsid w:val="00350615"/>
    <w:rsid w:val="0035117B"/>
    <w:rsid w:val="00351792"/>
    <w:rsid w:val="00355410"/>
    <w:rsid w:val="00355606"/>
    <w:rsid w:val="00355EC2"/>
    <w:rsid w:val="00356BDF"/>
    <w:rsid w:val="00363DD6"/>
    <w:rsid w:val="003644FD"/>
    <w:rsid w:val="003660ED"/>
    <w:rsid w:val="0036776A"/>
    <w:rsid w:val="0037067C"/>
    <w:rsid w:val="00371D89"/>
    <w:rsid w:val="00375E58"/>
    <w:rsid w:val="003904A0"/>
    <w:rsid w:val="00395717"/>
    <w:rsid w:val="00395733"/>
    <w:rsid w:val="00395DDB"/>
    <w:rsid w:val="003A2F86"/>
    <w:rsid w:val="003B0550"/>
    <w:rsid w:val="003B179E"/>
    <w:rsid w:val="003B2186"/>
    <w:rsid w:val="003B4162"/>
    <w:rsid w:val="003B60CE"/>
    <w:rsid w:val="003B67BF"/>
    <w:rsid w:val="003B694F"/>
    <w:rsid w:val="003C314D"/>
    <w:rsid w:val="003C32CB"/>
    <w:rsid w:val="003C3502"/>
    <w:rsid w:val="003C3BEF"/>
    <w:rsid w:val="003C5688"/>
    <w:rsid w:val="003C7CE5"/>
    <w:rsid w:val="003D30CF"/>
    <w:rsid w:val="003E1953"/>
    <w:rsid w:val="003E58F0"/>
    <w:rsid w:val="003F12FB"/>
    <w:rsid w:val="003F171C"/>
    <w:rsid w:val="003F28B9"/>
    <w:rsid w:val="003F61C8"/>
    <w:rsid w:val="00400DC4"/>
    <w:rsid w:val="00402730"/>
    <w:rsid w:val="00404DF9"/>
    <w:rsid w:val="0040583D"/>
    <w:rsid w:val="00411417"/>
    <w:rsid w:val="00411A75"/>
    <w:rsid w:val="00412BB9"/>
    <w:rsid w:val="00412D19"/>
    <w:rsid w:val="00412FC5"/>
    <w:rsid w:val="0041378A"/>
    <w:rsid w:val="00417709"/>
    <w:rsid w:val="00421DC4"/>
    <w:rsid w:val="00422276"/>
    <w:rsid w:val="004242F1"/>
    <w:rsid w:val="00426163"/>
    <w:rsid w:val="004266CA"/>
    <w:rsid w:val="00427BCE"/>
    <w:rsid w:val="0043542A"/>
    <w:rsid w:val="004434F2"/>
    <w:rsid w:val="00444683"/>
    <w:rsid w:val="00444D03"/>
    <w:rsid w:val="00445A00"/>
    <w:rsid w:val="00450D07"/>
    <w:rsid w:val="00451A3F"/>
    <w:rsid w:val="00451B0F"/>
    <w:rsid w:val="00454752"/>
    <w:rsid w:val="00465761"/>
    <w:rsid w:val="004668E2"/>
    <w:rsid w:val="00471E6D"/>
    <w:rsid w:val="00473A53"/>
    <w:rsid w:val="004774D5"/>
    <w:rsid w:val="0048545C"/>
    <w:rsid w:val="00485522"/>
    <w:rsid w:val="004871B8"/>
    <w:rsid w:val="00491C41"/>
    <w:rsid w:val="004931DF"/>
    <w:rsid w:val="0049567B"/>
    <w:rsid w:val="00496500"/>
    <w:rsid w:val="004A0AFC"/>
    <w:rsid w:val="004A0D6F"/>
    <w:rsid w:val="004A1310"/>
    <w:rsid w:val="004A2462"/>
    <w:rsid w:val="004B02C6"/>
    <w:rsid w:val="004B50A6"/>
    <w:rsid w:val="004C03F5"/>
    <w:rsid w:val="004C2EE3"/>
    <w:rsid w:val="004C352B"/>
    <w:rsid w:val="004C4EC6"/>
    <w:rsid w:val="004D0314"/>
    <w:rsid w:val="004D031E"/>
    <w:rsid w:val="004D2797"/>
    <w:rsid w:val="004D4D24"/>
    <w:rsid w:val="004E0FC0"/>
    <w:rsid w:val="004E2982"/>
    <w:rsid w:val="004E45E4"/>
    <w:rsid w:val="004E4A22"/>
    <w:rsid w:val="004F4D0A"/>
    <w:rsid w:val="004F6886"/>
    <w:rsid w:val="0050133B"/>
    <w:rsid w:val="00503CF8"/>
    <w:rsid w:val="00505407"/>
    <w:rsid w:val="0050675F"/>
    <w:rsid w:val="00507017"/>
    <w:rsid w:val="00511968"/>
    <w:rsid w:val="00521AE7"/>
    <w:rsid w:val="0052211E"/>
    <w:rsid w:val="005245F3"/>
    <w:rsid w:val="00524685"/>
    <w:rsid w:val="0052690D"/>
    <w:rsid w:val="00526AB3"/>
    <w:rsid w:val="0053172D"/>
    <w:rsid w:val="00533689"/>
    <w:rsid w:val="00536C68"/>
    <w:rsid w:val="00541861"/>
    <w:rsid w:val="00543B78"/>
    <w:rsid w:val="00543EB8"/>
    <w:rsid w:val="0054427A"/>
    <w:rsid w:val="00545612"/>
    <w:rsid w:val="0055013C"/>
    <w:rsid w:val="00551234"/>
    <w:rsid w:val="005514BA"/>
    <w:rsid w:val="0055380A"/>
    <w:rsid w:val="0055614C"/>
    <w:rsid w:val="00556643"/>
    <w:rsid w:val="005628AD"/>
    <w:rsid w:val="0056474A"/>
    <w:rsid w:val="00566D06"/>
    <w:rsid w:val="00571D6B"/>
    <w:rsid w:val="005728B8"/>
    <w:rsid w:val="00580416"/>
    <w:rsid w:val="00583FA6"/>
    <w:rsid w:val="005905E3"/>
    <w:rsid w:val="0059119B"/>
    <w:rsid w:val="00591E93"/>
    <w:rsid w:val="005A1430"/>
    <w:rsid w:val="005A194D"/>
    <w:rsid w:val="005A2B2C"/>
    <w:rsid w:val="005A4EF6"/>
    <w:rsid w:val="005A7680"/>
    <w:rsid w:val="005B60FD"/>
    <w:rsid w:val="005C2F60"/>
    <w:rsid w:val="005C310C"/>
    <w:rsid w:val="005C5A7B"/>
    <w:rsid w:val="005D14E7"/>
    <w:rsid w:val="005D2C93"/>
    <w:rsid w:val="005D3409"/>
    <w:rsid w:val="005D3744"/>
    <w:rsid w:val="005D5C95"/>
    <w:rsid w:val="005D5DF3"/>
    <w:rsid w:val="005D7A72"/>
    <w:rsid w:val="005E0214"/>
    <w:rsid w:val="005E0E42"/>
    <w:rsid w:val="005E0F20"/>
    <w:rsid w:val="005E14C2"/>
    <w:rsid w:val="005E4F71"/>
    <w:rsid w:val="005F1584"/>
    <w:rsid w:val="005F24A3"/>
    <w:rsid w:val="005F4B17"/>
    <w:rsid w:val="005F5684"/>
    <w:rsid w:val="005F6F58"/>
    <w:rsid w:val="005F7FA4"/>
    <w:rsid w:val="00607BA5"/>
    <w:rsid w:val="0061180A"/>
    <w:rsid w:val="00613F25"/>
    <w:rsid w:val="00614E37"/>
    <w:rsid w:val="00616192"/>
    <w:rsid w:val="00617C7D"/>
    <w:rsid w:val="00623FAB"/>
    <w:rsid w:val="006240EA"/>
    <w:rsid w:val="00624423"/>
    <w:rsid w:val="00626C4E"/>
    <w:rsid w:val="00626EB6"/>
    <w:rsid w:val="00633338"/>
    <w:rsid w:val="00636E29"/>
    <w:rsid w:val="00642A52"/>
    <w:rsid w:val="00655D03"/>
    <w:rsid w:val="00660D11"/>
    <w:rsid w:val="00661CEB"/>
    <w:rsid w:val="0066552A"/>
    <w:rsid w:val="006660C2"/>
    <w:rsid w:val="00666342"/>
    <w:rsid w:val="0066725A"/>
    <w:rsid w:val="00672F5B"/>
    <w:rsid w:val="00677F80"/>
    <w:rsid w:val="00682082"/>
    <w:rsid w:val="00683388"/>
    <w:rsid w:val="00683F84"/>
    <w:rsid w:val="00685C03"/>
    <w:rsid w:val="00686579"/>
    <w:rsid w:val="00690080"/>
    <w:rsid w:val="00691EF2"/>
    <w:rsid w:val="00693101"/>
    <w:rsid w:val="00694064"/>
    <w:rsid w:val="00694A0D"/>
    <w:rsid w:val="006A1B72"/>
    <w:rsid w:val="006A1D97"/>
    <w:rsid w:val="006A6A81"/>
    <w:rsid w:val="006B0D6C"/>
    <w:rsid w:val="006B2C9A"/>
    <w:rsid w:val="006B4544"/>
    <w:rsid w:val="006B505C"/>
    <w:rsid w:val="006B7E5B"/>
    <w:rsid w:val="006C0C8E"/>
    <w:rsid w:val="006C59BB"/>
    <w:rsid w:val="006D5064"/>
    <w:rsid w:val="006E0996"/>
    <w:rsid w:val="006E2DD3"/>
    <w:rsid w:val="006E526B"/>
    <w:rsid w:val="006E56A5"/>
    <w:rsid w:val="006E7792"/>
    <w:rsid w:val="006F33E4"/>
    <w:rsid w:val="006F34A3"/>
    <w:rsid w:val="006F7393"/>
    <w:rsid w:val="006F76D7"/>
    <w:rsid w:val="00700E96"/>
    <w:rsid w:val="0070224F"/>
    <w:rsid w:val="00706013"/>
    <w:rsid w:val="007115F7"/>
    <w:rsid w:val="00715910"/>
    <w:rsid w:val="007159BA"/>
    <w:rsid w:val="00725E6A"/>
    <w:rsid w:val="0072632D"/>
    <w:rsid w:val="007307D6"/>
    <w:rsid w:val="00731812"/>
    <w:rsid w:val="00733EC1"/>
    <w:rsid w:val="007406DC"/>
    <w:rsid w:val="00740E9C"/>
    <w:rsid w:val="00741769"/>
    <w:rsid w:val="00745015"/>
    <w:rsid w:val="007462B6"/>
    <w:rsid w:val="0075322A"/>
    <w:rsid w:val="00754E34"/>
    <w:rsid w:val="0076338A"/>
    <w:rsid w:val="00763F7B"/>
    <w:rsid w:val="00764FD0"/>
    <w:rsid w:val="00766917"/>
    <w:rsid w:val="00767E63"/>
    <w:rsid w:val="0077034D"/>
    <w:rsid w:val="00770B99"/>
    <w:rsid w:val="00771FD1"/>
    <w:rsid w:val="00772B99"/>
    <w:rsid w:val="0077581F"/>
    <w:rsid w:val="00776D1E"/>
    <w:rsid w:val="00777B93"/>
    <w:rsid w:val="00785689"/>
    <w:rsid w:val="0079754B"/>
    <w:rsid w:val="00797B7D"/>
    <w:rsid w:val="007A1E6D"/>
    <w:rsid w:val="007A77FA"/>
    <w:rsid w:val="007A79A6"/>
    <w:rsid w:val="007A7C55"/>
    <w:rsid w:val="007B0EB2"/>
    <w:rsid w:val="007B2329"/>
    <w:rsid w:val="007D2174"/>
    <w:rsid w:val="007D2B67"/>
    <w:rsid w:val="007D5E0A"/>
    <w:rsid w:val="007E2AE4"/>
    <w:rsid w:val="007E46F2"/>
    <w:rsid w:val="007E49CB"/>
    <w:rsid w:val="007E7A7F"/>
    <w:rsid w:val="007F321E"/>
    <w:rsid w:val="007F3C9F"/>
    <w:rsid w:val="007F3FD2"/>
    <w:rsid w:val="007F7307"/>
    <w:rsid w:val="007F7FA5"/>
    <w:rsid w:val="008029C1"/>
    <w:rsid w:val="00803115"/>
    <w:rsid w:val="008054EB"/>
    <w:rsid w:val="00810B6F"/>
    <w:rsid w:val="008130FB"/>
    <w:rsid w:val="00813EB4"/>
    <w:rsid w:val="008148CC"/>
    <w:rsid w:val="00816441"/>
    <w:rsid w:val="008171F9"/>
    <w:rsid w:val="00820D3B"/>
    <w:rsid w:val="00822CE0"/>
    <w:rsid w:val="008233DF"/>
    <w:rsid w:val="008267DC"/>
    <w:rsid w:val="00827692"/>
    <w:rsid w:val="00830B13"/>
    <w:rsid w:val="00832A22"/>
    <w:rsid w:val="00833CFC"/>
    <w:rsid w:val="00841AB1"/>
    <w:rsid w:val="00845692"/>
    <w:rsid w:val="00850A42"/>
    <w:rsid w:val="00850D56"/>
    <w:rsid w:val="0085578B"/>
    <w:rsid w:val="008558C7"/>
    <w:rsid w:val="00857393"/>
    <w:rsid w:val="00862D7C"/>
    <w:rsid w:val="00865C2F"/>
    <w:rsid w:val="00867A7F"/>
    <w:rsid w:val="00870D3A"/>
    <w:rsid w:val="00872980"/>
    <w:rsid w:val="008742F3"/>
    <w:rsid w:val="0087506E"/>
    <w:rsid w:val="008777F2"/>
    <w:rsid w:val="00881E68"/>
    <w:rsid w:val="0088438B"/>
    <w:rsid w:val="008877DE"/>
    <w:rsid w:val="008902A5"/>
    <w:rsid w:val="00890BD0"/>
    <w:rsid w:val="008952FC"/>
    <w:rsid w:val="00895521"/>
    <w:rsid w:val="008A1DCB"/>
    <w:rsid w:val="008A418E"/>
    <w:rsid w:val="008A429D"/>
    <w:rsid w:val="008B3C45"/>
    <w:rsid w:val="008B4740"/>
    <w:rsid w:val="008B7D9D"/>
    <w:rsid w:val="008C0953"/>
    <w:rsid w:val="008C1A01"/>
    <w:rsid w:val="008C51F0"/>
    <w:rsid w:val="008C68F1"/>
    <w:rsid w:val="008C7993"/>
    <w:rsid w:val="008D0B7D"/>
    <w:rsid w:val="008D7FC2"/>
    <w:rsid w:val="008E41F5"/>
    <w:rsid w:val="008F1F44"/>
    <w:rsid w:val="008F37E2"/>
    <w:rsid w:val="008F48B1"/>
    <w:rsid w:val="008F729B"/>
    <w:rsid w:val="008F7833"/>
    <w:rsid w:val="00900697"/>
    <w:rsid w:val="00900C83"/>
    <w:rsid w:val="009013B1"/>
    <w:rsid w:val="009013CF"/>
    <w:rsid w:val="009037D9"/>
    <w:rsid w:val="009066AB"/>
    <w:rsid w:val="00907A30"/>
    <w:rsid w:val="00907C0D"/>
    <w:rsid w:val="00907E6E"/>
    <w:rsid w:val="0091076C"/>
    <w:rsid w:val="00911A12"/>
    <w:rsid w:val="00911FF1"/>
    <w:rsid w:val="0091618A"/>
    <w:rsid w:val="009164FC"/>
    <w:rsid w:val="009210A6"/>
    <w:rsid w:val="00921803"/>
    <w:rsid w:val="00921F7B"/>
    <w:rsid w:val="0092202A"/>
    <w:rsid w:val="009226D4"/>
    <w:rsid w:val="00922D7A"/>
    <w:rsid w:val="0092421B"/>
    <w:rsid w:val="00925389"/>
    <w:rsid w:val="00926503"/>
    <w:rsid w:val="00930BC6"/>
    <w:rsid w:val="00934658"/>
    <w:rsid w:val="0093579C"/>
    <w:rsid w:val="00937F33"/>
    <w:rsid w:val="00941639"/>
    <w:rsid w:val="00941BC2"/>
    <w:rsid w:val="0094543C"/>
    <w:rsid w:val="00945D4C"/>
    <w:rsid w:val="00945E49"/>
    <w:rsid w:val="009460C3"/>
    <w:rsid w:val="00951837"/>
    <w:rsid w:val="00953789"/>
    <w:rsid w:val="00956AC8"/>
    <w:rsid w:val="00960C68"/>
    <w:rsid w:val="009646A1"/>
    <w:rsid w:val="00965DC6"/>
    <w:rsid w:val="00970CB5"/>
    <w:rsid w:val="00971648"/>
    <w:rsid w:val="009726D8"/>
    <w:rsid w:val="009729BB"/>
    <w:rsid w:val="00975E1F"/>
    <w:rsid w:val="00975E46"/>
    <w:rsid w:val="00975E7A"/>
    <w:rsid w:val="009764AF"/>
    <w:rsid w:val="00977E6B"/>
    <w:rsid w:val="00981A7C"/>
    <w:rsid w:val="009831F1"/>
    <w:rsid w:val="009871FD"/>
    <w:rsid w:val="00987F08"/>
    <w:rsid w:val="00990432"/>
    <w:rsid w:val="0099215E"/>
    <w:rsid w:val="009A2022"/>
    <w:rsid w:val="009A32B4"/>
    <w:rsid w:val="009A3EE5"/>
    <w:rsid w:val="009A4023"/>
    <w:rsid w:val="009A51A3"/>
    <w:rsid w:val="009A5814"/>
    <w:rsid w:val="009B13EF"/>
    <w:rsid w:val="009B13F1"/>
    <w:rsid w:val="009B31A8"/>
    <w:rsid w:val="009B4781"/>
    <w:rsid w:val="009B5684"/>
    <w:rsid w:val="009C2675"/>
    <w:rsid w:val="009C44A6"/>
    <w:rsid w:val="009C4EFB"/>
    <w:rsid w:val="009C66DD"/>
    <w:rsid w:val="009D0491"/>
    <w:rsid w:val="009D570B"/>
    <w:rsid w:val="009D6976"/>
    <w:rsid w:val="009D7308"/>
    <w:rsid w:val="009D7EC8"/>
    <w:rsid w:val="009E3055"/>
    <w:rsid w:val="009E30A0"/>
    <w:rsid w:val="009E637B"/>
    <w:rsid w:val="009F1FAD"/>
    <w:rsid w:val="009F255E"/>
    <w:rsid w:val="009F29C1"/>
    <w:rsid w:val="009F364C"/>
    <w:rsid w:val="009F436A"/>
    <w:rsid w:val="009F5891"/>
    <w:rsid w:val="009F76DB"/>
    <w:rsid w:val="00A00C38"/>
    <w:rsid w:val="00A034B5"/>
    <w:rsid w:val="00A15A9B"/>
    <w:rsid w:val="00A164DF"/>
    <w:rsid w:val="00A21103"/>
    <w:rsid w:val="00A24BE2"/>
    <w:rsid w:val="00A31B54"/>
    <w:rsid w:val="00A32C3B"/>
    <w:rsid w:val="00A352FB"/>
    <w:rsid w:val="00A3615B"/>
    <w:rsid w:val="00A44B2C"/>
    <w:rsid w:val="00A45F4F"/>
    <w:rsid w:val="00A46D17"/>
    <w:rsid w:val="00A47855"/>
    <w:rsid w:val="00A526D5"/>
    <w:rsid w:val="00A55061"/>
    <w:rsid w:val="00A55159"/>
    <w:rsid w:val="00A551C9"/>
    <w:rsid w:val="00A600A9"/>
    <w:rsid w:val="00A604ED"/>
    <w:rsid w:val="00A60E7D"/>
    <w:rsid w:val="00A62A6E"/>
    <w:rsid w:val="00A639A2"/>
    <w:rsid w:val="00A64A34"/>
    <w:rsid w:val="00A64B25"/>
    <w:rsid w:val="00A67F4E"/>
    <w:rsid w:val="00A75BDB"/>
    <w:rsid w:val="00A7697B"/>
    <w:rsid w:val="00A83BCD"/>
    <w:rsid w:val="00A859A8"/>
    <w:rsid w:val="00A859B1"/>
    <w:rsid w:val="00A969E1"/>
    <w:rsid w:val="00A97D48"/>
    <w:rsid w:val="00AA12B9"/>
    <w:rsid w:val="00AA274A"/>
    <w:rsid w:val="00AA55B7"/>
    <w:rsid w:val="00AA5B9E"/>
    <w:rsid w:val="00AB140F"/>
    <w:rsid w:val="00AB2407"/>
    <w:rsid w:val="00AB53DF"/>
    <w:rsid w:val="00AC14B2"/>
    <w:rsid w:val="00AD5ABA"/>
    <w:rsid w:val="00AD62A2"/>
    <w:rsid w:val="00AE57A3"/>
    <w:rsid w:val="00AE7019"/>
    <w:rsid w:val="00AF0E2F"/>
    <w:rsid w:val="00AF14AA"/>
    <w:rsid w:val="00AF625D"/>
    <w:rsid w:val="00B017B0"/>
    <w:rsid w:val="00B0436C"/>
    <w:rsid w:val="00B047AE"/>
    <w:rsid w:val="00B05AB0"/>
    <w:rsid w:val="00B0712D"/>
    <w:rsid w:val="00B07E5C"/>
    <w:rsid w:val="00B1007A"/>
    <w:rsid w:val="00B17452"/>
    <w:rsid w:val="00B20470"/>
    <w:rsid w:val="00B21A5A"/>
    <w:rsid w:val="00B24A73"/>
    <w:rsid w:val="00B24C48"/>
    <w:rsid w:val="00B24E02"/>
    <w:rsid w:val="00B2723D"/>
    <w:rsid w:val="00B31D9A"/>
    <w:rsid w:val="00B32F0B"/>
    <w:rsid w:val="00B33781"/>
    <w:rsid w:val="00B37153"/>
    <w:rsid w:val="00B408BB"/>
    <w:rsid w:val="00B41A89"/>
    <w:rsid w:val="00B42B0D"/>
    <w:rsid w:val="00B54567"/>
    <w:rsid w:val="00B55680"/>
    <w:rsid w:val="00B55BB8"/>
    <w:rsid w:val="00B5679B"/>
    <w:rsid w:val="00B576F1"/>
    <w:rsid w:val="00B6505D"/>
    <w:rsid w:val="00B72F74"/>
    <w:rsid w:val="00B7316B"/>
    <w:rsid w:val="00B772D9"/>
    <w:rsid w:val="00B806AB"/>
    <w:rsid w:val="00B811DF"/>
    <w:rsid w:val="00B811F7"/>
    <w:rsid w:val="00B81A31"/>
    <w:rsid w:val="00B820F2"/>
    <w:rsid w:val="00B839F5"/>
    <w:rsid w:val="00B84D22"/>
    <w:rsid w:val="00B8549C"/>
    <w:rsid w:val="00B86726"/>
    <w:rsid w:val="00B941B2"/>
    <w:rsid w:val="00B94B3B"/>
    <w:rsid w:val="00B96791"/>
    <w:rsid w:val="00BA1C0E"/>
    <w:rsid w:val="00BA2FCC"/>
    <w:rsid w:val="00BA42AB"/>
    <w:rsid w:val="00BA5830"/>
    <w:rsid w:val="00BA5DC6"/>
    <w:rsid w:val="00BA6196"/>
    <w:rsid w:val="00BC1BED"/>
    <w:rsid w:val="00BC1CBD"/>
    <w:rsid w:val="00BC431F"/>
    <w:rsid w:val="00BC6D8C"/>
    <w:rsid w:val="00BC73C7"/>
    <w:rsid w:val="00BD30E2"/>
    <w:rsid w:val="00BD52D2"/>
    <w:rsid w:val="00BD6539"/>
    <w:rsid w:val="00BE49B0"/>
    <w:rsid w:val="00BF2DAD"/>
    <w:rsid w:val="00BF3181"/>
    <w:rsid w:val="00C03CB4"/>
    <w:rsid w:val="00C05304"/>
    <w:rsid w:val="00C1080D"/>
    <w:rsid w:val="00C11F61"/>
    <w:rsid w:val="00C1257B"/>
    <w:rsid w:val="00C15F08"/>
    <w:rsid w:val="00C177BC"/>
    <w:rsid w:val="00C230F8"/>
    <w:rsid w:val="00C25666"/>
    <w:rsid w:val="00C267DD"/>
    <w:rsid w:val="00C323A4"/>
    <w:rsid w:val="00C332AE"/>
    <w:rsid w:val="00C34006"/>
    <w:rsid w:val="00C36B4C"/>
    <w:rsid w:val="00C372C3"/>
    <w:rsid w:val="00C409DF"/>
    <w:rsid w:val="00C426B1"/>
    <w:rsid w:val="00C43479"/>
    <w:rsid w:val="00C478D3"/>
    <w:rsid w:val="00C55067"/>
    <w:rsid w:val="00C5692F"/>
    <w:rsid w:val="00C571E0"/>
    <w:rsid w:val="00C60ED2"/>
    <w:rsid w:val="00C60F20"/>
    <w:rsid w:val="00C628E9"/>
    <w:rsid w:val="00C66160"/>
    <w:rsid w:val="00C667DA"/>
    <w:rsid w:val="00C721AC"/>
    <w:rsid w:val="00C73D73"/>
    <w:rsid w:val="00C74AA3"/>
    <w:rsid w:val="00C8074D"/>
    <w:rsid w:val="00C8128A"/>
    <w:rsid w:val="00C8297F"/>
    <w:rsid w:val="00C87ECC"/>
    <w:rsid w:val="00C90D6A"/>
    <w:rsid w:val="00C90F95"/>
    <w:rsid w:val="00C935E9"/>
    <w:rsid w:val="00C94487"/>
    <w:rsid w:val="00C96621"/>
    <w:rsid w:val="00CA247E"/>
    <w:rsid w:val="00CA3656"/>
    <w:rsid w:val="00CA4006"/>
    <w:rsid w:val="00CA556A"/>
    <w:rsid w:val="00CA6D21"/>
    <w:rsid w:val="00CB44E0"/>
    <w:rsid w:val="00CB7F7A"/>
    <w:rsid w:val="00CC72B6"/>
    <w:rsid w:val="00CE491A"/>
    <w:rsid w:val="00CE4A31"/>
    <w:rsid w:val="00CF08BB"/>
    <w:rsid w:val="00CF0BD8"/>
    <w:rsid w:val="00CF3FA3"/>
    <w:rsid w:val="00CF781F"/>
    <w:rsid w:val="00D006D8"/>
    <w:rsid w:val="00D0218D"/>
    <w:rsid w:val="00D124F3"/>
    <w:rsid w:val="00D162FC"/>
    <w:rsid w:val="00D169A2"/>
    <w:rsid w:val="00D25FB5"/>
    <w:rsid w:val="00D26993"/>
    <w:rsid w:val="00D31E62"/>
    <w:rsid w:val="00D42776"/>
    <w:rsid w:val="00D42A6A"/>
    <w:rsid w:val="00D44223"/>
    <w:rsid w:val="00D45738"/>
    <w:rsid w:val="00D474AF"/>
    <w:rsid w:val="00D50F58"/>
    <w:rsid w:val="00D51598"/>
    <w:rsid w:val="00D53CC0"/>
    <w:rsid w:val="00D5446F"/>
    <w:rsid w:val="00D56DE5"/>
    <w:rsid w:val="00D63721"/>
    <w:rsid w:val="00D75128"/>
    <w:rsid w:val="00D752F4"/>
    <w:rsid w:val="00D7627C"/>
    <w:rsid w:val="00D7761E"/>
    <w:rsid w:val="00D77A11"/>
    <w:rsid w:val="00D906A4"/>
    <w:rsid w:val="00D94580"/>
    <w:rsid w:val="00D967FC"/>
    <w:rsid w:val="00DA2529"/>
    <w:rsid w:val="00DA314E"/>
    <w:rsid w:val="00DB03B7"/>
    <w:rsid w:val="00DB130A"/>
    <w:rsid w:val="00DB2EBB"/>
    <w:rsid w:val="00DB466C"/>
    <w:rsid w:val="00DB46C9"/>
    <w:rsid w:val="00DC05EC"/>
    <w:rsid w:val="00DC10A1"/>
    <w:rsid w:val="00DC1ADC"/>
    <w:rsid w:val="00DC2394"/>
    <w:rsid w:val="00DC62B1"/>
    <w:rsid w:val="00DC655F"/>
    <w:rsid w:val="00DC7C24"/>
    <w:rsid w:val="00DD0B59"/>
    <w:rsid w:val="00DD7EBD"/>
    <w:rsid w:val="00DE063C"/>
    <w:rsid w:val="00DE0F7D"/>
    <w:rsid w:val="00DE4355"/>
    <w:rsid w:val="00DF26CE"/>
    <w:rsid w:val="00DF62B6"/>
    <w:rsid w:val="00E07225"/>
    <w:rsid w:val="00E10060"/>
    <w:rsid w:val="00E16B90"/>
    <w:rsid w:val="00E24F3F"/>
    <w:rsid w:val="00E256C3"/>
    <w:rsid w:val="00E36293"/>
    <w:rsid w:val="00E4058A"/>
    <w:rsid w:val="00E4440B"/>
    <w:rsid w:val="00E45D5A"/>
    <w:rsid w:val="00E526A3"/>
    <w:rsid w:val="00E5409F"/>
    <w:rsid w:val="00E54D66"/>
    <w:rsid w:val="00E557C2"/>
    <w:rsid w:val="00E624F3"/>
    <w:rsid w:val="00E6613A"/>
    <w:rsid w:val="00E67075"/>
    <w:rsid w:val="00E70758"/>
    <w:rsid w:val="00E8447C"/>
    <w:rsid w:val="00E84671"/>
    <w:rsid w:val="00E866E2"/>
    <w:rsid w:val="00E920D5"/>
    <w:rsid w:val="00E94298"/>
    <w:rsid w:val="00E94564"/>
    <w:rsid w:val="00E960BE"/>
    <w:rsid w:val="00E97720"/>
    <w:rsid w:val="00EA045B"/>
    <w:rsid w:val="00EA1258"/>
    <w:rsid w:val="00EA6DC6"/>
    <w:rsid w:val="00EB0490"/>
    <w:rsid w:val="00EB38FC"/>
    <w:rsid w:val="00EB69A0"/>
    <w:rsid w:val="00EC0155"/>
    <w:rsid w:val="00EC13C4"/>
    <w:rsid w:val="00EC1CA0"/>
    <w:rsid w:val="00EC424F"/>
    <w:rsid w:val="00EC49BB"/>
    <w:rsid w:val="00EC5B94"/>
    <w:rsid w:val="00EC5D24"/>
    <w:rsid w:val="00EC6C9B"/>
    <w:rsid w:val="00ED033F"/>
    <w:rsid w:val="00ED3B84"/>
    <w:rsid w:val="00ED6AFB"/>
    <w:rsid w:val="00EE2C07"/>
    <w:rsid w:val="00EE422F"/>
    <w:rsid w:val="00EE54FD"/>
    <w:rsid w:val="00EE6488"/>
    <w:rsid w:val="00EE6C09"/>
    <w:rsid w:val="00EE78DD"/>
    <w:rsid w:val="00EE7A3E"/>
    <w:rsid w:val="00EF0F5B"/>
    <w:rsid w:val="00EF1D2F"/>
    <w:rsid w:val="00EF57C0"/>
    <w:rsid w:val="00F01CD9"/>
    <w:rsid w:val="00F021FA"/>
    <w:rsid w:val="00F02227"/>
    <w:rsid w:val="00F024CC"/>
    <w:rsid w:val="00F05169"/>
    <w:rsid w:val="00F055B7"/>
    <w:rsid w:val="00F074D5"/>
    <w:rsid w:val="00F1004A"/>
    <w:rsid w:val="00F126CC"/>
    <w:rsid w:val="00F151EB"/>
    <w:rsid w:val="00F1617B"/>
    <w:rsid w:val="00F16CF2"/>
    <w:rsid w:val="00F17EA7"/>
    <w:rsid w:val="00F23E52"/>
    <w:rsid w:val="00F26CD7"/>
    <w:rsid w:val="00F30E0B"/>
    <w:rsid w:val="00F31FCC"/>
    <w:rsid w:val="00F337BE"/>
    <w:rsid w:val="00F344E0"/>
    <w:rsid w:val="00F469CB"/>
    <w:rsid w:val="00F53230"/>
    <w:rsid w:val="00F5338A"/>
    <w:rsid w:val="00F57EAA"/>
    <w:rsid w:val="00F62E97"/>
    <w:rsid w:val="00F64209"/>
    <w:rsid w:val="00F66A0A"/>
    <w:rsid w:val="00F70ACE"/>
    <w:rsid w:val="00F75EF0"/>
    <w:rsid w:val="00F77FBE"/>
    <w:rsid w:val="00F80213"/>
    <w:rsid w:val="00F87978"/>
    <w:rsid w:val="00F92A47"/>
    <w:rsid w:val="00F93BF5"/>
    <w:rsid w:val="00F95B43"/>
    <w:rsid w:val="00FA1A5D"/>
    <w:rsid w:val="00FA3245"/>
    <w:rsid w:val="00FA41B6"/>
    <w:rsid w:val="00FA4FA0"/>
    <w:rsid w:val="00FA5211"/>
    <w:rsid w:val="00FB2926"/>
    <w:rsid w:val="00FC2082"/>
    <w:rsid w:val="00FC2E73"/>
    <w:rsid w:val="00FC540B"/>
    <w:rsid w:val="00FC6B6B"/>
    <w:rsid w:val="00FC7048"/>
    <w:rsid w:val="00FD2060"/>
    <w:rsid w:val="00FD37B0"/>
    <w:rsid w:val="00FE604C"/>
    <w:rsid w:val="00FE644E"/>
    <w:rsid w:val="00FE7BFB"/>
    <w:rsid w:val="00FF14F7"/>
    <w:rsid w:val="00FF524D"/>
    <w:rsid w:val="00FF5864"/>
    <w:rsid w:val="00FF616D"/>
    <w:rsid w:val="00FF7093"/>
    <w:rsid w:val="00FF754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7B877E50"/>
  <w15:chartTrackingRefBased/>
  <w15:docId w15:val="{E19982D7-833C-4A46-83D0-667C6939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C59C2"/>
    <w:pPr>
      <w:widowControl w:val="0"/>
    </w:pPr>
    <w:rPr>
      <w:snapToGrid w:val="0"/>
      <w:kern w:val="28"/>
      <w:sz w:val="22"/>
    </w:rPr>
  </w:style>
  <w:style w:type="paragraph" w:styleId="Heading1">
    <w:name w:val="heading 1"/>
    <w:basedOn w:val="Normal"/>
    <w:next w:val="ParaNum"/>
    <w:qFormat/>
    <w:rsid w:val="002C59C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C59C2"/>
    <w:pPr>
      <w:keepNext/>
      <w:numPr>
        <w:ilvl w:val="1"/>
        <w:numId w:val="3"/>
      </w:numPr>
      <w:spacing w:after="120"/>
      <w:outlineLvl w:val="1"/>
    </w:pPr>
    <w:rPr>
      <w:b/>
    </w:rPr>
  </w:style>
  <w:style w:type="paragraph" w:styleId="Heading3">
    <w:name w:val="heading 3"/>
    <w:basedOn w:val="Normal"/>
    <w:next w:val="ParaNum"/>
    <w:qFormat/>
    <w:rsid w:val="002C59C2"/>
    <w:pPr>
      <w:keepNext/>
      <w:numPr>
        <w:ilvl w:val="2"/>
        <w:numId w:val="3"/>
      </w:numPr>
      <w:tabs>
        <w:tab w:val="left" w:pos="2160"/>
      </w:tabs>
      <w:spacing w:after="120"/>
      <w:outlineLvl w:val="2"/>
    </w:pPr>
    <w:rPr>
      <w:b/>
    </w:rPr>
  </w:style>
  <w:style w:type="paragraph" w:styleId="Heading4">
    <w:name w:val="heading 4"/>
    <w:basedOn w:val="Normal"/>
    <w:next w:val="ParaNum"/>
    <w:qFormat/>
    <w:rsid w:val="002C59C2"/>
    <w:pPr>
      <w:keepNext/>
      <w:numPr>
        <w:ilvl w:val="3"/>
        <w:numId w:val="3"/>
      </w:numPr>
      <w:tabs>
        <w:tab w:val="left" w:pos="2880"/>
      </w:tabs>
      <w:spacing w:after="120"/>
      <w:outlineLvl w:val="3"/>
    </w:pPr>
    <w:rPr>
      <w:b/>
    </w:rPr>
  </w:style>
  <w:style w:type="paragraph" w:styleId="Heading5">
    <w:name w:val="heading 5"/>
    <w:basedOn w:val="Normal"/>
    <w:next w:val="ParaNum"/>
    <w:qFormat/>
    <w:rsid w:val="002C59C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C59C2"/>
    <w:pPr>
      <w:numPr>
        <w:ilvl w:val="5"/>
        <w:numId w:val="3"/>
      </w:numPr>
      <w:tabs>
        <w:tab w:val="left" w:pos="4320"/>
      </w:tabs>
      <w:spacing w:after="120"/>
      <w:outlineLvl w:val="5"/>
    </w:pPr>
    <w:rPr>
      <w:b/>
    </w:rPr>
  </w:style>
  <w:style w:type="paragraph" w:styleId="Heading7">
    <w:name w:val="heading 7"/>
    <w:basedOn w:val="Normal"/>
    <w:next w:val="ParaNum"/>
    <w:qFormat/>
    <w:rsid w:val="002C59C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C59C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C59C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C59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59C2"/>
  </w:style>
  <w:style w:type="paragraph" w:customStyle="1" w:styleId="ParaNum">
    <w:name w:val="ParaNum"/>
    <w:basedOn w:val="Normal"/>
    <w:link w:val="ParaNumChar"/>
    <w:rsid w:val="002C59C2"/>
    <w:pPr>
      <w:numPr>
        <w:numId w:val="2"/>
      </w:numPr>
      <w:tabs>
        <w:tab w:val="clear" w:pos="1080"/>
        <w:tab w:val="num" w:pos="1440"/>
      </w:tabs>
      <w:spacing w:after="120"/>
    </w:pPr>
  </w:style>
  <w:style w:type="paragraph" w:styleId="EndnoteText">
    <w:name w:val="endnote text"/>
    <w:basedOn w:val="Normal"/>
    <w:semiHidden/>
    <w:rsid w:val="002C59C2"/>
    <w:rPr>
      <w:sz w:val="20"/>
    </w:rPr>
  </w:style>
  <w:style w:type="character" w:styleId="EndnoteReference">
    <w:name w:val="endnote reference"/>
    <w:semiHidden/>
    <w:rsid w:val="002C59C2"/>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2C59C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C59C2"/>
    <w:rPr>
      <w:rFonts w:ascii="Times New Roman" w:hAnsi="Times New Roman"/>
      <w:dstrike w:val="0"/>
      <w:color w:val="auto"/>
      <w:sz w:val="20"/>
      <w:vertAlign w:val="superscript"/>
    </w:rPr>
  </w:style>
  <w:style w:type="paragraph" w:styleId="TOC1">
    <w:name w:val="toc 1"/>
    <w:basedOn w:val="Normal"/>
    <w:next w:val="Normal"/>
    <w:semiHidden/>
    <w:rsid w:val="002C59C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C59C2"/>
    <w:pPr>
      <w:tabs>
        <w:tab w:val="left" w:pos="720"/>
        <w:tab w:val="right" w:leader="dot" w:pos="9360"/>
      </w:tabs>
      <w:suppressAutoHyphens/>
      <w:ind w:left="720" w:right="720" w:hanging="360"/>
    </w:pPr>
    <w:rPr>
      <w:noProof/>
    </w:rPr>
  </w:style>
  <w:style w:type="paragraph" w:styleId="TOC3">
    <w:name w:val="toc 3"/>
    <w:basedOn w:val="Normal"/>
    <w:next w:val="Normal"/>
    <w:semiHidden/>
    <w:rsid w:val="002C59C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C59C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C59C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C59C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C59C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C59C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C59C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C59C2"/>
    <w:pPr>
      <w:tabs>
        <w:tab w:val="right" w:pos="9360"/>
      </w:tabs>
      <w:suppressAutoHyphens/>
    </w:pPr>
  </w:style>
  <w:style w:type="character" w:customStyle="1" w:styleId="EquationCaption">
    <w:name w:val="_Equation Caption"/>
    <w:rsid w:val="002C59C2"/>
  </w:style>
  <w:style w:type="paragraph" w:styleId="Header">
    <w:name w:val="header"/>
    <w:basedOn w:val="Normal"/>
    <w:autoRedefine/>
    <w:rsid w:val="002C59C2"/>
    <w:pPr>
      <w:tabs>
        <w:tab w:val="center" w:pos="4680"/>
        <w:tab w:val="right" w:pos="9360"/>
      </w:tabs>
    </w:pPr>
    <w:rPr>
      <w:b/>
    </w:rPr>
  </w:style>
  <w:style w:type="paragraph" w:styleId="Footer">
    <w:name w:val="footer"/>
    <w:basedOn w:val="Normal"/>
    <w:link w:val="FooterChar"/>
    <w:uiPriority w:val="99"/>
    <w:rsid w:val="002C59C2"/>
    <w:pPr>
      <w:tabs>
        <w:tab w:val="center" w:pos="4320"/>
        <w:tab w:val="right" w:pos="8640"/>
      </w:tabs>
    </w:pPr>
  </w:style>
  <w:style w:type="character" w:styleId="PageNumber">
    <w:name w:val="page number"/>
    <w:basedOn w:val="DefaultParagraphFont"/>
    <w:rsid w:val="002C59C2"/>
  </w:style>
  <w:style w:type="paragraph" w:styleId="BlockText">
    <w:name w:val="Block Text"/>
    <w:basedOn w:val="Normal"/>
    <w:rsid w:val="002C59C2"/>
    <w:pPr>
      <w:spacing w:after="240"/>
      <w:ind w:left="1440" w:right="1440"/>
    </w:pPr>
  </w:style>
  <w:style w:type="paragraph" w:customStyle="1" w:styleId="Paratitle">
    <w:name w:val="Para title"/>
    <w:basedOn w:val="Normal"/>
    <w:rsid w:val="002C59C2"/>
    <w:pPr>
      <w:tabs>
        <w:tab w:val="center" w:pos="9270"/>
      </w:tabs>
      <w:spacing w:after="240"/>
    </w:pPr>
    <w:rPr>
      <w:spacing w:val="-2"/>
    </w:rPr>
  </w:style>
  <w:style w:type="paragraph" w:customStyle="1" w:styleId="Bullet">
    <w:name w:val="Bullet"/>
    <w:basedOn w:val="Normal"/>
    <w:rsid w:val="002C59C2"/>
    <w:pPr>
      <w:tabs>
        <w:tab w:val="left" w:pos="2160"/>
      </w:tabs>
      <w:spacing w:after="220"/>
      <w:ind w:left="2160" w:hanging="720"/>
    </w:pPr>
  </w:style>
  <w:style w:type="paragraph" w:customStyle="1" w:styleId="TableFormat">
    <w:name w:val="TableFormat"/>
    <w:basedOn w:val="Bullet"/>
    <w:rsid w:val="002C59C2"/>
    <w:pPr>
      <w:tabs>
        <w:tab w:val="clear" w:pos="2160"/>
        <w:tab w:val="left" w:pos="5040"/>
      </w:tabs>
      <w:ind w:left="5040" w:hanging="3600"/>
    </w:pPr>
  </w:style>
  <w:style w:type="paragraph" w:customStyle="1" w:styleId="TOCTitle">
    <w:name w:val="TOC Title"/>
    <w:basedOn w:val="Normal"/>
    <w:rsid w:val="002C59C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59C2"/>
    <w:pPr>
      <w:jc w:val="center"/>
    </w:pPr>
    <w:rPr>
      <w:rFonts w:ascii="Times New Roman Bold" w:hAnsi="Times New Roman Bold"/>
      <w:b/>
      <w:bCs/>
      <w:caps/>
      <w:szCs w:val="22"/>
    </w:rPr>
  </w:style>
  <w:style w:type="character" w:styleId="Hyperlink">
    <w:name w:val="Hyperlink"/>
    <w:rsid w:val="002C59C2"/>
    <w:rPr>
      <w:color w:val="0000FF"/>
      <w:u w:val="single"/>
    </w:rPr>
  </w:style>
  <w:style w:type="character" w:customStyle="1" w:styleId="FooterChar">
    <w:name w:val="Footer Char"/>
    <w:link w:val="Footer"/>
    <w:uiPriority w:val="99"/>
    <w:rsid w:val="002C59C2"/>
    <w:rPr>
      <w:snapToGrid w:val="0"/>
      <w:kern w:val="28"/>
      <w:sz w:val="22"/>
    </w:rPr>
  </w:style>
  <w:style w:type="character" w:styleId="CommentReference">
    <w:name w:val="annotation reference"/>
    <w:basedOn w:val="DefaultParagraphFont"/>
    <w:rsid w:val="00FB2926"/>
    <w:rPr>
      <w:sz w:val="16"/>
      <w:szCs w:val="16"/>
    </w:rPr>
  </w:style>
  <w:style w:type="paragraph" w:styleId="CommentText">
    <w:name w:val="annotation text"/>
    <w:basedOn w:val="Normal"/>
    <w:link w:val="CommentTextChar"/>
    <w:rsid w:val="00FB2926"/>
    <w:rPr>
      <w:sz w:val="20"/>
    </w:rPr>
  </w:style>
  <w:style w:type="character" w:customStyle="1" w:styleId="CommentTextChar">
    <w:name w:val="Comment Text Char"/>
    <w:basedOn w:val="DefaultParagraphFont"/>
    <w:link w:val="CommentText"/>
    <w:rsid w:val="00FB2926"/>
    <w:rPr>
      <w:snapToGrid w:val="0"/>
      <w:kern w:val="28"/>
    </w:rPr>
  </w:style>
  <w:style w:type="paragraph" w:styleId="CommentSubject">
    <w:name w:val="annotation subject"/>
    <w:basedOn w:val="CommentText"/>
    <w:next w:val="CommentText"/>
    <w:link w:val="CommentSubjectChar"/>
    <w:rsid w:val="00FB2926"/>
    <w:rPr>
      <w:b/>
      <w:bCs/>
    </w:rPr>
  </w:style>
  <w:style w:type="character" w:customStyle="1" w:styleId="CommentSubjectChar">
    <w:name w:val="Comment Subject Char"/>
    <w:basedOn w:val="CommentTextChar"/>
    <w:link w:val="CommentSubject"/>
    <w:rsid w:val="00FB2926"/>
    <w:rPr>
      <w:b/>
      <w:bCs/>
      <w:snapToGrid w:val="0"/>
      <w:kern w:val="28"/>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082CD9"/>
  </w:style>
  <w:style w:type="paragraph" w:styleId="ListParagraph">
    <w:name w:val="List Paragraph"/>
    <w:basedOn w:val="Normal"/>
    <w:uiPriority w:val="34"/>
    <w:qFormat/>
    <w:rsid w:val="000C5EA0"/>
    <w:pPr>
      <w:ind w:left="720"/>
      <w:contextualSpacing/>
    </w:pPr>
  </w:style>
  <w:style w:type="character" w:customStyle="1" w:styleId="FootnoteTextCharChar1">
    <w:name w:val="Footnote Text Char Char1"/>
    <w:aliases w:val="Footnote Text Char Char1 Char Char,Footnote Text Char Char1 Char Char Char Char,Footnote Text Char1 Char1 Char Char Char Char Char,Footnote Text Char2 Char2 Char,Footnote Text Char2 Char2 Char Char Char,fn Char Char"/>
    <w:rsid w:val="004E45E4"/>
    <w:rPr>
      <w:lang w:val="en-US" w:eastAsia="en-US"/>
    </w:rPr>
  </w:style>
  <w:style w:type="character" w:customStyle="1" w:styleId="ParaNumChar">
    <w:name w:val="ParaNum Char"/>
    <w:link w:val="ParaNum"/>
    <w:rsid w:val="00C87ECC"/>
    <w:rPr>
      <w:snapToGrid w:val="0"/>
      <w:kern w:val="28"/>
      <w:sz w:val="22"/>
    </w:rPr>
  </w:style>
  <w:style w:type="paragraph" w:styleId="Revision">
    <w:name w:val="Revision"/>
    <w:hidden/>
    <w:uiPriority w:val="99"/>
    <w:semiHidden/>
    <w:rsid w:val="006660C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