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E43DD7" w14:paraId="06D97D85" w14:textId="77777777">
      <w:pPr>
        <w:jc w:val="center"/>
        <w:rPr>
          <w:b/>
        </w:rPr>
      </w:pPr>
      <w:r w:rsidRPr="0070224F">
        <w:rPr>
          <w:rFonts w:ascii="Times New Roman Bold" w:hAnsi="Times New Roman Bold"/>
          <w:b/>
          <w:kern w:val="0"/>
          <w:szCs w:val="22"/>
        </w:rPr>
        <w:t>Before</w:t>
      </w:r>
      <w:r>
        <w:rPr>
          <w:b/>
        </w:rPr>
        <w:t xml:space="preserve"> the</w:t>
      </w:r>
    </w:p>
    <w:p w:rsidR="00921803" w:rsidP="00E43DD7" w14:paraId="60B104B9" w14:textId="77777777">
      <w:pPr>
        <w:pStyle w:val="StyleBoldCentered"/>
      </w:pPr>
      <w:r>
        <w:t>F</w:t>
      </w:r>
      <w:r>
        <w:rPr>
          <w:caps w:val="0"/>
        </w:rPr>
        <w:t>ederal Communications Commission</w:t>
      </w:r>
    </w:p>
    <w:p w:rsidR="004C2EE3" w:rsidP="00E43DD7" w14:paraId="020F09E6" w14:textId="77777777">
      <w:pPr>
        <w:pStyle w:val="StyleBoldCentered"/>
      </w:pPr>
      <w:r>
        <w:rPr>
          <w:caps w:val="0"/>
        </w:rPr>
        <w:t>Washington, D.C. 20554</w:t>
      </w:r>
    </w:p>
    <w:p w:rsidR="004C2EE3" w:rsidP="00E43DD7" w14:paraId="15FB641F" w14:textId="77777777"/>
    <w:p w:rsidR="004C2EE3" w:rsidP="00E43DD7" w14:paraId="683CA924" w14:textId="77777777"/>
    <w:tbl>
      <w:tblPr>
        <w:tblW w:w="0" w:type="auto"/>
        <w:tblLayout w:type="fixed"/>
        <w:tblLook w:val="0000"/>
      </w:tblPr>
      <w:tblGrid>
        <w:gridCol w:w="4698"/>
        <w:gridCol w:w="630"/>
        <w:gridCol w:w="4248"/>
      </w:tblGrid>
      <w:tr w14:paraId="54366FAE" w14:textId="77777777">
        <w:tblPrEx>
          <w:tblW w:w="0" w:type="auto"/>
          <w:tblLayout w:type="fixed"/>
          <w:tblLook w:val="0000"/>
        </w:tblPrEx>
        <w:tc>
          <w:tcPr>
            <w:tcW w:w="4698" w:type="dxa"/>
          </w:tcPr>
          <w:p w:rsidR="004C2EE3" w:rsidP="00E43DD7" w14:paraId="7A31BD8A" w14:textId="77777777">
            <w:pPr>
              <w:tabs>
                <w:tab w:val="center" w:pos="4680"/>
              </w:tabs>
              <w:rPr>
                <w:spacing w:val="-2"/>
              </w:rPr>
            </w:pPr>
            <w:r>
              <w:rPr>
                <w:spacing w:val="-2"/>
              </w:rPr>
              <w:t>In the Matter of</w:t>
            </w:r>
          </w:p>
          <w:p w:rsidR="004C2EE3" w:rsidP="00E43DD7" w14:paraId="614153D0" w14:textId="77777777">
            <w:pPr>
              <w:tabs>
                <w:tab w:val="center" w:pos="4680"/>
              </w:tabs>
              <w:rPr>
                <w:spacing w:val="-2"/>
              </w:rPr>
            </w:pPr>
          </w:p>
          <w:p w:rsidR="00D32778" w:rsidRPr="00D32778" w:rsidP="00E43DD7" w14:paraId="4DF84B59" w14:textId="77777777">
            <w:pPr>
              <w:tabs>
                <w:tab w:val="center" w:pos="4680"/>
              </w:tabs>
              <w:rPr>
                <w:spacing w:val="-2"/>
              </w:rPr>
            </w:pPr>
            <w:r w:rsidRPr="00D32778">
              <w:rPr>
                <w:spacing w:val="-2"/>
              </w:rPr>
              <w:t>EICB-TV EAST, LLC</w:t>
            </w:r>
          </w:p>
          <w:p w:rsidR="00D32778" w:rsidRPr="00D32778" w:rsidP="00E43DD7" w14:paraId="496F7158" w14:textId="77777777">
            <w:pPr>
              <w:tabs>
                <w:tab w:val="center" w:pos="4680"/>
              </w:tabs>
              <w:rPr>
                <w:spacing w:val="-2"/>
              </w:rPr>
            </w:pPr>
          </w:p>
          <w:p w:rsidR="00D32778" w:rsidRPr="00D32778" w:rsidP="00E43DD7" w14:paraId="535C18E8" w14:textId="77777777">
            <w:pPr>
              <w:tabs>
                <w:tab w:val="center" w:pos="4680"/>
              </w:tabs>
              <w:rPr>
                <w:spacing w:val="-2"/>
              </w:rPr>
            </w:pPr>
            <w:r w:rsidRPr="00D32778">
              <w:rPr>
                <w:spacing w:val="-2"/>
              </w:rPr>
              <w:t>For License to Cover</w:t>
            </w:r>
          </w:p>
          <w:p w:rsidR="00D32778" w:rsidRPr="00D32778" w:rsidP="00E43DD7" w14:paraId="0F345141" w14:textId="77777777">
            <w:pPr>
              <w:tabs>
                <w:tab w:val="center" w:pos="4680"/>
              </w:tabs>
              <w:rPr>
                <w:spacing w:val="-2"/>
              </w:rPr>
            </w:pPr>
            <w:r w:rsidRPr="00D32778">
              <w:rPr>
                <w:spacing w:val="-2"/>
              </w:rPr>
              <w:t>Low Power Television Station K23NB-D</w:t>
            </w:r>
          </w:p>
          <w:p w:rsidR="004C2EE3" w:rsidRPr="007115F7" w:rsidP="00E43DD7" w14:paraId="223935FF" w14:textId="651DDD56">
            <w:pPr>
              <w:tabs>
                <w:tab w:val="center" w:pos="4680"/>
              </w:tabs>
              <w:rPr>
                <w:spacing w:val="-2"/>
              </w:rPr>
            </w:pPr>
            <w:r w:rsidRPr="00D32778">
              <w:rPr>
                <w:spacing w:val="-2"/>
              </w:rPr>
              <w:t>Boise, Idaho</w:t>
            </w:r>
          </w:p>
        </w:tc>
        <w:tc>
          <w:tcPr>
            <w:tcW w:w="630" w:type="dxa"/>
          </w:tcPr>
          <w:p w:rsidR="004C2EE3" w:rsidP="00E43DD7" w14:paraId="07D92C8A" w14:textId="77777777">
            <w:pPr>
              <w:tabs>
                <w:tab w:val="center" w:pos="4680"/>
              </w:tabs>
              <w:rPr>
                <w:b/>
                <w:spacing w:val="-2"/>
              </w:rPr>
            </w:pPr>
            <w:r>
              <w:rPr>
                <w:b/>
                <w:spacing w:val="-2"/>
              </w:rPr>
              <w:t>)</w:t>
            </w:r>
          </w:p>
          <w:p w:rsidR="004C2EE3" w:rsidP="00E43DD7" w14:paraId="318E66C0" w14:textId="77777777">
            <w:pPr>
              <w:tabs>
                <w:tab w:val="center" w:pos="4680"/>
              </w:tabs>
              <w:rPr>
                <w:b/>
                <w:spacing w:val="-2"/>
              </w:rPr>
            </w:pPr>
            <w:r>
              <w:rPr>
                <w:b/>
                <w:spacing w:val="-2"/>
              </w:rPr>
              <w:t>)</w:t>
            </w:r>
          </w:p>
          <w:p w:rsidR="004C2EE3" w:rsidP="00E43DD7" w14:paraId="3F08AB91" w14:textId="77777777">
            <w:pPr>
              <w:tabs>
                <w:tab w:val="center" w:pos="4680"/>
              </w:tabs>
              <w:rPr>
                <w:b/>
                <w:spacing w:val="-2"/>
              </w:rPr>
            </w:pPr>
            <w:r>
              <w:rPr>
                <w:b/>
                <w:spacing w:val="-2"/>
              </w:rPr>
              <w:t>)</w:t>
            </w:r>
          </w:p>
          <w:p w:rsidR="004C2EE3" w:rsidP="00E43DD7" w14:paraId="4AAAAF05" w14:textId="77777777">
            <w:pPr>
              <w:tabs>
                <w:tab w:val="center" w:pos="4680"/>
              </w:tabs>
              <w:rPr>
                <w:b/>
                <w:spacing w:val="-2"/>
              </w:rPr>
            </w:pPr>
            <w:r>
              <w:rPr>
                <w:b/>
                <w:spacing w:val="-2"/>
              </w:rPr>
              <w:t>)</w:t>
            </w:r>
          </w:p>
          <w:p w:rsidR="004C2EE3" w:rsidP="00E43DD7" w14:paraId="11092863" w14:textId="77777777">
            <w:pPr>
              <w:tabs>
                <w:tab w:val="center" w:pos="4680"/>
              </w:tabs>
              <w:rPr>
                <w:b/>
                <w:spacing w:val="-2"/>
              </w:rPr>
            </w:pPr>
            <w:r>
              <w:rPr>
                <w:b/>
                <w:spacing w:val="-2"/>
              </w:rPr>
              <w:t>)</w:t>
            </w:r>
          </w:p>
          <w:p w:rsidR="004C2EE3" w:rsidP="00E43DD7" w14:paraId="275F2214" w14:textId="77777777">
            <w:pPr>
              <w:tabs>
                <w:tab w:val="center" w:pos="4680"/>
              </w:tabs>
              <w:rPr>
                <w:b/>
                <w:spacing w:val="-2"/>
              </w:rPr>
            </w:pPr>
            <w:r>
              <w:rPr>
                <w:b/>
                <w:spacing w:val="-2"/>
              </w:rPr>
              <w:t>)</w:t>
            </w:r>
          </w:p>
          <w:p w:rsidR="004C2EE3" w:rsidRPr="00D32778" w:rsidP="00E43DD7" w14:paraId="68F967D2" w14:textId="662976C8">
            <w:pPr>
              <w:tabs>
                <w:tab w:val="center" w:pos="4680"/>
              </w:tabs>
              <w:rPr>
                <w:b/>
                <w:spacing w:val="-2"/>
              </w:rPr>
            </w:pPr>
            <w:r>
              <w:rPr>
                <w:b/>
                <w:spacing w:val="-2"/>
              </w:rPr>
              <w:t>)</w:t>
            </w:r>
          </w:p>
        </w:tc>
        <w:tc>
          <w:tcPr>
            <w:tcW w:w="4248" w:type="dxa"/>
          </w:tcPr>
          <w:p w:rsidR="004C2EE3" w:rsidP="00E43DD7" w14:paraId="4310C6DE" w14:textId="77777777">
            <w:pPr>
              <w:tabs>
                <w:tab w:val="center" w:pos="4680"/>
              </w:tabs>
              <w:rPr>
                <w:spacing w:val="-2"/>
              </w:rPr>
            </w:pPr>
          </w:p>
          <w:p w:rsidR="004C2EE3" w:rsidP="00E43DD7" w14:paraId="75AA1BD8" w14:textId="77777777">
            <w:pPr>
              <w:pStyle w:val="TOAHeading"/>
              <w:tabs>
                <w:tab w:val="center" w:pos="4680"/>
                <w:tab w:val="clear" w:pos="9360"/>
              </w:tabs>
              <w:suppressAutoHyphens w:val="0"/>
              <w:rPr>
                <w:spacing w:val="-2"/>
              </w:rPr>
            </w:pPr>
          </w:p>
          <w:p w:rsidR="00D32778" w:rsidRPr="00D32778" w:rsidP="00E43DD7" w14:paraId="48850A6C" w14:textId="77777777">
            <w:pPr>
              <w:pStyle w:val="TOAHeading"/>
              <w:tabs>
                <w:tab w:val="center" w:pos="4680"/>
              </w:tabs>
              <w:suppressAutoHyphens w:val="0"/>
              <w:rPr>
                <w:spacing w:val="-2"/>
              </w:rPr>
            </w:pPr>
            <w:r w:rsidRPr="00D32778">
              <w:rPr>
                <w:spacing w:val="-2"/>
              </w:rPr>
              <w:t>Facility ID No. 181975</w:t>
            </w:r>
          </w:p>
          <w:p w:rsidR="00D32778" w:rsidRPr="00D32778" w:rsidP="00E43DD7" w14:paraId="32EDB21E" w14:textId="77777777">
            <w:pPr>
              <w:pStyle w:val="TOAHeading"/>
              <w:tabs>
                <w:tab w:val="center" w:pos="4680"/>
              </w:tabs>
              <w:suppressAutoHyphens w:val="0"/>
              <w:rPr>
                <w:spacing w:val="-2"/>
              </w:rPr>
            </w:pPr>
            <w:r w:rsidRPr="00D32778">
              <w:rPr>
                <w:spacing w:val="-2"/>
              </w:rPr>
              <w:t>NAL/Acct. No. 202241420001</w:t>
            </w:r>
          </w:p>
          <w:p w:rsidR="00D32778" w:rsidRPr="00D32778" w:rsidP="00E43DD7" w14:paraId="63D6FD6A" w14:textId="77777777">
            <w:pPr>
              <w:pStyle w:val="TOAHeading"/>
              <w:tabs>
                <w:tab w:val="center" w:pos="4680"/>
              </w:tabs>
              <w:suppressAutoHyphens w:val="0"/>
              <w:rPr>
                <w:spacing w:val="-2"/>
              </w:rPr>
            </w:pPr>
            <w:r w:rsidRPr="00D32778">
              <w:rPr>
                <w:spacing w:val="-2"/>
              </w:rPr>
              <w:t>FRN: 0015723455</w:t>
            </w:r>
          </w:p>
          <w:p w:rsidR="004C2EE3" w:rsidP="00E43DD7" w14:paraId="19FB2E93" w14:textId="49C4C784">
            <w:pPr>
              <w:tabs>
                <w:tab w:val="center" w:pos="4680"/>
              </w:tabs>
              <w:rPr>
                <w:spacing w:val="-2"/>
              </w:rPr>
            </w:pPr>
            <w:r w:rsidRPr="00D32778">
              <w:rPr>
                <w:spacing w:val="-2"/>
              </w:rPr>
              <w:t>File No. 0000181649</w:t>
            </w:r>
          </w:p>
        </w:tc>
      </w:tr>
    </w:tbl>
    <w:p w:rsidR="004C2EE3" w:rsidP="00E43DD7" w14:paraId="47673B7B" w14:textId="77777777"/>
    <w:p w:rsidR="00D32778" w:rsidP="00E43DD7" w14:paraId="746B555A" w14:textId="77777777">
      <w:pPr>
        <w:pStyle w:val="StyleBoldCentered"/>
      </w:pPr>
      <w:r>
        <w:t>MEMORANDUM OPINION AND ORDER</w:t>
      </w:r>
    </w:p>
    <w:p w:rsidR="00D32778" w:rsidP="00E43DD7" w14:paraId="54B657D4" w14:textId="77777777">
      <w:pPr>
        <w:pStyle w:val="StyleBoldCentered"/>
      </w:pPr>
      <w:r>
        <w:t>AND</w:t>
      </w:r>
    </w:p>
    <w:p w:rsidR="00841AB1" w:rsidP="00E43DD7" w14:paraId="5E61AC48" w14:textId="72543CD9">
      <w:pPr>
        <w:pStyle w:val="StyleBoldCentered"/>
      </w:pPr>
      <w:r>
        <w:t>NOTICE OF APPARENT LIABILITY FOR FORFEITURE</w:t>
      </w:r>
    </w:p>
    <w:p w:rsidR="004C2EE3" w:rsidP="00E43DD7" w14:paraId="641B34C0" w14:textId="77777777">
      <w:pPr>
        <w:tabs>
          <w:tab w:val="left" w:pos="-720"/>
        </w:tabs>
        <w:spacing w:line="227" w:lineRule="auto"/>
        <w:rPr>
          <w:spacing w:val="-2"/>
        </w:rPr>
      </w:pPr>
    </w:p>
    <w:p w:rsidR="004C2EE3" w:rsidP="00E43DD7" w14:paraId="02C3877D" w14:textId="205AF0C6">
      <w:pPr>
        <w:tabs>
          <w:tab w:val="left" w:pos="720"/>
          <w:tab w:val="right" w:pos="9360"/>
        </w:tabs>
        <w:spacing w:line="227" w:lineRule="auto"/>
        <w:rPr>
          <w:spacing w:val="-2"/>
        </w:rPr>
      </w:pPr>
      <w:r>
        <w:rPr>
          <w:b/>
          <w:spacing w:val="-2"/>
        </w:rPr>
        <w:t xml:space="preserve">Adopted:  </w:t>
      </w:r>
      <w:r w:rsidR="00D32778">
        <w:rPr>
          <w:b/>
          <w:spacing w:val="-2"/>
        </w:rPr>
        <w:t>February 18,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32778">
        <w:rPr>
          <w:b/>
          <w:spacing w:val="-2"/>
        </w:rPr>
        <w:t>February 22, 2022</w:t>
      </w:r>
    </w:p>
    <w:p w:rsidR="00822CE0" w:rsidP="00E43DD7" w14:paraId="223182CE" w14:textId="77777777"/>
    <w:p w:rsidR="004C2EE3" w:rsidP="00E43DD7" w14:paraId="6073DBBF" w14:textId="1A6ADF35">
      <w:pPr>
        <w:rPr>
          <w:spacing w:val="-2"/>
        </w:rPr>
      </w:pPr>
      <w:r>
        <w:t xml:space="preserve">By </w:t>
      </w:r>
      <w:r w:rsidR="004E4A22">
        <w:t>the</w:t>
      </w:r>
      <w:r w:rsidR="002A2D2E">
        <w:t xml:space="preserve"> </w:t>
      </w:r>
      <w:r w:rsidR="00D32778">
        <w:rPr>
          <w:spacing w:val="-2"/>
        </w:rPr>
        <w:t>Chief, Video Division, Media Bureau</w:t>
      </w:r>
      <w:r>
        <w:rPr>
          <w:spacing w:val="-2"/>
        </w:rPr>
        <w:t>:</w:t>
      </w:r>
    </w:p>
    <w:p w:rsidR="00822CE0" w:rsidP="00E43DD7" w14:paraId="57C22718" w14:textId="77777777">
      <w:pPr>
        <w:rPr>
          <w:spacing w:val="-2"/>
        </w:rPr>
      </w:pPr>
    </w:p>
    <w:p w:rsidR="00D32778" w:rsidRPr="00146D8A" w:rsidP="00E43DD7" w14:paraId="6F788501" w14:textId="77777777">
      <w:pPr>
        <w:pStyle w:val="Heading1"/>
        <w:keepNext w:val="0"/>
        <w:suppressAutoHyphens w:val="0"/>
      </w:pPr>
      <w:r w:rsidRPr="00146D8A">
        <w:t>INTRODUCTION</w:t>
      </w:r>
    </w:p>
    <w:p w:rsidR="00D32778" w:rsidRPr="009377D8" w:rsidP="00E43DD7" w14:paraId="7D9363A2" w14:textId="77777777">
      <w:pPr>
        <w:pStyle w:val="ParaNum"/>
        <w:rPr>
          <w:szCs w:val="22"/>
        </w:rPr>
      </w:pPr>
      <w:r>
        <w:t xml:space="preserve">The Media Bureau (Bureau) has before it the above-captioned application (Application) of </w:t>
      </w:r>
      <w:bookmarkStart w:id="0" w:name="_Hlk94684400"/>
      <w:bookmarkStart w:id="1" w:name="_Hlk89869077"/>
      <w:r>
        <w:t xml:space="preserve">EICB-TV East, LLC </w:t>
      </w:r>
      <w:bookmarkEnd w:id="0"/>
      <w:r>
        <w:t>(</w:t>
      </w:r>
      <w:bookmarkEnd w:id="1"/>
      <w:r>
        <w:t>Permittee</w:t>
      </w:r>
      <w:r w:rsidRPr="00DB10EE">
        <w:t>)</w:t>
      </w:r>
      <w:r>
        <w:t>,</w:t>
      </w:r>
      <w:r w:rsidRPr="00DB10EE">
        <w:t xml:space="preserve"> for </w:t>
      </w:r>
      <w:r>
        <w:t>a license to cover</w:t>
      </w:r>
      <w:r w:rsidRPr="00DB10EE">
        <w:t xml:space="preserve"> </w:t>
      </w:r>
      <w:r>
        <w:t>low power television</w:t>
      </w:r>
      <w:r w:rsidRPr="00DB10EE">
        <w:t xml:space="preserve"> </w:t>
      </w:r>
      <w:r>
        <w:t xml:space="preserve">(LPTV) </w:t>
      </w:r>
      <w:r w:rsidRPr="00DB10EE">
        <w:t xml:space="preserve">station </w:t>
      </w:r>
      <w:r>
        <w:t>K23NB-D, Boise, Idaho</w:t>
      </w:r>
      <w:r w:rsidRPr="00DB10EE">
        <w:t xml:space="preserve"> (</w:t>
      </w:r>
      <w:r>
        <w:t>K23NB-D or Station</w:t>
      </w:r>
      <w:r w:rsidRPr="00DB10EE">
        <w:t xml:space="preserve">).  </w:t>
      </w:r>
      <w:r w:rsidRPr="00947B4D">
        <w:t xml:space="preserve">In this </w:t>
      </w:r>
      <w:r w:rsidRPr="00434675">
        <w:rPr>
          <w:i/>
          <w:iCs/>
          <w:szCs w:val="22"/>
        </w:rPr>
        <w:t>Memorandum Opinion and Order and Notice of Apparent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t>we find that the Permittee apparently willfully violated section 74.788</w:t>
      </w:r>
      <w:r>
        <w:rPr>
          <w:rStyle w:val="FootnoteReference"/>
          <w:color w:val="000000"/>
        </w:rPr>
        <w:footnoteReference w:id="4"/>
      </w:r>
      <w:r>
        <w:t xml:space="preserve"> of the Rules by failing to timely file a license to cover application, and willfully and repeatedly violated section 301 of the Act,</w:t>
      </w:r>
      <w:r>
        <w:rPr>
          <w:rStyle w:val="FootnoteReference"/>
          <w:color w:val="000000"/>
        </w:rPr>
        <w:footnoteReference w:id="5"/>
      </w:r>
      <w:r>
        <w:t xml:space="preserve"> by engaging in unauthorized operation of the Station after its construction permit had expired.  Based upon our review of the facts and circumstances before us, we conclude that the Permittee is apparently liable for a monetary forfeiture in the amount of three thousand five hundred dollars ($3,500)</w:t>
      </w:r>
      <w:r>
        <w:rPr>
          <w:szCs w:val="22"/>
        </w:rPr>
        <w:t>.</w:t>
      </w:r>
    </w:p>
    <w:p w:rsidR="00D32778" w:rsidRPr="00146D8A" w:rsidP="00E43DD7" w14:paraId="1A6229D3" w14:textId="77777777">
      <w:pPr>
        <w:pStyle w:val="Heading1"/>
        <w:keepNext w:val="0"/>
        <w:suppressAutoHyphens w:val="0"/>
      </w:pPr>
      <w:r w:rsidRPr="00947B4D">
        <w:t>BACKGROUN</w:t>
      </w:r>
      <w:r>
        <w:t>D</w:t>
      </w:r>
    </w:p>
    <w:p w:rsidR="00D32778" w:rsidP="00E43DD7" w14:paraId="42EB53C0" w14:textId="77777777">
      <w:pPr>
        <w:pStyle w:val="ParaNum"/>
        <w:widowControl/>
      </w:pPr>
      <w:r>
        <w:t>The Bureau issued Permittee a construction permit</w:t>
      </w:r>
      <w:r>
        <w:rPr>
          <w:rStyle w:val="FootnoteReference"/>
        </w:rPr>
        <w:footnoteReference w:id="6"/>
      </w:r>
      <w:r>
        <w:t xml:space="preserve"> for the LPTV station on May 3, 2017, with an expiration date of July 13, 2021.</w:t>
      </w:r>
      <w:r>
        <w:rPr>
          <w:snapToGrid/>
          <w:kern w:val="0"/>
          <w:szCs w:val="22"/>
          <w:vertAlign w:val="superscript"/>
        </w:rPr>
        <w:footnoteReference w:id="7"/>
      </w:r>
      <w:r w:rsidRPr="001F365E">
        <w:rPr>
          <w:snapToGrid/>
          <w:kern w:val="0"/>
          <w:szCs w:val="22"/>
        </w:rPr>
        <w:t xml:space="preserve">  </w:t>
      </w:r>
      <w:r>
        <w:t>However, Permittee did not file an application for license to cover by July 13, 2021, and the Permit expired on its own terms that day pursuant to section 74.788(b) of the Rules.</w:t>
      </w:r>
      <w:r>
        <w:rPr>
          <w:bCs/>
          <w:snapToGrid/>
          <w:kern w:val="0"/>
          <w:sz w:val="20"/>
          <w:vertAlign w:val="superscript"/>
        </w:rPr>
        <w:footnoteReference w:id="8"/>
      </w:r>
      <w:r>
        <w:t xml:space="preserve">  </w:t>
      </w:r>
      <w:bookmarkStart w:id="2" w:name="_Hlk80302111"/>
      <w:r>
        <w:t>Permittee filed the Application on January 26, 2022, more than six months after completing construction and after the Permit expired.</w:t>
      </w:r>
      <w:bookmarkEnd w:id="2"/>
    </w:p>
    <w:p w:rsidR="00D32778" w:rsidP="00E43DD7" w14:paraId="58F8CD42" w14:textId="77777777">
      <w:pPr>
        <w:pStyle w:val="ParaNum"/>
      </w:pPr>
      <w:r>
        <w:t>In the Application, Permittee includes</w:t>
      </w:r>
      <w:r w:rsidRPr="0074036A">
        <w:t xml:space="preserve"> a</w:t>
      </w:r>
      <w:r>
        <w:t xml:space="preserve"> request that its late-filed Application be accepted. and that it be allowed to continue to serve the public.  Permittee states that it completed construction of the digital facilities for the Station in accordance with its construction permit and submitted a license to cover on July 9, 2021.</w:t>
      </w:r>
      <w:r>
        <w:rPr>
          <w:rStyle w:val="FootnoteReference"/>
        </w:rPr>
        <w:footnoteReference w:id="9"/>
      </w:r>
      <w:r>
        <w:t xml:space="preserve">  At that point, Permittee represents that it commenced operation of the Station.  Permittee alleges that, due to an administrative oversight, it failed to pay the filing fee for the license application and on July 31, 2021 the application was dismissed.  Under Section 1.1118(a) of the Rules,</w:t>
      </w:r>
      <w:r>
        <w:rPr>
          <w:rStyle w:val="FootnoteReference"/>
        </w:rPr>
        <w:footnoteReference w:id="10"/>
      </w:r>
      <w:r>
        <w:t xml:space="preserve"> an application submitted with a defective fee submission shall be dismissed and may be corrected by resubmitting the application together with the correct fee.  Permittee states that it attempted to rectify this error through a new license application filed on November 1, 2021, but that application was dismissed because the construction permit had expired.  At the instruction of Video Division staff Permittee filed the Application currently before the Commission on January 26, 2022.  </w:t>
      </w:r>
    </w:p>
    <w:p w:rsidR="00D32778" w:rsidRPr="004254D2" w:rsidP="00E43DD7" w14:paraId="5BE73504" w14:textId="77777777">
      <w:pPr>
        <w:pStyle w:val="ParaNum"/>
        <w:rPr>
          <w:szCs w:val="22"/>
        </w:rPr>
      </w:pPr>
      <w:r>
        <w:t>Permittee requests waiver of the rules, reinstatement of the Station’s construction permit and grant of the Application.  Permittee argues that as evidenced by its originally filed license to cover application, the Station was constructed prior to the construction permit expiration date and that Commission has allowed such waivers and late-filed applications for license to cover applications in previous cases.</w:t>
      </w:r>
      <w:r>
        <w:rPr>
          <w:rStyle w:val="FootnoteReference"/>
        </w:rPr>
        <w:footnoteReference w:id="11"/>
      </w:r>
      <w:r>
        <w:t xml:space="preserve">  Permittee maintains that it takes seriously its obligations to comply with Commission rules and attempted to do so here.  Upon discovering that it had inadvertently failed to timely pay the filing fee, Permittee states that it immediately filed a new application and paid the fee.  Finally, Permittee argues that when taking into account the harms to the viewing public and inequities that would result from even a temporary loss of the Station’s signal due to an inadvertent and purely administrative failure to submit the filing fee for an application that was otherwise timely filed, it is clear that taking the action requested by the Permittee would be in the public interest.   </w:t>
      </w:r>
    </w:p>
    <w:p w:rsidR="00D32778" w:rsidRPr="00146D8A" w:rsidP="00E43DD7" w14:paraId="4FE9C4B3" w14:textId="77777777">
      <w:pPr>
        <w:pStyle w:val="Heading1"/>
        <w:keepNext w:val="0"/>
        <w:suppressAutoHyphens w:val="0"/>
        <w:rPr>
          <w:szCs w:val="22"/>
        </w:rPr>
      </w:pPr>
      <w:r w:rsidRPr="00753410">
        <w:t>DISCUSSION</w:t>
      </w:r>
    </w:p>
    <w:p w:rsidR="00D32778" w:rsidRPr="00146D8A" w:rsidP="00E43DD7" w14:paraId="562BF698" w14:textId="77777777">
      <w:pPr>
        <w:pStyle w:val="ParaNum"/>
        <w:widowControl/>
      </w:pPr>
      <w:r w:rsidRPr="000B44EA">
        <w:rPr>
          <w:i/>
          <w:color w:val="000000"/>
        </w:rPr>
        <w:t>Proposed Forfeiture</w:t>
      </w:r>
      <w:r w:rsidRPr="000B44EA">
        <w:rPr>
          <w:color w:val="000000"/>
        </w:rPr>
        <w:t xml:space="preserve">. </w:t>
      </w:r>
      <w:r w:rsidRPr="000B44EA">
        <w:rPr>
          <w:i/>
          <w:iCs/>
          <w:spacing w:val="-3"/>
        </w:rPr>
        <w:t xml:space="preserve"> </w:t>
      </w:r>
      <w:r>
        <w:t>The Permittee failed to timely file a license to cover as required by section 74.788 of the Rules,</w:t>
      </w:r>
      <w:r>
        <w:rPr>
          <w:rStyle w:val="FootnoteReference"/>
        </w:rPr>
        <w:footnoteReference w:id="12"/>
      </w:r>
      <w:r>
        <w:t xml:space="preserve"> and continued Station operations with the permitted facilities after the Permit expired on July 13, 2021, before filing the Application, and did not seek special temporary authority to operate with those facilities.  In its Petition, Permittee stated that it completed construction of the Station in accordance with the construction permit granted by the Commission and commenced operation of those facilities, on July 9, 2021.  Permittee states that it overlooked</w:t>
      </w:r>
      <w:r w:rsidRPr="00277113">
        <w:t xml:space="preserve"> </w:t>
      </w:r>
      <w:r>
        <w:t xml:space="preserve">paying the filing fee for the </w:t>
      </w:r>
      <w:r w:rsidRPr="00277113">
        <w:t>license to cover</w:t>
      </w:r>
      <w:r>
        <w:t>.  While it attempted to file a subsequent license to cover in November 2021, that application was dismissed as the Station no longer had a valid construction permit.  At the instruction of Division staff the licensee filed the Application currently pending before the Commission and paid the required application fee.  I</w:t>
      </w:r>
      <w:r w:rsidRPr="001D7A5D">
        <w:t xml:space="preserve">t is well settled that </w:t>
      </w:r>
      <w:r>
        <w:t xml:space="preserve">administrative oversight is not an excuse for failure to </w:t>
      </w:r>
      <w:r>
        <w:t>comply with the Commission’s rules.</w:t>
      </w:r>
      <w:r>
        <w:rPr>
          <w:rStyle w:val="FootnoteReference"/>
        </w:rPr>
        <w:footnoteReference w:id="13"/>
      </w:r>
      <w:r>
        <w:t xml:space="preserve">  Further</w:t>
      </w:r>
      <w:r w:rsidRPr="00EF5DBB">
        <w:t xml:space="preserve">, </w:t>
      </w:r>
      <w:r>
        <w:t xml:space="preserve">as a result of its late filing, </w:t>
      </w:r>
      <w:r w:rsidRPr="00EF5DBB">
        <w:t>Permittee</w:t>
      </w:r>
      <w:r>
        <w:t xml:space="preserve"> also</w:t>
      </w:r>
      <w:r w:rsidRPr="00EF5DBB">
        <w:t xml:space="preserve"> engaged in unauthorized operation </w:t>
      </w:r>
      <w:r>
        <w:t>in violation of section 301 of the Act for more than six months.</w:t>
      </w:r>
    </w:p>
    <w:p w:rsidR="00D32778" w:rsidRPr="00146D8A" w:rsidP="00E43DD7" w14:paraId="6FA010D0" w14:textId="77777777">
      <w:pPr>
        <w:pStyle w:val="ParaNum"/>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14"/>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5"/>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6"/>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7"/>
      </w:r>
      <w:r>
        <w:rPr>
          <w:rFonts w:eastAsia="SimSun"/>
        </w:rPr>
        <w:t xml:space="preserve">  </w:t>
      </w:r>
      <w:r w:rsidRPr="008D30C5">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8"/>
      </w:r>
      <w:r w:rsidRPr="008D30C5">
        <w:t xml:space="preserve">  </w:t>
      </w:r>
    </w:p>
    <w:p w:rsidR="00D32778" w:rsidRPr="004E079F" w:rsidP="00E43DD7" w14:paraId="6AB1F578" w14:textId="77777777">
      <w:pPr>
        <w:pStyle w:val="ParaNum"/>
        <w:rPr>
          <w:szCs w:val="22"/>
        </w:rPr>
      </w:pPr>
      <w:r>
        <w:t xml:space="preserve">The Commission's </w:t>
      </w:r>
      <w:r>
        <w:rPr>
          <w:i/>
        </w:rPr>
        <w:t>Forfeiture Policy Statement</w:t>
      </w:r>
      <w:r>
        <w:t xml:space="preserve"> and section 1.80(b)(10) of the Rules establish a base forfeiture amount of $3,000 for the failure to file a required form.</w:t>
      </w:r>
      <w:r>
        <w:rPr>
          <w:rStyle w:val="FootnoteReference"/>
          <w:szCs w:val="22"/>
        </w:rPr>
        <w:footnoteReference w:id="19"/>
      </w:r>
      <w:r>
        <w:t xml:space="preserve">  The guidelines also specify a base forfeiture amount of $10,000 for construction and/or operation without an instrument of authorization for the service.</w:t>
      </w:r>
      <w:r>
        <w:rPr>
          <w:rStyle w:val="FootnoteReference"/>
        </w:rPr>
        <w:footnoteReference w:id="20"/>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1"/>
      </w:r>
      <w:r>
        <w:t xml:space="preserve">  </w:t>
      </w:r>
    </w:p>
    <w:p w:rsidR="00D32778" w:rsidRPr="00221720" w:rsidP="00E43DD7" w14:paraId="4822EAD0" w14:textId="77777777">
      <w:pPr>
        <w:pStyle w:val="ParaNum"/>
        <w:rPr>
          <w:color w:val="000000"/>
        </w:rPr>
      </w:pPr>
      <w:r>
        <w:t>Based on our review of the facts and circumstances, we tentatively find that a $7,000 base forfeiture is appropriate.</w:t>
      </w:r>
      <w:r>
        <w:rPr>
          <w:rStyle w:val="FootnoteReference"/>
        </w:rPr>
        <w:footnoteReference w:id="22"/>
      </w:r>
      <w:r>
        <w:t xml:space="preserve">  The Licensee failed to file a timely license to cover for the Station and engaged in unauthorized operation of the Station after the permit expired on July 13, 2021.  </w:t>
      </w:r>
      <w:r>
        <w:rPr>
          <w:szCs w:val="22"/>
        </w:rPr>
        <w:t xml:space="preserve">Taking into consideration all of the factors required by section 503(b)(2)(E) of the Act and the </w:t>
      </w:r>
      <w:r>
        <w:rPr>
          <w:i/>
          <w:szCs w:val="22"/>
        </w:rPr>
        <w:t>Forfeiture Policy Statement</w:t>
      </w:r>
      <w:r>
        <w:rPr>
          <w:szCs w:val="22"/>
        </w:rPr>
        <w:t xml:space="preserve">, we will reduce the forfeiture from the base amount to $3,500 because, as an LPTV station, the </w:t>
      </w:r>
      <w:r>
        <w:rPr>
          <w:szCs w:val="22"/>
        </w:rPr>
        <w:t>Station is providing a secondary service.</w:t>
      </w:r>
      <w:r>
        <w:rPr>
          <w:rStyle w:val="FootnoteReference"/>
          <w:szCs w:val="22"/>
        </w:rPr>
        <w:footnoteReference w:id="23"/>
      </w:r>
      <w:r>
        <w:t xml:space="preserve">  We will also grant the Permittees waiver request and waive </w:t>
      </w:r>
      <w:r w:rsidRPr="00C11811">
        <w:t>section 7</w:t>
      </w:r>
      <w:r>
        <w:t>4</w:t>
      </w:r>
      <w:r w:rsidRPr="00C11811">
        <w:t>.</w:t>
      </w:r>
      <w:r>
        <w:t>788</w:t>
      </w:r>
      <w:r w:rsidRPr="00C11811">
        <w:t xml:space="preserve"> of the Rules</w:t>
      </w:r>
      <w:r w:rsidRPr="009373AE">
        <w:t>,</w:t>
      </w:r>
      <w:r>
        <w:rPr>
          <w:rStyle w:val="FootnoteReference"/>
        </w:rPr>
        <w:footnoteReference w:id="24"/>
      </w:r>
      <w:r w:rsidRPr="009373AE">
        <w:t xml:space="preserve"> reinstate the </w:t>
      </w:r>
      <w:r>
        <w:t>construction p</w:t>
      </w:r>
      <w:r w:rsidRPr="009373AE">
        <w:t>ermit</w:t>
      </w:r>
      <w:r>
        <w:t>, and grant the Application by separate action upon the conclusion of this forfeiture proceeding if there are no issues other than the apparent violation that would preclude grant of the Application.</w:t>
      </w:r>
    </w:p>
    <w:p w:rsidR="00D32778" w:rsidRPr="00146D8A" w:rsidP="00E43DD7" w14:paraId="7E970ED1" w14:textId="77777777">
      <w:pPr>
        <w:pStyle w:val="Heading1"/>
        <w:keepNext w:val="0"/>
        <w:suppressAutoHyphens w:val="0"/>
      </w:pPr>
      <w:r w:rsidRPr="00947B4D">
        <w:t>ORDERING CLAUSES</w:t>
      </w:r>
    </w:p>
    <w:p w:rsidR="00D32778" w:rsidRPr="00146D8A" w:rsidP="00E43DD7" w14:paraId="04205F4A" w14:textId="77777777">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25"/>
      </w:r>
      <w:r w:rsidRPr="00947B4D">
        <w:t xml:space="preserve"> </w:t>
      </w:r>
      <w:r w:rsidRPr="00C2541D">
        <w:t xml:space="preserve">EICB-TV East, LLC </w:t>
      </w:r>
      <w:r w:rsidRPr="00DB10EE">
        <w:t xml:space="preserve">is hereby </w:t>
      </w:r>
      <w:r w:rsidRPr="00DB10EE">
        <w:rPr>
          <w:b/>
        </w:rPr>
        <w:t>NOTIFIED</w:t>
      </w:r>
      <w:r w:rsidRPr="00DB10EE">
        <w:t xml:space="preserve"> of</w:t>
      </w:r>
      <w:r>
        <w:t xml:space="preserve"> its</w:t>
      </w:r>
      <w:r w:rsidRPr="00DB10EE">
        <w:t xml:space="preserve"> </w:t>
      </w:r>
      <w:r w:rsidRPr="00DB10EE">
        <w:rPr>
          <w:b/>
        </w:rPr>
        <w:t>APPARENT LIABILITY FOR FORFEITURE</w:t>
      </w:r>
      <w:r w:rsidRPr="00947B4D">
        <w:t xml:space="preserve"> in the amount of </w:t>
      </w:r>
      <w:r>
        <w:t xml:space="preserve"> three thousand five hundred dollars (</w:t>
      </w:r>
      <w:r w:rsidRPr="00947B4D">
        <w:t>$</w:t>
      </w:r>
      <w:r>
        <w:t>3,500)</w:t>
      </w:r>
      <w:r w:rsidRPr="00947B4D">
        <w:t xml:space="preserve"> for </w:t>
      </w:r>
      <w:r>
        <w:t>its apparent willful violation of section 74.788</w:t>
      </w:r>
      <w:r w:rsidRPr="00947B4D">
        <w:t xml:space="preserve"> of the</w:t>
      </w:r>
      <w:r>
        <w:t xml:space="preserve"> </w:t>
      </w:r>
      <w:r w:rsidRPr="00947B4D">
        <w:t xml:space="preserve">Commission’s </w:t>
      </w:r>
      <w:r>
        <w:t>r</w:t>
      </w:r>
      <w:r w:rsidRPr="00947B4D">
        <w:t>ules</w:t>
      </w:r>
      <w:r>
        <w:t xml:space="preserve"> and section 301 of the Communications Act of 1934, as amended</w:t>
      </w:r>
      <w:r w:rsidRPr="00947B4D">
        <w:t>.</w:t>
      </w:r>
      <w:r>
        <w:rPr>
          <w:rStyle w:val="FootnoteReference"/>
        </w:rPr>
        <w:footnoteReference w:id="26"/>
      </w:r>
    </w:p>
    <w:p w:rsidR="00D32778" w:rsidRPr="00146D8A" w:rsidP="00E43DD7" w14:paraId="68F45AFE" w14:textId="77777777">
      <w:pPr>
        <w:pStyle w:val="ParaNum"/>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27"/>
      </w:r>
      <w:r w:rsidRPr="00947B4D">
        <w:t xml:space="preserve"> that, within thirty (30) days of the release date of this </w:t>
      </w:r>
      <w:r w:rsidRPr="00947B4D">
        <w:rPr>
          <w:i/>
        </w:rPr>
        <w:t>NAL</w:t>
      </w:r>
      <w:r>
        <w:rPr>
          <w:i/>
        </w:rPr>
        <w:t xml:space="preserve">, </w:t>
      </w:r>
      <w:r w:rsidRPr="00C2541D">
        <w:t xml:space="preserve">EICB-TV East, LLC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D32778" w:rsidRPr="00BE3744" w:rsidP="00E43DD7" w14:paraId="0153BC90" w14:textId="77777777">
      <w:pPr>
        <w:pStyle w:val="ParaNum"/>
      </w:pPr>
      <w:r w:rsidRPr="00514C8E">
        <w:t xml:space="preserve">Payment of the </w:t>
      </w:r>
      <w:r>
        <w:t>forfeiture</w:t>
      </w:r>
      <w:r w:rsidRPr="00514C8E">
        <w:t xml:space="preserve"> must be made by credit card, ACH (Automated Clearing House) debit from a bank account using </w:t>
      </w:r>
      <w:r>
        <w:t>CORES</w:t>
      </w:r>
      <w:r w:rsidRPr="00514C8E">
        <w:t xml:space="preserve"> (the Commission’s online payment system),</w:t>
      </w:r>
      <w:r>
        <w:rPr>
          <w:rStyle w:val="FootnoteReference"/>
          <w:szCs w:val="22"/>
        </w:rPr>
        <w:footnoteReference w:id="28"/>
      </w:r>
      <w:r w:rsidRPr="00514C8E">
        <w:t xml:space="preserve"> or by wire transfer.  </w:t>
      </w:r>
      <w:r>
        <w:t>P</w:t>
      </w:r>
      <w:r w:rsidRPr="00514C8E">
        <w:t>ayments by check or money order</w:t>
      </w:r>
      <w:r>
        <w:t xml:space="preserve"> to pay a forfeiture are no longer accepted</w:t>
      </w:r>
      <w:r w:rsidRPr="00514C8E">
        <w:t>.  Below are instructions that payors should follow based on the form of payment selected:</w:t>
      </w:r>
      <w:r>
        <w:rPr>
          <w:rStyle w:val="FootnoteReference"/>
          <w:szCs w:val="22"/>
        </w:rPr>
        <w:footnoteReference w:id="29"/>
      </w:r>
      <w:r w:rsidRPr="00514C8E">
        <w:t xml:space="preserve"> </w:t>
      </w:r>
    </w:p>
    <w:p w:rsidR="00D32778" w:rsidRPr="00514C8E" w:rsidP="00E43DD7" w14:paraId="04757E36" w14:textId="77777777">
      <w:pPr>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w:t>
      </w:r>
      <w:r w:rsidRPr="00514C8E">
        <w:rPr>
          <w:szCs w:val="22"/>
        </w:rPr>
        <w:t>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0"/>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D32778" w:rsidRPr="00D9623F" w:rsidP="00E43DD7" w14:paraId="2A77A34E" w14:textId="77777777">
      <w:pPr>
        <w:pStyle w:val="ParaNum"/>
        <w:numPr>
          <w:ilvl w:val="0"/>
          <w:numId w:val="7"/>
        </w:num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D32778" w:rsidRPr="00D9623F" w:rsidP="00E43DD7" w14:paraId="4AC0A376" w14:textId="77777777">
      <w:pPr>
        <w:pStyle w:val="ParaNum"/>
        <w:numPr>
          <w:ilvl w:val="0"/>
          <w:numId w:val="9"/>
        </w:numPr>
        <w:ind w:left="1080"/>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2778" w:rsidRPr="00146D8A" w:rsidP="00E43DD7" w14:paraId="5B4BC24A" w14:textId="77777777">
      <w:pPr>
        <w:pStyle w:val="ParaNum"/>
      </w:pPr>
      <w:r w:rsidRPr="00264220">
        <w:t xml:space="preserve">Any request for making full payment over time under an installment plan should be sent to:  </w:t>
      </w:r>
      <w:r>
        <w:t>Associate Managing Director</w:t>
      </w:r>
      <w:r w:rsidRPr="00264220">
        <w:t xml:space="preserve">—Financial Operations, Federal Communications Commission, </w:t>
      </w:r>
      <w:r>
        <w:t>45</w:t>
      </w:r>
      <w:r w:rsidRPr="00264220">
        <w:t xml:space="preserve"> </w:t>
      </w:r>
      <w:r>
        <w:t>L</w:t>
      </w:r>
      <w:r w:rsidRPr="00264220">
        <w:t xml:space="preserve"> Street, </w:t>
      </w:r>
      <w:r>
        <w:t>N.E.</w:t>
      </w:r>
      <w:r w:rsidRPr="00264220">
        <w:t>, Washington, DC 20554.</w:t>
      </w:r>
      <w:r>
        <w:rPr>
          <w:vertAlign w:val="superscript"/>
        </w:rPr>
        <w:footnoteReference w:id="31"/>
      </w:r>
      <w:r w:rsidRPr="00264220">
        <w:t xml:space="preserve">  Questions regarding payment procedures should be directed to the Financial Operations Group Help Desk by phone, 1-877-480-3201</w:t>
      </w:r>
      <w:r>
        <w:t xml:space="preserve"> (option #6)</w:t>
      </w:r>
      <w:r w:rsidRPr="00264220">
        <w:t>, or by e-mail</w:t>
      </w:r>
      <w:r>
        <w:t xml:space="preserve"> at</w:t>
      </w:r>
      <w:r w:rsidRPr="00264220">
        <w:t xml:space="preserve"> </w:t>
      </w:r>
      <w:hyperlink r:id="rId9" w:history="1">
        <w:r w:rsidRPr="00264220">
          <w:rPr>
            <w:rStyle w:val="Hyperlink"/>
          </w:rPr>
          <w:t>ARINQUIRIES@fcc.gov</w:t>
        </w:r>
      </w:hyperlink>
      <w:r w:rsidRPr="00264220">
        <w:t>.</w:t>
      </w:r>
    </w:p>
    <w:p w:rsidR="00D32778" w:rsidP="00E43DD7" w14:paraId="04697FEE" w14:textId="77777777">
      <w:pPr>
        <w:pStyle w:val="ParaNum"/>
      </w:pPr>
      <w:r w:rsidRPr="00EF5DBB">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Cs w:val="22"/>
        </w:rPr>
        <w:footnoteReference w:id="32"/>
      </w:r>
      <w:r w:rsidRPr="00EF5DBB">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33"/>
      </w:r>
      <w:r>
        <w:t xml:space="preserve"> </w:t>
      </w:r>
      <w:r w:rsidRPr="00514C8E">
        <w:t xml:space="preserve">A courtesy copy </w:t>
      </w:r>
      <w:r>
        <w:t xml:space="preserve">should also be </w:t>
      </w:r>
      <w:r w:rsidRPr="00514C8E">
        <w:t xml:space="preserve">emailed to </w:t>
      </w:r>
      <w:hyperlink r:id="rId10" w:history="1">
        <w:r w:rsidRPr="007E5877">
          <w:rPr>
            <w:rStyle w:val="Hyperlink"/>
            <w:szCs w:val="22"/>
          </w:rPr>
          <w:t>Shaun.Maher@fcc.gov</w:t>
        </w:r>
      </w:hyperlink>
      <w:r w:rsidRPr="00514C8E">
        <w:t xml:space="preserve"> </w:t>
      </w:r>
      <w:r>
        <w:t>to</w:t>
      </w:r>
      <w:r w:rsidRPr="00514C8E">
        <w:t xml:space="preserve"> assist in processing the response.</w:t>
      </w:r>
    </w:p>
    <w:p w:rsidR="00D32778" w:rsidRPr="00C6145C" w:rsidP="00E43DD7" w14:paraId="5E5D8847" w14:textId="77777777">
      <w:pPr>
        <w:pStyle w:val="ParaNum"/>
        <w:numPr>
          <w:ilvl w:val="0"/>
          <w:numId w:val="8"/>
        </w:numPr>
        <w:tabs>
          <w:tab w:val="num" w:pos="1080"/>
        </w:tabs>
      </w:pPr>
      <w:r w:rsidRPr="00C6145C">
        <w:t xml:space="preserve">Commercial overnight mail (other than U.S. Postal Service Express Mail and Priority Mail) must be sent to 9050 Junction Drive, Annapolis Junction, MD 20701. </w:t>
      </w:r>
    </w:p>
    <w:p w:rsidR="00D32778" w:rsidP="00E43DD7" w14:paraId="4541FC2F" w14:textId="77777777">
      <w:pPr>
        <w:pStyle w:val="ParaNum"/>
        <w:numPr>
          <w:ilvl w:val="0"/>
          <w:numId w:val="8"/>
        </w:numPr>
      </w:pPr>
      <w:r w:rsidRPr="00C6145C">
        <w:t>Postal Service first-class, Express, and Priority mail must be addressed to 45 L Street, NE, Washington, DC 20554.</w:t>
      </w:r>
    </w:p>
    <w:p w:rsidR="00D32778" w:rsidRPr="00146D8A" w:rsidP="00E43DD7" w14:paraId="0F748299" w14:textId="77777777">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t xml:space="preserve"> </w:t>
      </w:r>
      <w:r w:rsidRPr="00947B4D">
        <w:t xml:space="preserve"> </w:t>
      </w:r>
      <w:r w:rsidRPr="005F7F74">
        <w:t xml:space="preserve">Inability to pay, however, is only one of several factors that the Commission will consider in determining the appropriate forfeiture, and we have discretion to not reduce or cancel the forfeiture if other prongs of </w:t>
      </w:r>
      <w:r w:rsidRPr="00C6145C">
        <w:t xml:space="preserve">section § 503(b)(2)(E) of the Communications Act of 1934, as amended, </w:t>
      </w:r>
      <w:r w:rsidRPr="005F7F74">
        <w:t>support that result.</w:t>
      </w:r>
      <w:r>
        <w:rPr>
          <w:vertAlign w:val="superscript"/>
        </w:rPr>
        <w:footnoteReference w:id="34"/>
      </w:r>
      <w:r w:rsidRPr="005F7F74">
        <w:t xml:space="preserve">  </w:t>
      </w:r>
    </w:p>
    <w:p w:rsidR="00D32778" w:rsidRPr="008D4F70" w:rsidP="00E43DD7" w14:paraId="03C2F42A" w14:textId="77777777">
      <w:pPr>
        <w:pStyle w:val="ParaNum"/>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 xml:space="preserve">to </w:t>
      </w:r>
      <w:r w:rsidRPr="00C2541D">
        <w:t>EICB-TV East, LLC</w:t>
      </w:r>
      <w:r>
        <w:t>,</w:t>
      </w:r>
      <w:r w:rsidRPr="00C2541D">
        <w:t xml:space="preserve"> </w:t>
      </w:r>
      <w:r>
        <w:t xml:space="preserve">406 Copeland Drive, Cedar Hill, TX 75104, as well as e-mailed to </w:t>
      </w:r>
      <w:hyperlink r:id="rId11" w:history="1">
        <w:r w:rsidRPr="001710F9">
          <w:rPr>
            <w:rStyle w:val="Hyperlink"/>
          </w:rPr>
          <w:t>randy@crosstalk.org</w:t>
        </w:r>
      </w:hyperlink>
      <w:r>
        <w:rPr>
          <w:rStyle w:val="Hyperlink"/>
        </w:rPr>
        <w:t xml:space="preserve">, </w:t>
      </w:r>
      <w:r>
        <w:t xml:space="preserve">and to its counsel, Ari Meltzer, Esq., Wiley Rein LLP, 2050 M Street NW, Washington , DC 20036, as well as e-mailed to </w:t>
      </w:r>
      <w:hyperlink r:id="rId12" w:history="1">
        <w:r w:rsidRPr="008C6012">
          <w:rPr>
            <w:rStyle w:val="Hyperlink"/>
          </w:rPr>
          <w:t>ameltzer@wiley.law</w:t>
        </w:r>
      </w:hyperlink>
      <w:r>
        <w:t xml:space="preserve">. </w:t>
      </w:r>
    </w:p>
    <w:p w:rsidR="00D32778" w:rsidP="00E43DD7" w14:paraId="691D94CB" w14:textId="77777777">
      <w:r>
        <w:tab/>
      </w:r>
      <w:r>
        <w:tab/>
      </w:r>
      <w:r>
        <w:tab/>
      </w:r>
      <w:r>
        <w:tab/>
      </w:r>
      <w:r>
        <w:tab/>
      </w:r>
      <w:r>
        <w:tab/>
        <w:t>FEDERAL COMMUNICATIONS COMMISSION</w:t>
      </w:r>
    </w:p>
    <w:p w:rsidR="00D32778" w:rsidP="00E43DD7" w14:paraId="2EE23006" w14:textId="77777777"/>
    <w:p w:rsidR="00D32778" w:rsidP="00E43DD7" w14:paraId="36592ED2" w14:textId="77777777">
      <w:r>
        <w:tab/>
      </w:r>
      <w:r>
        <w:tab/>
      </w:r>
      <w:r>
        <w:tab/>
      </w:r>
      <w:r>
        <w:tab/>
      </w:r>
      <w:r>
        <w:tab/>
      </w:r>
      <w:r>
        <w:tab/>
      </w:r>
    </w:p>
    <w:p w:rsidR="00D32778" w:rsidP="00E43DD7" w14:paraId="1666038F" w14:textId="77777777"/>
    <w:p w:rsidR="00D32778" w:rsidP="00E43DD7" w14:paraId="62A3538C" w14:textId="77777777">
      <w:r>
        <w:tab/>
      </w:r>
      <w:r>
        <w:tab/>
      </w:r>
      <w:r>
        <w:tab/>
      </w:r>
      <w:r>
        <w:tab/>
      </w:r>
      <w:r>
        <w:tab/>
      </w:r>
      <w:r>
        <w:tab/>
        <w:t>Barbara A. Kreisman</w:t>
      </w:r>
    </w:p>
    <w:p w:rsidR="00D32778" w:rsidP="00E43DD7" w14:paraId="2EC91074" w14:textId="77777777">
      <w:r>
        <w:tab/>
      </w:r>
      <w:r>
        <w:tab/>
      </w:r>
      <w:r>
        <w:tab/>
      </w:r>
      <w:r>
        <w:tab/>
      </w:r>
      <w:r>
        <w:tab/>
      </w:r>
      <w:r>
        <w:tab/>
        <w:t>Chief, Video Division</w:t>
      </w:r>
    </w:p>
    <w:p w:rsidR="00412FC5" w:rsidP="00E43DD7" w14:paraId="4E62B576" w14:textId="049DF843">
      <w:r>
        <w:tab/>
      </w:r>
      <w:r>
        <w:tab/>
      </w:r>
      <w:r>
        <w:tab/>
      </w:r>
      <w:r>
        <w:tab/>
      </w:r>
      <w:r>
        <w:tab/>
      </w:r>
      <w:r>
        <w:tab/>
        <w:t>Media Bureau</w:t>
      </w:r>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573B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8F51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778" w14:paraId="56575303" w14:textId="5B4335A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06AD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2778" w14:paraId="3BD83F5E" w14:textId="77777777">
      <w:r>
        <w:separator/>
      </w:r>
    </w:p>
  </w:footnote>
  <w:footnote w:type="continuationSeparator" w:id="1">
    <w:p w:rsidR="00D32778" w:rsidP="00C721AC" w14:paraId="1626F814" w14:textId="77777777">
      <w:pPr>
        <w:spacing w:before="120"/>
        <w:rPr>
          <w:sz w:val="20"/>
        </w:rPr>
      </w:pPr>
      <w:r>
        <w:rPr>
          <w:sz w:val="20"/>
        </w:rPr>
        <w:t xml:space="preserve">(Continued from previous page)  </w:t>
      </w:r>
      <w:r>
        <w:rPr>
          <w:sz w:val="20"/>
        </w:rPr>
        <w:separator/>
      </w:r>
    </w:p>
  </w:footnote>
  <w:footnote w:type="continuationNotice" w:id="2">
    <w:p w:rsidR="00D32778" w:rsidP="00C721AC" w14:paraId="77FF156A" w14:textId="77777777">
      <w:pPr>
        <w:jc w:val="right"/>
        <w:rPr>
          <w:sz w:val="20"/>
        </w:rPr>
      </w:pPr>
      <w:r>
        <w:rPr>
          <w:sz w:val="20"/>
        </w:rPr>
        <w:t>(continued….)</w:t>
      </w:r>
    </w:p>
  </w:footnote>
  <w:footnote w:id="3">
    <w:p w:rsidR="00D32778" w:rsidRPr="000A4DEF" w:rsidP="00E43DD7" w14:paraId="0F32E722" w14:textId="77777777">
      <w:pPr>
        <w:pStyle w:val="FootnoteText"/>
        <w:widowControl w:val="0"/>
      </w:pPr>
      <w:r w:rsidRPr="000A4DEF">
        <w:rPr>
          <w:rStyle w:val="FootnoteReference"/>
        </w:rPr>
        <w:footnoteRef/>
      </w:r>
      <w:r w:rsidRPr="000A4DEF">
        <w:t xml:space="preserve"> This </w:t>
      </w:r>
      <w:r w:rsidRPr="000A4DEF">
        <w:rPr>
          <w:i/>
        </w:rPr>
        <w:t xml:space="preserve">NAL </w:t>
      </w:r>
      <w:r w:rsidRPr="000A4DEF">
        <w:t xml:space="preserve">is issued pursuant to sections 309(k) and 503(b) of the Communications Act of 1934, as amended (Act), and section 1.80 of the Commission’s rules (Rules).  </w:t>
      </w:r>
      <w:r w:rsidRPr="000A4DEF">
        <w:rPr>
          <w:i/>
        </w:rPr>
        <w:t>See</w:t>
      </w:r>
      <w:r w:rsidRPr="000A4DEF">
        <w:t xml:space="preserve"> 47 U.S.C. §§ 309(k), 503(b); 47 CFR § 1.80.  The Bureau has delegated authority to issue the </w:t>
      </w:r>
      <w:r w:rsidRPr="000A4DEF">
        <w:rPr>
          <w:i/>
          <w:iCs/>
        </w:rPr>
        <w:t>NAL</w:t>
      </w:r>
      <w:r w:rsidRPr="000A4DEF">
        <w:t xml:space="preserve"> under section 0.283 of the Rules.  </w:t>
      </w:r>
      <w:r w:rsidRPr="000A4DEF">
        <w:rPr>
          <w:i/>
        </w:rPr>
        <w:t>See</w:t>
      </w:r>
      <w:r w:rsidRPr="000A4DEF">
        <w:t xml:space="preserve"> 47 CFR § 0.283.</w:t>
      </w:r>
    </w:p>
  </w:footnote>
  <w:footnote w:id="4">
    <w:p w:rsidR="00D32778" w:rsidRPr="000A4DEF" w:rsidP="00E43DD7" w14:paraId="2ED9C66A"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iCs/>
          <w:sz w:val="20"/>
        </w:rPr>
        <w:t xml:space="preserve">See </w:t>
      </w:r>
      <w:r w:rsidRPr="000A4DEF">
        <w:rPr>
          <w:sz w:val="20"/>
        </w:rPr>
        <w:t>47 CFR § 74.788.</w:t>
      </w:r>
    </w:p>
  </w:footnote>
  <w:footnote w:id="5">
    <w:p w:rsidR="00D32778" w:rsidRPr="000A4DEF" w:rsidP="00E43DD7" w14:paraId="739D99C9"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sz w:val="20"/>
        </w:rPr>
        <w:t>See</w:t>
      </w:r>
      <w:r w:rsidRPr="000A4DEF">
        <w:rPr>
          <w:sz w:val="20"/>
        </w:rPr>
        <w:t xml:space="preserve"> 47 U.S.C. § 301.</w:t>
      </w:r>
    </w:p>
  </w:footnote>
  <w:footnote w:id="6">
    <w:p w:rsidR="00D32778" w:rsidRPr="000A4DEF" w:rsidP="00E43DD7" w14:paraId="0021A697" w14:textId="77777777">
      <w:pPr>
        <w:pStyle w:val="FootnoteText"/>
        <w:widowControl w:val="0"/>
      </w:pPr>
      <w:r w:rsidRPr="000A4DEF">
        <w:rPr>
          <w:rStyle w:val="FootnoteReference"/>
        </w:rPr>
        <w:footnoteRef/>
      </w:r>
      <w:r w:rsidRPr="000A4DEF">
        <w:t xml:space="preserve"> </w:t>
      </w:r>
      <w:r w:rsidRPr="000A4DEF">
        <w:rPr>
          <w:i/>
          <w:iCs/>
        </w:rPr>
        <w:t>See</w:t>
      </w:r>
      <w:r w:rsidRPr="000A4DEF">
        <w:t xml:space="preserve"> CDBS File No. BNPDTL-20090825AXP.</w:t>
      </w:r>
    </w:p>
  </w:footnote>
  <w:footnote w:id="7">
    <w:p w:rsidR="00D32778" w:rsidRPr="000A4DEF" w:rsidP="00E43DD7" w14:paraId="260097FE" w14:textId="77777777">
      <w:pPr>
        <w:pStyle w:val="FootnoteText"/>
        <w:widowControl w:val="0"/>
        <w:jc w:val="both"/>
      </w:pPr>
      <w:r w:rsidRPr="000A4DEF">
        <w:rPr>
          <w:rStyle w:val="FootnoteReference"/>
        </w:rPr>
        <w:footnoteRef/>
      </w:r>
      <w:r w:rsidRPr="000A4DEF">
        <w:t xml:space="preserve"> </w:t>
      </w:r>
      <w:r w:rsidRPr="000A4DEF">
        <w:rPr>
          <w:i/>
          <w:iCs/>
        </w:rPr>
        <w:t>See</w:t>
      </w:r>
      <w:r w:rsidRPr="000A4DEF">
        <w:t xml:space="preserve"> 47 CFR § 74.788(a).</w:t>
      </w:r>
    </w:p>
  </w:footnote>
  <w:footnote w:id="8">
    <w:p w:rsidR="00D32778" w:rsidRPr="000A4DEF" w:rsidP="00E43DD7" w14:paraId="7FD3BA65" w14:textId="77777777">
      <w:pPr>
        <w:pStyle w:val="FootnoteText"/>
        <w:widowControl w:val="0"/>
      </w:pPr>
      <w:r w:rsidRPr="000A4DEF">
        <w:rPr>
          <w:rStyle w:val="FootnoteReference"/>
        </w:rPr>
        <w:footnoteRef/>
      </w:r>
      <w:r w:rsidRPr="000A4DEF">
        <w:t xml:space="preserve"> </w:t>
      </w:r>
      <w:r w:rsidRPr="000A4DEF">
        <w:t xml:space="preserve">47 CFR § 74.788(b).  We note that because the construction permit had not yet been canceled in LMS the Station was able to file a license to cover application against its expired permit.  Cancellation of a station’s construction permit and deletion of its call sign by Media Bureau (Bureau) staff in the Licensing and Management System (LMS) is an administerial function and does not constitute an official Commission action nor require any affirmative cancellation by the Commission.  </w:t>
      </w:r>
      <w:r w:rsidRPr="000A4DEF">
        <w:rPr>
          <w:i/>
          <w:iCs/>
        </w:rPr>
        <w:t>See</w:t>
      </w:r>
      <w:r w:rsidRPr="000A4DEF">
        <w:t xml:space="preserve"> </w:t>
      </w:r>
      <w:r w:rsidRPr="000A4DEF">
        <w:rPr>
          <w:i/>
          <w:iCs/>
        </w:rPr>
        <w:t>Media Bureau Reminds Remaining Low Power Television and Television Translator Stations that the July 13, 2021 Digital Transition Date and Oher Important Deadlines are One Week Away</w:t>
      </w:r>
      <w:r w:rsidRPr="000A4DEF">
        <w:t>, Public Notice, DA 21-786 (rel. July 6, 2021); 47 CFR §74.788(b).  As a result, failure by Bureau staff to cancel a construction permit in LMS does not result in an expired construction permit remaining valid.</w:t>
      </w:r>
    </w:p>
  </w:footnote>
  <w:footnote w:id="9">
    <w:p w:rsidR="00D32778" w:rsidRPr="000A4DEF" w:rsidP="00E43DD7" w14:paraId="78A2BC15" w14:textId="77777777">
      <w:pPr>
        <w:pStyle w:val="FootnoteText"/>
        <w:widowControl w:val="0"/>
      </w:pPr>
      <w:r w:rsidRPr="000A4DEF">
        <w:rPr>
          <w:rStyle w:val="FootnoteReference"/>
        </w:rPr>
        <w:footnoteRef/>
      </w:r>
      <w:r w:rsidRPr="000A4DEF">
        <w:t xml:space="preserve"> </w:t>
      </w:r>
      <w:r w:rsidRPr="000A4DEF">
        <w:rPr>
          <w:i/>
          <w:iCs/>
        </w:rPr>
        <w:t xml:space="preserve">See </w:t>
      </w:r>
      <w:r w:rsidRPr="000A4DEF">
        <w:t>LMS File No. 0000152192.</w:t>
      </w:r>
    </w:p>
  </w:footnote>
  <w:footnote w:id="10">
    <w:p w:rsidR="00D32778" w:rsidRPr="000A4DEF" w:rsidP="00E43DD7" w14:paraId="16167A87" w14:textId="77777777">
      <w:pPr>
        <w:pStyle w:val="FootnoteText"/>
        <w:widowControl w:val="0"/>
      </w:pPr>
      <w:r w:rsidRPr="000A4DEF">
        <w:rPr>
          <w:rStyle w:val="FootnoteReference"/>
        </w:rPr>
        <w:footnoteRef/>
      </w:r>
      <w:r w:rsidRPr="000A4DEF">
        <w:t xml:space="preserve"> </w:t>
      </w:r>
      <w:r w:rsidRPr="000A4DEF">
        <w:t>47 CFR § 1.1118(a).</w:t>
      </w:r>
    </w:p>
  </w:footnote>
  <w:footnote w:id="11">
    <w:p w:rsidR="00D32778" w:rsidRPr="000A4DEF" w:rsidP="00E43DD7" w14:paraId="77673B1F" w14:textId="77777777">
      <w:pPr>
        <w:pStyle w:val="FootnoteText"/>
        <w:widowControl w:val="0"/>
      </w:pPr>
      <w:r w:rsidRPr="000A4DEF">
        <w:rPr>
          <w:rStyle w:val="FootnoteReference"/>
        </w:rPr>
        <w:footnoteRef/>
      </w:r>
      <w:r w:rsidRPr="000A4DEF">
        <w:t xml:space="preserve"> </w:t>
      </w:r>
      <w:r w:rsidRPr="000A4DEF">
        <w:rPr>
          <w:i/>
          <w:iCs/>
        </w:rPr>
        <w:t>See, e.g., Application of KAZT, LLC</w:t>
      </w:r>
      <w:r w:rsidRPr="000A4DEF">
        <w:t>, Memorandum Opinion and Order and Notice of Apparent Liability for Forfeiture, File No. 0000163742 (Nov. 5, 2021) (granting petition to reinstate permit upon conclusion of forfeiture proceeding).</w:t>
      </w:r>
    </w:p>
  </w:footnote>
  <w:footnote w:id="12">
    <w:p w:rsidR="00D32778" w:rsidRPr="000A4DEF" w:rsidP="00E43DD7" w14:paraId="4E54094D" w14:textId="77777777">
      <w:pPr>
        <w:pStyle w:val="FootnoteText"/>
        <w:widowControl w:val="0"/>
      </w:pPr>
      <w:r w:rsidRPr="000A4DEF">
        <w:rPr>
          <w:rStyle w:val="FootnoteReference"/>
        </w:rPr>
        <w:footnoteRef/>
      </w:r>
      <w:r w:rsidRPr="000A4DEF">
        <w:t xml:space="preserve"> </w:t>
      </w:r>
      <w:r w:rsidRPr="000A4DEF">
        <w:rPr>
          <w:i/>
          <w:iCs/>
        </w:rPr>
        <w:t>See</w:t>
      </w:r>
      <w:r w:rsidRPr="000A4DEF">
        <w:t xml:space="preserve"> 47 CFR § 74.788.</w:t>
      </w:r>
    </w:p>
  </w:footnote>
  <w:footnote w:id="13">
    <w:p w:rsidR="00D32778" w:rsidRPr="000A4DEF" w:rsidP="00E43DD7" w14:paraId="08F59E53" w14:textId="77777777">
      <w:pPr>
        <w:pStyle w:val="FootnoteText"/>
      </w:pPr>
      <w:r w:rsidRPr="000A4DEF">
        <w:rPr>
          <w:rStyle w:val="FootnoteReference"/>
        </w:rPr>
        <w:footnoteRef/>
      </w:r>
      <w:r w:rsidRPr="000A4DEF">
        <w:t xml:space="preserve"> </w:t>
      </w:r>
      <w:r w:rsidRPr="000A4DEF">
        <w:rPr>
          <w:i/>
          <w:iCs/>
        </w:rPr>
        <w:t>Townsquare Media of El Paso, Inc., Notice of Apparent Liability for Forfeiture</w:t>
      </w:r>
      <w:r w:rsidRPr="000A4DEF">
        <w:t xml:space="preserve">, 35 FCC </w:t>
      </w:r>
      <w:r w:rsidRPr="000A4DEF">
        <w:t>Rcd</w:t>
      </w:r>
      <w:r w:rsidRPr="000A4DEF">
        <w:t xml:space="preserve"> 6661, 6665, para. 5 and n. 37 (EB 2020) (“It is immaterial whether . . . violations were inadvertent, the result of ignorance of the law, or the product of administrative oversight”).</w:t>
      </w:r>
    </w:p>
  </w:footnote>
  <w:footnote w:id="14">
    <w:p w:rsidR="00D32778" w:rsidRPr="000A4DEF" w:rsidP="00E43DD7" w14:paraId="51C79757" w14:textId="77777777">
      <w:pPr>
        <w:pStyle w:val="FootnoteText"/>
        <w:widowControl w:val="0"/>
      </w:pPr>
      <w:r w:rsidRPr="000A4DEF">
        <w:rPr>
          <w:rStyle w:val="FootnoteReference"/>
        </w:rPr>
        <w:footnoteRef/>
      </w:r>
      <w:r w:rsidRPr="000A4DEF">
        <w:t xml:space="preserve"> </w:t>
      </w:r>
      <w:r w:rsidRPr="000A4DEF">
        <w:t xml:space="preserve">47 U.S.C. § 503(b)(1)(B).  </w:t>
      </w:r>
      <w:r w:rsidRPr="000A4DEF">
        <w:rPr>
          <w:i/>
        </w:rPr>
        <w:t>S</w:t>
      </w:r>
      <w:r w:rsidRPr="000A4DEF">
        <w:rPr>
          <w:i/>
          <w:iCs/>
        </w:rPr>
        <w:t>ee also</w:t>
      </w:r>
      <w:r w:rsidRPr="000A4DEF">
        <w:t xml:space="preserve"> 47 CFR § 1.80(a)(1).</w:t>
      </w:r>
    </w:p>
  </w:footnote>
  <w:footnote w:id="15">
    <w:p w:rsidR="00D32778" w:rsidRPr="000A4DEF" w:rsidP="00E43DD7" w14:paraId="7105BF7E" w14:textId="77777777">
      <w:pPr>
        <w:pStyle w:val="FootnoteText"/>
        <w:widowControl w:val="0"/>
      </w:pPr>
      <w:r w:rsidRPr="000A4DEF">
        <w:rPr>
          <w:rStyle w:val="FootnoteReference"/>
        </w:rPr>
        <w:footnoteRef/>
      </w:r>
      <w:r w:rsidRPr="000A4DEF">
        <w:t xml:space="preserve"> </w:t>
      </w:r>
      <w:r w:rsidRPr="000A4DEF">
        <w:t>47 U.S.C. § 312(f)(1).</w:t>
      </w:r>
    </w:p>
  </w:footnote>
  <w:footnote w:id="16">
    <w:p w:rsidR="00D32778" w:rsidRPr="000A4DEF" w:rsidP="00E43DD7" w14:paraId="04902B47" w14:textId="77777777">
      <w:pPr>
        <w:pStyle w:val="FootnoteText"/>
        <w:widowControl w:val="0"/>
      </w:pPr>
      <w:r w:rsidRPr="000A4DEF">
        <w:rPr>
          <w:rStyle w:val="FootnoteReference"/>
        </w:rPr>
        <w:footnoteRef/>
      </w:r>
      <w:r w:rsidRPr="000A4DEF">
        <w:rPr>
          <w:i/>
        </w:rPr>
        <w:t xml:space="preserve"> </w:t>
      </w:r>
      <w:r w:rsidRPr="000A4DEF">
        <w:rPr>
          <w:i/>
        </w:rPr>
        <w:t>See</w:t>
      </w:r>
      <w:r w:rsidRPr="000A4DEF">
        <w:t xml:space="preserve"> H.R. Rep. No. 97-765, 97</w:t>
      </w:r>
      <w:r w:rsidRPr="000A4DEF">
        <w:rPr>
          <w:vertAlign w:val="superscript"/>
        </w:rPr>
        <w:t>th</w:t>
      </w:r>
      <w:r w:rsidRPr="000A4DEF">
        <w:t xml:space="preserve"> Cong. 2d Sess. 51 (1982).</w:t>
      </w:r>
    </w:p>
  </w:footnote>
  <w:footnote w:id="17">
    <w:p w:rsidR="00D32778" w:rsidRPr="000A4DEF" w:rsidP="00E43DD7" w14:paraId="29D908DA" w14:textId="77777777">
      <w:pPr>
        <w:pStyle w:val="FootnoteText"/>
        <w:widowControl w:val="0"/>
      </w:pPr>
      <w:r w:rsidRPr="000A4DEF">
        <w:rPr>
          <w:rStyle w:val="FootnoteReference"/>
        </w:rPr>
        <w:footnoteRef/>
      </w:r>
      <w:r w:rsidRPr="000A4DEF">
        <w:rPr>
          <w:i/>
          <w:iCs/>
        </w:rPr>
        <w:t xml:space="preserve"> </w:t>
      </w:r>
      <w:r w:rsidRPr="000A4DEF">
        <w:rPr>
          <w:i/>
          <w:iCs/>
        </w:rPr>
        <w:t>See Southern California Broad. Co.</w:t>
      </w:r>
      <w:r w:rsidRPr="000A4DEF">
        <w:t xml:space="preserve">, Memorandum Opinion and Order, 6 FCC </w:t>
      </w:r>
      <w:r w:rsidRPr="000A4DEF">
        <w:t>Rcd</w:t>
      </w:r>
      <w:r w:rsidRPr="000A4DEF">
        <w:t xml:space="preserve"> 4387, 4388, para. 5 (1991), </w:t>
      </w:r>
      <w:r w:rsidRPr="000A4DEF">
        <w:rPr>
          <w:i/>
        </w:rPr>
        <w:t>recon. denied</w:t>
      </w:r>
      <w:r w:rsidRPr="000A4DEF">
        <w:t xml:space="preserve">, Memorandum Opinion and Order, 7 FCC </w:t>
      </w:r>
      <w:r w:rsidRPr="000A4DEF">
        <w:t>Rcd</w:t>
      </w:r>
      <w:r w:rsidRPr="000A4DEF">
        <w:t xml:space="preserve"> 3454 (1992).</w:t>
      </w:r>
    </w:p>
  </w:footnote>
  <w:footnote w:id="18">
    <w:p w:rsidR="00D32778" w:rsidRPr="000A4DEF" w:rsidP="00E43DD7" w14:paraId="063566AB" w14:textId="77777777">
      <w:pPr>
        <w:pStyle w:val="Footer"/>
        <w:spacing w:after="120"/>
        <w:rPr>
          <w:sz w:val="20"/>
        </w:rPr>
      </w:pPr>
      <w:r w:rsidRPr="000A4DEF">
        <w:rPr>
          <w:rStyle w:val="FootnoteReference"/>
        </w:rPr>
        <w:footnoteRef/>
      </w:r>
      <w:r w:rsidRPr="000A4DEF">
        <w:rPr>
          <w:sz w:val="20"/>
        </w:rPr>
        <w:t xml:space="preserve"> </w:t>
      </w:r>
      <w:r w:rsidRPr="000A4DEF">
        <w:rPr>
          <w:sz w:val="20"/>
        </w:rPr>
        <w:t xml:space="preserve">47 U.S.C. § 312(f)(2). </w:t>
      </w:r>
    </w:p>
  </w:footnote>
  <w:footnote w:id="19">
    <w:p w:rsidR="00D32778" w:rsidRPr="000A4DEF" w:rsidP="00E43DD7" w14:paraId="49B06EEF" w14:textId="77777777">
      <w:pPr>
        <w:pStyle w:val="Footer"/>
        <w:spacing w:after="120"/>
        <w:rPr>
          <w:sz w:val="20"/>
        </w:rPr>
      </w:pPr>
      <w:r w:rsidRPr="000A4DEF">
        <w:rPr>
          <w:rStyle w:val="FootnoteReference"/>
        </w:rPr>
        <w:footnoteRef/>
      </w:r>
      <w:r w:rsidRPr="000A4DEF">
        <w:rPr>
          <w:sz w:val="20"/>
        </w:rPr>
        <w:t xml:space="preserve"> </w:t>
      </w:r>
      <w:r w:rsidRPr="000A4DEF">
        <w:rPr>
          <w:i/>
          <w:sz w:val="20"/>
        </w:rPr>
        <w:t>See Forfeiture Policy Statement and Amendment of Section 1.80(b) of the Rules to Incorporate the Forfeiture Guidelines</w:t>
      </w:r>
      <w:r w:rsidRPr="000A4DEF">
        <w:rPr>
          <w:sz w:val="20"/>
        </w:rPr>
        <w:t>,</w:t>
      </w:r>
      <w:r w:rsidRPr="000A4DEF">
        <w:rPr>
          <w:i/>
          <w:sz w:val="20"/>
        </w:rPr>
        <w:t xml:space="preserve"> </w:t>
      </w:r>
      <w:r w:rsidRPr="000A4DEF">
        <w:rPr>
          <w:sz w:val="20"/>
        </w:rPr>
        <w:t xml:space="preserve">Report and Order, 12 FCC </w:t>
      </w:r>
      <w:r w:rsidRPr="000A4DEF">
        <w:rPr>
          <w:sz w:val="20"/>
        </w:rPr>
        <w:t>Rcd</w:t>
      </w:r>
      <w:r w:rsidRPr="000A4DEF">
        <w:rPr>
          <w:sz w:val="20"/>
        </w:rPr>
        <w:t xml:space="preserve"> 17087, 17113-15 (1997) (</w:t>
      </w:r>
      <w:r w:rsidRPr="000A4DEF">
        <w:rPr>
          <w:i/>
          <w:sz w:val="20"/>
        </w:rPr>
        <w:t>Forfeiture Policy Statement</w:t>
      </w:r>
      <w:r w:rsidRPr="000A4DEF">
        <w:rPr>
          <w:sz w:val="20"/>
        </w:rPr>
        <w:t xml:space="preserve">), </w:t>
      </w:r>
      <w:r w:rsidRPr="000A4DEF">
        <w:rPr>
          <w:i/>
          <w:sz w:val="20"/>
        </w:rPr>
        <w:t>recon. denied</w:t>
      </w:r>
      <w:r w:rsidRPr="000A4DEF">
        <w:rPr>
          <w:sz w:val="20"/>
        </w:rPr>
        <w:t xml:space="preserve">, Memorandum Opinion and Order, 15 FCC </w:t>
      </w:r>
      <w:r w:rsidRPr="000A4DEF">
        <w:rPr>
          <w:sz w:val="20"/>
        </w:rPr>
        <w:t>Rcd</w:t>
      </w:r>
      <w:r w:rsidRPr="000A4DEF">
        <w:rPr>
          <w:sz w:val="20"/>
        </w:rPr>
        <w:t xml:space="preserve"> 303 (1999); 47 CFR § 1.80(b)(10), note to paragraph (b)(10), Section I.</w:t>
      </w:r>
    </w:p>
  </w:footnote>
  <w:footnote w:id="20">
    <w:p w:rsidR="00D32778" w:rsidRPr="000A4DEF" w:rsidP="00E43DD7" w14:paraId="109CA53D" w14:textId="77777777">
      <w:pPr>
        <w:shd w:val="clear" w:color="auto" w:fill="FFFFFF"/>
        <w:spacing w:after="120"/>
        <w:rPr>
          <w:sz w:val="20"/>
        </w:rPr>
      </w:pPr>
      <w:r w:rsidRPr="000A4DEF">
        <w:rPr>
          <w:rStyle w:val="FootnoteReference"/>
        </w:rPr>
        <w:footnoteRef/>
      </w:r>
      <w:r w:rsidRPr="000A4DEF">
        <w:rPr>
          <w:sz w:val="20"/>
        </w:rPr>
        <w:t xml:space="preserve"> </w:t>
      </w:r>
      <w:r w:rsidRPr="000A4DEF">
        <w:rPr>
          <w:sz w:val="20"/>
        </w:rPr>
        <w:t xml:space="preserve">A broadcast station requires an authorization from the Commission to operate.  </w:t>
      </w:r>
      <w:r w:rsidRPr="000A4DEF">
        <w:rPr>
          <w:i/>
          <w:iCs/>
          <w:sz w:val="20"/>
        </w:rPr>
        <w:t>See</w:t>
      </w:r>
      <w:r w:rsidRPr="000A4DEF">
        <w:rPr>
          <w:sz w:val="20"/>
        </w:rPr>
        <w:t xml:space="preserve"> 47 U.S.C. § 301.</w:t>
      </w:r>
    </w:p>
  </w:footnote>
  <w:footnote w:id="21">
    <w:p w:rsidR="00D32778" w:rsidRPr="000A4DEF" w:rsidP="00E43DD7" w14:paraId="647BC38A" w14:textId="77777777">
      <w:pPr>
        <w:pStyle w:val="FootnoteText"/>
        <w:widowControl w:val="0"/>
      </w:pPr>
      <w:r w:rsidRPr="000A4DEF">
        <w:rPr>
          <w:rStyle w:val="FootnoteReference"/>
        </w:rPr>
        <w:footnoteRef/>
      </w:r>
      <w:r w:rsidRPr="000A4DEF">
        <w:t xml:space="preserve"> </w:t>
      </w:r>
      <w:r w:rsidRPr="000A4DEF">
        <w:t xml:space="preserve">47 U.S.C. § 503(b)(2)(E); </w:t>
      </w:r>
      <w:r w:rsidRPr="000A4DEF">
        <w:rPr>
          <w:i/>
        </w:rPr>
        <w:t>see also Forfeiture Policy Statement</w:t>
      </w:r>
      <w:r w:rsidRPr="000A4DEF">
        <w:t>,</w:t>
      </w:r>
      <w:r w:rsidRPr="000A4DEF">
        <w:rPr>
          <w:i/>
        </w:rPr>
        <w:t xml:space="preserve"> </w:t>
      </w:r>
      <w:r w:rsidRPr="000A4DEF">
        <w:t xml:space="preserve">12 FCC </w:t>
      </w:r>
      <w:r w:rsidRPr="000A4DEF">
        <w:t>Rcd</w:t>
      </w:r>
      <w:r w:rsidRPr="000A4DEF">
        <w:t xml:space="preserve"> at 17100; 47 CFR § 1.80(b)(4). </w:t>
      </w:r>
    </w:p>
  </w:footnote>
  <w:footnote w:id="22">
    <w:p w:rsidR="00D32778" w:rsidRPr="000A4DEF" w:rsidP="00E43DD7" w14:paraId="7B096FAD" w14:textId="77777777">
      <w:pPr>
        <w:pStyle w:val="FootnoteText"/>
        <w:widowControl w:val="0"/>
      </w:pPr>
      <w:r w:rsidRPr="000A4DEF">
        <w:rPr>
          <w:rStyle w:val="FootnoteReference"/>
        </w:rPr>
        <w:footnoteRef/>
      </w:r>
      <w:r w:rsidRPr="000A4DEF">
        <w:t xml:space="preserve"> </w:t>
      </w:r>
      <w:r w:rsidRPr="000A4DEF">
        <w:rPr>
          <w:i/>
          <w:iCs/>
        </w:rPr>
        <w:t>See, e.g.,</w:t>
      </w:r>
      <w:r w:rsidRPr="000A4DEF">
        <w:t xml:space="preserve"> </w:t>
      </w:r>
      <w:r w:rsidRPr="000A4DEF">
        <w:rPr>
          <w:i/>
          <w:iCs/>
        </w:rPr>
        <w:t>WKLC, Inc.</w:t>
      </w:r>
      <w:r w:rsidRPr="000A4DEF">
        <w:t xml:space="preserve">, Memorandum Opinion and Order and Notice of Apparent Liability, 26 FCC </w:t>
      </w:r>
      <w:r w:rsidRPr="000A4DEF">
        <w:t>Rcd</w:t>
      </w:r>
      <w:r w:rsidRPr="000A4DEF">
        <w:t xml:space="preserve"> 11001 (MB 2011) (proposing $7,000 forfeiture for violation of section 73.3598 of the Rules and section 301 of the Act).  </w:t>
      </w:r>
      <w:r w:rsidRPr="000A4DEF">
        <w:rPr>
          <w:i/>
          <w:iCs/>
        </w:rPr>
        <w:t>See also Clear Channel</w:t>
      </w:r>
      <w:r w:rsidRPr="000A4DEF">
        <w:t xml:space="preserve">, 26 FCC </w:t>
      </w:r>
      <w:r w:rsidRPr="000A4DEF">
        <w:t>Rcd</w:t>
      </w:r>
      <w:r w:rsidRPr="000A4DEF">
        <w:t xml:space="preserve"> at 7157 (“</w:t>
      </w:r>
      <w:r w:rsidRPr="000A4DEF">
        <w:rPr>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23">
    <w:p w:rsidR="00D32778" w:rsidRPr="000A4DEF" w:rsidP="00E43DD7" w14:paraId="340E4B4A" w14:textId="77777777">
      <w:pPr>
        <w:pStyle w:val="FootnoteText"/>
        <w:widowControl w:val="0"/>
      </w:pPr>
      <w:r w:rsidRPr="000A4DEF">
        <w:rPr>
          <w:rStyle w:val="FootnoteReference"/>
        </w:rPr>
        <w:footnoteRef/>
      </w:r>
      <w:r w:rsidRPr="000A4DEF">
        <w:t xml:space="preserve"> </w:t>
      </w:r>
      <w:r w:rsidRPr="000A4DEF">
        <w:rPr>
          <w:i/>
          <w:iCs/>
        </w:rPr>
        <w:t>See, e.g.</w:t>
      </w:r>
      <w:r w:rsidRPr="000A4DEF">
        <w:t xml:space="preserve">, </w:t>
      </w:r>
      <w:r w:rsidRPr="000A4DEF">
        <w:rPr>
          <w:i/>
          <w:iCs/>
        </w:rPr>
        <w:t>Pirate Media Group, LLC</w:t>
      </w:r>
      <w:r w:rsidRPr="000A4DEF">
        <w:t>,</w:t>
      </w:r>
      <w:r w:rsidRPr="000A4DEF">
        <w:rPr>
          <w:i/>
          <w:iCs/>
        </w:rPr>
        <w:t xml:space="preserve"> </w:t>
      </w:r>
      <w:r w:rsidRPr="000A4DEF">
        <w:t xml:space="preserve">Memorandum Opinion and Order and Notice of Apparent Liability, 34 FCC </w:t>
      </w:r>
      <w:r w:rsidRPr="000A4DEF">
        <w:t>Rcd</w:t>
      </w:r>
      <w:r w:rsidRPr="000A4DEF">
        <w:t xml:space="preserve"> 12280 (MB 2019) (reducing $3,000 base forfeiture to $1,500 for untimely filed renewal application filed by FM translator station).</w:t>
      </w:r>
    </w:p>
  </w:footnote>
  <w:footnote w:id="24">
    <w:p w:rsidR="00D32778" w:rsidRPr="000A4DEF" w:rsidP="00E43DD7" w14:paraId="236B3113" w14:textId="77777777">
      <w:pPr>
        <w:pStyle w:val="FootnoteText"/>
        <w:widowControl w:val="0"/>
      </w:pPr>
      <w:r w:rsidRPr="000A4DEF">
        <w:rPr>
          <w:rStyle w:val="FootnoteReference"/>
        </w:rPr>
        <w:footnoteRef/>
      </w:r>
      <w:r w:rsidRPr="000A4DEF">
        <w:t xml:space="preserve"> </w:t>
      </w:r>
      <w:r w:rsidRPr="000A4DEF">
        <w:rPr>
          <w:iCs/>
        </w:rPr>
        <w:t xml:space="preserve">A waiver is appropriate where the particular facts would make strict compliance inconsistent with the public interest and deviation from the general rule would relieve hardship, promote equity, or produce a more effective implementation of overall policy on an individual basis.  </w:t>
      </w:r>
      <w:r w:rsidRPr="000A4DEF">
        <w:rPr>
          <w:i/>
        </w:rPr>
        <w:t>Northeast Cellular Telephone Co. v. FCC</w:t>
      </w:r>
      <w:r w:rsidRPr="000A4DEF">
        <w:t xml:space="preserve">, 897 F.2d 1164, 1166 (D.C. Cir. 1990) and </w:t>
      </w:r>
      <w:r w:rsidRPr="000A4DEF">
        <w:rPr>
          <w:i/>
        </w:rPr>
        <w:t>WAIT Radio v. FCC</w:t>
      </w:r>
      <w:r w:rsidRPr="000A4DEF">
        <w:t>, 418 F.2d 1153, 1159 (D.C. Cir. 1969),</w:t>
      </w:r>
      <w:r w:rsidRPr="000A4DEF">
        <w:rPr>
          <w:i/>
        </w:rPr>
        <w:t xml:space="preserve"> cert. denied</w:t>
      </w:r>
      <w:r w:rsidRPr="000A4DEF">
        <w:t xml:space="preserve">, 409 U.S. 1072 (1972); 47 CFR § 1.3 (waiver for good cause shown).  Providing relief in instances where a licensee has failed to file an application for license to cover, but clearly completed construction prior to its authorized facility prior to the construction expiration date is consistent with Commission precedent.  </w:t>
      </w:r>
      <w:r w:rsidRPr="000A4DEF">
        <w:rPr>
          <w:i/>
          <w:iCs/>
        </w:rPr>
        <w:t>See e.g.,</w:t>
      </w:r>
      <w:r w:rsidRPr="000A4DEF">
        <w:t xml:space="preserve"> </w:t>
      </w:r>
      <w:r w:rsidRPr="000A4DEF">
        <w:rPr>
          <w:i/>
          <w:iCs/>
        </w:rPr>
        <w:t>Clear Channel Broadcasting Licenses, Inc.</w:t>
      </w:r>
      <w:r w:rsidRPr="000A4DEF">
        <w:t xml:space="preserve">, Memorandum Opinion and Order, </w:t>
      </w:r>
      <w:bookmarkStart w:id="3" w:name="_Hlk78178508"/>
      <w:r w:rsidRPr="000A4DEF">
        <w:t xml:space="preserve">26 FCC </w:t>
      </w:r>
      <w:r w:rsidRPr="000A4DEF">
        <w:t>Rcd</w:t>
      </w:r>
      <w:r w:rsidRPr="000A4DEF">
        <w:t xml:space="preserve"> 7153</w:t>
      </w:r>
      <w:bookmarkEnd w:id="3"/>
      <w:r w:rsidRPr="000A4DEF">
        <w:t xml:space="preserve">, 7157, para 11 (2011) (upholding as proper the Bureau’s practice of processing a late-filed covering license application for facilities fully completed by the construction deadline through the waiver process); </w:t>
      </w:r>
      <w:r w:rsidRPr="000A4DEF">
        <w:rPr>
          <w:i/>
          <w:iCs/>
        </w:rPr>
        <w:t>Cranesville</w:t>
      </w:r>
      <w:r w:rsidRPr="000A4DEF">
        <w:rPr>
          <w:i/>
          <w:iCs/>
        </w:rPr>
        <w:t xml:space="preserve"> Block Company, Inc.</w:t>
      </w:r>
      <w:r w:rsidRPr="000A4DEF">
        <w:t xml:space="preserve">, Letter Order, 27 FCC </w:t>
      </w:r>
      <w:r w:rsidRPr="000A4DEF">
        <w:t>Rcd</w:t>
      </w:r>
      <w:r w:rsidRPr="000A4DEF">
        <w:t xml:space="preserve"> 2018, 2019-20 (MB 2012) (dismissing a petition for reconsideration of an expired construction permit as procedurally improper and treating it instead as a request for waiver).  We find that based on the specific facts and circumstances presented here waiver is warranted.  Notably, the Permittee in fact submitted a license to cover affirming that construction was completed, but failed to pay the fee.  We note that the Permittee requests waiver of 47 CFR § 73.3598, which also is applicable to digital LPTV stations and is waived as necessary.</w:t>
      </w:r>
    </w:p>
  </w:footnote>
  <w:footnote w:id="25">
    <w:p w:rsidR="00D32778" w:rsidRPr="000A4DEF" w:rsidP="00E43DD7" w14:paraId="62465B8D" w14:textId="77777777">
      <w:pPr>
        <w:pStyle w:val="FootnoteText"/>
        <w:widowControl w:val="0"/>
      </w:pPr>
      <w:r w:rsidRPr="000A4DEF">
        <w:rPr>
          <w:rStyle w:val="FootnoteReference"/>
        </w:rPr>
        <w:footnoteRef/>
      </w:r>
      <w:r w:rsidRPr="000A4DEF">
        <w:t xml:space="preserve"> </w:t>
      </w:r>
      <w:bookmarkStart w:id="4" w:name="_Hlk63415835"/>
      <w:r w:rsidRPr="000A4DEF">
        <w:t>47 U.S.C. § 503(b); 47 CFR § 1.80.</w:t>
      </w:r>
      <w:bookmarkEnd w:id="4"/>
    </w:p>
  </w:footnote>
  <w:footnote w:id="26">
    <w:p w:rsidR="00D32778" w:rsidRPr="000A4DEF" w:rsidP="00E43DD7" w14:paraId="40330C29" w14:textId="77777777">
      <w:pPr>
        <w:pStyle w:val="FootnoteText"/>
        <w:widowControl w:val="0"/>
      </w:pPr>
      <w:r w:rsidRPr="000A4DEF">
        <w:rPr>
          <w:rStyle w:val="FootnoteReference"/>
        </w:rPr>
        <w:footnoteRef/>
      </w:r>
      <w:r w:rsidRPr="000A4DEF">
        <w:t xml:space="preserve"> </w:t>
      </w:r>
      <w:r w:rsidRPr="000A4DEF">
        <w:t>47 CFR § 74.788(b); 47 U.S.C. § 301.</w:t>
      </w:r>
    </w:p>
  </w:footnote>
  <w:footnote w:id="27">
    <w:p w:rsidR="00D32778" w:rsidRPr="000A4DEF" w:rsidP="00E43DD7" w14:paraId="016655DE" w14:textId="77777777">
      <w:pPr>
        <w:pStyle w:val="FootnoteText"/>
        <w:widowControl w:val="0"/>
      </w:pPr>
      <w:r w:rsidRPr="000A4DEF">
        <w:rPr>
          <w:rStyle w:val="FootnoteReference"/>
        </w:rPr>
        <w:footnoteRef/>
      </w:r>
      <w:r w:rsidRPr="000A4DEF">
        <w:t xml:space="preserve"> </w:t>
      </w:r>
      <w:r w:rsidRPr="000A4DEF">
        <w:t>47 CFR § 1.80.</w:t>
      </w:r>
    </w:p>
  </w:footnote>
  <w:footnote w:id="28">
    <w:p w:rsidR="00D32778" w:rsidRPr="000A4DEF" w:rsidP="00E43DD7" w14:paraId="4DF8D860" w14:textId="77777777">
      <w:pPr>
        <w:pStyle w:val="FootnoteText"/>
        <w:widowControl w:val="0"/>
      </w:pPr>
      <w:r w:rsidRPr="000A4DEF">
        <w:rPr>
          <w:rStyle w:val="FootnoteReference"/>
        </w:rPr>
        <w:footnoteRef/>
      </w:r>
      <w:r w:rsidRPr="000A4DEF">
        <w:t xml:space="preserve"> </w:t>
      </w:r>
      <w:r w:rsidRPr="000A4DEF">
        <w:t>Payments made using CORES do not require the submission of an FCC Form 159.</w:t>
      </w:r>
    </w:p>
  </w:footnote>
  <w:footnote w:id="29">
    <w:p w:rsidR="00D32778" w:rsidRPr="000A4DEF" w:rsidP="00E43DD7" w14:paraId="5E91B397" w14:textId="77777777">
      <w:pPr>
        <w:pStyle w:val="FootnoteText"/>
        <w:widowControl w:val="0"/>
      </w:pPr>
      <w:r w:rsidRPr="000A4DEF">
        <w:rPr>
          <w:rStyle w:val="FootnoteReference"/>
        </w:rPr>
        <w:footnoteRef/>
      </w:r>
      <w:r w:rsidRPr="000A4DEF">
        <w:t xml:space="preserve"> </w:t>
      </w:r>
      <w:r w:rsidRPr="000A4DEF">
        <w:t xml:space="preserve">For questions regarding payment procedures, please contact the Financial Operations Group Help Desk by phone at 1-877-480-3201 (option #6), or by e-mail at </w:t>
      </w:r>
      <w:hyperlink r:id="rId1" w:history="1">
        <w:r w:rsidRPr="000A4DEF">
          <w:rPr>
            <w:rStyle w:val="Hyperlink"/>
            <w:color w:val="auto"/>
          </w:rPr>
          <w:t>ARINQUIRIES@fcc.gov</w:t>
        </w:r>
      </w:hyperlink>
      <w:r w:rsidRPr="000A4DEF">
        <w:t xml:space="preserve">.  </w:t>
      </w:r>
    </w:p>
  </w:footnote>
  <w:footnote w:id="30">
    <w:p w:rsidR="00D32778" w:rsidRPr="000A4DEF" w:rsidP="00E43DD7" w14:paraId="16A38F8F" w14:textId="77777777">
      <w:pPr>
        <w:pStyle w:val="FootnoteText"/>
        <w:widowControl w:val="0"/>
      </w:pPr>
      <w:r w:rsidRPr="000A4DEF">
        <w:rPr>
          <w:rStyle w:val="FootnoteReference"/>
        </w:rPr>
        <w:footnoteRef/>
      </w:r>
      <w:r w:rsidRPr="000A4DEF">
        <w:t xml:space="preserve"> </w:t>
      </w:r>
      <w:r w:rsidRPr="000A4DEF">
        <w:t xml:space="preserve">Instructions for completing the form may be obtained at </w:t>
      </w:r>
      <w:hyperlink r:id="rId2" w:history="1">
        <w:r w:rsidRPr="000A4DEF">
          <w:rPr>
            <w:rStyle w:val="Hyperlink"/>
            <w:color w:val="auto"/>
          </w:rPr>
          <w:t>https://www.fcc.gov/Forms/Form159/159.pdf</w:t>
        </w:r>
      </w:hyperlink>
      <w:r w:rsidRPr="000A4DEF">
        <w:t xml:space="preserve">. </w:t>
      </w:r>
    </w:p>
  </w:footnote>
  <w:footnote w:id="31">
    <w:p w:rsidR="00D32778" w:rsidRPr="000A4DEF" w:rsidP="00E43DD7" w14:paraId="1BC7236A" w14:textId="77777777">
      <w:pPr>
        <w:pStyle w:val="FootnoteText"/>
        <w:widowControl w:val="0"/>
      </w:pPr>
      <w:r w:rsidRPr="000A4DEF">
        <w:rPr>
          <w:rStyle w:val="FootnoteReference"/>
        </w:rPr>
        <w:footnoteRef/>
      </w:r>
      <w:r w:rsidRPr="000A4DEF">
        <w:t xml:space="preserve"> </w:t>
      </w:r>
      <w:r w:rsidRPr="000A4DEF">
        <w:rPr>
          <w:i/>
        </w:rPr>
        <w:t>See</w:t>
      </w:r>
      <w:r w:rsidRPr="000A4DEF">
        <w:t xml:space="preserve"> 47 CFR § 1.1914.</w:t>
      </w:r>
    </w:p>
  </w:footnote>
  <w:footnote w:id="32">
    <w:p w:rsidR="00D32778" w:rsidRPr="000A4DEF" w:rsidP="00E43DD7" w14:paraId="41A65168" w14:textId="77777777">
      <w:pPr>
        <w:pStyle w:val="FootnoteText"/>
        <w:widowControl w:val="0"/>
      </w:pPr>
      <w:r w:rsidRPr="000A4DEF">
        <w:rPr>
          <w:rStyle w:val="FootnoteReference"/>
        </w:rPr>
        <w:footnoteRef/>
      </w:r>
      <w:r w:rsidRPr="000A4DEF">
        <w:t xml:space="preserve"> </w:t>
      </w:r>
      <w:r w:rsidRPr="000A4DEF">
        <w:t>47 CFR §§ 1.16 and 1.80(g)(3).</w:t>
      </w:r>
    </w:p>
  </w:footnote>
  <w:footnote w:id="33">
    <w:p w:rsidR="00D32778" w:rsidRPr="000A4DEF" w:rsidP="00E43DD7" w14:paraId="248DC997" w14:textId="77777777">
      <w:pPr>
        <w:pStyle w:val="FootnoteText"/>
        <w:widowControl w:val="0"/>
      </w:pPr>
      <w:r w:rsidRPr="000A4DEF">
        <w:rPr>
          <w:rStyle w:val="FootnoteReference"/>
        </w:rPr>
        <w:footnoteRef/>
      </w:r>
      <w:r w:rsidRPr="000A4DEF">
        <w:t xml:space="preserve"> </w:t>
      </w:r>
      <w:r w:rsidRPr="000A4DEF">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0A4DEF">
        <w:rPr>
          <w:i/>
          <w:iCs/>
        </w:rPr>
        <w:t>See</w:t>
      </w:r>
      <w:r w:rsidRPr="000A4DEF">
        <w:t xml:space="preserve"> </w:t>
      </w:r>
      <w:r w:rsidRPr="000A4DEF">
        <w:rPr>
          <w:i/>
          <w:iCs/>
        </w:rPr>
        <w:t>FCC Announces Closure of FCC Headquarters Open Window and Change in Hand-Delivery Filing</w:t>
      </w:r>
      <w:r w:rsidRPr="000A4DEF">
        <w:t xml:space="preserve">, Public Notice, 35 FCC </w:t>
      </w:r>
      <w:r w:rsidRPr="000A4DEF">
        <w:t>Rcd</w:t>
      </w:r>
      <w:r w:rsidRPr="000A4DEF">
        <w:t xml:space="preserve"> 2788 (2020).</w:t>
      </w:r>
    </w:p>
  </w:footnote>
  <w:footnote w:id="34">
    <w:p w:rsidR="00D32778" w:rsidRPr="000A4DEF" w:rsidP="00E43DD7" w14:paraId="6E7B7248" w14:textId="77777777">
      <w:pPr>
        <w:pStyle w:val="FootnoteText"/>
        <w:widowControl w:val="0"/>
      </w:pPr>
      <w:r w:rsidRPr="000A4DEF">
        <w:rPr>
          <w:rStyle w:val="FootnoteReference"/>
        </w:rPr>
        <w:footnoteRef/>
      </w:r>
      <w:r w:rsidRPr="000A4DEF">
        <w:t xml:space="preserve"> </w:t>
      </w:r>
      <w:r w:rsidRPr="000A4DEF">
        <w:rPr>
          <w:i/>
          <w:iCs/>
        </w:rPr>
        <w:t xml:space="preserve">See </w:t>
      </w:r>
      <w:r w:rsidRPr="000A4DEF">
        <w:t xml:space="preserve">47 U.S.C. 503(b)(2)(E); </w:t>
      </w:r>
      <w:r w:rsidRPr="000A4DEF">
        <w:rPr>
          <w:i/>
          <w:iCs/>
        </w:rPr>
        <w:t>Adrian Abramovich</w:t>
      </w:r>
      <w:r w:rsidRPr="000A4DEF">
        <w:t xml:space="preserve">, Forfeiture Order, 33 FCC </w:t>
      </w:r>
      <w:r w:rsidRPr="000A4DEF">
        <w:t>Rcd</w:t>
      </w:r>
      <w:r w:rsidRPr="000A4DEF">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F8B1C2" w14:textId="3D1E28A5">
    <w:pPr>
      <w:pStyle w:val="Header"/>
      <w:rPr>
        <w:b w:val="0"/>
      </w:rPr>
    </w:pPr>
    <w:r>
      <w:tab/>
    </w:r>
    <w:r>
      <w:t>Federal Communications Commission</w:t>
    </w:r>
    <w:r>
      <w:tab/>
    </w:r>
    <w:r w:rsidR="00C926E8">
      <w:t>DA 22-178</w:t>
    </w:r>
  </w:p>
  <w:p w:rsidR="00D25FB5" w14:paraId="04C8603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61F86F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0D442C" w14:textId="1A00E1A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C926E8">
      <w:rPr>
        <w:spacing w:val="-2"/>
      </w:rPr>
      <w:t>DA 22-178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B50972"/>
    <w:multiLevelType w:val="hybridMultilevel"/>
    <w:tmpl w:val="0B54E5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78"/>
    <w:rsid w:val="00021174"/>
    <w:rsid w:val="00036039"/>
    <w:rsid w:val="00037F90"/>
    <w:rsid w:val="000875BF"/>
    <w:rsid w:val="00096D8C"/>
    <w:rsid w:val="000A4DEF"/>
    <w:rsid w:val="000B44EA"/>
    <w:rsid w:val="000C0B65"/>
    <w:rsid w:val="000C4D69"/>
    <w:rsid w:val="000E05FE"/>
    <w:rsid w:val="000E3D42"/>
    <w:rsid w:val="00122BD5"/>
    <w:rsid w:val="00133F79"/>
    <w:rsid w:val="00146D8A"/>
    <w:rsid w:val="001710F9"/>
    <w:rsid w:val="00194A66"/>
    <w:rsid w:val="001D6BCF"/>
    <w:rsid w:val="001D7A5D"/>
    <w:rsid w:val="001E01CA"/>
    <w:rsid w:val="001F365E"/>
    <w:rsid w:val="00221720"/>
    <w:rsid w:val="00264220"/>
    <w:rsid w:val="00275CF5"/>
    <w:rsid w:val="00277113"/>
    <w:rsid w:val="0028301F"/>
    <w:rsid w:val="00285017"/>
    <w:rsid w:val="002A2D2E"/>
    <w:rsid w:val="002C00E8"/>
    <w:rsid w:val="00343749"/>
    <w:rsid w:val="003660ED"/>
    <w:rsid w:val="003B0550"/>
    <w:rsid w:val="003B694F"/>
    <w:rsid w:val="003F171C"/>
    <w:rsid w:val="003F17E2"/>
    <w:rsid w:val="00412FC5"/>
    <w:rsid w:val="00422276"/>
    <w:rsid w:val="004242F1"/>
    <w:rsid w:val="004254D2"/>
    <w:rsid w:val="00434675"/>
    <w:rsid w:val="00445A00"/>
    <w:rsid w:val="00451B0F"/>
    <w:rsid w:val="004C2EE3"/>
    <w:rsid w:val="004E079F"/>
    <w:rsid w:val="004E4A22"/>
    <w:rsid w:val="00511968"/>
    <w:rsid w:val="00514C8E"/>
    <w:rsid w:val="00546822"/>
    <w:rsid w:val="0055614C"/>
    <w:rsid w:val="00566D06"/>
    <w:rsid w:val="00591AAC"/>
    <w:rsid w:val="005E14C2"/>
    <w:rsid w:val="005F7F74"/>
    <w:rsid w:val="00600AB4"/>
    <w:rsid w:val="00607BA5"/>
    <w:rsid w:val="0061180A"/>
    <w:rsid w:val="00626EB6"/>
    <w:rsid w:val="00655D03"/>
    <w:rsid w:val="00683388"/>
    <w:rsid w:val="00683F84"/>
    <w:rsid w:val="006A6A81"/>
    <w:rsid w:val="006F7393"/>
    <w:rsid w:val="0070224F"/>
    <w:rsid w:val="007115F7"/>
    <w:rsid w:val="0074036A"/>
    <w:rsid w:val="00753410"/>
    <w:rsid w:val="00785689"/>
    <w:rsid w:val="0079754B"/>
    <w:rsid w:val="007A1E6D"/>
    <w:rsid w:val="007A2495"/>
    <w:rsid w:val="007B0EB2"/>
    <w:rsid w:val="007E5877"/>
    <w:rsid w:val="00810B6F"/>
    <w:rsid w:val="00822CE0"/>
    <w:rsid w:val="00841AB1"/>
    <w:rsid w:val="008C6012"/>
    <w:rsid w:val="008C68F1"/>
    <w:rsid w:val="008D30C5"/>
    <w:rsid w:val="008D4F70"/>
    <w:rsid w:val="00921803"/>
    <w:rsid w:val="00926503"/>
    <w:rsid w:val="009373AE"/>
    <w:rsid w:val="009377D8"/>
    <w:rsid w:val="00947B4D"/>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E3744"/>
    <w:rsid w:val="00C11811"/>
    <w:rsid w:val="00C2541D"/>
    <w:rsid w:val="00C34006"/>
    <w:rsid w:val="00C36B4C"/>
    <w:rsid w:val="00C426B1"/>
    <w:rsid w:val="00C6145C"/>
    <w:rsid w:val="00C66160"/>
    <w:rsid w:val="00C721AC"/>
    <w:rsid w:val="00C90D6A"/>
    <w:rsid w:val="00C926E8"/>
    <w:rsid w:val="00CA247E"/>
    <w:rsid w:val="00CA6D21"/>
    <w:rsid w:val="00CC72B6"/>
    <w:rsid w:val="00D0218D"/>
    <w:rsid w:val="00D25FB5"/>
    <w:rsid w:val="00D32778"/>
    <w:rsid w:val="00D44223"/>
    <w:rsid w:val="00D9623F"/>
    <w:rsid w:val="00DA2529"/>
    <w:rsid w:val="00DB10EE"/>
    <w:rsid w:val="00DB130A"/>
    <w:rsid w:val="00DB2EBB"/>
    <w:rsid w:val="00DC10A1"/>
    <w:rsid w:val="00DC655F"/>
    <w:rsid w:val="00DD0B59"/>
    <w:rsid w:val="00DD7EBD"/>
    <w:rsid w:val="00DF62B6"/>
    <w:rsid w:val="00E07225"/>
    <w:rsid w:val="00E43DD7"/>
    <w:rsid w:val="00E5409F"/>
    <w:rsid w:val="00EE4177"/>
    <w:rsid w:val="00EE6488"/>
    <w:rsid w:val="00EF5DBB"/>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E4F5AC"/>
  <w15:chartTrackingRefBased/>
  <w15:docId w15:val="{0AACCB0A-ED23-4323-91FA-F289C1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43DD7"/>
    <w:pPr>
      <w:widowControl w:val="0"/>
    </w:pPr>
    <w:rPr>
      <w:snapToGrid w:val="0"/>
      <w:kern w:val="28"/>
      <w:sz w:val="22"/>
    </w:rPr>
  </w:style>
  <w:style w:type="paragraph" w:styleId="Heading1">
    <w:name w:val="heading 1"/>
    <w:basedOn w:val="Normal"/>
    <w:next w:val="ParaNum"/>
    <w:link w:val="Heading1Char"/>
    <w:qFormat/>
    <w:rsid w:val="00E43DD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43DD7"/>
    <w:pPr>
      <w:keepNext/>
      <w:numPr>
        <w:ilvl w:val="1"/>
        <w:numId w:val="3"/>
      </w:numPr>
      <w:spacing w:after="120"/>
      <w:outlineLvl w:val="1"/>
    </w:pPr>
    <w:rPr>
      <w:b/>
    </w:rPr>
  </w:style>
  <w:style w:type="paragraph" w:styleId="Heading3">
    <w:name w:val="heading 3"/>
    <w:basedOn w:val="Normal"/>
    <w:next w:val="ParaNum"/>
    <w:qFormat/>
    <w:rsid w:val="00E43DD7"/>
    <w:pPr>
      <w:keepNext/>
      <w:numPr>
        <w:ilvl w:val="2"/>
        <w:numId w:val="3"/>
      </w:numPr>
      <w:tabs>
        <w:tab w:val="left" w:pos="2160"/>
      </w:tabs>
      <w:spacing w:after="120"/>
      <w:outlineLvl w:val="2"/>
    </w:pPr>
    <w:rPr>
      <w:b/>
    </w:rPr>
  </w:style>
  <w:style w:type="paragraph" w:styleId="Heading4">
    <w:name w:val="heading 4"/>
    <w:basedOn w:val="Normal"/>
    <w:next w:val="ParaNum"/>
    <w:qFormat/>
    <w:rsid w:val="00E43DD7"/>
    <w:pPr>
      <w:keepNext/>
      <w:numPr>
        <w:ilvl w:val="3"/>
        <w:numId w:val="3"/>
      </w:numPr>
      <w:tabs>
        <w:tab w:val="left" w:pos="2880"/>
      </w:tabs>
      <w:spacing w:after="120"/>
      <w:outlineLvl w:val="3"/>
    </w:pPr>
    <w:rPr>
      <w:b/>
    </w:rPr>
  </w:style>
  <w:style w:type="paragraph" w:styleId="Heading5">
    <w:name w:val="heading 5"/>
    <w:basedOn w:val="Normal"/>
    <w:next w:val="ParaNum"/>
    <w:qFormat/>
    <w:rsid w:val="00E43DD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43DD7"/>
    <w:pPr>
      <w:numPr>
        <w:ilvl w:val="5"/>
        <w:numId w:val="3"/>
      </w:numPr>
      <w:tabs>
        <w:tab w:val="left" w:pos="4320"/>
      </w:tabs>
      <w:spacing w:after="120"/>
      <w:outlineLvl w:val="5"/>
    </w:pPr>
    <w:rPr>
      <w:b/>
    </w:rPr>
  </w:style>
  <w:style w:type="paragraph" w:styleId="Heading7">
    <w:name w:val="heading 7"/>
    <w:basedOn w:val="Normal"/>
    <w:next w:val="ParaNum"/>
    <w:qFormat/>
    <w:rsid w:val="00E43DD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43D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43DD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3D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3DD7"/>
  </w:style>
  <w:style w:type="paragraph" w:customStyle="1" w:styleId="ParaNum">
    <w:name w:val="ParaNum"/>
    <w:basedOn w:val="Normal"/>
    <w:link w:val="ParaNumChar"/>
    <w:rsid w:val="00E43DD7"/>
    <w:pPr>
      <w:numPr>
        <w:numId w:val="2"/>
      </w:numPr>
      <w:tabs>
        <w:tab w:val="clear" w:pos="1080"/>
        <w:tab w:val="num" w:pos="1440"/>
      </w:tabs>
      <w:spacing w:after="120"/>
    </w:pPr>
  </w:style>
  <w:style w:type="paragraph" w:styleId="EndnoteText">
    <w:name w:val="endnote text"/>
    <w:basedOn w:val="Normal"/>
    <w:semiHidden/>
    <w:rsid w:val="00E43DD7"/>
    <w:rPr>
      <w:sz w:val="20"/>
    </w:rPr>
  </w:style>
  <w:style w:type="character" w:styleId="EndnoteReference">
    <w:name w:val="endnote reference"/>
    <w:semiHidden/>
    <w:rsid w:val="00E43DD7"/>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E43DD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43DD7"/>
    <w:rPr>
      <w:rFonts w:ascii="Times New Roman" w:hAnsi="Times New Roman"/>
      <w:dstrike w:val="0"/>
      <w:color w:val="auto"/>
      <w:sz w:val="20"/>
      <w:vertAlign w:val="superscript"/>
    </w:rPr>
  </w:style>
  <w:style w:type="paragraph" w:styleId="TOC1">
    <w:name w:val="toc 1"/>
    <w:basedOn w:val="Normal"/>
    <w:next w:val="Normal"/>
    <w:semiHidden/>
    <w:rsid w:val="00E43D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43DD7"/>
    <w:pPr>
      <w:tabs>
        <w:tab w:val="left" w:pos="720"/>
        <w:tab w:val="right" w:leader="dot" w:pos="9360"/>
      </w:tabs>
      <w:suppressAutoHyphens/>
      <w:ind w:left="720" w:right="720" w:hanging="360"/>
    </w:pPr>
    <w:rPr>
      <w:noProof/>
    </w:rPr>
  </w:style>
  <w:style w:type="paragraph" w:styleId="TOC3">
    <w:name w:val="toc 3"/>
    <w:basedOn w:val="Normal"/>
    <w:next w:val="Normal"/>
    <w:semiHidden/>
    <w:rsid w:val="00E43D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3D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3D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3D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3D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3D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3D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3DD7"/>
    <w:pPr>
      <w:tabs>
        <w:tab w:val="right" w:pos="9360"/>
      </w:tabs>
      <w:suppressAutoHyphens/>
    </w:pPr>
  </w:style>
  <w:style w:type="character" w:customStyle="1" w:styleId="EquationCaption">
    <w:name w:val="_Equation Caption"/>
    <w:rsid w:val="00E43DD7"/>
  </w:style>
  <w:style w:type="paragraph" w:styleId="Header">
    <w:name w:val="header"/>
    <w:basedOn w:val="Normal"/>
    <w:autoRedefine/>
    <w:rsid w:val="00E43DD7"/>
    <w:pPr>
      <w:tabs>
        <w:tab w:val="center" w:pos="4680"/>
        <w:tab w:val="right" w:pos="9360"/>
      </w:tabs>
    </w:pPr>
    <w:rPr>
      <w:b/>
    </w:rPr>
  </w:style>
  <w:style w:type="paragraph" w:styleId="Footer">
    <w:name w:val="footer"/>
    <w:basedOn w:val="Normal"/>
    <w:link w:val="FooterChar"/>
    <w:uiPriority w:val="99"/>
    <w:rsid w:val="00E43DD7"/>
    <w:pPr>
      <w:tabs>
        <w:tab w:val="center" w:pos="4320"/>
        <w:tab w:val="right" w:pos="8640"/>
      </w:tabs>
    </w:pPr>
  </w:style>
  <w:style w:type="character" w:styleId="PageNumber">
    <w:name w:val="page number"/>
    <w:basedOn w:val="DefaultParagraphFont"/>
    <w:rsid w:val="00E43DD7"/>
  </w:style>
  <w:style w:type="paragraph" w:styleId="BlockText">
    <w:name w:val="Block Text"/>
    <w:basedOn w:val="Normal"/>
    <w:rsid w:val="00E43DD7"/>
    <w:pPr>
      <w:spacing w:after="240"/>
      <w:ind w:left="1440" w:right="1440"/>
    </w:pPr>
  </w:style>
  <w:style w:type="paragraph" w:customStyle="1" w:styleId="Paratitle">
    <w:name w:val="Para title"/>
    <w:basedOn w:val="Normal"/>
    <w:rsid w:val="00E43DD7"/>
    <w:pPr>
      <w:tabs>
        <w:tab w:val="center" w:pos="9270"/>
      </w:tabs>
      <w:spacing w:after="240"/>
    </w:pPr>
    <w:rPr>
      <w:spacing w:val="-2"/>
    </w:rPr>
  </w:style>
  <w:style w:type="paragraph" w:customStyle="1" w:styleId="Bullet">
    <w:name w:val="Bullet"/>
    <w:basedOn w:val="Normal"/>
    <w:rsid w:val="00E43DD7"/>
    <w:pPr>
      <w:tabs>
        <w:tab w:val="left" w:pos="2160"/>
      </w:tabs>
      <w:spacing w:after="220"/>
      <w:ind w:left="2160" w:hanging="720"/>
    </w:pPr>
  </w:style>
  <w:style w:type="paragraph" w:customStyle="1" w:styleId="TableFormat">
    <w:name w:val="TableFormat"/>
    <w:basedOn w:val="Bullet"/>
    <w:rsid w:val="00E43DD7"/>
    <w:pPr>
      <w:tabs>
        <w:tab w:val="clear" w:pos="2160"/>
        <w:tab w:val="left" w:pos="5040"/>
      </w:tabs>
      <w:ind w:left="5040" w:hanging="3600"/>
    </w:pPr>
  </w:style>
  <w:style w:type="paragraph" w:customStyle="1" w:styleId="TOCTitle">
    <w:name w:val="TOC Title"/>
    <w:basedOn w:val="Normal"/>
    <w:rsid w:val="00E43D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3DD7"/>
    <w:pPr>
      <w:jc w:val="center"/>
    </w:pPr>
    <w:rPr>
      <w:rFonts w:ascii="Times New Roman Bold" w:hAnsi="Times New Roman Bold"/>
      <w:b/>
      <w:bCs/>
      <w:caps/>
      <w:szCs w:val="22"/>
    </w:rPr>
  </w:style>
  <w:style w:type="character" w:styleId="Hyperlink">
    <w:name w:val="Hyperlink"/>
    <w:rsid w:val="00E43DD7"/>
    <w:rPr>
      <w:color w:val="0000FF"/>
      <w:u w:val="single"/>
    </w:rPr>
  </w:style>
  <w:style w:type="character" w:customStyle="1" w:styleId="FooterChar">
    <w:name w:val="Footer Char"/>
    <w:link w:val="Footer"/>
    <w:uiPriority w:val="99"/>
    <w:rsid w:val="00E43DD7"/>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D32778"/>
  </w:style>
  <w:style w:type="character" w:customStyle="1" w:styleId="ParaNumChar">
    <w:name w:val="ParaNum Char"/>
    <w:link w:val="ParaNum"/>
    <w:rsid w:val="00D32778"/>
    <w:rPr>
      <w:snapToGrid w:val="0"/>
      <w:kern w:val="28"/>
      <w:sz w:val="22"/>
    </w:rPr>
  </w:style>
  <w:style w:type="character" w:customStyle="1" w:styleId="Heading1Char">
    <w:name w:val="Heading 1 Char"/>
    <w:link w:val="Heading1"/>
    <w:rsid w:val="00D32778"/>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haun.Maher@fcc.gov" TargetMode="External" /><Relationship Id="rId11" Type="http://schemas.openxmlformats.org/officeDocument/2006/relationships/hyperlink" Target="mailto:randy@crosstalk.org" TargetMode="External" /><Relationship Id="rId12" Type="http://schemas.openxmlformats.org/officeDocument/2006/relationships/hyperlink" Target="mailto:ameltzer@wiley.law"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