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D354EC" w14:paraId="4B01262C" w14:textId="77777777">
      <w:pPr>
        <w:jc w:val="center"/>
        <w:rPr>
          <w:b/>
        </w:rPr>
      </w:pPr>
      <w:r w:rsidRPr="0070224F">
        <w:rPr>
          <w:rFonts w:ascii="Times New Roman Bold" w:hAnsi="Times New Roman Bold"/>
          <w:b/>
          <w:kern w:val="0"/>
          <w:szCs w:val="22"/>
        </w:rPr>
        <w:t>Before</w:t>
      </w:r>
      <w:r>
        <w:rPr>
          <w:b/>
        </w:rPr>
        <w:t xml:space="preserve"> the</w:t>
      </w:r>
    </w:p>
    <w:p w:rsidR="00921803" w:rsidP="00D354EC" w14:paraId="06224659" w14:textId="77777777">
      <w:pPr>
        <w:pStyle w:val="StyleBoldCentered"/>
      </w:pPr>
      <w:r>
        <w:t>F</w:t>
      </w:r>
      <w:r>
        <w:rPr>
          <w:caps w:val="0"/>
        </w:rPr>
        <w:t>ederal Communications Commission</w:t>
      </w:r>
    </w:p>
    <w:p w:rsidR="004C2EE3" w:rsidP="00D354EC" w14:paraId="6BF16812" w14:textId="77777777">
      <w:pPr>
        <w:pStyle w:val="StyleBoldCentered"/>
      </w:pPr>
      <w:r>
        <w:rPr>
          <w:caps w:val="0"/>
        </w:rPr>
        <w:t>Washington, D.C. 20554</w:t>
      </w:r>
    </w:p>
    <w:p w:rsidR="004C2EE3" w:rsidP="00D354EC" w14:paraId="548D945C" w14:textId="77777777"/>
    <w:tbl>
      <w:tblPr>
        <w:tblW w:w="0" w:type="auto"/>
        <w:tblLayout w:type="fixed"/>
        <w:tblLook w:val="0000"/>
      </w:tblPr>
      <w:tblGrid>
        <w:gridCol w:w="4698"/>
        <w:gridCol w:w="630"/>
        <w:gridCol w:w="4248"/>
      </w:tblGrid>
      <w:tr w14:paraId="5B25A9DC" w14:textId="77777777">
        <w:tblPrEx>
          <w:tblW w:w="0" w:type="auto"/>
          <w:tblLayout w:type="fixed"/>
          <w:tblLook w:val="0000"/>
        </w:tblPrEx>
        <w:tc>
          <w:tcPr>
            <w:tcW w:w="4698" w:type="dxa"/>
          </w:tcPr>
          <w:p w:rsidR="004C2EE3" w:rsidP="00D354EC" w14:paraId="56818010" w14:textId="77777777">
            <w:pPr>
              <w:tabs>
                <w:tab w:val="center" w:pos="4680"/>
              </w:tabs>
              <w:rPr>
                <w:spacing w:val="-2"/>
              </w:rPr>
            </w:pPr>
            <w:r>
              <w:rPr>
                <w:spacing w:val="-2"/>
              </w:rPr>
              <w:t>In the Matter of</w:t>
            </w:r>
          </w:p>
          <w:p w:rsidR="004C2EE3" w:rsidP="00D354EC" w14:paraId="411ABC35" w14:textId="77777777">
            <w:pPr>
              <w:tabs>
                <w:tab w:val="center" w:pos="4680"/>
              </w:tabs>
              <w:rPr>
                <w:spacing w:val="-2"/>
              </w:rPr>
            </w:pPr>
          </w:p>
          <w:p w:rsidR="00D354EC" w:rsidRPr="00D354EC" w:rsidP="00D354EC" w14:paraId="5EE8AA3E" w14:textId="77777777">
            <w:pPr>
              <w:tabs>
                <w:tab w:val="center" w:pos="4680"/>
              </w:tabs>
              <w:rPr>
                <w:spacing w:val="-2"/>
              </w:rPr>
            </w:pPr>
            <w:r w:rsidRPr="00D354EC">
              <w:rPr>
                <w:spacing w:val="-2"/>
              </w:rPr>
              <w:t>Amendment of Section 73.622(j),</w:t>
            </w:r>
          </w:p>
          <w:p w:rsidR="00D354EC" w:rsidRPr="00D354EC" w:rsidP="00D354EC" w14:paraId="1ED80828" w14:textId="77777777">
            <w:pPr>
              <w:tabs>
                <w:tab w:val="center" w:pos="4680"/>
              </w:tabs>
              <w:rPr>
                <w:spacing w:val="-2"/>
              </w:rPr>
            </w:pPr>
            <w:r w:rsidRPr="00D354EC">
              <w:rPr>
                <w:spacing w:val="-2"/>
              </w:rPr>
              <w:t>Post-Transition Table of DTV Allotments,</w:t>
            </w:r>
          </w:p>
          <w:p w:rsidR="00D354EC" w:rsidRPr="00D354EC" w:rsidP="00D354EC" w14:paraId="60BDB521" w14:textId="77777777">
            <w:pPr>
              <w:tabs>
                <w:tab w:val="center" w:pos="4680"/>
              </w:tabs>
              <w:rPr>
                <w:spacing w:val="-2"/>
              </w:rPr>
            </w:pPr>
            <w:r w:rsidRPr="00D354EC">
              <w:rPr>
                <w:spacing w:val="-2"/>
              </w:rPr>
              <w:t>Television Broadcast Stations</w:t>
            </w:r>
          </w:p>
          <w:p w:rsidR="004C2EE3" w:rsidRPr="007115F7" w:rsidP="00D354EC" w14:paraId="39B3014A" w14:textId="68DAA195">
            <w:pPr>
              <w:tabs>
                <w:tab w:val="center" w:pos="4680"/>
              </w:tabs>
              <w:rPr>
                <w:spacing w:val="-2"/>
              </w:rPr>
            </w:pPr>
            <w:r w:rsidRPr="00D354EC">
              <w:rPr>
                <w:spacing w:val="-2"/>
              </w:rPr>
              <w:t>(Toledo, Ohio)</w:t>
            </w:r>
          </w:p>
        </w:tc>
        <w:tc>
          <w:tcPr>
            <w:tcW w:w="630" w:type="dxa"/>
          </w:tcPr>
          <w:p w:rsidR="004C2EE3" w:rsidP="00D354EC" w14:paraId="23454B07" w14:textId="77777777">
            <w:pPr>
              <w:tabs>
                <w:tab w:val="center" w:pos="4680"/>
              </w:tabs>
              <w:rPr>
                <w:b/>
                <w:spacing w:val="-2"/>
              </w:rPr>
            </w:pPr>
            <w:r>
              <w:rPr>
                <w:b/>
                <w:spacing w:val="-2"/>
              </w:rPr>
              <w:t>)</w:t>
            </w:r>
          </w:p>
          <w:p w:rsidR="004C2EE3" w:rsidP="00D354EC" w14:paraId="345C0889" w14:textId="77777777">
            <w:pPr>
              <w:tabs>
                <w:tab w:val="center" w:pos="4680"/>
              </w:tabs>
              <w:rPr>
                <w:b/>
                <w:spacing w:val="-2"/>
              </w:rPr>
            </w:pPr>
            <w:r>
              <w:rPr>
                <w:b/>
                <w:spacing w:val="-2"/>
              </w:rPr>
              <w:t>)</w:t>
            </w:r>
          </w:p>
          <w:p w:rsidR="004C2EE3" w:rsidP="00D354EC" w14:paraId="49C04410" w14:textId="77777777">
            <w:pPr>
              <w:tabs>
                <w:tab w:val="center" w:pos="4680"/>
              </w:tabs>
              <w:rPr>
                <w:b/>
                <w:spacing w:val="-2"/>
              </w:rPr>
            </w:pPr>
            <w:r>
              <w:rPr>
                <w:b/>
                <w:spacing w:val="-2"/>
              </w:rPr>
              <w:t>)</w:t>
            </w:r>
          </w:p>
          <w:p w:rsidR="004C2EE3" w:rsidP="00D354EC" w14:paraId="700000E9" w14:textId="77777777">
            <w:pPr>
              <w:tabs>
                <w:tab w:val="center" w:pos="4680"/>
              </w:tabs>
              <w:rPr>
                <w:b/>
                <w:spacing w:val="-2"/>
              </w:rPr>
            </w:pPr>
            <w:r>
              <w:rPr>
                <w:b/>
                <w:spacing w:val="-2"/>
              </w:rPr>
              <w:t>)</w:t>
            </w:r>
          </w:p>
          <w:p w:rsidR="004C2EE3" w:rsidP="00D354EC" w14:paraId="4B2FE873" w14:textId="77777777">
            <w:pPr>
              <w:tabs>
                <w:tab w:val="center" w:pos="4680"/>
              </w:tabs>
              <w:rPr>
                <w:b/>
                <w:spacing w:val="-2"/>
              </w:rPr>
            </w:pPr>
            <w:r>
              <w:rPr>
                <w:b/>
                <w:spacing w:val="-2"/>
              </w:rPr>
              <w:t>)</w:t>
            </w:r>
          </w:p>
          <w:p w:rsidR="004C2EE3" w:rsidRPr="00D354EC" w:rsidP="00D354EC" w14:paraId="18C1BD55" w14:textId="4DF27BA4">
            <w:pPr>
              <w:tabs>
                <w:tab w:val="center" w:pos="4680"/>
              </w:tabs>
              <w:rPr>
                <w:b/>
                <w:spacing w:val="-2"/>
              </w:rPr>
            </w:pPr>
            <w:r>
              <w:rPr>
                <w:b/>
                <w:spacing w:val="-2"/>
              </w:rPr>
              <w:t>)</w:t>
            </w:r>
          </w:p>
        </w:tc>
        <w:tc>
          <w:tcPr>
            <w:tcW w:w="4248" w:type="dxa"/>
          </w:tcPr>
          <w:p w:rsidR="004C2EE3" w:rsidP="00D354EC" w14:paraId="5B891635" w14:textId="77777777">
            <w:pPr>
              <w:tabs>
                <w:tab w:val="center" w:pos="4680"/>
              </w:tabs>
              <w:rPr>
                <w:spacing w:val="-2"/>
              </w:rPr>
            </w:pPr>
          </w:p>
          <w:p w:rsidR="004C2EE3" w:rsidP="00D354EC" w14:paraId="3525CF2A" w14:textId="77777777">
            <w:pPr>
              <w:pStyle w:val="TOAHeading"/>
              <w:tabs>
                <w:tab w:val="center" w:pos="4680"/>
                <w:tab w:val="clear" w:pos="9360"/>
              </w:tabs>
              <w:suppressAutoHyphens w:val="0"/>
              <w:rPr>
                <w:spacing w:val="-2"/>
              </w:rPr>
            </w:pPr>
          </w:p>
          <w:p w:rsidR="00D354EC" w:rsidRPr="00D354EC" w:rsidP="00D354EC" w14:paraId="59D58860" w14:textId="77777777">
            <w:pPr>
              <w:pStyle w:val="TOAHeading"/>
              <w:tabs>
                <w:tab w:val="center" w:pos="4680"/>
              </w:tabs>
              <w:suppressAutoHyphens w:val="0"/>
              <w:rPr>
                <w:spacing w:val="-2"/>
              </w:rPr>
            </w:pPr>
            <w:r w:rsidRPr="00D354EC">
              <w:rPr>
                <w:spacing w:val="-2"/>
              </w:rPr>
              <w:t>MB Docket No. 21-73</w:t>
            </w:r>
          </w:p>
          <w:p w:rsidR="004C2EE3" w:rsidP="00D354EC" w14:paraId="068944EB" w14:textId="6FDDB80B">
            <w:pPr>
              <w:tabs>
                <w:tab w:val="center" w:pos="4680"/>
              </w:tabs>
              <w:rPr>
                <w:spacing w:val="-2"/>
              </w:rPr>
            </w:pPr>
            <w:r w:rsidRPr="00D354EC">
              <w:rPr>
                <w:spacing w:val="-2"/>
              </w:rPr>
              <w:t>RM-11889</w:t>
            </w:r>
          </w:p>
        </w:tc>
      </w:tr>
    </w:tbl>
    <w:p w:rsidR="004C2EE3" w:rsidP="00D354EC" w14:paraId="4EF2497E" w14:textId="77777777"/>
    <w:p w:rsidR="00841AB1" w:rsidP="00D354EC" w14:paraId="3FFA482E" w14:textId="06CB826B">
      <w:pPr>
        <w:pStyle w:val="StyleBoldCentered"/>
      </w:pPr>
      <w:r>
        <w:t>Report and order</w:t>
      </w:r>
    </w:p>
    <w:p w:rsidR="004C2EE3" w:rsidP="00D354EC" w14:paraId="7FAFEBA4" w14:textId="77777777">
      <w:pPr>
        <w:tabs>
          <w:tab w:val="left" w:pos="-720"/>
        </w:tabs>
        <w:spacing w:line="227" w:lineRule="auto"/>
        <w:rPr>
          <w:spacing w:val="-2"/>
        </w:rPr>
      </w:pPr>
    </w:p>
    <w:p w:rsidR="004C2EE3" w:rsidP="00D354EC" w14:paraId="1AEFF81A" w14:textId="331B04D4">
      <w:pPr>
        <w:tabs>
          <w:tab w:val="left" w:pos="720"/>
          <w:tab w:val="right" w:pos="9360"/>
        </w:tabs>
        <w:spacing w:line="227" w:lineRule="auto"/>
        <w:rPr>
          <w:spacing w:val="-2"/>
        </w:rPr>
      </w:pPr>
      <w:r>
        <w:rPr>
          <w:b/>
          <w:spacing w:val="-2"/>
        </w:rPr>
        <w:t xml:space="preserve">Adopted:  </w:t>
      </w:r>
      <w:r w:rsidR="00D354EC">
        <w:rPr>
          <w:b/>
          <w:spacing w:val="-2"/>
        </w:rPr>
        <w:t>February 18,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354EC">
        <w:rPr>
          <w:b/>
          <w:spacing w:val="-2"/>
        </w:rPr>
        <w:t>February 22, 2022</w:t>
      </w:r>
    </w:p>
    <w:p w:rsidR="00822CE0" w:rsidP="00D354EC" w14:paraId="030DCB4D" w14:textId="77777777"/>
    <w:p w:rsidR="004C2EE3" w:rsidP="00D354EC" w14:paraId="433CF1E2" w14:textId="1CB52C1C">
      <w:pPr>
        <w:rPr>
          <w:spacing w:val="-2"/>
        </w:rPr>
      </w:pPr>
      <w:r>
        <w:t xml:space="preserve">By </w:t>
      </w:r>
      <w:r w:rsidR="004E4A22">
        <w:t>the</w:t>
      </w:r>
      <w:r w:rsidR="002A2D2E">
        <w:t xml:space="preserve"> </w:t>
      </w:r>
      <w:r w:rsidR="00D354EC">
        <w:rPr>
          <w:spacing w:val="-2"/>
        </w:rPr>
        <w:t>Chief, Video Division, Media Bureau</w:t>
      </w:r>
      <w:r>
        <w:rPr>
          <w:spacing w:val="-2"/>
        </w:rPr>
        <w:t>:</w:t>
      </w:r>
    </w:p>
    <w:p w:rsidR="00822CE0" w:rsidP="00D354EC" w14:paraId="14184BB1" w14:textId="77777777">
      <w:pPr>
        <w:rPr>
          <w:spacing w:val="-2"/>
        </w:rPr>
      </w:pPr>
    </w:p>
    <w:p w:rsidR="00B273A2" w:rsidRPr="00D354EC" w:rsidP="00D354EC" w14:paraId="2F29ACAF" w14:textId="77777777">
      <w:pPr>
        <w:pStyle w:val="ParaNum"/>
        <w:rPr>
          <w:szCs w:val="22"/>
        </w:rPr>
      </w:pPr>
      <w:r w:rsidRPr="00472D1B">
        <w:t>The Video Division, Media Bureau (Bureau), has before it a Notice of Proposed Rulemaking</w:t>
      </w:r>
      <w:r>
        <w:rPr>
          <w:rStyle w:val="FootnoteReference"/>
          <w:sz w:val="22"/>
          <w:szCs w:val="22"/>
        </w:rPr>
        <w:footnoteReference w:id="3"/>
      </w:r>
      <w:r w:rsidRPr="00472D1B">
        <w:t xml:space="preserve"> issued in response to a Petition for Rulemaking filed by </w:t>
      </w:r>
      <w:r>
        <w:t>Dominion Broadcasting, Inc.</w:t>
      </w:r>
      <w:r w:rsidRPr="00472D1B">
        <w:t xml:space="preserve"> </w:t>
      </w:r>
      <w:r>
        <w:t>(</w:t>
      </w:r>
      <w:r w:rsidRPr="00472D1B">
        <w:t>Petitioner)</w:t>
      </w:r>
      <w:r>
        <w:t xml:space="preserve">, the </w:t>
      </w:r>
      <w:r w:rsidRPr="00D354EC">
        <w:rPr>
          <w:szCs w:val="22"/>
        </w:rPr>
        <w:t>licensee of WLMB, channel 5, Toledo, Ohio (WLMB or Station).  The Petitioner requests the substitution of channel 35 for channel 5 at Toledo in the Table of Allotments.</w:t>
      </w:r>
      <w:r>
        <w:rPr>
          <w:rStyle w:val="FootnoteReference"/>
          <w:sz w:val="22"/>
          <w:szCs w:val="22"/>
        </w:rPr>
        <w:footnoteReference w:id="4"/>
      </w:r>
      <w:r w:rsidRPr="00D354EC">
        <w:rPr>
          <w:position w:val="8"/>
          <w:szCs w:val="22"/>
        </w:rPr>
        <w:t xml:space="preserve">  </w:t>
      </w:r>
      <w:r w:rsidRPr="00D354EC">
        <w:rPr>
          <w:szCs w:val="22"/>
        </w:rPr>
        <w:t>The Petitioner filed comments in support of the petition, as required by the Commission’s rules,</w:t>
      </w:r>
      <w:r>
        <w:rPr>
          <w:rStyle w:val="FootnoteReference"/>
          <w:iCs/>
          <w:sz w:val="22"/>
          <w:szCs w:val="22"/>
        </w:rPr>
        <w:footnoteReference w:id="5"/>
      </w:r>
      <w:r w:rsidRPr="00D354EC">
        <w:rPr>
          <w:szCs w:val="22"/>
        </w:rPr>
        <w:t xml:space="preserve"> reaffirming its commitment to apply for channel 35.  No other comments were filed.  </w:t>
      </w:r>
    </w:p>
    <w:p w:rsidR="00B273A2" w:rsidRPr="00D354EC" w:rsidP="00D354EC" w14:paraId="6CD2788F" w14:textId="77777777">
      <w:pPr>
        <w:pStyle w:val="ParaNum"/>
        <w:spacing w:after="220"/>
        <w:rPr>
          <w:szCs w:val="22"/>
        </w:rPr>
      </w:pPr>
      <w:r w:rsidRPr="00D354EC">
        <w:rPr>
          <w:szCs w:val="22"/>
        </w:rPr>
        <w:t>We find the public interest would be served by substituting channel 35 for channel 5 at Toledo, Ohio.  The Petitioner states that the Commission has recognized that VHF channels have certain propagation characteristics which may cause reception issues for some viewers,</w:t>
      </w:r>
      <w:r>
        <w:rPr>
          <w:rStyle w:val="FootnoteReference"/>
          <w:sz w:val="22"/>
          <w:szCs w:val="22"/>
        </w:rPr>
        <w:footnoteReference w:id="6"/>
      </w:r>
      <w:r w:rsidRPr="00D354EC">
        <w:rPr>
          <w:szCs w:val="22"/>
        </w:rPr>
        <w:t xml:space="preserve">  and WLMB has regularly received complaints from viewers unable to receive the Station’s over-the-air signal on digital channel 5.</w:t>
      </w:r>
      <w:r>
        <w:rPr>
          <w:rStyle w:val="FootnoteReference"/>
          <w:sz w:val="22"/>
          <w:szCs w:val="22"/>
        </w:rPr>
        <w:footnoteReference w:id="7"/>
      </w:r>
      <w:r w:rsidRPr="00D354EC">
        <w:rPr>
          <w:szCs w:val="22"/>
        </w:rPr>
        <w:t xml:space="preserve">  In this regard, the Petitioner submitted the statement of Dr. Jamey Schmitz, President and CEO of the Petitioner, who explains that since the Station transitioned from analog UHF channel 40 to digital VHF channel 5 at the end of the DTV transition in 2009, it has regularly received communications from viewers no longer able to see the Station.</w:t>
      </w:r>
      <w:r>
        <w:rPr>
          <w:rStyle w:val="FootnoteReference"/>
          <w:sz w:val="22"/>
          <w:szCs w:val="22"/>
        </w:rPr>
        <w:footnoteReference w:id="8"/>
      </w:r>
      <w:r w:rsidRPr="00D354EC">
        <w:rPr>
          <w:szCs w:val="22"/>
        </w:rPr>
        <w:t xml:space="preserve">   </w:t>
      </w:r>
      <w:r w:rsidRPr="00D354EC">
        <w:rPr>
          <w:rStyle w:val="markedcontent"/>
          <w:szCs w:val="22"/>
        </w:rPr>
        <w:t xml:space="preserve">WLMB has had information on its website for many years instructing viewers  how to better receive its signal over-the-air, but continues to receive complaints.  Mr. Schmitz further explains that after WLMB began operating solely on digital channel 5, </w:t>
      </w:r>
      <w:r w:rsidRPr="00D354EC">
        <w:rPr>
          <w:rStyle w:val="markedcontent"/>
          <w:szCs w:val="22"/>
        </w:rPr>
        <w:t>in order to watch the Station at the main studio, located only 14 miles from the transmitter, the Petitioner had to mount an outside antenna specifically designed to receive a channel 5 signal.</w:t>
      </w:r>
      <w:r>
        <w:rPr>
          <w:rStyle w:val="FootnoteReference"/>
          <w:sz w:val="22"/>
          <w:szCs w:val="22"/>
        </w:rPr>
        <w:footnoteReference w:id="9"/>
      </w:r>
      <w:r w:rsidRPr="00D354EC">
        <w:rPr>
          <w:rStyle w:val="markedcontent"/>
          <w:szCs w:val="22"/>
        </w:rPr>
        <w:t xml:space="preserve">  Mr. Schmitz also estimates that after the DTV transition, he received over 200 inquiries from viewers who could no longer see the Station’s signal, and the Petitioner included statements from a number of viewers, some of whom live in the community of license, stating that they are unable to view the Station over-the-air. </w:t>
      </w:r>
      <w:r w:rsidRPr="00D354EC">
        <w:rPr>
          <w:szCs w:val="22"/>
        </w:rPr>
        <w:t xml:space="preserve"> According to the Petitioner, while 735,018 persons are predicted to lose service, all but 388 persons in the loss area would otherwise continue to be “well served” by five or more other television services.</w:t>
      </w:r>
      <w:r>
        <w:rPr>
          <w:rStyle w:val="FootnoteReference"/>
          <w:sz w:val="22"/>
          <w:szCs w:val="22"/>
        </w:rPr>
        <w:footnoteReference w:id="10"/>
      </w:r>
      <w:r w:rsidRPr="00D354EC">
        <w:rPr>
          <w:szCs w:val="22"/>
        </w:rPr>
        <w:t xml:space="preserve">  </w:t>
      </w:r>
    </w:p>
    <w:p w:rsidR="00B273A2" w:rsidRPr="00D354EC" w:rsidP="00D354EC" w14:paraId="6167EE9F" w14:textId="77777777">
      <w:pPr>
        <w:pStyle w:val="ParaNum"/>
        <w:spacing w:after="220"/>
        <w:rPr>
          <w:szCs w:val="22"/>
        </w:rPr>
      </w:pPr>
      <w:r w:rsidRPr="00D354EC">
        <w:rPr>
          <w:szCs w:val="22"/>
        </w:rPr>
        <w:t>We agree with the Petitioner that because almost all of the impacted viewers will continue to be “well-served” by at least five other television stations</w:t>
      </w:r>
      <w:r>
        <w:rPr>
          <w:rStyle w:val="FootnoteReference"/>
          <w:sz w:val="22"/>
          <w:szCs w:val="22"/>
        </w:rPr>
        <w:footnoteReference w:id="11"/>
      </w:r>
      <w:r w:rsidRPr="00D354EC">
        <w:rPr>
          <w:szCs w:val="22"/>
        </w:rPr>
        <w:t xml:space="preserve"> and </w:t>
      </w:r>
      <w:r w:rsidRPr="00D354EC">
        <w:rPr>
          <w:snapToGrid/>
          <w:kern w:val="0"/>
          <w:szCs w:val="22"/>
        </w:rPr>
        <w:t xml:space="preserve">the loss of service to 388 persons who will no longer be considered to be “well-served” is </w:t>
      </w:r>
      <w:r w:rsidRPr="00D354EC">
        <w:rPr>
          <w:i/>
          <w:iCs/>
          <w:snapToGrid/>
          <w:kern w:val="0"/>
          <w:szCs w:val="22"/>
        </w:rPr>
        <w:t>de minimis,</w:t>
      </w:r>
      <w:r>
        <w:rPr>
          <w:rStyle w:val="FootnoteReference"/>
          <w:snapToGrid/>
          <w:kern w:val="0"/>
          <w:sz w:val="22"/>
          <w:szCs w:val="22"/>
        </w:rPr>
        <w:footnoteReference w:id="12"/>
      </w:r>
      <w:r w:rsidRPr="00D354EC">
        <w:rPr>
          <w:snapToGrid/>
          <w:kern w:val="0"/>
          <w:szCs w:val="22"/>
        </w:rPr>
        <w:t xml:space="preserve"> the substitution of channel 35 for channel 5 will serve the public interest. </w:t>
      </w:r>
      <w:r w:rsidRPr="00D354EC">
        <w:rPr>
          <w:kern w:val="0"/>
          <w:szCs w:val="22"/>
        </w:rPr>
        <w:t xml:space="preserve"> We also agree that there are countervailing public interest benefits here that would offset any loss of service in outlying areas of the Station’s contour, given the persistent feedback the Station has received regarding reception issues within its community of license and</w:t>
      </w:r>
      <w:r w:rsidRPr="00D354EC">
        <w:rPr>
          <w:szCs w:val="22"/>
        </w:rPr>
        <w:t xml:space="preserve"> other core portions of its service area.</w:t>
      </w:r>
      <w:r>
        <w:rPr>
          <w:rStyle w:val="FootnoteReference"/>
          <w:sz w:val="22"/>
          <w:szCs w:val="22"/>
        </w:rPr>
        <w:footnoteReference w:id="13"/>
      </w:r>
      <w:r w:rsidRPr="00D354EC">
        <w:rPr>
          <w:szCs w:val="22"/>
        </w:rPr>
        <w:t xml:space="preserve"> </w:t>
      </w:r>
    </w:p>
    <w:p w:rsidR="00B273A2" w:rsidRPr="00D354EC" w:rsidP="00D354EC" w14:paraId="6B3A4085" w14:textId="77777777">
      <w:pPr>
        <w:pStyle w:val="ParaNum"/>
        <w:spacing w:after="220"/>
        <w:rPr>
          <w:szCs w:val="22"/>
        </w:rPr>
      </w:pPr>
      <w:r w:rsidRPr="00D354EC">
        <w:rPr>
          <w:szCs w:val="22"/>
        </w:rPr>
        <w:t>The Petitioner demonstrates, and a staff engineering analysis confirms, that channel 35 can be substituted for channel 5 at Toledo, Ohio, consistent with the minimum geographic spacing requirements for new DTV allotments in section 73.623(d) of the Commission’s rules (rules),</w:t>
      </w:r>
      <w:r>
        <w:rPr>
          <w:rStyle w:val="FootnoteReference"/>
          <w:sz w:val="22"/>
          <w:szCs w:val="22"/>
        </w:rPr>
        <w:footnoteReference w:id="14"/>
      </w:r>
      <w:r w:rsidRPr="00D354EC">
        <w:rPr>
          <w:szCs w:val="22"/>
        </w:rPr>
        <w:t xml:space="preserve"> at </w:t>
      </w:r>
      <w:r w:rsidRPr="00D354EC">
        <w:rPr>
          <w:snapToGrid/>
          <w:kern w:val="0"/>
          <w:szCs w:val="22"/>
        </w:rPr>
        <w:t>41° 44’ 41” N and  84° 01’ 06” W.</w:t>
      </w:r>
      <w:r>
        <w:rPr>
          <w:rStyle w:val="FootnoteReference"/>
          <w:snapToGrid/>
          <w:kern w:val="0"/>
          <w:sz w:val="22"/>
          <w:szCs w:val="22"/>
        </w:rPr>
        <w:footnoteReference w:id="15"/>
      </w:r>
      <w:r w:rsidRPr="00D354EC">
        <w:rPr>
          <w:snapToGrid/>
          <w:kern w:val="0"/>
          <w:szCs w:val="22"/>
        </w:rPr>
        <w:t xml:space="preserve">  In addition, we find that this channel change meets the technical requirements set forth in 73.616 and 73.623 of the rules with the following specifications:</w:t>
      </w:r>
      <w:r>
        <w:rPr>
          <w:rStyle w:val="FootnoteReference"/>
          <w:snapToGrid/>
          <w:kern w:val="0"/>
          <w:sz w:val="22"/>
          <w:szCs w:val="22"/>
        </w:rPr>
        <w:footnoteReference w:id="16"/>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530"/>
        <w:gridCol w:w="1890"/>
        <w:gridCol w:w="2070"/>
        <w:gridCol w:w="1615"/>
      </w:tblGrid>
      <w:tr w14:paraId="2DB95DE8" w14:textId="77777777" w:rsidTr="00B24DD8">
        <w:tblPrEx>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620" w:type="dxa"/>
          </w:tcPr>
          <w:p w:rsidR="00B273A2" w:rsidRPr="00D354EC" w:rsidP="00D354EC" w14:paraId="34CA2AB3" w14:textId="77777777">
            <w:pPr>
              <w:pStyle w:val="ParaNum"/>
              <w:numPr>
                <w:ilvl w:val="0"/>
                <w:numId w:val="0"/>
              </w:numPr>
              <w:spacing w:after="220"/>
              <w:rPr>
                <w:rFonts w:ascii="Times New Roman" w:hAnsi="Times New Roman"/>
                <w:u w:val="single"/>
              </w:rPr>
            </w:pPr>
            <w:r w:rsidRPr="00D354EC">
              <w:rPr>
                <w:rFonts w:ascii="Times New Roman" w:hAnsi="Times New Roman"/>
                <w:u w:val="single"/>
              </w:rPr>
              <w:t>City and State</w:t>
            </w:r>
          </w:p>
        </w:tc>
        <w:tc>
          <w:tcPr>
            <w:tcW w:w="1530" w:type="dxa"/>
          </w:tcPr>
          <w:p w:rsidR="00B273A2" w:rsidRPr="00D354EC" w:rsidP="00D354EC" w14:paraId="4AD4DC95" w14:textId="77777777">
            <w:pPr>
              <w:pStyle w:val="ParaNum"/>
              <w:numPr>
                <w:ilvl w:val="0"/>
                <w:numId w:val="0"/>
              </w:numPr>
              <w:spacing w:after="220"/>
              <w:rPr>
                <w:rFonts w:ascii="Times New Roman" w:hAnsi="Times New Roman"/>
                <w:u w:val="single"/>
              </w:rPr>
            </w:pPr>
            <w:r w:rsidRPr="00D354EC">
              <w:rPr>
                <w:rFonts w:ascii="Times New Roman" w:hAnsi="Times New Roman"/>
                <w:u w:val="single"/>
              </w:rPr>
              <w:t>DTV Channel</w:t>
            </w:r>
          </w:p>
        </w:tc>
        <w:tc>
          <w:tcPr>
            <w:tcW w:w="1890" w:type="dxa"/>
          </w:tcPr>
          <w:p w:rsidR="00B273A2" w:rsidRPr="00D354EC" w:rsidP="00D354EC" w14:paraId="631F2BE0" w14:textId="77777777">
            <w:pPr>
              <w:pStyle w:val="ParaNum"/>
              <w:numPr>
                <w:ilvl w:val="0"/>
                <w:numId w:val="0"/>
              </w:numPr>
              <w:spacing w:after="220"/>
              <w:rPr>
                <w:rFonts w:ascii="Times New Roman" w:hAnsi="Times New Roman"/>
                <w:u w:val="single"/>
              </w:rPr>
            </w:pPr>
            <w:r w:rsidRPr="00D354EC">
              <w:rPr>
                <w:rFonts w:ascii="Times New Roman" w:hAnsi="Times New Roman"/>
                <w:u w:val="single"/>
              </w:rPr>
              <w:t>DTV Power (kW)</w:t>
            </w:r>
          </w:p>
        </w:tc>
        <w:tc>
          <w:tcPr>
            <w:tcW w:w="2070" w:type="dxa"/>
          </w:tcPr>
          <w:p w:rsidR="00B273A2" w:rsidRPr="00D354EC" w:rsidP="00D354EC" w14:paraId="3DE311DB" w14:textId="77777777">
            <w:pPr>
              <w:pStyle w:val="ParaNum"/>
              <w:numPr>
                <w:ilvl w:val="0"/>
                <w:numId w:val="0"/>
              </w:numPr>
              <w:spacing w:after="220"/>
              <w:rPr>
                <w:rFonts w:ascii="Times New Roman" w:hAnsi="Times New Roman"/>
                <w:u w:val="single"/>
              </w:rPr>
            </w:pPr>
            <w:r w:rsidRPr="00D354EC">
              <w:rPr>
                <w:rFonts w:ascii="Times New Roman" w:hAnsi="Times New Roman"/>
                <w:u w:val="single"/>
              </w:rPr>
              <w:t>Antenna HAAT (m)</w:t>
            </w:r>
          </w:p>
        </w:tc>
        <w:tc>
          <w:tcPr>
            <w:tcW w:w="1615" w:type="dxa"/>
          </w:tcPr>
          <w:p w:rsidR="00B273A2" w:rsidRPr="00D354EC" w:rsidP="00D354EC" w14:paraId="4B30E476" w14:textId="77777777">
            <w:pPr>
              <w:pStyle w:val="ParaNum"/>
              <w:numPr>
                <w:ilvl w:val="0"/>
                <w:numId w:val="0"/>
              </w:numPr>
              <w:spacing w:after="220"/>
              <w:rPr>
                <w:rFonts w:ascii="Times New Roman" w:hAnsi="Times New Roman"/>
                <w:u w:val="single"/>
              </w:rPr>
            </w:pPr>
            <w:r w:rsidRPr="00D354EC">
              <w:rPr>
                <w:rFonts w:ascii="Times New Roman" w:hAnsi="Times New Roman"/>
                <w:u w:val="single"/>
              </w:rPr>
              <w:t>Service Population</w:t>
            </w:r>
          </w:p>
        </w:tc>
      </w:tr>
      <w:tr w14:paraId="55952864" w14:textId="77777777" w:rsidTr="00B24DD8">
        <w:tblPrEx>
          <w:tblW w:w="0" w:type="auto"/>
          <w:tblInd w:w="625" w:type="dxa"/>
          <w:tblLook w:val="04A0"/>
        </w:tblPrEx>
        <w:tc>
          <w:tcPr>
            <w:tcW w:w="1620" w:type="dxa"/>
          </w:tcPr>
          <w:p w:rsidR="00B273A2" w:rsidRPr="00D354EC" w:rsidP="00D354EC" w14:paraId="3B545B5B" w14:textId="77777777">
            <w:pPr>
              <w:pStyle w:val="ParaNum"/>
              <w:numPr>
                <w:ilvl w:val="0"/>
                <w:numId w:val="0"/>
              </w:numPr>
              <w:spacing w:after="220"/>
              <w:rPr>
                <w:rFonts w:ascii="Times New Roman" w:hAnsi="Times New Roman"/>
              </w:rPr>
            </w:pPr>
            <w:r w:rsidRPr="00D354EC">
              <w:rPr>
                <w:rFonts w:ascii="Times New Roman" w:hAnsi="Times New Roman"/>
              </w:rPr>
              <w:t>Toledo, Ohio</w:t>
            </w:r>
          </w:p>
        </w:tc>
        <w:tc>
          <w:tcPr>
            <w:tcW w:w="1530" w:type="dxa"/>
          </w:tcPr>
          <w:p w:rsidR="00B273A2" w:rsidRPr="00D354EC" w:rsidP="00D354EC" w14:paraId="2E41963D" w14:textId="77777777">
            <w:pPr>
              <w:pStyle w:val="ParaNum"/>
              <w:numPr>
                <w:ilvl w:val="0"/>
                <w:numId w:val="0"/>
              </w:numPr>
              <w:spacing w:after="220"/>
              <w:rPr>
                <w:rFonts w:ascii="Times New Roman" w:hAnsi="Times New Roman"/>
              </w:rPr>
            </w:pPr>
            <w:r w:rsidRPr="00D354EC">
              <w:rPr>
                <w:rFonts w:ascii="Times New Roman" w:hAnsi="Times New Roman"/>
              </w:rPr>
              <w:t>35</w:t>
            </w:r>
          </w:p>
        </w:tc>
        <w:tc>
          <w:tcPr>
            <w:tcW w:w="1890" w:type="dxa"/>
          </w:tcPr>
          <w:p w:rsidR="00B273A2" w:rsidRPr="00D354EC" w:rsidP="00D354EC" w14:paraId="252D7662" w14:textId="77777777">
            <w:pPr>
              <w:pStyle w:val="ParaNum"/>
              <w:numPr>
                <w:ilvl w:val="0"/>
                <w:numId w:val="0"/>
              </w:numPr>
              <w:spacing w:after="220"/>
              <w:rPr>
                <w:rFonts w:ascii="Times New Roman" w:hAnsi="Times New Roman"/>
              </w:rPr>
            </w:pPr>
            <w:r w:rsidRPr="00D354EC">
              <w:rPr>
                <w:rFonts w:ascii="Times New Roman" w:hAnsi="Times New Roman"/>
              </w:rPr>
              <w:t>375</w:t>
            </w:r>
          </w:p>
        </w:tc>
        <w:tc>
          <w:tcPr>
            <w:tcW w:w="2070" w:type="dxa"/>
          </w:tcPr>
          <w:p w:rsidR="00B273A2" w:rsidRPr="00D354EC" w:rsidP="00D354EC" w14:paraId="5C23475F" w14:textId="77777777">
            <w:pPr>
              <w:pStyle w:val="ParaNum"/>
              <w:numPr>
                <w:ilvl w:val="0"/>
                <w:numId w:val="0"/>
              </w:numPr>
              <w:spacing w:after="220"/>
              <w:rPr>
                <w:rFonts w:ascii="Times New Roman" w:hAnsi="Times New Roman"/>
              </w:rPr>
            </w:pPr>
            <w:r w:rsidRPr="00D354EC">
              <w:rPr>
                <w:rFonts w:ascii="Times New Roman" w:hAnsi="Times New Roman"/>
              </w:rPr>
              <w:t>169.7</w:t>
            </w:r>
          </w:p>
        </w:tc>
        <w:tc>
          <w:tcPr>
            <w:tcW w:w="1615" w:type="dxa"/>
          </w:tcPr>
          <w:p w:rsidR="00B273A2" w:rsidRPr="00D354EC" w:rsidP="00D354EC" w14:paraId="5075E313" w14:textId="77777777">
            <w:pPr>
              <w:pStyle w:val="ParaNum"/>
              <w:numPr>
                <w:ilvl w:val="0"/>
                <w:numId w:val="0"/>
              </w:numPr>
              <w:spacing w:after="220"/>
              <w:rPr>
                <w:rFonts w:ascii="Times New Roman" w:hAnsi="Times New Roman"/>
              </w:rPr>
            </w:pPr>
            <w:r w:rsidRPr="00D354EC">
              <w:rPr>
                <w:rFonts w:ascii="Times New Roman" w:hAnsi="Times New Roman"/>
              </w:rPr>
              <w:t>1,668,529</w:t>
            </w:r>
          </w:p>
        </w:tc>
      </w:tr>
    </w:tbl>
    <w:p w:rsidR="00B273A2" w:rsidRPr="00D354EC" w:rsidP="00D354EC" w14:paraId="563B7206" w14:textId="77777777">
      <w:pPr>
        <w:pStyle w:val="ParaNum"/>
        <w:rPr>
          <w:szCs w:val="22"/>
        </w:rPr>
      </w:pPr>
      <w:r w:rsidRPr="00D354EC">
        <w:rPr>
          <w:szCs w:val="22"/>
        </w:rPr>
        <w:t>Accordingly, pursuant to the authority contained in sections 4(</w:t>
      </w:r>
      <w:r w:rsidRPr="00D354EC">
        <w:rPr>
          <w:szCs w:val="22"/>
        </w:rPr>
        <w:t>i</w:t>
      </w:r>
      <w:r w:rsidRPr="00D354EC">
        <w:rPr>
          <w:szCs w:val="22"/>
        </w:rPr>
        <w:t>), 5(c)(1), 303(g) and (r) and 307(b) of the Communications Act of 1934, as amended, 47 U.S.C. §§ 154(</w:t>
      </w:r>
      <w:r w:rsidRPr="00D354EC">
        <w:rPr>
          <w:szCs w:val="22"/>
        </w:rPr>
        <w:t>i</w:t>
      </w:r>
      <w:r w:rsidRPr="00D354EC">
        <w:rPr>
          <w:szCs w:val="22"/>
        </w:rPr>
        <w:t xml:space="preserve">), 155(c)(1), 303(g), (r), and 307(b), and sections 0.61, 0.204(b) and 0.283 of the Commission’s rules, 47 CFR §§ 0.61, 0.204(b), and 0.283, </w:t>
      </w:r>
      <w:r w:rsidRPr="00D354EC">
        <w:rPr>
          <w:b/>
          <w:bCs/>
          <w:szCs w:val="22"/>
        </w:rPr>
        <w:t>IT IS ORDERED</w:t>
      </w:r>
      <w:r w:rsidRPr="00D354EC">
        <w:rPr>
          <w:szCs w:val="22"/>
        </w:rPr>
        <w:t xml:space="preserve">, that effective immediately upon the date of publication in the Federal Register, the DTV Table of Allotments, section 73.622(j) of the Commission’s rules, 47 CFR § 73.622(j), </w:t>
      </w:r>
      <w:r w:rsidRPr="00D354EC">
        <w:rPr>
          <w:b/>
          <w:bCs/>
          <w:szCs w:val="22"/>
        </w:rPr>
        <w:t>IS AMENDED</w:t>
      </w:r>
      <w:r w:rsidRPr="00D354EC">
        <w:rPr>
          <w:szCs w:val="22"/>
        </w:rPr>
        <w:t>, with respect to the community listed below, to read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5"/>
        <w:gridCol w:w="6115"/>
      </w:tblGrid>
      <w:tr w14:paraId="7257B02C" w14:textId="77777777" w:rsidTr="00B24DD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235" w:type="dxa"/>
          </w:tcPr>
          <w:p w:rsidR="00B273A2" w:rsidRPr="00D354EC" w:rsidP="00D354EC" w14:paraId="41922706" w14:textId="77777777">
            <w:pPr>
              <w:pStyle w:val="ParaNum"/>
              <w:numPr>
                <w:ilvl w:val="0"/>
                <w:numId w:val="0"/>
              </w:numPr>
              <w:rPr>
                <w:rFonts w:ascii="Times New Roman" w:hAnsi="Times New Roman"/>
                <w:u w:val="single"/>
              </w:rPr>
            </w:pPr>
            <w:r w:rsidRPr="00D354EC">
              <w:rPr>
                <w:rFonts w:ascii="Times New Roman" w:hAnsi="Times New Roman"/>
                <w:u w:val="single"/>
              </w:rPr>
              <w:t>City and State</w:t>
            </w:r>
          </w:p>
        </w:tc>
        <w:tc>
          <w:tcPr>
            <w:tcW w:w="6115" w:type="dxa"/>
          </w:tcPr>
          <w:p w:rsidR="00B273A2" w:rsidRPr="00D354EC" w:rsidP="00D354EC" w14:paraId="1EEFD8AA" w14:textId="77777777">
            <w:pPr>
              <w:pStyle w:val="ParaNum"/>
              <w:numPr>
                <w:ilvl w:val="0"/>
                <w:numId w:val="0"/>
              </w:numPr>
              <w:rPr>
                <w:rFonts w:ascii="Times New Roman" w:hAnsi="Times New Roman"/>
                <w:u w:val="single"/>
              </w:rPr>
            </w:pPr>
            <w:r w:rsidRPr="00D354EC">
              <w:rPr>
                <w:rFonts w:ascii="Times New Roman" w:hAnsi="Times New Roman"/>
                <w:u w:val="single"/>
              </w:rPr>
              <w:t>Channel No.</w:t>
            </w:r>
          </w:p>
        </w:tc>
      </w:tr>
      <w:tr w14:paraId="6CF41360" w14:textId="77777777" w:rsidTr="00B24DD8">
        <w:tblPrEx>
          <w:tblW w:w="0" w:type="auto"/>
          <w:tblLook w:val="04A0"/>
        </w:tblPrEx>
        <w:tc>
          <w:tcPr>
            <w:tcW w:w="3235" w:type="dxa"/>
          </w:tcPr>
          <w:p w:rsidR="00B273A2" w:rsidRPr="00D354EC" w:rsidP="00D354EC" w14:paraId="290E6D97" w14:textId="77777777">
            <w:pPr>
              <w:pStyle w:val="ParaNum"/>
              <w:numPr>
                <w:ilvl w:val="0"/>
                <w:numId w:val="0"/>
              </w:numPr>
              <w:rPr>
                <w:rFonts w:ascii="Times New Roman" w:hAnsi="Times New Roman"/>
              </w:rPr>
            </w:pPr>
            <w:r w:rsidRPr="00D354EC">
              <w:rPr>
                <w:rFonts w:ascii="Times New Roman" w:hAnsi="Times New Roman"/>
              </w:rPr>
              <w:t>Toledo, Ohio</w:t>
            </w:r>
          </w:p>
        </w:tc>
        <w:tc>
          <w:tcPr>
            <w:tcW w:w="6115" w:type="dxa"/>
          </w:tcPr>
          <w:p w:rsidR="00B273A2" w:rsidRPr="00D354EC" w:rsidP="00D354EC" w14:paraId="298EF906" w14:textId="77777777">
            <w:pPr>
              <w:pStyle w:val="ParaNum"/>
              <w:numPr>
                <w:ilvl w:val="0"/>
                <w:numId w:val="0"/>
              </w:numPr>
              <w:rPr>
                <w:rFonts w:ascii="Times New Roman" w:hAnsi="Times New Roman"/>
              </w:rPr>
            </w:pPr>
            <w:r w:rsidRPr="00D354EC">
              <w:rPr>
                <w:rFonts w:ascii="Times New Roman" w:hAnsi="Times New Roman"/>
              </w:rPr>
              <w:t>11, 13, 23, 26, *29, 35</w:t>
            </w:r>
          </w:p>
        </w:tc>
      </w:tr>
    </w:tbl>
    <w:p w:rsidR="00B273A2" w:rsidRPr="00D354EC" w:rsidP="00D354EC" w14:paraId="6A982C8E" w14:textId="77777777">
      <w:pPr>
        <w:pStyle w:val="ParaNum"/>
        <w:rPr>
          <w:szCs w:val="22"/>
        </w:rPr>
      </w:pPr>
      <w:r w:rsidRPr="00D354EC">
        <w:rPr>
          <w:b/>
          <w:bCs/>
          <w:szCs w:val="22"/>
          <w:u w:color="000000"/>
        </w:rPr>
        <w:t>IT IS FURTHER ORDERED</w:t>
      </w:r>
      <w:r w:rsidRPr="00D354EC">
        <w:rPr>
          <w:szCs w:val="22"/>
          <w:u w:color="000000"/>
        </w:rPr>
        <w:t xml:space="preserve">, That within 30 days of the effective date of this Order, </w:t>
      </w:r>
      <w:r w:rsidRPr="00D354EC">
        <w:rPr>
          <w:szCs w:val="22"/>
        </w:rPr>
        <w:t xml:space="preserve">Dominion Broadcasting, Inc. </w:t>
      </w:r>
      <w:r w:rsidRPr="00D354EC">
        <w:rPr>
          <w:szCs w:val="22"/>
          <w:u w:color="000000"/>
        </w:rPr>
        <w:t>shall submit to the Commission a minor change application for a construction permit (Form 2100, Schedule A) specifying channel 35 in lieu of channel 5.</w:t>
      </w:r>
    </w:p>
    <w:p w:rsidR="00B273A2" w:rsidRPr="00D354EC" w:rsidP="00D354EC" w14:paraId="6AF225F7" w14:textId="77777777">
      <w:pPr>
        <w:pStyle w:val="ParaNum"/>
        <w:rPr>
          <w:szCs w:val="22"/>
        </w:rPr>
      </w:pPr>
      <w:r w:rsidRPr="00D354EC">
        <w:rPr>
          <w:b/>
          <w:szCs w:val="22"/>
        </w:rPr>
        <w:t>IT IS FURTHER ORDERED</w:t>
      </w:r>
      <w:r w:rsidRPr="00D354EC">
        <w:rPr>
          <w:bCs/>
          <w:szCs w:val="22"/>
        </w:rPr>
        <w:t>,</w:t>
      </w:r>
      <w:r w:rsidRPr="00D354EC">
        <w:rPr>
          <w:szCs w:val="22"/>
        </w:rPr>
        <w:t xml:space="preserve"> That pursuant to section 801(a)(1)(A) of the Congressional Review Act, 5 U.S.C. § 801(a)(1)(A), the Commission </w:t>
      </w:r>
      <w:r w:rsidRPr="00D354EC">
        <w:rPr>
          <w:b/>
          <w:szCs w:val="22"/>
        </w:rPr>
        <w:t>SHALL SEND</w:t>
      </w:r>
      <w:r w:rsidRPr="00D354EC">
        <w:rPr>
          <w:szCs w:val="22"/>
        </w:rPr>
        <w:t xml:space="preserve"> a copy of the Order to Congress and to the Government Accountability Office.</w:t>
      </w:r>
    </w:p>
    <w:p w:rsidR="00B273A2" w:rsidRPr="00D354EC" w:rsidP="00D354EC" w14:paraId="66A76186" w14:textId="77777777">
      <w:pPr>
        <w:pStyle w:val="ParaNum"/>
        <w:rPr>
          <w:szCs w:val="22"/>
        </w:rPr>
      </w:pPr>
      <w:r w:rsidRPr="00D354EC">
        <w:rPr>
          <w:b/>
          <w:bCs/>
          <w:szCs w:val="22"/>
        </w:rPr>
        <w:t xml:space="preserve">IT IS FURTHER ORDERED, </w:t>
      </w:r>
      <w:r w:rsidRPr="00D354EC">
        <w:rPr>
          <w:szCs w:val="22"/>
        </w:rPr>
        <w:t>That</w:t>
      </w:r>
      <w:r w:rsidRPr="00D354EC">
        <w:rPr>
          <w:b/>
          <w:bCs/>
          <w:szCs w:val="22"/>
        </w:rPr>
        <w:t xml:space="preserve"> </w:t>
      </w:r>
      <w:r w:rsidRPr="00D354EC">
        <w:rPr>
          <w:szCs w:val="22"/>
        </w:rPr>
        <w:t>should no petitions for reconsideration or petitions for judicial review be timely filed,</w:t>
      </w:r>
      <w:r w:rsidRPr="00D354EC">
        <w:rPr>
          <w:b/>
          <w:bCs/>
          <w:szCs w:val="22"/>
        </w:rPr>
        <w:t xml:space="preserve"> </w:t>
      </w:r>
      <w:r w:rsidRPr="00D354EC">
        <w:rPr>
          <w:szCs w:val="22"/>
        </w:rPr>
        <w:t xml:space="preserve">MB Docket No. 21-73, RM-11889 </w:t>
      </w:r>
      <w:r w:rsidRPr="00D354EC">
        <w:rPr>
          <w:b/>
          <w:bCs/>
          <w:szCs w:val="22"/>
        </w:rPr>
        <w:t xml:space="preserve">SHALL BE TERMINATED </w:t>
      </w:r>
      <w:r w:rsidRPr="00D354EC">
        <w:rPr>
          <w:szCs w:val="22"/>
        </w:rPr>
        <w:t>and its docket closed.</w:t>
      </w:r>
    </w:p>
    <w:p w:rsidR="00B273A2" w:rsidRPr="00472D1B" w:rsidP="00D354EC" w14:paraId="3E5547FE" w14:textId="109DD528">
      <w:pPr>
        <w:pStyle w:val="ParaNum"/>
      </w:pPr>
      <w:r w:rsidRPr="00472D1B">
        <w:t>For further information concerning the proceeding listed above, contact</w:t>
      </w:r>
      <w:r>
        <w:t xml:space="preserve"> Joyce Bernstein</w:t>
      </w:r>
      <w:r w:rsidRPr="00472D1B">
        <w:t>, Video Division, Media Bureau, (202) 418-</w:t>
      </w:r>
      <w:r>
        <w:t>1647</w:t>
      </w:r>
      <w:r w:rsidRPr="00472D1B">
        <w:t xml:space="preserve">, </w:t>
      </w:r>
      <w:hyperlink r:id="rId5" w:history="1"/>
      <w:hyperlink r:id="rId6" w:history="1">
        <w:r w:rsidRPr="009904EF">
          <w:rPr>
            <w:rStyle w:val="Hyperlink"/>
          </w:rPr>
          <w:t>Joyce.Bernstein@fcc.gov</w:t>
        </w:r>
      </w:hyperlink>
      <w:r w:rsidRPr="00D35DD6">
        <w:t>.</w:t>
      </w:r>
      <w:r>
        <w:t xml:space="preserve"> </w:t>
      </w:r>
    </w:p>
    <w:p w:rsidR="00B273A2" w:rsidRPr="00472D1B" w:rsidP="00D354EC" w14:paraId="68B7ADD8" w14:textId="77777777">
      <w:r w:rsidRPr="00472D1B">
        <w:tab/>
      </w:r>
      <w:r w:rsidRPr="00472D1B">
        <w:tab/>
      </w:r>
      <w:r w:rsidRPr="00472D1B">
        <w:tab/>
      </w:r>
      <w:r w:rsidRPr="00472D1B">
        <w:tab/>
      </w:r>
      <w:r w:rsidRPr="00472D1B">
        <w:tab/>
      </w:r>
      <w:r w:rsidRPr="00472D1B">
        <w:tab/>
        <w:t>FEDERAL COMMUNICATIONS COMMISSION</w:t>
      </w:r>
    </w:p>
    <w:p w:rsidR="00B273A2" w:rsidRPr="00472D1B" w:rsidP="00D354EC" w14:paraId="699517C0" w14:textId="77777777"/>
    <w:p w:rsidR="00B273A2" w:rsidRPr="00472D1B" w:rsidP="00D354EC" w14:paraId="17BD0A40" w14:textId="77777777"/>
    <w:p w:rsidR="00B273A2" w:rsidRPr="00472D1B" w:rsidP="00D354EC" w14:paraId="4A3F097F" w14:textId="77777777"/>
    <w:p w:rsidR="00B273A2" w:rsidRPr="00472D1B" w:rsidP="00D354EC" w14:paraId="6F5C3B94" w14:textId="77777777"/>
    <w:p w:rsidR="00B273A2" w:rsidRPr="00472D1B" w:rsidP="00D354EC" w14:paraId="406692EE" w14:textId="77777777">
      <w:r w:rsidRPr="00472D1B">
        <w:tab/>
      </w:r>
      <w:r w:rsidRPr="00472D1B">
        <w:tab/>
      </w:r>
      <w:r w:rsidRPr="00472D1B">
        <w:tab/>
      </w:r>
      <w:r w:rsidRPr="00472D1B">
        <w:tab/>
      </w:r>
      <w:r w:rsidRPr="00472D1B">
        <w:tab/>
      </w:r>
      <w:r w:rsidRPr="00472D1B">
        <w:tab/>
        <w:t>Barbara A. Kreisman</w:t>
      </w:r>
    </w:p>
    <w:p w:rsidR="00B273A2" w:rsidRPr="00472D1B" w:rsidP="00D354EC" w14:paraId="3A1F792C" w14:textId="77777777">
      <w:r w:rsidRPr="00472D1B">
        <w:tab/>
      </w:r>
      <w:r w:rsidRPr="00472D1B">
        <w:tab/>
      </w:r>
      <w:r w:rsidRPr="00472D1B">
        <w:tab/>
      </w:r>
      <w:r w:rsidRPr="00472D1B">
        <w:tab/>
      </w:r>
      <w:r w:rsidRPr="00472D1B">
        <w:tab/>
      </w:r>
      <w:r w:rsidRPr="00472D1B">
        <w:tab/>
        <w:t>Chief, Video Division</w:t>
      </w:r>
    </w:p>
    <w:p w:rsidR="00412FC5" w:rsidP="00D354EC" w14:paraId="031C6E97" w14:textId="3C76F353">
      <w:r w:rsidRPr="00472D1B">
        <w:tab/>
      </w:r>
      <w:r w:rsidRPr="00472D1B">
        <w:tab/>
      </w:r>
      <w:r w:rsidRPr="00472D1B">
        <w:tab/>
      </w:r>
      <w:r w:rsidRPr="00472D1B">
        <w:tab/>
      </w:r>
      <w:r w:rsidRPr="00472D1B">
        <w:tab/>
      </w:r>
      <w:r w:rsidRPr="00472D1B">
        <w:tab/>
        <w:t>Media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A01969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9FB09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354EC" w14:paraId="0831419E" w14:textId="1ADEA03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BFB6E8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73A2" w14:paraId="74CB4D8D" w14:textId="77777777">
      <w:r>
        <w:separator/>
      </w:r>
    </w:p>
  </w:footnote>
  <w:footnote w:type="continuationSeparator" w:id="1">
    <w:p w:rsidR="00B273A2" w:rsidP="00C721AC" w14:paraId="43918AEA" w14:textId="77777777">
      <w:pPr>
        <w:spacing w:before="120"/>
        <w:rPr>
          <w:sz w:val="20"/>
        </w:rPr>
      </w:pPr>
      <w:r>
        <w:rPr>
          <w:sz w:val="20"/>
        </w:rPr>
        <w:t xml:space="preserve">(Continued from previous page)  </w:t>
      </w:r>
      <w:r>
        <w:rPr>
          <w:sz w:val="20"/>
        </w:rPr>
        <w:separator/>
      </w:r>
    </w:p>
  </w:footnote>
  <w:footnote w:type="continuationNotice" w:id="2">
    <w:p w:rsidR="00B273A2" w:rsidP="00C721AC" w14:paraId="0DC95A65" w14:textId="77777777">
      <w:pPr>
        <w:jc w:val="right"/>
        <w:rPr>
          <w:sz w:val="20"/>
        </w:rPr>
      </w:pPr>
      <w:r>
        <w:rPr>
          <w:sz w:val="20"/>
        </w:rPr>
        <w:t>(continued….)</w:t>
      </w:r>
    </w:p>
  </w:footnote>
  <w:footnote w:id="3">
    <w:p w:rsidR="00B273A2" w:rsidRPr="00515447" w:rsidP="00D354EC" w14:paraId="778C7B29" w14:textId="77777777">
      <w:pPr>
        <w:pStyle w:val="FootnoteText"/>
        <w:widowControl w:val="0"/>
      </w:pPr>
      <w:r w:rsidRPr="00515447">
        <w:rPr>
          <w:rStyle w:val="FootnoteReference"/>
        </w:rPr>
        <w:footnoteRef/>
      </w:r>
      <w:r w:rsidRPr="00515447">
        <w:rPr>
          <w:i/>
          <w:iCs/>
        </w:rPr>
        <w:t xml:space="preserve"> Amendment of Section 73.622(</w:t>
      </w:r>
      <w:r w:rsidRPr="00515447">
        <w:rPr>
          <w:i/>
          <w:iCs/>
        </w:rPr>
        <w:t>i</w:t>
      </w:r>
      <w:r w:rsidRPr="00515447">
        <w:rPr>
          <w:i/>
          <w:iCs/>
        </w:rPr>
        <w:t>), Post-Transition Table of DTV Allotments, Television Stations (</w:t>
      </w:r>
      <w:r>
        <w:rPr>
          <w:i/>
          <w:iCs/>
        </w:rPr>
        <w:t>Toledo, Ohio</w:t>
      </w:r>
      <w:r w:rsidRPr="00515447">
        <w:rPr>
          <w:i/>
          <w:iCs/>
        </w:rPr>
        <w:t>)</w:t>
      </w:r>
      <w:r w:rsidRPr="00515447">
        <w:t>, MB Docket No. 21-</w:t>
      </w:r>
      <w:r>
        <w:t>73</w:t>
      </w:r>
      <w:r w:rsidRPr="00515447">
        <w:t xml:space="preserve">, Notice of Proposed Rulemaking, </w:t>
      </w:r>
      <w:r>
        <w:t xml:space="preserve">36 FCC </w:t>
      </w:r>
      <w:r>
        <w:t>Rcd</w:t>
      </w:r>
      <w:r>
        <w:t xml:space="preserve"> 4808</w:t>
      </w:r>
      <w:r w:rsidRPr="00515447">
        <w:t xml:space="preserve"> (</w:t>
      </w:r>
      <w:r>
        <w:t>Vid. Div. 2021</w:t>
      </w:r>
      <w:r w:rsidRPr="00515447">
        <w:t>) (</w:t>
      </w:r>
      <w:r w:rsidRPr="00515447">
        <w:rPr>
          <w:i/>
          <w:iCs/>
        </w:rPr>
        <w:t>NPRM</w:t>
      </w:r>
      <w:r w:rsidRPr="00515447">
        <w:t>).</w:t>
      </w:r>
    </w:p>
  </w:footnote>
  <w:footnote w:id="4">
    <w:p w:rsidR="00B273A2" w:rsidRPr="00515447" w:rsidP="00D354EC" w14:paraId="635DD1EC" w14:textId="77777777">
      <w:pPr>
        <w:pStyle w:val="FootnoteText"/>
        <w:widowControl w:val="0"/>
      </w:pPr>
      <w:r w:rsidRPr="00515447">
        <w:rPr>
          <w:rStyle w:val="FootnoteReference"/>
        </w:rPr>
        <w:footnoteRef/>
      </w:r>
      <w:r w:rsidRPr="00515447">
        <w:t xml:space="preserve"> </w:t>
      </w:r>
      <w:r>
        <w:t xml:space="preserve">As noted in the </w:t>
      </w:r>
      <w:r w:rsidRPr="00400001">
        <w:rPr>
          <w:i/>
          <w:iCs/>
        </w:rPr>
        <w:t>NPRM</w:t>
      </w:r>
      <w:r>
        <w:rPr>
          <w:i/>
          <w:iCs/>
        </w:rPr>
        <w:t xml:space="preserve"> </w:t>
      </w:r>
      <w:r w:rsidRPr="00E721FF">
        <w:t>at n.2</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 xml:space="preserve">on </w:t>
      </w:r>
      <w:r>
        <w:t>July</w:t>
      </w:r>
      <w:r>
        <w:rPr>
          <w:spacing w:val="-3"/>
        </w:rPr>
        <w:t xml:space="preserve"> </w:t>
      </w:r>
      <w:r>
        <w:t>13,</w:t>
      </w:r>
      <w:r>
        <w:rPr>
          <w:spacing w:val="-6"/>
        </w:rPr>
        <w:t xml:space="preserve"> </w:t>
      </w:r>
      <w:r>
        <w:t xml:space="preserve">2020.  At the time the </w:t>
      </w:r>
      <w:r w:rsidRPr="0004006B">
        <w:rPr>
          <w:i/>
          <w:iCs/>
        </w:rPr>
        <w:t>NPRM</w:t>
      </w:r>
      <w:r>
        <w:t xml:space="preserve"> was issued, the Commission had not yet amended its rules </w:t>
      </w:r>
      <w:r w:rsidRPr="00515447">
        <w:t>to reflect all new full power channel assignments in a</w:t>
      </w:r>
      <w:r w:rsidRPr="00515447">
        <w:rPr>
          <w:w w:val="99"/>
        </w:rPr>
        <w:t xml:space="preserve"> </w:t>
      </w:r>
      <w:r w:rsidRPr="00515447">
        <w:t>revised Table of Allotments</w:t>
      </w:r>
      <w:r>
        <w:t xml:space="preserve">.  Accordingly, the </w:t>
      </w:r>
      <w:r w:rsidRPr="006F42DF">
        <w:rPr>
          <w:i/>
          <w:iCs/>
        </w:rPr>
        <w:t>NPRM</w:t>
      </w:r>
      <w:r>
        <w:t xml:space="preserve"> referred to the</w:t>
      </w:r>
      <w:r w:rsidRPr="00515447">
        <w:t xml:space="preserve"> Post-Transition Table of DTV Allotments, 47 CFR § 73.622(</w:t>
      </w:r>
      <w:r w:rsidRPr="00515447">
        <w:t>i</w:t>
      </w:r>
      <w:r w:rsidRPr="00515447">
        <w:t>) (2018)</w:t>
      </w:r>
      <w:r>
        <w:t xml:space="preserve">.  The Commission has now adopted the new Table of Allotments, 47 CFR § 73.622(j), and this </w:t>
      </w:r>
      <w:r w:rsidRPr="0004006B">
        <w:rPr>
          <w:i/>
          <w:iCs/>
        </w:rPr>
        <w:t>Report and  Order</w:t>
      </w:r>
      <w:r>
        <w:t xml:space="preserve"> amends the new rule.  </w:t>
      </w:r>
      <w:r w:rsidRPr="006F42DF">
        <w:rPr>
          <w:i/>
          <w:iCs/>
        </w:rPr>
        <w:t xml:space="preserve">See </w:t>
      </w:r>
      <w:r w:rsidRPr="006F42DF">
        <w:rPr>
          <w:i/>
          <w:iCs/>
          <w:spacing w:val="-2"/>
        </w:rPr>
        <w:t>Expanding the Economic and Innovation Opportunities of Spectrum Through Incentive Auction</w:t>
      </w:r>
      <w:r>
        <w:t>, GN Docket No. 12-268, Order, FCC 21-111 (rel. Oct. 25, 2021)</w:t>
      </w:r>
      <w:r w:rsidRPr="00515447">
        <w:t xml:space="preserve">. </w:t>
      </w:r>
      <w:r>
        <w:t xml:space="preserve"> </w:t>
      </w:r>
    </w:p>
  </w:footnote>
  <w:footnote w:id="5">
    <w:p w:rsidR="00B273A2" w:rsidRPr="00515447" w:rsidP="00D354EC" w14:paraId="214B38A8" w14:textId="77777777">
      <w:pPr>
        <w:pStyle w:val="FootnoteText"/>
        <w:widowControl w:val="0"/>
      </w:pPr>
      <w:r w:rsidRPr="00515447">
        <w:rPr>
          <w:rStyle w:val="FootnoteReference"/>
        </w:rPr>
        <w:footnoteRef/>
      </w:r>
      <w:r w:rsidRPr="00515447">
        <w:t xml:space="preserve"> </w:t>
      </w:r>
      <w:r w:rsidRPr="00515447">
        <w:t xml:space="preserve">47 CFR §§ 1.415, 1.419; </w:t>
      </w:r>
      <w:r w:rsidRPr="00515447">
        <w:rPr>
          <w:i/>
          <w:iCs/>
        </w:rPr>
        <w:t>see also Buffalo, Iola, Normangee, and Madisonville, Texas</w:t>
      </w:r>
      <w:r w:rsidRPr="00515447">
        <w:t xml:space="preserve">, MB Docket No. 07-729, Report and Order, 24 FCC </w:t>
      </w:r>
      <w:r w:rsidRPr="00515447">
        <w:t>Rcd</w:t>
      </w:r>
      <w:r w:rsidRPr="00515447">
        <w:t xml:space="preserve"> 8192, 8194, para. 9 (Aud. Div. 2009).  </w:t>
      </w:r>
    </w:p>
  </w:footnote>
  <w:footnote w:id="6">
    <w:p w:rsidR="00B273A2" w:rsidRPr="00130196" w:rsidP="00D354EC" w14:paraId="5DC94A6A" w14:textId="77777777">
      <w:pPr>
        <w:pStyle w:val="FootnoteText"/>
        <w:widowControl w:val="0"/>
      </w:pPr>
      <w:r>
        <w:rPr>
          <w:rStyle w:val="FootnoteReference"/>
        </w:rPr>
        <w:footnoteRef/>
      </w:r>
      <w:r>
        <w:t xml:space="preserve"> </w:t>
      </w:r>
      <w:r>
        <w:rPr>
          <w:i/>
          <w:iCs/>
        </w:rPr>
        <w:t xml:space="preserve">NPRM, </w:t>
      </w:r>
      <w:r>
        <w:t xml:space="preserve">36 FCC </w:t>
      </w:r>
      <w:r>
        <w:t>Rcd</w:t>
      </w:r>
      <w:r>
        <w:t xml:space="preserve"> at 4808, para. 2.</w:t>
      </w:r>
    </w:p>
  </w:footnote>
  <w:footnote w:id="7">
    <w:p w:rsidR="00B273A2" w:rsidRPr="00416CF2" w:rsidP="00D354EC" w14:paraId="0E38A5FE" w14:textId="77777777">
      <w:pPr>
        <w:pStyle w:val="FootnoteText"/>
        <w:widowControl w:val="0"/>
      </w:pPr>
      <w:r>
        <w:rPr>
          <w:rStyle w:val="FootnoteReference"/>
        </w:rPr>
        <w:footnoteRef/>
      </w:r>
      <w:r>
        <w:t xml:space="preserve"> </w:t>
      </w:r>
      <w:r>
        <w:rPr>
          <w:i/>
          <w:iCs/>
        </w:rPr>
        <w:t>Id.</w:t>
      </w:r>
    </w:p>
  </w:footnote>
  <w:footnote w:id="8">
    <w:p w:rsidR="00B273A2" w:rsidP="00D354EC" w14:paraId="2E44C0D0" w14:textId="77777777">
      <w:pPr>
        <w:pStyle w:val="FootnoteText"/>
        <w:widowControl w:val="0"/>
      </w:pPr>
      <w:r>
        <w:rPr>
          <w:rStyle w:val="FootnoteReference"/>
        </w:rPr>
        <w:footnoteRef/>
      </w:r>
      <w:r>
        <w:t xml:space="preserve"> </w:t>
      </w:r>
      <w:r>
        <w:t>Petition at 3 and Exhibit A.  WLMB is the only low VHF station in the Toledo Designated Market Area (DMA).  Petition at 1.</w:t>
      </w:r>
    </w:p>
  </w:footnote>
  <w:footnote w:id="9">
    <w:p w:rsidR="00B273A2" w:rsidP="00D354EC" w14:paraId="1EA5C69A" w14:textId="77777777">
      <w:pPr>
        <w:pStyle w:val="FootnoteText"/>
        <w:widowControl w:val="0"/>
      </w:pPr>
      <w:r>
        <w:rPr>
          <w:rStyle w:val="FootnoteReference"/>
        </w:rPr>
        <w:footnoteRef/>
      </w:r>
      <w:r>
        <w:t xml:space="preserve"> </w:t>
      </w:r>
      <w:r>
        <w:t xml:space="preserve">Petition, </w:t>
      </w:r>
      <w:r>
        <w:t>Exh</w:t>
      </w:r>
      <w:r>
        <w:t>. A at 9.</w:t>
      </w:r>
    </w:p>
  </w:footnote>
  <w:footnote w:id="10">
    <w:p w:rsidR="00B273A2" w:rsidP="00D354EC" w14:paraId="58C0D005" w14:textId="77777777">
      <w:pPr>
        <w:pStyle w:val="FootnoteText"/>
        <w:widowControl w:val="0"/>
      </w:pPr>
      <w:r>
        <w:rPr>
          <w:rStyle w:val="FootnoteReference"/>
        </w:rPr>
        <w:footnoteRef/>
      </w:r>
      <w:r>
        <w:t xml:space="preserve"> </w:t>
      </w:r>
      <w:r w:rsidRPr="00E141C2">
        <w:rPr>
          <w:i/>
          <w:iCs/>
        </w:rPr>
        <w:t>NPRM</w:t>
      </w:r>
      <w:r>
        <w:t xml:space="preserve">, 36 FCC </w:t>
      </w:r>
      <w:r>
        <w:t>Rcd</w:t>
      </w:r>
      <w:r>
        <w:rPr>
          <w:i/>
          <w:iCs/>
        </w:rPr>
        <w:t>.</w:t>
      </w:r>
      <w:r>
        <w:t xml:space="preserve"> at 4809, para. 4. </w:t>
      </w:r>
    </w:p>
  </w:footnote>
  <w:footnote w:id="11">
    <w:p w:rsidR="00B273A2" w:rsidRPr="00CB18B9" w:rsidP="00D354EC" w14:paraId="77F933FE" w14:textId="77777777">
      <w:pPr>
        <w:pStyle w:val="FootnoteText"/>
        <w:widowControl w:val="0"/>
      </w:pPr>
      <w:r>
        <w:rPr>
          <w:rStyle w:val="FootnoteReference"/>
        </w:rPr>
        <w:footnoteRef/>
      </w:r>
      <w:r>
        <w:t xml:space="preserve"> </w:t>
      </w:r>
      <w:r>
        <w:t xml:space="preserve">The Commission has previously stated that it is “generally most concerned where there is a loss of an area’s only network or NCE TV service, or where the loss results in an area becoming less that well-served, i.e., served by fewer than five full-power stations.” </w:t>
      </w:r>
      <w:r w:rsidRPr="001D25F4">
        <w:rPr>
          <w:i/>
          <w:iCs/>
        </w:rPr>
        <w:t>Third Periodic Review of the Commission’s Rules and Policies Affecting the Conversion to Digital Television</w:t>
      </w:r>
      <w:r w:rsidRPr="001D25F4">
        <w:t xml:space="preserve">, </w:t>
      </w:r>
      <w:r>
        <w:t xml:space="preserve">MB </w:t>
      </w:r>
      <w:r w:rsidRPr="001D25F4">
        <w:t xml:space="preserve">Docket No. </w:t>
      </w:r>
      <w:r>
        <w:t>07-91</w:t>
      </w:r>
      <w:r w:rsidRPr="001D25F4">
        <w:t xml:space="preserve">, Notice of Proposed Rulemaking, 22 FCC </w:t>
      </w:r>
      <w:r w:rsidRPr="001D25F4">
        <w:t>Rcd</w:t>
      </w:r>
      <w:r w:rsidRPr="001D25F4">
        <w:t xml:space="preserve"> 9478, 9493, para. 38</w:t>
      </w:r>
      <w:r>
        <w:t xml:space="preserve"> </w:t>
      </w:r>
      <w:r w:rsidRPr="001D25F4">
        <w:t>(2007</w:t>
      </w:r>
      <w:r>
        <w:t xml:space="preserve">).  We note that WLMB is not a network affiliate or noncommercial educational station.  Furthermore, most of the viewers losing service are located </w:t>
      </w:r>
      <w:r w:rsidRPr="00CB18B9">
        <w:t xml:space="preserve">in DMAs other than the Toledo DMA, which is the DMA WLMB primarily serves and in which its community of license is located.  </w:t>
      </w:r>
      <w:r w:rsidRPr="00CB18B9">
        <w:rPr>
          <w:i/>
          <w:iCs/>
        </w:rPr>
        <w:t>See</w:t>
      </w:r>
      <w:r w:rsidRPr="00CB18B9">
        <w:t xml:space="preserve"> Petition at </w:t>
      </w:r>
      <w:r w:rsidRPr="00CB18B9">
        <w:t>Exh</w:t>
      </w:r>
      <w:r w:rsidRPr="00CB18B9">
        <w:t xml:space="preserve">. E-4.  Additionally, based on the propagation characteristics of WLMB’s current VHF signal, we believe it is unlikely that any persons that are in the Toledo DMA that are able to receive WLMB’s signal will lose access to the Station as a result of this channel substitution, and to the extent there is any loss, it would be considered </w:t>
      </w:r>
      <w:r w:rsidRPr="00CB18B9">
        <w:rPr>
          <w:i/>
          <w:iCs/>
        </w:rPr>
        <w:t>de minimis</w:t>
      </w:r>
      <w:r w:rsidRPr="00CB18B9">
        <w:t>.  Likewise, any viewers outside of the Toledo DMA that are within the Station’s current contour but predicted to lose service are, for the same reason, unlikely to actually be receiving WLMB’s signal today. While these factors relating to DMA are not controlling, they do provide additional factors that support grant of the instant channel substitution.</w:t>
      </w:r>
    </w:p>
  </w:footnote>
  <w:footnote w:id="12">
    <w:p w:rsidR="00B273A2" w:rsidRPr="00623334" w:rsidP="00D354EC" w14:paraId="2E4C91DC" w14:textId="77777777">
      <w:pPr>
        <w:pStyle w:val="FootnoteText"/>
        <w:widowControl w:val="0"/>
      </w:pPr>
      <w:r w:rsidRPr="00CB18B9">
        <w:rPr>
          <w:rStyle w:val="FootnoteReference"/>
        </w:rPr>
        <w:footnoteRef/>
      </w:r>
      <w:r w:rsidRPr="00CB18B9">
        <w:t xml:space="preserve"> </w:t>
      </w:r>
      <w:r w:rsidRPr="00CB18B9">
        <w:rPr>
          <w:i/>
          <w:iCs/>
        </w:rPr>
        <w:t>See WSET, Inc.</w:t>
      </w:r>
      <w:r w:rsidRPr="00CB18B9">
        <w:t>, 80 FCC 2d 233, 246 (1980) (finding that population loss of less than 500 persons</w:t>
      </w:r>
      <w:r>
        <w:t xml:space="preserve"> is </w:t>
      </w:r>
      <w:r>
        <w:rPr>
          <w:i/>
          <w:iCs/>
        </w:rPr>
        <w:t>de minimis</w:t>
      </w:r>
      <w:r>
        <w:t>).</w:t>
      </w:r>
    </w:p>
  </w:footnote>
  <w:footnote w:id="13">
    <w:p w:rsidR="00B273A2" w:rsidP="00D354EC" w14:paraId="4A845EB1" w14:textId="77777777">
      <w:pPr>
        <w:pStyle w:val="FootnoteText"/>
        <w:widowControl w:val="0"/>
      </w:pPr>
      <w:r>
        <w:rPr>
          <w:rStyle w:val="FootnoteReference"/>
        </w:rPr>
        <w:footnoteRef/>
      </w:r>
      <w:r>
        <w:t xml:space="preserve"> </w:t>
      </w:r>
      <w:r w:rsidRPr="00AD770D">
        <w:rPr>
          <w:i/>
          <w:iCs/>
        </w:rPr>
        <w:t>NPRM</w:t>
      </w:r>
      <w:r>
        <w:t xml:space="preserve">, 36 FCC </w:t>
      </w:r>
      <w:r>
        <w:t>Rcd</w:t>
      </w:r>
      <w:r>
        <w:t xml:space="preserve"> at 4809, para. 5; </w:t>
      </w:r>
      <w:r w:rsidRPr="0048672B">
        <w:rPr>
          <w:i/>
          <w:iCs/>
        </w:rPr>
        <w:t>supra</w:t>
      </w:r>
      <w:r>
        <w:t xml:space="preserve"> para. 2.</w:t>
      </w:r>
    </w:p>
  </w:footnote>
  <w:footnote w:id="14">
    <w:p w:rsidR="00B273A2" w:rsidP="00D354EC" w14:paraId="533187DD" w14:textId="77777777">
      <w:pPr>
        <w:pStyle w:val="FootnoteText"/>
        <w:widowControl w:val="0"/>
      </w:pPr>
      <w:r>
        <w:rPr>
          <w:rStyle w:val="FootnoteReference"/>
        </w:rPr>
        <w:footnoteRef/>
      </w:r>
      <w:r>
        <w:t xml:space="preserve"> </w:t>
      </w:r>
      <w:r>
        <w:t>47 CFR § 73.623(d).</w:t>
      </w:r>
    </w:p>
  </w:footnote>
  <w:footnote w:id="15">
    <w:p w:rsidR="00B273A2" w:rsidP="00D354EC" w14:paraId="2E3601C7" w14:textId="77777777">
      <w:pPr>
        <w:pStyle w:val="FootnoteText"/>
        <w:widowControl w:val="0"/>
      </w:pPr>
      <w:r w:rsidRPr="00B612AB">
        <w:rPr>
          <w:rStyle w:val="FootnoteReference"/>
        </w:rPr>
        <w:footnoteRef/>
      </w:r>
      <w:r w:rsidRPr="00B612AB">
        <w:t xml:space="preserve"> </w:t>
      </w:r>
      <w:r>
        <w:t xml:space="preserve">On September 14, 2021, the Petitioner amended its petition to avoid potential interference with Canadian television stations.  </w:t>
      </w:r>
      <w:r>
        <w:rPr>
          <w:i/>
          <w:iCs/>
        </w:rPr>
        <w:t xml:space="preserve">See </w:t>
      </w:r>
      <w:r>
        <w:t xml:space="preserve">Petition for Rulemaking of Dominion Broadcasting, Inc. as Amended (LMS File No. 00000127485, filed Sept. 14, 2021).  </w:t>
      </w:r>
      <w:r w:rsidRPr="00CD2AAC">
        <w:rPr>
          <w:spacing w:val="-3"/>
          <w:szCs w:val="22"/>
        </w:rPr>
        <w:t>Concurrence from the Canadian government has been obtained for this allotment</w:t>
      </w:r>
      <w:r w:rsidRPr="00B612AB">
        <w:rPr>
          <w:spacing w:val="-3"/>
          <w:szCs w:val="22"/>
        </w:rPr>
        <w:t>.</w:t>
      </w:r>
    </w:p>
  </w:footnote>
  <w:footnote w:id="16">
    <w:p w:rsidR="00B273A2" w:rsidP="00D354EC" w14:paraId="68EEF69F" w14:textId="77777777">
      <w:pPr>
        <w:pStyle w:val="FootnoteText"/>
        <w:widowControl w:val="0"/>
      </w:pPr>
      <w:r>
        <w:rPr>
          <w:rStyle w:val="FootnoteReference"/>
        </w:rPr>
        <w:footnoteRef/>
      </w:r>
      <w:r>
        <w:t xml:space="preserve"> </w:t>
      </w:r>
      <w:r>
        <w:t>47 CFR §§ 73.616, 73.623.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A787117" w14:textId="758C5388">
    <w:pPr>
      <w:pStyle w:val="Header"/>
      <w:rPr>
        <w:b w:val="0"/>
      </w:rPr>
    </w:pPr>
    <w:r>
      <w:tab/>
    </w:r>
    <w:r>
      <w:t>Federal Communications Commission</w:t>
    </w:r>
    <w:r>
      <w:tab/>
    </w:r>
    <w:r w:rsidR="00D354EC">
      <w:t>DA 22-179</w:t>
    </w:r>
  </w:p>
  <w:p w:rsidR="00D25FB5" w14:paraId="6997522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D3770F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2BCD9A" w14:textId="3BF87C1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D354EC">
      <w:rPr>
        <w:spacing w:val="-2"/>
      </w:rPr>
      <w:t>DA 22-179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A2"/>
    <w:rsid w:val="00036039"/>
    <w:rsid w:val="00037F90"/>
    <w:rsid w:val="0004006B"/>
    <w:rsid w:val="000875BF"/>
    <w:rsid w:val="00096D8C"/>
    <w:rsid w:val="000C0B65"/>
    <w:rsid w:val="000E05FE"/>
    <w:rsid w:val="000E3D42"/>
    <w:rsid w:val="00122BD5"/>
    <w:rsid w:val="00130196"/>
    <w:rsid w:val="00133F79"/>
    <w:rsid w:val="00194A66"/>
    <w:rsid w:val="001D25F4"/>
    <w:rsid w:val="001D6BCF"/>
    <w:rsid w:val="001E01CA"/>
    <w:rsid w:val="00275CF5"/>
    <w:rsid w:val="0028301F"/>
    <w:rsid w:val="00285017"/>
    <w:rsid w:val="002A2D2E"/>
    <w:rsid w:val="002C00E8"/>
    <w:rsid w:val="002C0757"/>
    <w:rsid w:val="00343749"/>
    <w:rsid w:val="003660ED"/>
    <w:rsid w:val="003B0550"/>
    <w:rsid w:val="003B694F"/>
    <w:rsid w:val="003F171C"/>
    <w:rsid w:val="00400001"/>
    <w:rsid w:val="00412FC5"/>
    <w:rsid w:val="00416CF2"/>
    <w:rsid w:val="00422276"/>
    <w:rsid w:val="004242F1"/>
    <w:rsid w:val="00445A00"/>
    <w:rsid w:val="00451B0F"/>
    <w:rsid w:val="00472D1B"/>
    <w:rsid w:val="0048672B"/>
    <w:rsid w:val="004C2EE3"/>
    <w:rsid w:val="004E4A22"/>
    <w:rsid w:val="00511968"/>
    <w:rsid w:val="00515447"/>
    <w:rsid w:val="0055614C"/>
    <w:rsid w:val="00566D06"/>
    <w:rsid w:val="005E14C2"/>
    <w:rsid w:val="00607BA5"/>
    <w:rsid w:val="0061180A"/>
    <w:rsid w:val="00623334"/>
    <w:rsid w:val="00626EB6"/>
    <w:rsid w:val="00655D03"/>
    <w:rsid w:val="00683388"/>
    <w:rsid w:val="00683F84"/>
    <w:rsid w:val="006A6A81"/>
    <w:rsid w:val="006F42DF"/>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904EF"/>
    <w:rsid w:val="009D7308"/>
    <w:rsid w:val="009F76DB"/>
    <w:rsid w:val="00A32C3B"/>
    <w:rsid w:val="00A45F4F"/>
    <w:rsid w:val="00A600A9"/>
    <w:rsid w:val="00AA55B7"/>
    <w:rsid w:val="00AA5B9E"/>
    <w:rsid w:val="00AB2407"/>
    <w:rsid w:val="00AB53DF"/>
    <w:rsid w:val="00AD770D"/>
    <w:rsid w:val="00B07E5C"/>
    <w:rsid w:val="00B273A2"/>
    <w:rsid w:val="00B612AB"/>
    <w:rsid w:val="00B811F7"/>
    <w:rsid w:val="00BA5DC6"/>
    <w:rsid w:val="00BA6196"/>
    <w:rsid w:val="00BC6D8C"/>
    <w:rsid w:val="00C34006"/>
    <w:rsid w:val="00C36B4C"/>
    <w:rsid w:val="00C426B1"/>
    <w:rsid w:val="00C66160"/>
    <w:rsid w:val="00C721AC"/>
    <w:rsid w:val="00C90D6A"/>
    <w:rsid w:val="00CA247E"/>
    <w:rsid w:val="00CA6D21"/>
    <w:rsid w:val="00CB18B9"/>
    <w:rsid w:val="00CC72B6"/>
    <w:rsid w:val="00CD2AAC"/>
    <w:rsid w:val="00D0218D"/>
    <w:rsid w:val="00D25FB5"/>
    <w:rsid w:val="00D354EC"/>
    <w:rsid w:val="00D35DD6"/>
    <w:rsid w:val="00D44223"/>
    <w:rsid w:val="00DA2529"/>
    <w:rsid w:val="00DB130A"/>
    <w:rsid w:val="00DB2EBB"/>
    <w:rsid w:val="00DC10A1"/>
    <w:rsid w:val="00DC655F"/>
    <w:rsid w:val="00DD0B59"/>
    <w:rsid w:val="00DD7EBD"/>
    <w:rsid w:val="00DF62B6"/>
    <w:rsid w:val="00E07225"/>
    <w:rsid w:val="00E141C2"/>
    <w:rsid w:val="00E5409F"/>
    <w:rsid w:val="00E721F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9FB559"/>
  <w15:chartTrackingRefBased/>
  <w15:docId w15:val="{899EBD93-987A-48E8-AE4F-B5AEBF87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C0757"/>
    <w:pPr>
      <w:widowControl w:val="0"/>
    </w:pPr>
    <w:rPr>
      <w:snapToGrid w:val="0"/>
      <w:kern w:val="28"/>
      <w:sz w:val="22"/>
    </w:rPr>
  </w:style>
  <w:style w:type="paragraph" w:styleId="Heading1">
    <w:name w:val="heading 1"/>
    <w:basedOn w:val="Normal"/>
    <w:next w:val="ParaNum"/>
    <w:qFormat/>
    <w:rsid w:val="002C075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C0757"/>
    <w:pPr>
      <w:keepNext/>
      <w:numPr>
        <w:ilvl w:val="1"/>
        <w:numId w:val="3"/>
      </w:numPr>
      <w:spacing w:after="120"/>
      <w:outlineLvl w:val="1"/>
    </w:pPr>
    <w:rPr>
      <w:b/>
    </w:rPr>
  </w:style>
  <w:style w:type="paragraph" w:styleId="Heading3">
    <w:name w:val="heading 3"/>
    <w:basedOn w:val="Normal"/>
    <w:next w:val="ParaNum"/>
    <w:qFormat/>
    <w:rsid w:val="002C0757"/>
    <w:pPr>
      <w:keepNext/>
      <w:numPr>
        <w:ilvl w:val="2"/>
        <w:numId w:val="3"/>
      </w:numPr>
      <w:tabs>
        <w:tab w:val="left" w:pos="2160"/>
      </w:tabs>
      <w:spacing w:after="120"/>
      <w:outlineLvl w:val="2"/>
    </w:pPr>
    <w:rPr>
      <w:b/>
    </w:rPr>
  </w:style>
  <w:style w:type="paragraph" w:styleId="Heading4">
    <w:name w:val="heading 4"/>
    <w:basedOn w:val="Normal"/>
    <w:next w:val="ParaNum"/>
    <w:qFormat/>
    <w:rsid w:val="002C0757"/>
    <w:pPr>
      <w:keepNext/>
      <w:numPr>
        <w:ilvl w:val="3"/>
        <w:numId w:val="3"/>
      </w:numPr>
      <w:tabs>
        <w:tab w:val="left" w:pos="2880"/>
      </w:tabs>
      <w:spacing w:after="120"/>
      <w:outlineLvl w:val="3"/>
    </w:pPr>
    <w:rPr>
      <w:b/>
    </w:rPr>
  </w:style>
  <w:style w:type="paragraph" w:styleId="Heading5">
    <w:name w:val="heading 5"/>
    <w:basedOn w:val="Normal"/>
    <w:next w:val="ParaNum"/>
    <w:qFormat/>
    <w:rsid w:val="002C075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C0757"/>
    <w:pPr>
      <w:numPr>
        <w:ilvl w:val="5"/>
        <w:numId w:val="3"/>
      </w:numPr>
      <w:tabs>
        <w:tab w:val="left" w:pos="4320"/>
      </w:tabs>
      <w:spacing w:after="120"/>
      <w:outlineLvl w:val="5"/>
    </w:pPr>
    <w:rPr>
      <w:b/>
    </w:rPr>
  </w:style>
  <w:style w:type="paragraph" w:styleId="Heading7">
    <w:name w:val="heading 7"/>
    <w:basedOn w:val="Normal"/>
    <w:next w:val="ParaNum"/>
    <w:qFormat/>
    <w:rsid w:val="002C075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C075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C075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C07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0757"/>
  </w:style>
  <w:style w:type="paragraph" w:customStyle="1" w:styleId="ParaNum">
    <w:name w:val="ParaNum"/>
    <w:basedOn w:val="Normal"/>
    <w:link w:val="ParaNumChar1"/>
    <w:rsid w:val="002C0757"/>
    <w:pPr>
      <w:numPr>
        <w:numId w:val="2"/>
      </w:numPr>
      <w:tabs>
        <w:tab w:val="clear" w:pos="1080"/>
        <w:tab w:val="num" w:pos="1440"/>
      </w:tabs>
      <w:spacing w:after="120"/>
    </w:pPr>
  </w:style>
  <w:style w:type="paragraph" w:styleId="EndnoteText">
    <w:name w:val="endnote text"/>
    <w:basedOn w:val="Normal"/>
    <w:semiHidden/>
    <w:rsid w:val="002C0757"/>
    <w:rPr>
      <w:sz w:val="20"/>
    </w:rPr>
  </w:style>
  <w:style w:type="character" w:styleId="EndnoteReference">
    <w:name w:val="endnote reference"/>
    <w:semiHidden/>
    <w:rsid w:val="002C0757"/>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2C0757"/>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0757"/>
    <w:rPr>
      <w:rFonts w:ascii="Times New Roman" w:hAnsi="Times New Roman"/>
      <w:dstrike w:val="0"/>
      <w:color w:val="auto"/>
      <w:sz w:val="20"/>
      <w:vertAlign w:val="superscript"/>
    </w:rPr>
  </w:style>
  <w:style w:type="paragraph" w:styleId="TOC1">
    <w:name w:val="toc 1"/>
    <w:basedOn w:val="Normal"/>
    <w:next w:val="Normal"/>
    <w:semiHidden/>
    <w:rsid w:val="002C075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C0757"/>
    <w:pPr>
      <w:tabs>
        <w:tab w:val="left" w:pos="720"/>
        <w:tab w:val="right" w:leader="dot" w:pos="9360"/>
      </w:tabs>
      <w:suppressAutoHyphens/>
      <w:ind w:left="720" w:right="720" w:hanging="360"/>
    </w:pPr>
    <w:rPr>
      <w:noProof/>
    </w:rPr>
  </w:style>
  <w:style w:type="paragraph" w:styleId="TOC3">
    <w:name w:val="toc 3"/>
    <w:basedOn w:val="Normal"/>
    <w:next w:val="Normal"/>
    <w:semiHidden/>
    <w:rsid w:val="002C075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C075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C075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C075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C075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C075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C075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C0757"/>
    <w:pPr>
      <w:tabs>
        <w:tab w:val="right" w:pos="9360"/>
      </w:tabs>
      <w:suppressAutoHyphens/>
    </w:pPr>
  </w:style>
  <w:style w:type="character" w:customStyle="1" w:styleId="EquationCaption">
    <w:name w:val="_Equation Caption"/>
    <w:rsid w:val="002C0757"/>
  </w:style>
  <w:style w:type="paragraph" w:styleId="Header">
    <w:name w:val="header"/>
    <w:basedOn w:val="Normal"/>
    <w:autoRedefine/>
    <w:rsid w:val="002C0757"/>
    <w:pPr>
      <w:tabs>
        <w:tab w:val="center" w:pos="4680"/>
        <w:tab w:val="right" w:pos="9360"/>
      </w:tabs>
    </w:pPr>
    <w:rPr>
      <w:b/>
    </w:rPr>
  </w:style>
  <w:style w:type="paragraph" w:styleId="Footer">
    <w:name w:val="footer"/>
    <w:basedOn w:val="Normal"/>
    <w:link w:val="FooterChar"/>
    <w:uiPriority w:val="99"/>
    <w:rsid w:val="002C0757"/>
    <w:pPr>
      <w:tabs>
        <w:tab w:val="center" w:pos="4320"/>
        <w:tab w:val="right" w:pos="8640"/>
      </w:tabs>
    </w:pPr>
  </w:style>
  <w:style w:type="character" w:styleId="PageNumber">
    <w:name w:val="page number"/>
    <w:basedOn w:val="DefaultParagraphFont"/>
    <w:rsid w:val="002C0757"/>
  </w:style>
  <w:style w:type="paragraph" w:styleId="BlockText">
    <w:name w:val="Block Text"/>
    <w:basedOn w:val="Normal"/>
    <w:rsid w:val="002C0757"/>
    <w:pPr>
      <w:spacing w:after="240"/>
      <w:ind w:left="1440" w:right="1440"/>
    </w:pPr>
  </w:style>
  <w:style w:type="paragraph" w:customStyle="1" w:styleId="Paratitle">
    <w:name w:val="Para title"/>
    <w:basedOn w:val="Normal"/>
    <w:rsid w:val="002C0757"/>
    <w:pPr>
      <w:tabs>
        <w:tab w:val="center" w:pos="9270"/>
      </w:tabs>
      <w:spacing w:after="240"/>
    </w:pPr>
    <w:rPr>
      <w:spacing w:val="-2"/>
    </w:rPr>
  </w:style>
  <w:style w:type="paragraph" w:customStyle="1" w:styleId="Bullet">
    <w:name w:val="Bullet"/>
    <w:basedOn w:val="Normal"/>
    <w:rsid w:val="002C0757"/>
    <w:pPr>
      <w:tabs>
        <w:tab w:val="left" w:pos="2160"/>
      </w:tabs>
      <w:spacing w:after="220"/>
      <w:ind w:left="2160" w:hanging="720"/>
    </w:pPr>
  </w:style>
  <w:style w:type="paragraph" w:customStyle="1" w:styleId="TableFormat">
    <w:name w:val="TableFormat"/>
    <w:basedOn w:val="Bullet"/>
    <w:rsid w:val="002C0757"/>
    <w:pPr>
      <w:tabs>
        <w:tab w:val="clear" w:pos="2160"/>
        <w:tab w:val="left" w:pos="5040"/>
      </w:tabs>
      <w:ind w:left="5040" w:hanging="3600"/>
    </w:pPr>
  </w:style>
  <w:style w:type="paragraph" w:customStyle="1" w:styleId="TOCTitle">
    <w:name w:val="TOC Title"/>
    <w:basedOn w:val="Normal"/>
    <w:rsid w:val="002C075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C0757"/>
    <w:pPr>
      <w:jc w:val="center"/>
    </w:pPr>
    <w:rPr>
      <w:rFonts w:ascii="Times New Roman Bold" w:hAnsi="Times New Roman Bold"/>
      <w:b/>
      <w:bCs/>
      <w:caps/>
      <w:szCs w:val="22"/>
    </w:rPr>
  </w:style>
  <w:style w:type="character" w:styleId="Hyperlink">
    <w:name w:val="Hyperlink"/>
    <w:rsid w:val="002C0757"/>
    <w:rPr>
      <w:color w:val="0000FF"/>
      <w:u w:val="single"/>
    </w:rPr>
  </w:style>
  <w:style w:type="character" w:customStyle="1" w:styleId="FooterChar">
    <w:name w:val="Footer Char"/>
    <w:link w:val="Footer"/>
    <w:uiPriority w:val="99"/>
    <w:rsid w:val="002C075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B273A2"/>
  </w:style>
  <w:style w:type="character" w:customStyle="1" w:styleId="ParaNumChar1">
    <w:name w:val="ParaNum Char1"/>
    <w:link w:val="ParaNum"/>
    <w:locked/>
    <w:rsid w:val="00B273A2"/>
    <w:rPr>
      <w:snapToGrid w:val="0"/>
      <w:kern w:val="28"/>
      <w:sz w:val="22"/>
    </w:rPr>
  </w:style>
  <w:style w:type="table" w:styleId="TableGrid">
    <w:name w:val="Table Grid"/>
    <w:basedOn w:val="TableNormal"/>
    <w:uiPriority w:val="39"/>
    <w:rsid w:val="00B273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B273A2"/>
  </w:style>
  <w:style w:type="character" w:customStyle="1" w:styleId="UnresolvedMention">
    <w:name w:val="Unresolved Mention"/>
    <w:basedOn w:val="DefaultParagraphFont"/>
    <w:uiPriority w:val="99"/>
    <w:semiHidden/>
    <w:unhideWhenUsed/>
    <w:rsid w:val="00B27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 TargetMode="External" /><Relationship Id="rId6" Type="http://schemas.openxmlformats.org/officeDocument/2006/relationships/hyperlink" Target="mailto:Joyce.Bernstei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