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1471" w14:paraId="41438332" w14:textId="5F43FC39">
      <w:pPr>
        <w:spacing w:before="120" w:after="240"/>
        <w:rPr>
          <w:b/>
          <w:sz w:val="24"/>
          <w:szCs w:val="24"/>
        </w:rPr>
      </w:pPr>
    </w:p>
    <w:p w:rsidR="00B31471" w14:paraId="560CD97F" w14:textId="3D9761CE">
      <w:pPr>
        <w:jc w:val="right"/>
        <w:rPr>
          <w:b/>
          <w:sz w:val="24"/>
        </w:rPr>
      </w:pPr>
      <w:r>
        <w:rPr>
          <w:b/>
          <w:sz w:val="24"/>
        </w:rPr>
        <w:t>DA 22-182</w:t>
      </w:r>
    </w:p>
    <w:p w:rsidR="00B31471" w:rsidRPr="00C61CD6" w:rsidP="00C61CD6" w14:paraId="1088C304" w14:textId="48C9C77D">
      <w:pPr>
        <w:spacing w:before="60"/>
        <w:jc w:val="right"/>
        <w:rPr>
          <w:b/>
          <w:sz w:val="24"/>
        </w:rPr>
      </w:pPr>
      <w:r>
        <w:rPr>
          <w:b/>
          <w:sz w:val="24"/>
        </w:rPr>
        <w:t xml:space="preserve">Released:  </w:t>
      </w:r>
      <w:bookmarkStart w:id="0" w:name="TOChere"/>
      <w:r w:rsidR="00614EF5">
        <w:rPr>
          <w:b/>
          <w:sz w:val="24"/>
        </w:rPr>
        <w:t xml:space="preserve">February </w:t>
      </w:r>
      <w:r w:rsidR="00780D38">
        <w:rPr>
          <w:b/>
          <w:sz w:val="24"/>
        </w:rPr>
        <w:t>22</w:t>
      </w:r>
      <w:r w:rsidR="00614EF5">
        <w:rPr>
          <w:b/>
          <w:sz w:val="24"/>
        </w:rPr>
        <w:t>, 2022</w:t>
      </w:r>
    </w:p>
    <w:p w:rsidR="00B31471" w14:paraId="5C094C13" w14:textId="77777777"/>
    <w:bookmarkEnd w:id="0"/>
    <w:p w:rsidR="00C61CD6" w:rsidP="00DC334A" w14:paraId="03957328" w14:textId="39382BCF">
      <w:pPr>
        <w:jc w:val="center"/>
        <w:rPr>
          <w:rFonts w:ascii="Times New Roman Bold" w:hAnsi="Times New Roman Bold"/>
          <w:b/>
          <w:caps/>
          <w:sz w:val="24"/>
        </w:rPr>
      </w:pPr>
      <w:r w:rsidRPr="015F9511">
        <w:rPr>
          <w:rFonts w:ascii="Times New Roman Bold" w:hAnsi="Times New Roman Bold"/>
          <w:b/>
          <w:caps/>
          <w:sz w:val="24"/>
          <w:szCs w:val="24"/>
        </w:rPr>
        <w:t xml:space="preserve">BROADBAND DATA TASK FORCE </w:t>
      </w:r>
      <w:r w:rsidRPr="015F9511" w:rsidR="0AD2E352">
        <w:rPr>
          <w:rFonts w:ascii="Times New Roman Bold" w:hAnsi="Times New Roman Bold"/>
          <w:b/>
          <w:bCs/>
          <w:caps/>
          <w:sz w:val="24"/>
          <w:szCs w:val="24"/>
        </w:rPr>
        <w:t xml:space="preserve">AND OFFICE OF </w:t>
      </w:r>
      <w:r w:rsidRPr="6B55D726" w:rsidR="0AD2E352">
        <w:rPr>
          <w:rFonts w:ascii="Times New Roman Bold" w:hAnsi="Times New Roman Bold"/>
          <w:b/>
          <w:bCs/>
          <w:caps/>
          <w:sz w:val="24"/>
          <w:szCs w:val="24"/>
        </w:rPr>
        <w:t xml:space="preserve">ECONOMICS AND ANALYTICS </w:t>
      </w:r>
      <w:r w:rsidRPr="6B55D726">
        <w:rPr>
          <w:rFonts w:ascii="Times New Roman Bold" w:hAnsi="Times New Roman Bold"/>
          <w:b/>
          <w:bCs/>
          <w:caps/>
          <w:sz w:val="24"/>
          <w:szCs w:val="24"/>
        </w:rPr>
        <w:t>ANNOUNCE</w:t>
      </w:r>
      <w:r w:rsidRPr="015F9511">
        <w:rPr>
          <w:rFonts w:ascii="Times New Roman Bold" w:hAnsi="Times New Roman Bold"/>
          <w:b/>
          <w:caps/>
          <w:sz w:val="24"/>
          <w:szCs w:val="24"/>
        </w:rPr>
        <w:t xml:space="preserve"> </w:t>
      </w:r>
      <w:r w:rsidRPr="015F9511" w:rsidR="00A27AA2">
        <w:rPr>
          <w:rFonts w:ascii="Times New Roman Bold" w:hAnsi="Times New Roman Bold"/>
          <w:b/>
          <w:caps/>
          <w:sz w:val="24"/>
          <w:szCs w:val="24"/>
        </w:rPr>
        <w:t>Inaugural</w:t>
      </w:r>
      <w:r w:rsidR="00DC334A">
        <w:rPr>
          <w:rFonts w:ascii="Times New Roman Bold" w:hAnsi="Times New Roman Bold"/>
          <w:b/>
          <w:caps/>
          <w:sz w:val="24"/>
        </w:rPr>
        <w:t xml:space="preserve"> </w:t>
      </w:r>
      <w:r>
        <w:rPr>
          <w:rFonts w:ascii="Times New Roman Bold" w:hAnsi="Times New Roman Bold"/>
          <w:b/>
          <w:caps/>
          <w:sz w:val="24"/>
        </w:rPr>
        <w:t xml:space="preserve">Broadband data collection </w:t>
      </w:r>
      <w:r w:rsidR="00A27AA2">
        <w:rPr>
          <w:rFonts w:ascii="Times New Roman Bold" w:hAnsi="Times New Roman Bold"/>
          <w:b/>
          <w:caps/>
          <w:sz w:val="24"/>
        </w:rPr>
        <w:t>Filing Dates</w:t>
      </w:r>
    </w:p>
    <w:p w:rsidR="00D16418" w:rsidP="00BC67D8" w14:paraId="3C08454F" w14:textId="77777777">
      <w:pPr>
        <w:jc w:val="center"/>
        <w:rPr>
          <w:rFonts w:ascii="Times New Roman Bold" w:hAnsi="Times New Roman Bold"/>
          <w:b/>
          <w:caps/>
          <w:sz w:val="24"/>
        </w:rPr>
      </w:pPr>
    </w:p>
    <w:p w:rsidR="00C61CD6" w:rsidRPr="00854D3A" w:rsidP="00854D3A" w14:paraId="176F8A05" w14:textId="1FEC7FC5">
      <w:pPr>
        <w:jc w:val="center"/>
        <w:rPr>
          <w:rFonts w:ascii="Times New Roman Bold" w:hAnsi="Times New Roman Bold"/>
          <w:b/>
          <w:caps/>
          <w:sz w:val="24"/>
        </w:rPr>
      </w:pPr>
      <w:r w:rsidRPr="00854D3A">
        <w:rPr>
          <w:rFonts w:ascii="Times New Roman Bold" w:hAnsi="Times New Roman Bold"/>
          <w:b/>
          <w:caps/>
          <w:sz w:val="24"/>
        </w:rPr>
        <w:t xml:space="preserve">Broadband </w:t>
      </w:r>
      <w:r w:rsidRPr="00854D3A" w:rsidR="001C5575">
        <w:rPr>
          <w:rFonts w:ascii="Times New Roman Bold" w:hAnsi="Times New Roman Bold"/>
          <w:b/>
          <w:caps/>
          <w:sz w:val="24"/>
        </w:rPr>
        <w:t xml:space="preserve">Availability </w:t>
      </w:r>
      <w:r w:rsidRPr="00854D3A">
        <w:rPr>
          <w:rFonts w:ascii="Times New Roman Bold" w:hAnsi="Times New Roman Bold"/>
          <w:b/>
          <w:caps/>
          <w:sz w:val="24"/>
        </w:rPr>
        <w:t xml:space="preserve">Data </w:t>
      </w:r>
      <w:r w:rsidRPr="00854D3A" w:rsidR="00FD6D28">
        <w:rPr>
          <w:rFonts w:ascii="Times New Roman Bold" w:hAnsi="Times New Roman Bold"/>
          <w:b/>
          <w:caps/>
          <w:sz w:val="24"/>
        </w:rPr>
        <w:t>A</w:t>
      </w:r>
      <w:r w:rsidRPr="00854D3A">
        <w:rPr>
          <w:rFonts w:ascii="Times New Roman Bold" w:hAnsi="Times New Roman Bold"/>
          <w:b/>
          <w:caps/>
          <w:sz w:val="24"/>
        </w:rPr>
        <w:t xml:space="preserve">s </w:t>
      </w:r>
      <w:r w:rsidRPr="00854D3A" w:rsidR="00FD6D28">
        <w:rPr>
          <w:rFonts w:ascii="Times New Roman Bold" w:hAnsi="Times New Roman Bold"/>
          <w:b/>
          <w:caps/>
          <w:sz w:val="24"/>
        </w:rPr>
        <w:t>O</w:t>
      </w:r>
      <w:r w:rsidRPr="00854D3A">
        <w:rPr>
          <w:rFonts w:ascii="Times New Roman Bold" w:hAnsi="Times New Roman Bold"/>
          <w:b/>
          <w:caps/>
          <w:sz w:val="24"/>
        </w:rPr>
        <w:t xml:space="preserve">f June 30, 2022 </w:t>
      </w:r>
      <w:r w:rsidRPr="00854D3A" w:rsidR="00A07E27">
        <w:rPr>
          <w:rFonts w:ascii="Times New Roman Bold" w:hAnsi="Times New Roman Bold"/>
          <w:b/>
          <w:caps/>
          <w:sz w:val="24"/>
        </w:rPr>
        <w:t>A</w:t>
      </w:r>
      <w:r w:rsidRPr="00854D3A">
        <w:rPr>
          <w:rFonts w:ascii="Times New Roman Bold" w:hAnsi="Times New Roman Bold"/>
          <w:b/>
          <w:caps/>
          <w:sz w:val="24"/>
        </w:rPr>
        <w:t>re</w:t>
      </w:r>
      <w:r w:rsidRPr="00854D3A" w:rsidR="00DB5153">
        <w:rPr>
          <w:rFonts w:ascii="Times New Roman Bold" w:hAnsi="Times New Roman Bold"/>
          <w:b/>
          <w:caps/>
          <w:sz w:val="24"/>
        </w:rPr>
        <w:t xml:space="preserve"> </w:t>
      </w:r>
      <w:r w:rsidRPr="00854D3A" w:rsidR="00FD6D28">
        <w:rPr>
          <w:rFonts w:ascii="Times New Roman Bold" w:hAnsi="Times New Roman Bold"/>
          <w:b/>
          <w:caps/>
          <w:sz w:val="24"/>
        </w:rPr>
        <w:t>D</w:t>
      </w:r>
      <w:r w:rsidRPr="00854D3A">
        <w:rPr>
          <w:rFonts w:ascii="Times New Roman Bold" w:hAnsi="Times New Roman Bold"/>
          <w:b/>
          <w:caps/>
          <w:sz w:val="24"/>
        </w:rPr>
        <w:t xml:space="preserve">ue </w:t>
      </w:r>
      <w:r w:rsidRPr="00854D3A" w:rsidR="00FD6D28">
        <w:rPr>
          <w:rFonts w:ascii="Times New Roman Bold" w:hAnsi="Times New Roman Bold"/>
          <w:b/>
          <w:caps/>
          <w:sz w:val="24"/>
        </w:rPr>
        <w:t>N</w:t>
      </w:r>
      <w:r w:rsidRPr="00854D3A">
        <w:rPr>
          <w:rFonts w:ascii="Times New Roman Bold" w:hAnsi="Times New Roman Bold"/>
          <w:b/>
          <w:caps/>
          <w:sz w:val="24"/>
        </w:rPr>
        <w:t xml:space="preserve">o </w:t>
      </w:r>
      <w:r w:rsidRPr="00854D3A" w:rsidR="00FD6D28">
        <w:rPr>
          <w:rFonts w:ascii="Times New Roman Bold" w:hAnsi="Times New Roman Bold"/>
          <w:b/>
          <w:caps/>
          <w:sz w:val="24"/>
        </w:rPr>
        <w:t>L</w:t>
      </w:r>
      <w:r w:rsidRPr="00854D3A">
        <w:rPr>
          <w:rFonts w:ascii="Times New Roman Bold" w:hAnsi="Times New Roman Bold"/>
          <w:b/>
          <w:caps/>
          <w:sz w:val="24"/>
        </w:rPr>
        <w:t xml:space="preserve">ater </w:t>
      </w:r>
      <w:r w:rsidRPr="00854D3A" w:rsidR="00FD6D28">
        <w:rPr>
          <w:rFonts w:ascii="Times New Roman Bold" w:hAnsi="Times New Roman Bold"/>
          <w:b/>
          <w:caps/>
          <w:sz w:val="24"/>
        </w:rPr>
        <w:t>T</w:t>
      </w:r>
      <w:r w:rsidRPr="00854D3A">
        <w:rPr>
          <w:rFonts w:ascii="Times New Roman Bold" w:hAnsi="Times New Roman Bold"/>
          <w:b/>
          <w:caps/>
          <w:sz w:val="24"/>
        </w:rPr>
        <w:t>han September 1, 2022</w:t>
      </w:r>
    </w:p>
    <w:p w:rsidR="00C61CD6" w:rsidP="00C61CD6" w14:paraId="2D0E960B" w14:textId="77777777">
      <w:pPr>
        <w:jc w:val="center"/>
        <w:rPr>
          <w:b/>
          <w:sz w:val="24"/>
        </w:rPr>
      </w:pPr>
    </w:p>
    <w:p w:rsidR="00C61CD6" w:rsidP="00C61CD6" w14:paraId="239EEEA0" w14:textId="3593C928">
      <w:pPr>
        <w:jc w:val="center"/>
        <w:rPr>
          <w:b/>
          <w:sz w:val="24"/>
        </w:rPr>
      </w:pPr>
      <w:r>
        <w:rPr>
          <w:b/>
          <w:sz w:val="24"/>
        </w:rPr>
        <w:t>WC Docket No</w:t>
      </w:r>
      <w:r w:rsidR="00AD2B36">
        <w:rPr>
          <w:b/>
          <w:sz w:val="24"/>
        </w:rPr>
        <w:t>s</w:t>
      </w:r>
      <w:r>
        <w:rPr>
          <w:b/>
          <w:sz w:val="24"/>
        </w:rPr>
        <w:t xml:space="preserve">. </w:t>
      </w:r>
      <w:r w:rsidR="00AD2B36">
        <w:rPr>
          <w:b/>
          <w:sz w:val="24"/>
        </w:rPr>
        <w:t xml:space="preserve">11-10 and </w:t>
      </w:r>
      <w:r>
        <w:rPr>
          <w:b/>
          <w:sz w:val="24"/>
        </w:rPr>
        <w:t>19-195</w:t>
      </w:r>
    </w:p>
    <w:p w:rsidR="00A961D9" w:rsidP="00B96C78" w14:paraId="636E5A3D" w14:textId="7D67BF41">
      <w:pPr>
        <w:pStyle w:val="Heading1"/>
        <w:numPr>
          <w:ilvl w:val="0"/>
          <w:numId w:val="0"/>
        </w:numPr>
      </w:pPr>
    </w:p>
    <w:p w:rsidR="00794097" w:rsidP="00BC67D8" w14:paraId="75A361F6" w14:textId="76E642CC">
      <w:pPr>
        <w:pStyle w:val="ParaNum"/>
      </w:pPr>
      <w:r>
        <w:t xml:space="preserve">High-speed, high-quality broadband </w:t>
      </w:r>
      <w:r w:rsidR="00DA4885">
        <w:t xml:space="preserve">has become </w:t>
      </w:r>
      <w:r w:rsidR="5042F3C3">
        <w:t>an</w:t>
      </w:r>
      <w:r w:rsidR="00DA4885">
        <w:t xml:space="preserve"> essential </w:t>
      </w:r>
      <w:r w:rsidR="00F85CE9">
        <w:t xml:space="preserve">means of connecting </w:t>
      </w:r>
      <w:r w:rsidR="0053346D">
        <w:t xml:space="preserve">individuals and entities </w:t>
      </w:r>
      <w:r w:rsidR="00F74ACA">
        <w:t xml:space="preserve">to </w:t>
      </w:r>
      <w:r>
        <w:t>school</w:t>
      </w:r>
      <w:r w:rsidR="0053346D">
        <w:t>s and educational resources</w:t>
      </w:r>
      <w:r>
        <w:t>, work</w:t>
      </w:r>
      <w:r w:rsidR="0053346D">
        <w:t xml:space="preserve"> and commerce</w:t>
      </w:r>
      <w:r>
        <w:t>, healthcare</w:t>
      </w:r>
      <w:r w:rsidR="00AD3E02">
        <w:t xml:space="preserve"> </w:t>
      </w:r>
      <w:r w:rsidR="00DF1A84">
        <w:t>services</w:t>
      </w:r>
      <w:r>
        <w:t xml:space="preserve">, and </w:t>
      </w:r>
      <w:r w:rsidR="00DF1A84">
        <w:t xml:space="preserve">much </w:t>
      </w:r>
      <w:r>
        <w:t>more.</w:t>
      </w:r>
      <w:r w:rsidR="001D4153">
        <w:t xml:space="preserve">  Indeed, Congress </w:t>
      </w:r>
      <w:r w:rsidR="007D5E77">
        <w:t>recently affirmed</w:t>
      </w:r>
      <w:r w:rsidR="001D4153">
        <w:t xml:space="preserve"> the </w:t>
      </w:r>
      <w:r w:rsidR="00083C7E">
        <w:t xml:space="preserve">critical </w:t>
      </w:r>
      <w:r w:rsidR="001D4153">
        <w:t>importance of broadband connectivity through its unprecedented in</w:t>
      </w:r>
      <w:r w:rsidR="00BE2436">
        <w:t>vestment in closing the digital divide.</w:t>
      </w:r>
      <w:r>
        <w:rPr>
          <w:rStyle w:val="FootnoteReference"/>
        </w:rPr>
        <w:footnoteReference w:id="3"/>
      </w:r>
      <w:r w:rsidR="0059476E">
        <w:t xml:space="preserve"> </w:t>
      </w:r>
      <w:r w:rsidR="005A5095">
        <w:t xml:space="preserve">  </w:t>
      </w:r>
    </w:p>
    <w:p w:rsidR="00F13168" w:rsidP="00BC67D8" w14:paraId="1037F3A6" w14:textId="766CDD40">
      <w:pPr>
        <w:pStyle w:val="ParaNum"/>
      </w:pPr>
      <w:r>
        <w:t>The first</w:t>
      </w:r>
      <w:r w:rsidR="656C783B">
        <w:t xml:space="preserve"> step to </w:t>
      </w:r>
      <w:r w:rsidR="5D2F8FE5">
        <w:t>ensuring</w:t>
      </w:r>
      <w:r w:rsidR="656C783B">
        <w:t xml:space="preserve"> everyone, everywhere</w:t>
      </w:r>
      <w:r w:rsidR="1F7628A1">
        <w:t xml:space="preserve"> </w:t>
      </w:r>
      <w:r w:rsidR="44585256">
        <w:t>has access to broadband</w:t>
      </w:r>
      <w:r w:rsidR="656C783B">
        <w:t xml:space="preserve"> is to develop accurate information about where broadband service is and is not available across the country.</w:t>
      </w:r>
      <w:r w:rsidR="05AB44A4">
        <w:t xml:space="preserve">  To this end, </w:t>
      </w:r>
      <w:r w:rsidR="00B56696">
        <w:t xml:space="preserve">consistent with the detailed </w:t>
      </w:r>
      <w:r w:rsidR="005676FA">
        <w:t>requirements</w:t>
      </w:r>
      <w:r w:rsidR="00B56696">
        <w:t xml:space="preserve"> in the Broadband Deployment Accuracy and Technological Availability (DATA) Act, </w:t>
      </w:r>
      <w:r w:rsidR="05AB44A4">
        <w:t xml:space="preserve">the </w:t>
      </w:r>
      <w:r w:rsidR="4098D459">
        <w:t xml:space="preserve">Federal Communications </w:t>
      </w:r>
      <w:r w:rsidR="05AB44A4">
        <w:t xml:space="preserve">Commission </w:t>
      </w:r>
      <w:r w:rsidR="4098D459">
        <w:t xml:space="preserve">(Commission) </w:t>
      </w:r>
      <w:r w:rsidR="05AB44A4">
        <w:t xml:space="preserve">has designed and </w:t>
      </w:r>
      <w:r w:rsidR="005D4F45">
        <w:t>is</w:t>
      </w:r>
      <w:r w:rsidR="05AB44A4">
        <w:t xml:space="preserve"> develop</w:t>
      </w:r>
      <w:r w:rsidR="00B13772">
        <w:t>ing</w:t>
      </w:r>
      <w:r w:rsidR="05AB44A4">
        <w:t xml:space="preserve"> </w:t>
      </w:r>
      <w:r w:rsidR="4F48EEF0">
        <w:t>the</w:t>
      </w:r>
      <w:r w:rsidR="05AB44A4">
        <w:t xml:space="preserve"> Broadband Data Collection (BDC), a complex set of interrelated systems and processes to </w:t>
      </w:r>
      <w:r w:rsidR="48E36227">
        <w:t xml:space="preserve">collect, validate, </w:t>
      </w:r>
      <w:r w:rsidR="7D462323">
        <w:t xml:space="preserve">and </w:t>
      </w:r>
      <w:r w:rsidR="48E36227">
        <w:t xml:space="preserve">publish </w:t>
      </w:r>
      <w:r w:rsidR="25DEB056">
        <w:t xml:space="preserve">complete, granular, </w:t>
      </w:r>
      <w:r w:rsidR="7D462323">
        <w:t xml:space="preserve">and </w:t>
      </w:r>
      <w:r w:rsidR="005D4F45">
        <w:t xml:space="preserve">reliable </w:t>
      </w:r>
      <w:r w:rsidR="7D462323">
        <w:t>data on broadband availability</w:t>
      </w:r>
      <w:r w:rsidR="266BED18">
        <w:t xml:space="preserve">.  These data will </w:t>
      </w:r>
      <w:r w:rsidR="14A4E4E8">
        <w:t>provide valuable information to</w:t>
      </w:r>
      <w:r w:rsidR="266BED18">
        <w:t xml:space="preserve"> the public and</w:t>
      </w:r>
      <w:r w:rsidR="7D462323">
        <w:t xml:space="preserve"> </w:t>
      </w:r>
      <w:r w:rsidR="05AB44A4">
        <w:t xml:space="preserve">ensure that federal, state, local, and Tribal policymakers </w:t>
      </w:r>
      <w:r w:rsidR="3455C51B">
        <w:t>can precisely target</w:t>
      </w:r>
      <w:r w:rsidR="05AB44A4">
        <w:t xml:space="preserve"> </w:t>
      </w:r>
      <w:r w:rsidR="06133B92">
        <w:t>funding</w:t>
      </w:r>
      <w:r w:rsidR="05AB44A4">
        <w:t xml:space="preserve"> to the areas </w:t>
      </w:r>
      <w:r w:rsidR="18FCA8D3">
        <w:t xml:space="preserve">of the country </w:t>
      </w:r>
      <w:r w:rsidR="05AB44A4">
        <w:t xml:space="preserve">where support is most needed </w:t>
      </w:r>
      <w:r w:rsidR="22794299">
        <w:t xml:space="preserve">– thereby </w:t>
      </w:r>
      <w:r w:rsidR="05AB44A4">
        <w:t xml:space="preserve">finally and fully </w:t>
      </w:r>
      <w:r w:rsidR="4B96D765">
        <w:t xml:space="preserve">providing </w:t>
      </w:r>
      <w:r w:rsidR="05AB44A4">
        <w:t>everyone in the United States</w:t>
      </w:r>
      <w:r w:rsidR="003939F6">
        <w:t xml:space="preserve"> and its territories</w:t>
      </w:r>
      <w:r w:rsidR="05AB44A4">
        <w:t xml:space="preserve"> </w:t>
      </w:r>
      <w:r w:rsidR="4B96D765">
        <w:t xml:space="preserve">with the opportunity to connect </w:t>
      </w:r>
      <w:r w:rsidR="05AB44A4">
        <w:t>to high-speed broadband.</w:t>
      </w:r>
    </w:p>
    <w:p w:rsidR="004B57BE" w:rsidRPr="00F051E8" w:rsidP="001B3139" w14:paraId="6A278C80" w14:textId="766ECD2F">
      <w:pPr>
        <w:pStyle w:val="ParaNum"/>
        <w:widowControl/>
      </w:pPr>
      <w:bookmarkStart w:id="1" w:name="_Hlk95918596"/>
      <w:r w:rsidRPr="00F051E8">
        <w:t xml:space="preserve">With this </w:t>
      </w:r>
      <w:r w:rsidRPr="00F051E8" w:rsidR="04B449BA">
        <w:t>P</w:t>
      </w:r>
      <w:r w:rsidRPr="00F051E8">
        <w:t xml:space="preserve">ublic </w:t>
      </w:r>
      <w:r w:rsidRPr="00F051E8" w:rsidR="04B449BA">
        <w:t>N</w:t>
      </w:r>
      <w:r w:rsidRPr="00F051E8">
        <w:t xml:space="preserve">otice, the </w:t>
      </w:r>
      <w:r w:rsidRPr="00F051E8" w:rsidR="5CF56CC6">
        <w:t xml:space="preserve">Commission’s </w:t>
      </w:r>
      <w:r w:rsidRPr="00F051E8" w:rsidR="4523372A">
        <w:t xml:space="preserve">Broadband Data Task Force </w:t>
      </w:r>
      <w:r w:rsidR="00697F3B">
        <w:t xml:space="preserve">(Task Force) </w:t>
      </w:r>
      <w:r w:rsidRPr="00F051E8" w:rsidR="4523372A">
        <w:t xml:space="preserve">and the </w:t>
      </w:r>
      <w:r w:rsidRPr="00F051E8">
        <w:t xml:space="preserve">Office of Economics and Analytics (OEA) </w:t>
      </w:r>
      <w:r w:rsidR="00E34FB8">
        <w:t xml:space="preserve">continue to advance </w:t>
      </w:r>
      <w:r w:rsidR="00FA1F06">
        <w:t>its</w:t>
      </w:r>
      <w:r w:rsidR="00E34FB8">
        <w:t xml:space="preserve"> mission </w:t>
      </w:r>
      <w:r w:rsidR="00FA1F06">
        <w:t xml:space="preserve">to provide more granular </w:t>
      </w:r>
      <w:r w:rsidR="00CF44E7">
        <w:t xml:space="preserve">broadband location </w:t>
      </w:r>
      <w:r w:rsidR="00FA1F06">
        <w:t>maps</w:t>
      </w:r>
      <w:r w:rsidR="00CF44E7">
        <w:t xml:space="preserve">. </w:t>
      </w:r>
      <w:r w:rsidR="00F31BC2">
        <w:t xml:space="preserve"> </w:t>
      </w:r>
      <w:r w:rsidR="00CF44E7">
        <w:t xml:space="preserve">As discussed below, while we await a decision in the Broadband Serviceable Location Fabric protest, the Task Force </w:t>
      </w:r>
      <w:r w:rsidR="007F544C">
        <w:t xml:space="preserve">and OEA </w:t>
      </w:r>
      <w:r w:rsidR="00CF44E7">
        <w:t>continue to make progress and</w:t>
      </w:r>
      <w:r w:rsidR="00087A7F">
        <w:t xml:space="preserve"> can now</w:t>
      </w:r>
      <w:r w:rsidR="00FA1F06">
        <w:t xml:space="preserve"> </w:t>
      </w:r>
      <w:r w:rsidRPr="00F051E8" w:rsidR="419F922A">
        <w:t xml:space="preserve">announce </w:t>
      </w:r>
      <w:r w:rsidR="00D4323E">
        <w:t xml:space="preserve">the </w:t>
      </w:r>
      <w:r w:rsidR="00CF44E7">
        <w:t xml:space="preserve">date </w:t>
      </w:r>
      <w:r w:rsidR="00D4323E">
        <w:t xml:space="preserve">the BDC system </w:t>
      </w:r>
      <w:r w:rsidR="00CF44E7">
        <w:t xml:space="preserve">will begin </w:t>
      </w:r>
      <w:r w:rsidR="00B97D24">
        <w:t xml:space="preserve">to accept </w:t>
      </w:r>
      <w:r w:rsidRPr="00F051E8" w:rsidR="00D4323E">
        <w:t xml:space="preserve">broadband availability data </w:t>
      </w:r>
      <w:r w:rsidR="00B97D24">
        <w:t>filed pursuant to</w:t>
      </w:r>
      <w:r w:rsidRPr="00F051E8" w:rsidR="00D4323E">
        <w:t xml:space="preserve"> the </w:t>
      </w:r>
      <w:r w:rsidR="00B97D24">
        <w:t xml:space="preserve">Commission’s new BDC </w:t>
      </w:r>
      <w:r w:rsidRPr="00F051E8" w:rsidR="00D4323E">
        <w:t>rules and procedures</w:t>
      </w:r>
      <w:r w:rsidR="00D4323E">
        <w:t>.</w:t>
      </w:r>
      <w:r w:rsidR="00F31BC2">
        <w:t xml:space="preserve"> </w:t>
      </w:r>
      <w:r w:rsidRPr="00F051E8" w:rsidR="00D4323E">
        <w:t xml:space="preserve"> </w:t>
      </w:r>
      <w:r w:rsidRPr="00F051E8" w:rsidR="0C5A58E3">
        <w:t xml:space="preserve">Specifically, </w:t>
      </w:r>
      <w:r w:rsidRPr="00F051E8" w:rsidR="08F3A770">
        <w:t xml:space="preserve">all facilities-based providers of </w:t>
      </w:r>
      <w:r w:rsidRPr="00F051E8" w:rsidR="62159721">
        <w:t xml:space="preserve">fixed and mobile broadband </w:t>
      </w:r>
      <w:r w:rsidRPr="00F051E8" w:rsidR="00421AC0">
        <w:t>I</w:t>
      </w:r>
      <w:r w:rsidRPr="00F051E8" w:rsidR="3C5AC084">
        <w:t xml:space="preserve">nternet access </w:t>
      </w:r>
      <w:r w:rsidRPr="00F051E8" w:rsidR="62159721">
        <w:t xml:space="preserve">service </w:t>
      </w:r>
      <w:r w:rsidR="000F38E8">
        <w:t>can</w:t>
      </w:r>
      <w:r w:rsidRPr="00F051E8" w:rsidR="000F38E8">
        <w:t xml:space="preserve"> </w:t>
      </w:r>
      <w:r w:rsidR="000F38E8">
        <w:t xml:space="preserve">begin to </w:t>
      </w:r>
      <w:r w:rsidRPr="00F051E8" w:rsidR="58168E74">
        <w:t>submit broadband availability data</w:t>
      </w:r>
      <w:r w:rsidRPr="00F051E8">
        <w:t xml:space="preserve"> </w:t>
      </w:r>
      <w:r w:rsidRPr="00F051E8" w:rsidR="581A6140">
        <w:t>under the new rules and procedures</w:t>
      </w:r>
      <w:r w:rsidRPr="00F051E8">
        <w:t xml:space="preserve"> for the BDC</w:t>
      </w:r>
      <w:r w:rsidRPr="00F051E8" w:rsidR="0AABC781">
        <w:t xml:space="preserve"> </w:t>
      </w:r>
      <w:r w:rsidR="000F38E8">
        <w:t>beginning on June 30, 2022.</w:t>
      </w:r>
      <w:r>
        <w:rPr>
          <w:rStyle w:val="FootnoteReference"/>
        </w:rPr>
        <w:footnoteReference w:id="4"/>
      </w:r>
      <w:r w:rsidR="000F38E8">
        <w:t xml:space="preserve">  Filers must submit </w:t>
      </w:r>
      <w:r w:rsidRPr="00F051E8" w:rsidR="00094EB9">
        <w:t>data</w:t>
      </w:r>
      <w:r w:rsidRPr="00F051E8" w:rsidR="00092C8A">
        <w:t xml:space="preserve"> </w:t>
      </w:r>
      <w:r w:rsidRPr="00F051E8" w:rsidR="581A6140">
        <w:t xml:space="preserve">depicting </w:t>
      </w:r>
      <w:r w:rsidRPr="00F051E8" w:rsidR="3454A208">
        <w:t>deployment</w:t>
      </w:r>
      <w:r w:rsidRPr="00F051E8" w:rsidR="0AABC781">
        <w:t xml:space="preserve"> as of </w:t>
      </w:r>
      <w:r w:rsidRPr="00F051E8" w:rsidR="0AABC781">
        <w:t>June 30, 2022</w:t>
      </w:r>
      <w:r w:rsidR="00645F30">
        <w:t>,</w:t>
      </w:r>
      <w:r w:rsidR="000F38E8">
        <w:t xml:space="preserve"> and must submit the data by September 1, 2022</w:t>
      </w:r>
      <w:r w:rsidRPr="00F051E8">
        <w:t>.</w:t>
      </w:r>
      <w:r>
        <w:rPr>
          <w:rStyle w:val="FootnoteReference"/>
        </w:rPr>
        <w:footnoteReference w:id="5"/>
      </w:r>
      <w:r w:rsidRPr="00F051E8" w:rsidR="475038D6">
        <w:t xml:space="preserve">  </w:t>
      </w:r>
      <w:r w:rsidR="0097794E">
        <w:t xml:space="preserve">Should the systems and processes comprising the BDC be ready for launch in advance of </w:t>
      </w:r>
      <w:r w:rsidR="000F38E8">
        <w:t>June 30</w:t>
      </w:r>
      <w:r w:rsidR="0097794E">
        <w:t xml:space="preserve">, the Commission retains the statutory discretion pursuant to the IIJA to issue an order modifying the filing window dates announced in this Public Notice, subject to providing notice not later than 60 days before the deadline for submission of the data.  </w:t>
      </w:r>
      <w:r w:rsidRPr="00F051E8" w:rsidR="475038D6">
        <w:t xml:space="preserve">As discussed below, </w:t>
      </w:r>
      <w:r w:rsidRPr="00F051E8" w:rsidR="428A7CF0">
        <w:t>additional information for filers</w:t>
      </w:r>
      <w:r w:rsidRPr="00F051E8" w:rsidR="720F96BC">
        <w:t>, including data specification</w:t>
      </w:r>
      <w:r w:rsidRPr="00F051E8" w:rsidR="00922397">
        <w:t>s</w:t>
      </w:r>
      <w:r w:rsidRPr="00F051E8" w:rsidR="2A087E98">
        <w:t xml:space="preserve"> on how to prepare their data</w:t>
      </w:r>
      <w:r w:rsidRPr="00F051E8" w:rsidR="2E45B4E6">
        <w:t xml:space="preserve"> for submission in the BDC system, will be forthcoming.</w:t>
      </w:r>
    </w:p>
    <w:bookmarkEnd w:id="1"/>
    <w:p w:rsidR="004B57BE" w:rsidP="00BC67D8" w14:paraId="3D5CC61D" w14:textId="5399FFEF">
      <w:pPr>
        <w:pStyle w:val="Heading1"/>
        <w:rPr>
          <w:rFonts w:eastAsia="Times New Roman Bold" w:cs="Times New Roman Bold"/>
        </w:rPr>
      </w:pPr>
      <w:r>
        <w:t xml:space="preserve">BACKground </w:t>
      </w:r>
    </w:p>
    <w:p w:rsidR="00CB669A" w:rsidP="00380D76" w14:paraId="0FA3F571" w14:textId="4E82D184">
      <w:pPr>
        <w:pStyle w:val="ParaNum"/>
      </w:pPr>
      <w:r>
        <w:t xml:space="preserve">The BDC is the culmination of substantial legislative and administrative policymaking efforts that </w:t>
      </w:r>
      <w:r w:rsidR="0059364C">
        <w:t xml:space="preserve">have encompassed </w:t>
      </w:r>
      <w:r>
        <w:t xml:space="preserve">input from every level of government and across the telecommunications industry, as well as concurrent </w:t>
      </w:r>
      <w:r w:rsidR="001D68C9">
        <w:t xml:space="preserve">FCC rulemaking, </w:t>
      </w:r>
      <w:r>
        <w:t>procurement</w:t>
      </w:r>
      <w:r w:rsidR="001D68C9">
        <w:t>,</w:t>
      </w:r>
      <w:r>
        <w:t xml:space="preserve"> and </w:t>
      </w:r>
      <w:r w:rsidR="006F3045">
        <w:t>systems</w:t>
      </w:r>
      <w:r w:rsidR="00100CDB">
        <w:t xml:space="preserve"> </w:t>
      </w:r>
      <w:r>
        <w:t xml:space="preserve">development workstreams.  </w:t>
      </w:r>
      <w:r w:rsidR="007E28BB">
        <w:t xml:space="preserve">In March 2020, </w:t>
      </w:r>
      <w:r w:rsidR="002B2E13">
        <w:t xml:space="preserve">the Broadband </w:t>
      </w:r>
      <w:r w:rsidR="00B56696">
        <w:t xml:space="preserve">DATA </w:t>
      </w:r>
      <w:r w:rsidR="002B2E13">
        <w:t>Act was enacted.</w:t>
      </w:r>
      <w:r>
        <w:rPr>
          <w:rStyle w:val="FootnoteReference"/>
        </w:rPr>
        <w:footnoteReference w:id="6"/>
      </w:r>
      <w:r w:rsidR="001B1518">
        <w:t xml:space="preserve">  </w:t>
      </w:r>
      <w:r w:rsidR="00C9254A">
        <w:t xml:space="preserve">The Broadband DATA Act overhauled the Commission’s methods for collecting broadband availability data </w:t>
      </w:r>
      <w:r w:rsidR="00CF46B6">
        <w:t xml:space="preserve">and </w:t>
      </w:r>
      <w:r w:rsidR="00482C40">
        <w:t>requir</w:t>
      </w:r>
      <w:r w:rsidR="00CF46B6">
        <w:t>ed</w:t>
      </w:r>
      <w:r w:rsidR="00482C40">
        <w:t xml:space="preserve"> the Commission to adopt </w:t>
      </w:r>
      <w:r w:rsidR="00693FFB">
        <w:t xml:space="preserve">new </w:t>
      </w:r>
      <w:r w:rsidR="009D42ED">
        <w:t xml:space="preserve">rules for </w:t>
      </w:r>
      <w:r w:rsidR="00522C3C">
        <w:t>“</w:t>
      </w:r>
      <w:r w:rsidR="00EE377A">
        <w:t>the biannual collection and dissemination of granular data</w:t>
      </w:r>
      <w:r w:rsidR="00522C3C">
        <w:t xml:space="preserve"> . . .</w:t>
      </w:r>
      <w:r w:rsidR="00EE377A">
        <w:t xml:space="preserve"> </w:t>
      </w:r>
      <w:r w:rsidR="00B063AF">
        <w:t>relating to the availability and quality of service with respect to terrestrial fixed, fixed wireless, satellite, and mobile broadband internet access service</w:t>
      </w:r>
      <w:r w:rsidR="004C51F7">
        <w:t>,</w:t>
      </w:r>
      <w:r w:rsidR="00B063AF">
        <w:t>”</w:t>
      </w:r>
      <w:r>
        <w:rPr>
          <w:rStyle w:val="FootnoteReference"/>
        </w:rPr>
        <w:footnoteReference w:id="7"/>
      </w:r>
      <w:r w:rsidR="00392CA9">
        <w:t xml:space="preserve"> </w:t>
      </w:r>
      <w:r w:rsidR="002E55C1">
        <w:t>a</w:t>
      </w:r>
      <w:r w:rsidR="000467AE">
        <w:t>nd</w:t>
      </w:r>
      <w:r w:rsidR="002E55C1">
        <w:t xml:space="preserve"> to develop</w:t>
      </w:r>
      <w:r w:rsidR="000467AE">
        <w:t xml:space="preserve"> new </w:t>
      </w:r>
      <w:r w:rsidR="00FD6A03">
        <w:t xml:space="preserve">data </w:t>
      </w:r>
      <w:r w:rsidR="00AD3AAA">
        <w:t xml:space="preserve">systems and </w:t>
      </w:r>
      <w:r w:rsidR="00973919">
        <w:t xml:space="preserve">processes </w:t>
      </w:r>
      <w:r w:rsidR="00A84CDC">
        <w:t>to implement the</w:t>
      </w:r>
      <w:r w:rsidR="008819B4">
        <w:t>m.</w:t>
      </w:r>
      <w:r w:rsidR="00853EED">
        <w:t xml:space="preserve"> </w:t>
      </w:r>
      <w:r w:rsidR="00392CA9">
        <w:t xml:space="preserve"> </w:t>
      </w:r>
      <w:r w:rsidR="00E30871">
        <w:t>Under t</w:t>
      </w:r>
      <w:r w:rsidR="00392CA9">
        <w:t>he Act</w:t>
      </w:r>
      <w:r w:rsidR="00E30871">
        <w:t xml:space="preserve">, </w:t>
      </w:r>
      <w:r w:rsidR="000150BD">
        <w:t xml:space="preserve">the Commission must </w:t>
      </w:r>
      <w:r w:rsidR="008819B4">
        <w:t xml:space="preserve">also </w:t>
      </w:r>
      <w:r w:rsidR="000150BD">
        <w:t xml:space="preserve">establish the Broadband Serviceable Location Fabric (Fabric), </w:t>
      </w:r>
      <w:r w:rsidR="009A4DF6">
        <w:t>defined as</w:t>
      </w:r>
      <w:r w:rsidR="000150BD">
        <w:t xml:space="preserve"> </w:t>
      </w:r>
      <w:r w:rsidR="009A4DF6">
        <w:t>“</w:t>
      </w:r>
      <w:r w:rsidR="000150BD">
        <w:t xml:space="preserve">a </w:t>
      </w:r>
      <w:r w:rsidR="009A4DF6">
        <w:t xml:space="preserve">common dataset of all locations in </w:t>
      </w:r>
      <w:r w:rsidR="00ED0C47">
        <w:t>t</w:t>
      </w:r>
      <w:r w:rsidR="009A4DF6">
        <w:t>h</w:t>
      </w:r>
      <w:r w:rsidR="00ED0C47">
        <w:t>e</w:t>
      </w:r>
      <w:r w:rsidR="009A4DF6">
        <w:t xml:space="preserve"> United States where fixed </w:t>
      </w:r>
      <w:r w:rsidR="00DE6EEF">
        <w:t>broadband internet access service can be installed, as determined by the Commission</w:t>
      </w:r>
      <w:r w:rsidR="000150BD">
        <w:t>,</w:t>
      </w:r>
      <w:r w:rsidR="009A4DF6">
        <w:t>”</w:t>
      </w:r>
      <w:r w:rsidR="000150BD">
        <w:t xml:space="preserve"> which must “serve as the foundation upon which all data relating to the availability of fixed broadband internet access service . . . shall be reported and overlaid.”</w:t>
      </w:r>
      <w:r>
        <w:rPr>
          <w:rStyle w:val="FootnoteReference"/>
        </w:rPr>
        <w:footnoteReference w:id="8"/>
      </w:r>
      <w:r w:rsidR="007062BF">
        <w:t xml:space="preserve">  </w:t>
      </w:r>
      <w:r w:rsidR="00540B7F">
        <w:t>T</w:t>
      </w:r>
      <w:r w:rsidR="007062BF">
        <w:t xml:space="preserve">he Act </w:t>
      </w:r>
      <w:r w:rsidR="00540B7F">
        <w:t xml:space="preserve">also </w:t>
      </w:r>
      <w:r w:rsidR="007062BF">
        <w:t xml:space="preserve">established standardized </w:t>
      </w:r>
      <w:r w:rsidR="00B94E36">
        <w:t xml:space="preserve">propagation model details </w:t>
      </w:r>
      <w:r w:rsidR="00540B7F">
        <w:t>that</w:t>
      </w:r>
      <w:r w:rsidR="00B94E36">
        <w:t xml:space="preserve"> </w:t>
      </w:r>
      <w:r w:rsidR="00540B7F">
        <w:t xml:space="preserve">mobile wireless service providers must use to </w:t>
      </w:r>
      <w:r w:rsidR="00B94E36">
        <w:t>repo</w:t>
      </w:r>
      <w:r w:rsidR="007062BF">
        <w:t xml:space="preserve">rt </w:t>
      </w:r>
      <w:r w:rsidR="00B94E36">
        <w:t>4G LTE service</w:t>
      </w:r>
      <w:r w:rsidR="00540B7F">
        <w:t xml:space="preserve"> availability</w:t>
      </w:r>
      <w:r w:rsidR="00B94E36">
        <w:t xml:space="preserve"> and </w:t>
      </w:r>
      <w:r w:rsidR="00442A29">
        <w:t xml:space="preserve">directed the Commission to update its reporting standards for future generations of mobile broadband </w:t>
      </w:r>
      <w:r w:rsidR="00C06D65">
        <w:t xml:space="preserve">Internet </w:t>
      </w:r>
      <w:r w:rsidR="00442A29">
        <w:t>access service technologies, as necessary</w:t>
      </w:r>
      <w:r w:rsidR="00B94E36">
        <w:t>.</w:t>
      </w:r>
      <w:r>
        <w:rPr>
          <w:rStyle w:val="FootnoteReference"/>
        </w:rPr>
        <w:footnoteReference w:id="9"/>
      </w:r>
      <w:r w:rsidR="00392CA9">
        <w:t xml:space="preserve"> </w:t>
      </w:r>
      <w:r w:rsidR="007E1D16">
        <w:t xml:space="preserve">  </w:t>
      </w:r>
    </w:p>
    <w:p w:rsidR="00F33377" w:rsidP="00357C43" w14:paraId="396A0CA1" w14:textId="33946132">
      <w:pPr>
        <w:pStyle w:val="ParaNum"/>
      </w:pPr>
      <w:r>
        <w:t>T</w:t>
      </w:r>
      <w:r w:rsidR="009E2359">
        <w:t xml:space="preserve">o </w:t>
      </w:r>
      <w:r w:rsidR="003A2FF4">
        <w:t>further</w:t>
      </w:r>
      <w:r w:rsidR="009E2359">
        <w:t xml:space="preserve"> validat</w:t>
      </w:r>
      <w:r w:rsidR="003A2FF4">
        <w:t>e</w:t>
      </w:r>
      <w:r w:rsidR="009E2359">
        <w:t xml:space="preserve"> and refin</w:t>
      </w:r>
      <w:r w:rsidR="003A2FF4">
        <w:t>e</w:t>
      </w:r>
      <w:r w:rsidR="009E2359">
        <w:t xml:space="preserve"> broadband service </w:t>
      </w:r>
      <w:r w:rsidR="003A2FF4">
        <w:t xml:space="preserve">providers’ </w:t>
      </w:r>
      <w:r w:rsidR="009E2359">
        <w:t>availability data, t</w:t>
      </w:r>
      <w:r>
        <w:t xml:space="preserve">he Act </w:t>
      </w:r>
      <w:r w:rsidR="003E0D33">
        <w:t>requires</w:t>
      </w:r>
      <w:r>
        <w:t xml:space="preserve"> the Commission to establish processes </w:t>
      </w:r>
      <w:r w:rsidR="00010C04">
        <w:t>t</w:t>
      </w:r>
      <w:r w:rsidR="00FA6BBD">
        <w:t>o</w:t>
      </w:r>
      <w:r>
        <w:t xml:space="preserve"> </w:t>
      </w:r>
      <w:r w:rsidR="00395624">
        <w:t xml:space="preserve">(i) </w:t>
      </w:r>
      <w:r>
        <w:t>verify the accuracy of the data submitted by broadband service providers,</w:t>
      </w:r>
      <w:r>
        <w:rPr>
          <w:rStyle w:val="FootnoteReference"/>
        </w:rPr>
        <w:footnoteReference w:id="10"/>
      </w:r>
      <w:r>
        <w:t xml:space="preserve"> (ii)</w:t>
      </w:r>
      <w:r w:rsidR="00395624">
        <w:t xml:space="preserve"> </w:t>
      </w:r>
      <w:r w:rsidR="00E845DE">
        <w:t xml:space="preserve">collect verified availability data from other federal agencies, </w:t>
      </w:r>
      <w:r w:rsidR="00F87430">
        <w:t>s</w:t>
      </w:r>
      <w:r w:rsidR="00E845DE">
        <w:t>tate, local, and Tribal governmental entities, and other third parties</w:t>
      </w:r>
      <w:r w:rsidR="00395624">
        <w:t>,</w:t>
      </w:r>
      <w:r>
        <w:rPr>
          <w:rStyle w:val="FootnoteReference"/>
        </w:rPr>
        <w:footnoteReference w:id="11"/>
      </w:r>
      <w:r w:rsidR="00395624">
        <w:t xml:space="preserve"> and (iii) </w:t>
      </w:r>
      <w:r w:rsidR="00FA6BBD">
        <w:t>facilitat</w:t>
      </w:r>
      <w:r w:rsidR="00010C04">
        <w:t>e</w:t>
      </w:r>
      <w:r w:rsidR="00FA6BBD">
        <w:t xml:space="preserve"> “a user</w:t>
      </w:r>
      <w:r w:rsidR="00DB1067">
        <w:t>-friendl</w:t>
      </w:r>
      <w:r w:rsidR="00395624">
        <w:t>y</w:t>
      </w:r>
      <w:r w:rsidR="00DB1067">
        <w:t xml:space="preserve"> challenge process through which consumers, State, local, and Tribal governmental entities, and other entities or individuals may submit coverage data to the Commission . . ..”</w:t>
      </w:r>
      <w:r>
        <w:rPr>
          <w:rStyle w:val="FootnoteReference"/>
        </w:rPr>
        <w:footnoteReference w:id="12"/>
      </w:r>
      <w:r w:rsidR="00B96C51">
        <w:t xml:space="preserve">  </w:t>
      </w:r>
    </w:p>
    <w:p w:rsidR="007E28BB" w:rsidP="00357C43" w14:paraId="407F9F7F" w14:textId="67B3FBC3">
      <w:pPr>
        <w:pStyle w:val="ParaNum"/>
      </w:pPr>
      <w:r>
        <w:t>The Commission</w:t>
      </w:r>
      <w:r w:rsidR="004D4F40">
        <w:t xml:space="preserve"> </w:t>
      </w:r>
      <w:r>
        <w:t xml:space="preserve">must </w:t>
      </w:r>
      <w:r w:rsidR="007931F9">
        <w:t xml:space="preserve">also </w:t>
      </w:r>
      <w:r>
        <w:t xml:space="preserve">provide various forms of technical assistance to stakeholders, including </w:t>
      </w:r>
      <w:r w:rsidR="00966C51">
        <w:t xml:space="preserve">Tribal </w:t>
      </w:r>
      <w:r w:rsidR="008C4382">
        <w:t>g</w:t>
      </w:r>
      <w:r w:rsidR="00966C51">
        <w:t>overnments</w:t>
      </w:r>
      <w:r w:rsidR="00966C51">
        <w:t xml:space="preserve">, </w:t>
      </w:r>
      <w:r>
        <w:t xml:space="preserve">small service providers, and </w:t>
      </w:r>
      <w:r w:rsidR="00966C51">
        <w:t>participants in the challenge process.</w:t>
      </w:r>
      <w:r>
        <w:rPr>
          <w:rStyle w:val="FootnoteReference"/>
        </w:rPr>
        <w:footnoteReference w:id="13"/>
      </w:r>
      <w:r w:rsidR="007E1D16">
        <w:t xml:space="preserve"> </w:t>
      </w:r>
      <w:r w:rsidR="00F33377">
        <w:t xml:space="preserve"> </w:t>
      </w:r>
      <w:r w:rsidR="008A509E">
        <w:t xml:space="preserve">The </w:t>
      </w:r>
      <w:r w:rsidR="008413F1">
        <w:t xml:space="preserve">Act directs the Commission </w:t>
      </w:r>
      <w:r w:rsidR="00844E89">
        <w:t xml:space="preserve">to provide </w:t>
      </w:r>
      <w:r w:rsidR="007F504E">
        <w:t xml:space="preserve">technical assistance </w:t>
      </w:r>
      <w:r w:rsidR="00CC7EB7">
        <w:t xml:space="preserve">to Tribal governments for </w:t>
      </w:r>
      <w:r w:rsidR="007F504E">
        <w:t xml:space="preserve">the collection and </w:t>
      </w:r>
      <w:r w:rsidR="007F504E">
        <w:t xml:space="preserve">submission of verified data for use in the </w:t>
      </w:r>
      <w:r w:rsidR="00C8616A">
        <w:t xml:space="preserve">BDC </w:t>
      </w:r>
      <w:r w:rsidR="007F504E">
        <w:t>coverage</w:t>
      </w:r>
      <w:r w:rsidR="00C8616A">
        <w:t xml:space="preserve"> maps</w:t>
      </w:r>
      <w:r w:rsidR="007F504E">
        <w:t>.</w:t>
      </w:r>
      <w:r>
        <w:rPr>
          <w:rStyle w:val="FootnoteReference"/>
        </w:rPr>
        <w:footnoteReference w:id="14"/>
      </w:r>
      <w:r w:rsidR="00F33377">
        <w:t xml:space="preserve">  </w:t>
      </w:r>
      <w:r w:rsidR="00F33377">
        <w:rPr>
          <w:rStyle w:val="normaltextrun"/>
        </w:rPr>
        <w:t xml:space="preserve">The Act </w:t>
      </w:r>
      <w:r w:rsidR="00E23EEC">
        <w:rPr>
          <w:rStyle w:val="normaltextrun"/>
        </w:rPr>
        <w:t xml:space="preserve">also </w:t>
      </w:r>
      <w:r w:rsidR="00F33377">
        <w:rPr>
          <w:rStyle w:val="normaltextrun"/>
        </w:rPr>
        <w:t>specifically requires that the Commission “e</w:t>
      </w:r>
      <w:r w:rsidRPr="000570AA" w:rsidR="00F33377">
        <w:rPr>
          <w:rStyle w:val="normaltextrun"/>
        </w:rPr>
        <w:t xml:space="preserve">stablish a process through which a provider that has fewer than 100,000 active broadband </w:t>
      </w:r>
      <w:r w:rsidR="00C06D65">
        <w:rPr>
          <w:rStyle w:val="normaltextrun"/>
        </w:rPr>
        <w:t>I</w:t>
      </w:r>
      <w:r w:rsidRPr="000570AA" w:rsidR="00C06D65">
        <w:rPr>
          <w:rStyle w:val="normaltextrun"/>
        </w:rPr>
        <w:t xml:space="preserve">nternet </w:t>
      </w:r>
      <w:r w:rsidRPr="000570AA" w:rsidR="00F33377">
        <w:rPr>
          <w:rStyle w:val="normaltextrun"/>
        </w:rPr>
        <w:t>access service connections may request and receive assistance from the Commission with respect to geographic information system data processing</w:t>
      </w:r>
      <w:r w:rsidR="00F33377">
        <w:rPr>
          <w:rStyle w:val="normaltextrun"/>
        </w:rPr>
        <w:t>” necessary to comply with the requirements of the BDC.</w:t>
      </w:r>
      <w:r>
        <w:rPr>
          <w:rStyle w:val="FootnoteReference"/>
        </w:rPr>
        <w:footnoteReference w:id="15"/>
      </w:r>
      <w:r w:rsidR="00F33377">
        <w:rPr>
          <w:rStyle w:val="normaltextrun"/>
        </w:rPr>
        <w:t xml:space="preserve">  It further requires that </w:t>
      </w:r>
      <w:r w:rsidR="00B530C6">
        <w:rPr>
          <w:rStyle w:val="normaltextrun"/>
        </w:rPr>
        <w:t xml:space="preserve">the </w:t>
      </w:r>
      <w:r w:rsidR="00F33377">
        <w:rPr>
          <w:rStyle w:val="normaltextrun"/>
        </w:rPr>
        <w:t xml:space="preserve">Commission “provide technical assistance to consumers </w:t>
      </w:r>
      <w:r w:rsidR="00275FD3">
        <w:rPr>
          <w:rStyle w:val="normaltextrun"/>
        </w:rPr>
        <w:t>and</w:t>
      </w:r>
      <w:r w:rsidR="00F33377">
        <w:rPr>
          <w:rStyle w:val="normaltextrun"/>
        </w:rPr>
        <w:t xml:space="preserve"> State, local, and Tribal governmental entities with respect to the challenge process established” by the Broadband DATA Act.</w:t>
      </w:r>
      <w:r>
        <w:rPr>
          <w:rStyle w:val="FootnoteReference"/>
        </w:rPr>
        <w:footnoteReference w:id="16"/>
      </w:r>
      <w:r w:rsidR="00F33377">
        <w:rPr>
          <w:rStyle w:val="normaltextrun"/>
        </w:rPr>
        <w:t xml:space="preserve">  </w:t>
      </w:r>
    </w:p>
    <w:p w:rsidR="00995271" w:rsidP="00843704" w14:paraId="7C380001" w14:textId="5BFCDC57">
      <w:pPr>
        <w:pStyle w:val="ParaNum"/>
        <w:widowControl/>
      </w:pPr>
      <w:r>
        <w:t xml:space="preserve">The </w:t>
      </w:r>
      <w:r w:rsidR="00B33C9B">
        <w:t xml:space="preserve">Commission </w:t>
      </w:r>
      <w:r>
        <w:t xml:space="preserve">has issued </w:t>
      </w:r>
      <w:r w:rsidR="00A279DD">
        <w:t>two rulema</w:t>
      </w:r>
      <w:r w:rsidR="00302E28">
        <w:t>k</w:t>
      </w:r>
      <w:r w:rsidR="00A279DD">
        <w:t xml:space="preserve">ing </w:t>
      </w:r>
      <w:r>
        <w:t>Orders defining the requirements for the BDC</w:t>
      </w:r>
      <w:r w:rsidR="099D1CB3">
        <w:t xml:space="preserve">. </w:t>
      </w:r>
      <w:r w:rsidR="00F442E1">
        <w:t xml:space="preserve"> </w:t>
      </w:r>
      <w:r w:rsidR="7230D1AE">
        <w:t>T</w:t>
      </w:r>
      <w:r w:rsidR="00AF4DD0">
        <w:t xml:space="preserve">he Commission </w:t>
      </w:r>
      <w:r>
        <w:t xml:space="preserve">first </w:t>
      </w:r>
      <w:r w:rsidR="004265B9">
        <w:t>adopted</w:t>
      </w:r>
      <w:r w:rsidR="00AF4DD0">
        <w:t xml:space="preserve"> its </w:t>
      </w:r>
      <w:r w:rsidR="00AF4DD0">
        <w:rPr>
          <w:i/>
          <w:iCs/>
        </w:rPr>
        <w:t xml:space="preserve">Second Order and Third </w:t>
      </w:r>
      <w:r w:rsidR="00997503">
        <w:rPr>
          <w:i/>
          <w:iCs/>
        </w:rPr>
        <w:t>Further</w:t>
      </w:r>
      <w:r w:rsidR="00A60BE1">
        <w:rPr>
          <w:i/>
          <w:iCs/>
        </w:rPr>
        <w:t xml:space="preserve"> Notice</w:t>
      </w:r>
      <w:r w:rsidR="00AF4DD0">
        <w:t xml:space="preserve"> in July 2020</w:t>
      </w:r>
      <w:r w:rsidR="00EB3395">
        <w:t>,</w:t>
      </w:r>
      <w:r w:rsidR="00AF4DD0">
        <w:t xml:space="preserve"> and the </w:t>
      </w:r>
      <w:r w:rsidR="00AF4DD0">
        <w:rPr>
          <w:i/>
          <w:iCs/>
        </w:rPr>
        <w:t xml:space="preserve">Third Report and Order </w:t>
      </w:r>
      <w:r w:rsidR="00AF4DD0">
        <w:t>in January 2021.</w:t>
      </w:r>
      <w:r>
        <w:rPr>
          <w:rStyle w:val="FootnoteReference"/>
        </w:rPr>
        <w:footnoteReference w:id="17"/>
      </w:r>
      <w:r w:rsidR="00AF4DD0">
        <w:t xml:space="preserve">  </w:t>
      </w:r>
      <w:r w:rsidR="000C7826">
        <w:t xml:space="preserve">In the </w:t>
      </w:r>
      <w:r w:rsidR="00793685">
        <w:rPr>
          <w:i/>
          <w:iCs/>
        </w:rPr>
        <w:t xml:space="preserve">Second Order and Third </w:t>
      </w:r>
      <w:r w:rsidR="004F5DD3">
        <w:rPr>
          <w:i/>
          <w:iCs/>
        </w:rPr>
        <w:t xml:space="preserve">Further </w:t>
      </w:r>
      <w:r w:rsidR="00793685">
        <w:rPr>
          <w:i/>
          <w:iCs/>
        </w:rPr>
        <w:t>Notice</w:t>
      </w:r>
      <w:r w:rsidR="00793685">
        <w:t xml:space="preserve">, the Commission </w:t>
      </w:r>
      <w:r w:rsidR="001017E6">
        <w:t xml:space="preserve">established the requirements for the submission of fixed broadband </w:t>
      </w:r>
      <w:r w:rsidR="00421AC0">
        <w:t>I</w:t>
      </w:r>
      <w:r w:rsidR="001017E6">
        <w:t>nternet access service availability and quality of service data</w:t>
      </w:r>
      <w:r w:rsidR="003D2C5D">
        <w:t xml:space="preserve"> and the submission of mobile broadband </w:t>
      </w:r>
      <w:r w:rsidR="00421AC0">
        <w:t>I</w:t>
      </w:r>
      <w:r w:rsidR="003D2C5D">
        <w:t>nternet access service data.</w:t>
      </w:r>
      <w:r>
        <w:rPr>
          <w:rStyle w:val="FootnoteReference"/>
        </w:rPr>
        <w:footnoteReference w:id="18"/>
      </w:r>
      <w:r w:rsidR="00A8302D">
        <w:t xml:space="preserve"> </w:t>
      </w:r>
      <w:r w:rsidR="009E5DC4">
        <w:t xml:space="preserve"> </w:t>
      </w:r>
      <w:r w:rsidR="00F47BE0">
        <w:t xml:space="preserve">In addition, the </w:t>
      </w:r>
      <w:r w:rsidR="00D56219">
        <w:t xml:space="preserve">Commission </w:t>
      </w:r>
      <w:r w:rsidR="00A41514">
        <w:t xml:space="preserve">established </w:t>
      </w:r>
      <w:r w:rsidR="00971F68">
        <w:t xml:space="preserve">that </w:t>
      </w:r>
      <w:r w:rsidR="00A41514">
        <w:t>the Fabric</w:t>
      </w:r>
      <w:r w:rsidR="00971F68">
        <w:t xml:space="preserve"> </w:t>
      </w:r>
      <w:r w:rsidR="00C052E5">
        <w:t>“</w:t>
      </w:r>
      <w:r w:rsidR="00971F68">
        <w:t>will consist of a sin</w:t>
      </w:r>
      <w:r w:rsidR="00C052E5">
        <w:t>gle, nationwide fabric that will contain geocoded locations for all locations where a broadband connection can be installed</w:t>
      </w:r>
      <w:r w:rsidR="009947CC">
        <w:t>,</w:t>
      </w:r>
      <w:r w:rsidR="00C052E5">
        <w:t>”</w:t>
      </w:r>
      <w:r w:rsidR="004F3F62">
        <w:t>;</w:t>
      </w:r>
      <w:r>
        <w:rPr>
          <w:rStyle w:val="FootnoteReference"/>
        </w:rPr>
        <w:footnoteReference w:id="19"/>
      </w:r>
      <w:r w:rsidR="0045241D">
        <w:t xml:space="preserve"> established the biannual </w:t>
      </w:r>
      <w:r w:rsidR="005B26A1">
        <w:t xml:space="preserve">collection </w:t>
      </w:r>
      <w:r w:rsidR="0045241D">
        <w:t>schedule for the BDC;</w:t>
      </w:r>
      <w:r>
        <w:rPr>
          <w:rStyle w:val="FootnoteReference"/>
        </w:rPr>
        <w:footnoteReference w:id="20"/>
      </w:r>
      <w:r w:rsidR="00B9730F">
        <w:t xml:space="preserve"> </w:t>
      </w:r>
      <w:r w:rsidR="002B0A96">
        <w:t xml:space="preserve">adopted rules for the processes through which the Commission will verify the accuracy and reliability of </w:t>
      </w:r>
      <w:r w:rsidR="000F0BA0">
        <w:t>availability data submitted by providers;</w:t>
      </w:r>
      <w:r>
        <w:rPr>
          <w:rStyle w:val="FootnoteReference"/>
        </w:rPr>
        <w:footnoteReference w:id="21"/>
      </w:r>
      <w:r w:rsidR="00DE6B6D">
        <w:t xml:space="preserve"> </w:t>
      </w:r>
      <w:r w:rsidR="00A56023">
        <w:t xml:space="preserve">adopted the requirement that </w:t>
      </w:r>
      <w:r w:rsidR="00F73F10">
        <w:t>it is “</w:t>
      </w:r>
      <w:r w:rsidR="009A56F1">
        <w:t>unlawful</w:t>
      </w:r>
      <w:r w:rsidR="00F73F10">
        <w:t xml:space="preserve"> to </w:t>
      </w:r>
      <w:r w:rsidR="009A56F1">
        <w:t>willfully</w:t>
      </w:r>
      <w:r w:rsidR="00F73F10">
        <w:t xml:space="preserve"> and knowingly, or recklessly, submit information or data that is materially inaccurate or </w:t>
      </w:r>
      <w:r w:rsidR="00921A0A">
        <w:t>incomplete with respect to the availability or the quality of broadband Internet access service;”</w:t>
      </w:r>
      <w:r>
        <w:rPr>
          <w:rStyle w:val="FootnoteReference"/>
        </w:rPr>
        <w:footnoteReference w:id="22"/>
      </w:r>
      <w:r w:rsidR="00CF0FFE">
        <w:t xml:space="preserve"> </w:t>
      </w:r>
      <w:r w:rsidR="00320AFE">
        <w:t xml:space="preserve">established the Broadband Map and </w:t>
      </w:r>
      <w:r w:rsidR="00F86E25">
        <w:t xml:space="preserve">a biannual schedule for updating the map in line with the biannual </w:t>
      </w:r>
      <w:r w:rsidR="00FC270A">
        <w:t xml:space="preserve">data </w:t>
      </w:r>
      <w:r w:rsidR="00F86E25">
        <w:t>collection;</w:t>
      </w:r>
      <w:r>
        <w:rPr>
          <w:rStyle w:val="FootnoteReference"/>
        </w:rPr>
        <w:footnoteReference w:id="23"/>
      </w:r>
      <w:r w:rsidR="00B108B8">
        <w:t xml:space="preserve"> adopted the requirement </w:t>
      </w:r>
      <w:r w:rsidR="006226B7">
        <w:t>“</w:t>
      </w:r>
      <w:r w:rsidR="00B108B8">
        <w:t xml:space="preserve">to develop a process </w:t>
      </w:r>
      <w:r>
        <w:t>to collect verified data for use in the coverage maps from: (1) State, local, and Tribal governmental entities primarily responsible for mapping or tracking broadband Internet access service coverage in their areas; (2) third parties, if the Commission determines it is in the public interest to use their data in the development of the coverage maps or in the verification of data submitted by providers; and (3) other federal agencies</w:t>
      </w:r>
      <w:r w:rsidR="00492BE5">
        <w:t>;”</w:t>
      </w:r>
      <w:r>
        <w:rPr>
          <w:rStyle w:val="FootnoteReference"/>
        </w:rPr>
        <w:footnoteReference w:id="24"/>
      </w:r>
      <w:r w:rsidR="00092F15">
        <w:t xml:space="preserve"> </w:t>
      </w:r>
      <w:r w:rsidR="00757856">
        <w:t xml:space="preserve">adopted data confidentiality and </w:t>
      </w:r>
      <w:r w:rsidR="00924A00">
        <w:t>privacy standards for the BDC;</w:t>
      </w:r>
      <w:r>
        <w:rPr>
          <w:rStyle w:val="FootnoteReference"/>
        </w:rPr>
        <w:footnoteReference w:id="25"/>
      </w:r>
      <w:r w:rsidR="00924A00">
        <w:t xml:space="preserve"> and </w:t>
      </w:r>
      <w:r w:rsidR="00DF4A53">
        <w:t>directed</w:t>
      </w:r>
      <w:r w:rsidR="00924A00">
        <w:t xml:space="preserve"> </w:t>
      </w:r>
      <w:r w:rsidR="00D56219">
        <w:t xml:space="preserve">agency staff </w:t>
      </w:r>
      <w:r w:rsidR="005B31E1">
        <w:t xml:space="preserve">to update the specific format of data submitted in the BDC to reflect changes over </w:t>
      </w:r>
      <w:r w:rsidR="005B31E1">
        <w:t xml:space="preserve">time in </w:t>
      </w:r>
      <w:r w:rsidR="00BB73D2">
        <w:t xml:space="preserve">geospatial information systems </w:t>
      </w:r>
      <w:r w:rsidR="00070E13">
        <w:t>(</w:t>
      </w:r>
      <w:r w:rsidR="005B31E1">
        <w:t>GIS</w:t>
      </w:r>
      <w:r w:rsidR="00070E13">
        <w:t>)</w:t>
      </w:r>
      <w:r w:rsidR="005B31E1">
        <w:t xml:space="preserve"> and other data</w:t>
      </w:r>
      <w:r w:rsidR="00FC270A">
        <w:t>-</w:t>
      </w:r>
      <w:r w:rsidR="005B31E1">
        <w:t>storage and processing functionalit</w:t>
      </w:r>
      <w:r w:rsidR="00FC270A">
        <w:t>ies,</w:t>
      </w:r>
      <w:r w:rsidR="005B31E1">
        <w:t xml:space="preserve"> and </w:t>
      </w:r>
      <w:r w:rsidR="00FC270A">
        <w:t>to</w:t>
      </w:r>
      <w:r w:rsidR="005B31E1">
        <w:t xml:space="preserve"> implement any technical improvements or other clarifications to the filing mechanism and forms.</w:t>
      </w:r>
      <w:r>
        <w:rPr>
          <w:rStyle w:val="FootnoteReference"/>
        </w:rPr>
        <w:footnoteReference w:id="26"/>
      </w:r>
    </w:p>
    <w:p w:rsidR="003B5127" w:rsidP="00E2504A" w14:paraId="5EA84B54" w14:textId="10683506">
      <w:pPr>
        <w:pStyle w:val="ParaNum"/>
      </w:pPr>
      <w:r>
        <w:t>T</w:t>
      </w:r>
      <w:r w:rsidR="00E97591">
        <w:t>he</w:t>
      </w:r>
      <w:r>
        <w:t xml:space="preserve"> Commission </w:t>
      </w:r>
      <w:r w:rsidR="00021198">
        <w:t xml:space="preserve">established </w:t>
      </w:r>
      <w:r w:rsidR="007B5807">
        <w:t>additional</w:t>
      </w:r>
      <w:r w:rsidR="00460096">
        <w:t xml:space="preserve"> </w:t>
      </w:r>
      <w:r w:rsidR="00F06B69">
        <w:t xml:space="preserve">requirements </w:t>
      </w:r>
      <w:r w:rsidR="007B5807">
        <w:t>for</w:t>
      </w:r>
      <w:r w:rsidR="00460096">
        <w:t xml:space="preserve"> the BDC </w:t>
      </w:r>
      <w:r w:rsidR="00C90CD9">
        <w:t xml:space="preserve">with the </w:t>
      </w:r>
      <w:r w:rsidR="00460096">
        <w:t>adopt</w:t>
      </w:r>
      <w:r w:rsidR="00C90CD9">
        <w:t>ion</w:t>
      </w:r>
      <w:r w:rsidR="00460096">
        <w:t xml:space="preserve"> </w:t>
      </w:r>
      <w:r w:rsidR="00C90CD9">
        <w:t>of</w:t>
      </w:r>
      <w:r w:rsidR="00460096">
        <w:t xml:space="preserve"> its</w:t>
      </w:r>
      <w:r w:rsidR="00E97591">
        <w:t xml:space="preserve"> </w:t>
      </w:r>
      <w:r w:rsidR="002302D7">
        <w:rPr>
          <w:i/>
          <w:iCs/>
        </w:rPr>
        <w:t>Third Report and Order</w:t>
      </w:r>
      <w:r w:rsidR="002302D7">
        <w:t>.  Importantly</w:t>
      </w:r>
      <w:r w:rsidR="00295E12">
        <w:t xml:space="preserve">, the Commission </w:t>
      </w:r>
      <w:r w:rsidR="002302D7">
        <w:t>defined</w:t>
      </w:r>
      <w:r w:rsidR="008B5AE4">
        <w:t xml:space="preserve"> which entities would be considered a “provider” for purposes of the BDC</w:t>
      </w:r>
      <w:r w:rsidR="00096CB0">
        <w:t xml:space="preserve">, requiring all </w:t>
      </w:r>
      <w:r w:rsidR="0017540F">
        <w:t>facilities</w:t>
      </w:r>
      <w:r w:rsidR="00096CB0">
        <w:t xml:space="preserve">-based </w:t>
      </w:r>
      <w:r w:rsidR="0017540F">
        <w:t>providers</w:t>
      </w:r>
      <w:r w:rsidR="00851C53">
        <w:t xml:space="preserve"> of </w:t>
      </w:r>
      <w:r w:rsidR="00404B53">
        <w:t xml:space="preserve">fixed or mobile </w:t>
      </w:r>
      <w:r w:rsidR="00851C53">
        <w:t>broadband Internet access service</w:t>
      </w:r>
      <w:r w:rsidR="0017540F">
        <w:t>—i.e.</w:t>
      </w:r>
      <w:r w:rsidR="0046609D">
        <w:t>,</w:t>
      </w:r>
      <w:r w:rsidR="0017540F">
        <w:t xml:space="preserve"> any provider </w:t>
      </w:r>
      <w:r w:rsidR="009B6519">
        <w:t>supplying mass market broadband services</w:t>
      </w:r>
      <w:r w:rsidR="006E534A">
        <w:t>—to file</w:t>
      </w:r>
      <w:r w:rsidR="0059705F">
        <w:t xml:space="preserve"> </w:t>
      </w:r>
      <w:r w:rsidR="00D93032">
        <w:t xml:space="preserve">availability data </w:t>
      </w:r>
      <w:r w:rsidR="0059705F">
        <w:t>in the biann</w:t>
      </w:r>
      <w:r w:rsidR="00D93032">
        <w:t>ual collection</w:t>
      </w:r>
      <w:r w:rsidR="006E534A">
        <w:t>.</w:t>
      </w:r>
      <w:r>
        <w:rPr>
          <w:rStyle w:val="FootnoteReference"/>
        </w:rPr>
        <w:footnoteReference w:id="27"/>
      </w:r>
      <w:r w:rsidR="006E534A">
        <w:t xml:space="preserve"> </w:t>
      </w:r>
      <w:r w:rsidR="00292864">
        <w:t xml:space="preserve"> The </w:t>
      </w:r>
      <w:r w:rsidR="00292864">
        <w:rPr>
          <w:i/>
          <w:iCs/>
        </w:rPr>
        <w:t>Third</w:t>
      </w:r>
      <w:r w:rsidR="00E2504A">
        <w:rPr>
          <w:i/>
          <w:iCs/>
        </w:rPr>
        <w:t xml:space="preserve"> Report and Order</w:t>
      </w:r>
      <w:r w:rsidR="00E2504A">
        <w:t xml:space="preserve"> </w:t>
      </w:r>
      <w:r w:rsidR="00675E25">
        <w:t xml:space="preserve">further </w:t>
      </w:r>
      <w:r w:rsidR="00E2504A">
        <w:t xml:space="preserve">specified </w:t>
      </w:r>
      <w:r w:rsidR="00675E25">
        <w:t>the</w:t>
      </w:r>
      <w:r w:rsidR="001178F1">
        <w:t xml:space="preserve"> standards for reporting availability and quali</w:t>
      </w:r>
      <w:r w:rsidR="00543695">
        <w:t>t</w:t>
      </w:r>
      <w:r w:rsidR="001178F1">
        <w:t>y of service data for fixed broadband Internet access service</w:t>
      </w:r>
      <w:r w:rsidR="00CF7706">
        <w:t>,</w:t>
      </w:r>
      <w:r>
        <w:rPr>
          <w:rStyle w:val="FootnoteReference"/>
        </w:rPr>
        <w:footnoteReference w:id="28"/>
      </w:r>
      <w:r w:rsidR="00CF7706">
        <w:t xml:space="preserve"> as well as for the collection and reporting of mobile broadband Internet access service data.</w:t>
      </w:r>
      <w:r>
        <w:rPr>
          <w:rStyle w:val="FootnoteReference"/>
        </w:rPr>
        <w:footnoteReference w:id="29"/>
      </w:r>
      <w:r w:rsidR="00EB7EB8">
        <w:t xml:space="preserve">  </w:t>
      </w:r>
      <w:r>
        <w:t>In addition, the</w:t>
      </w:r>
      <w:r w:rsidR="00D56219">
        <w:t xml:space="preserve"> Commission</w:t>
      </w:r>
      <w:r w:rsidR="0043129C">
        <w:t xml:space="preserve"> established the requirement that fixed and mobile broadband service providers </w:t>
      </w:r>
      <w:r w:rsidR="00EB171B">
        <w:t>certif</w:t>
      </w:r>
      <w:r w:rsidR="00C778B4">
        <w:t>y</w:t>
      </w:r>
      <w:r w:rsidR="00EB171B">
        <w:t xml:space="preserve"> the accuracy of their submissions</w:t>
      </w:r>
      <w:r w:rsidR="003E2AE5">
        <w:t>;</w:t>
      </w:r>
      <w:r>
        <w:rPr>
          <w:rStyle w:val="FootnoteReference"/>
        </w:rPr>
        <w:footnoteReference w:id="30"/>
      </w:r>
      <w:r>
        <w:t xml:space="preserve"> </w:t>
      </w:r>
      <w:r w:rsidR="00A206C8">
        <w:t>ad</w:t>
      </w:r>
      <w:r w:rsidR="0049750C">
        <w:t xml:space="preserve">opted verification provisions and </w:t>
      </w:r>
      <w:r w:rsidR="00746C26">
        <w:t xml:space="preserve">directed </w:t>
      </w:r>
      <w:r w:rsidR="00D56219">
        <w:t xml:space="preserve">staff </w:t>
      </w:r>
      <w:r w:rsidR="00D31CE1">
        <w:t xml:space="preserve">to </w:t>
      </w:r>
      <w:r w:rsidR="00577DB4">
        <w:t xml:space="preserve">adopt and </w:t>
      </w:r>
      <w:r w:rsidR="00D31CE1">
        <w:t>implement the metho</w:t>
      </w:r>
      <w:r w:rsidR="00577DB4">
        <w:t xml:space="preserve">dologies, specifications, and formatting requirements </w:t>
      </w:r>
      <w:r w:rsidR="006409F3">
        <w:t>for the submission of data to assist in those verification inquiries</w:t>
      </w:r>
      <w:r w:rsidR="003E2AE5">
        <w:t>;</w:t>
      </w:r>
      <w:r>
        <w:rPr>
          <w:rStyle w:val="FootnoteReference"/>
        </w:rPr>
        <w:footnoteReference w:id="31"/>
      </w:r>
      <w:r w:rsidR="003E2AE5">
        <w:t xml:space="preserve"> adopted standard</w:t>
      </w:r>
      <w:r w:rsidR="005E0C8F">
        <w:t>s</w:t>
      </w:r>
      <w:r w:rsidR="003E2AE5">
        <w:t xml:space="preserve"> for collecting verified data from state, local, and Tribal mapping entities and third parties that meet certain criteria;</w:t>
      </w:r>
      <w:r>
        <w:rPr>
          <w:rStyle w:val="FootnoteReference"/>
        </w:rPr>
        <w:footnoteReference w:id="32"/>
      </w:r>
      <w:r w:rsidR="00EC3A51">
        <w:t xml:space="preserve"> established the requirements for the</w:t>
      </w:r>
      <w:r w:rsidR="00CC73AE">
        <w:t xml:space="preserve"> submission of challenges to the fixed broadband </w:t>
      </w:r>
      <w:r w:rsidR="002F05C5">
        <w:t xml:space="preserve">service </w:t>
      </w:r>
      <w:r w:rsidR="00CC73AE">
        <w:t>maps</w:t>
      </w:r>
      <w:r w:rsidR="008E7C07">
        <w:t xml:space="preserve"> and the Fabric,</w:t>
      </w:r>
      <w:r>
        <w:rPr>
          <w:rStyle w:val="FootnoteReference"/>
        </w:rPr>
        <w:footnoteReference w:id="33"/>
      </w:r>
      <w:r w:rsidR="00B36060">
        <w:t xml:space="preserve"> as well as for challenges</w:t>
      </w:r>
      <w:r w:rsidR="00F209EA">
        <w:t xml:space="preserve"> to the mobile broadband coverage data;</w:t>
      </w:r>
      <w:r>
        <w:rPr>
          <w:rStyle w:val="FootnoteReference"/>
        </w:rPr>
        <w:footnoteReference w:id="34"/>
      </w:r>
      <w:r w:rsidR="00B4184A">
        <w:t xml:space="preserve"> defined certain</w:t>
      </w:r>
      <w:r w:rsidR="00620E08">
        <w:t xml:space="preserve"> standards for use in context of the Fabric and </w:t>
      </w:r>
      <w:r w:rsidR="0097494D">
        <w:t xml:space="preserve">directed </w:t>
      </w:r>
      <w:r w:rsidR="00D56219">
        <w:t xml:space="preserve">staff </w:t>
      </w:r>
      <w:r w:rsidR="0097494D">
        <w:t xml:space="preserve">to implement </w:t>
      </w:r>
      <w:r w:rsidR="0065706F">
        <w:t>further specific</w:t>
      </w:r>
      <w:r w:rsidR="004E0BAD">
        <w:t>ation</w:t>
      </w:r>
      <w:r w:rsidR="0065706F">
        <w:t xml:space="preserve">s </w:t>
      </w:r>
      <w:r w:rsidR="004E0BAD">
        <w:t>in connection with</w:t>
      </w:r>
      <w:r w:rsidR="0065706F">
        <w:t xml:space="preserve"> the Fabric;</w:t>
      </w:r>
      <w:r>
        <w:rPr>
          <w:rStyle w:val="FootnoteReference"/>
        </w:rPr>
        <w:footnoteReference w:id="35"/>
      </w:r>
      <w:r w:rsidR="00C50342">
        <w:t xml:space="preserve"> </w:t>
      </w:r>
      <w:r w:rsidR="00870E09">
        <w:t>defined additional aspects of the enforcement requirements in the Broadband DATA Act, including the establishment of penalties for violations of the BDC rules;</w:t>
      </w:r>
      <w:r>
        <w:rPr>
          <w:rStyle w:val="FootnoteReference"/>
        </w:rPr>
        <w:footnoteReference w:id="36"/>
      </w:r>
      <w:r w:rsidR="002B2ED4">
        <w:t xml:space="preserve"> adopted </w:t>
      </w:r>
      <w:r w:rsidR="00340591">
        <w:t xml:space="preserve">the Commission’s </w:t>
      </w:r>
      <w:r w:rsidR="002B2ED4">
        <w:t>proposals regarding the types of maps that would be made public as a part of the BDC;</w:t>
      </w:r>
      <w:r>
        <w:rPr>
          <w:rStyle w:val="FootnoteReference"/>
        </w:rPr>
        <w:footnoteReference w:id="37"/>
      </w:r>
      <w:r w:rsidR="002119C3">
        <w:t xml:space="preserve"> </w:t>
      </w:r>
      <w:r w:rsidR="00B56B7A">
        <w:t xml:space="preserve">directed </w:t>
      </w:r>
      <w:r w:rsidR="00D56219">
        <w:t xml:space="preserve">staff </w:t>
      </w:r>
      <w:r w:rsidR="00B56B7A">
        <w:t xml:space="preserve">to </w:t>
      </w:r>
      <w:r w:rsidR="00CD16C6">
        <w:t>make available the technical assistance resources specified in the Broadband DATA Act;</w:t>
      </w:r>
      <w:r>
        <w:rPr>
          <w:rStyle w:val="FootnoteReference"/>
        </w:rPr>
        <w:footnoteReference w:id="38"/>
      </w:r>
      <w:r w:rsidR="00964114">
        <w:t xml:space="preserve"> and</w:t>
      </w:r>
      <w:r w:rsidR="00AB4B84">
        <w:t xml:space="preserve"> implemented </w:t>
      </w:r>
      <w:r w:rsidR="00F6593F">
        <w:t>reforms to the existing Form 477</w:t>
      </w:r>
      <w:r w:rsidR="00DC187D">
        <w:t xml:space="preserve"> deployment collection and deferred sunset of that collection to</w:t>
      </w:r>
      <w:r w:rsidR="00C14BD4">
        <w:t xml:space="preserve"> </w:t>
      </w:r>
      <w:r w:rsidR="00DC187D">
        <w:t>a later</w:t>
      </w:r>
      <w:r w:rsidR="00C14BD4">
        <w:t>, to-be-determined</w:t>
      </w:r>
      <w:r w:rsidR="00DC187D">
        <w:t xml:space="preserve"> date.</w:t>
      </w:r>
      <w:r>
        <w:rPr>
          <w:rStyle w:val="FootnoteReference"/>
        </w:rPr>
        <w:footnoteReference w:id="39"/>
      </w:r>
    </w:p>
    <w:p w:rsidR="00AF4DD0" w:rsidP="00EB61B5" w14:paraId="7923C542" w14:textId="3721E381">
      <w:pPr>
        <w:pStyle w:val="ParaNum"/>
      </w:pPr>
      <w:r>
        <w:t xml:space="preserve">Although the </w:t>
      </w:r>
      <w:r w:rsidR="35FA8EFB">
        <w:t xml:space="preserve">Commission adopted </w:t>
      </w:r>
      <w:r w:rsidR="4DD778C2">
        <w:t xml:space="preserve">its </w:t>
      </w:r>
      <w:r w:rsidR="35FA8EFB">
        <w:t xml:space="preserve">rules </w:t>
      </w:r>
      <w:r w:rsidR="1AB4AA31">
        <w:t xml:space="preserve">for </w:t>
      </w:r>
      <w:r w:rsidR="3F797E3D">
        <w:t>administer</w:t>
      </w:r>
      <w:r w:rsidR="4DD778C2">
        <w:t>ing</w:t>
      </w:r>
      <w:r w:rsidR="35FA8EFB">
        <w:t xml:space="preserve"> the detailed and interrelated requirem</w:t>
      </w:r>
      <w:r w:rsidR="1AB4AA31">
        <w:t xml:space="preserve">ents </w:t>
      </w:r>
      <w:r w:rsidR="4DD778C2">
        <w:t>of</w:t>
      </w:r>
      <w:r w:rsidR="1AB4AA31">
        <w:t xml:space="preserve"> the Broadband DATA Act</w:t>
      </w:r>
      <w:r>
        <w:t>, it</w:t>
      </w:r>
      <w:r w:rsidR="00C87E2A">
        <w:t xml:space="preserve"> was unable to </w:t>
      </w:r>
      <w:r w:rsidR="5248BE73">
        <w:t xml:space="preserve">undertake </w:t>
      </w:r>
      <w:r w:rsidR="61BC05BB">
        <w:t xml:space="preserve">the critical </w:t>
      </w:r>
      <w:r w:rsidR="31172F47">
        <w:t xml:space="preserve">procurements </w:t>
      </w:r>
      <w:r w:rsidR="166E0BA6">
        <w:t xml:space="preserve">necessary to implement the </w:t>
      </w:r>
      <w:r>
        <w:t xml:space="preserve">various </w:t>
      </w:r>
      <w:r w:rsidR="166E0BA6">
        <w:t xml:space="preserve">systems and processes laid out in the Broadband DATA Act </w:t>
      </w:r>
      <w:r w:rsidR="43EE43F5">
        <w:t>until funds</w:t>
      </w:r>
      <w:r w:rsidR="02CBEDBC">
        <w:t xml:space="preserve"> </w:t>
      </w:r>
      <w:r w:rsidR="4A4AE7E0">
        <w:t xml:space="preserve">were </w:t>
      </w:r>
      <w:r w:rsidR="185EF68C">
        <w:t>appropriated for t</w:t>
      </w:r>
      <w:r w:rsidR="6718CA62">
        <w:t>hat purpo</w:t>
      </w:r>
      <w:r w:rsidR="59AFBC5F">
        <w:t>se</w:t>
      </w:r>
      <w:r w:rsidR="7E7A5218">
        <w:t>.</w:t>
      </w:r>
      <w:r>
        <w:rPr>
          <w:rStyle w:val="FootnoteReference"/>
        </w:rPr>
        <w:footnoteReference w:id="40"/>
      </w:r>
      <w:r w:rsidR="3F797E3D">
        <w:t xml:space="preserve">  </w:t>
      </w:r>
      <w:r w:rsidR="00F372F6">
        <w:t>I</w:t>
      </w:r>
      <w:r w:rsidR="6CCF2E4A">
        <w:t>t</w:t>
      </w:r>
      <w:r w:rsidR="00F372F6">
        <w:t xml:space="preserve"> was not</w:t>
      </w:r>
      <w:r w:rsidR="6CCF2E4A">
        <w:t xml:space="preserve"> until January 2021 </w:t>
      </w:r>
      <w:r w:rsidR="00F372F6">
        <w:t>that</w:t>
      </w:r>
      <w:r w:rsidR="3F797E3D">
        <w:t xml:space="preserve"> </w:t>
      </w:r>
      <w:r w:rsidR="00F372F6">
        <w:t xml:space="preserve">the </w:t>
      </w:r>
      <w:r w:rsidR="3F797E3D">
        <w:t>Commission receive</w:t>
      </w:r>
      <w:r w:rsidR="579132FB">
        <w:t>d</w:t>
      </w:r>
      <w:r w:rsidR="1598F421">
        <w:t xml:space="preserve"> funding to initiate the procurements</w:t>
      </w:r>
      <w:r w:rsidR="579132FB">
        <w:t xml:space="preserve"> as a part of the Consolidated Appropriations Act of 2021, enacted on December </w:t>
      </w:r>
      <w:r w:rsidR="579132FB">
        <w:t>27, 2020</w:t>
      </w:r>
      <w:r w:rsidR="1598F421">
        <w:t>.</w:t>
      </w:r>
      <w:r>
        <w:rPr>
          <w:rStyle w:val="FootnoteReference"/>
        </w:rPr>
        <w:footnoteReference w:id="41"/>
      </w:r>
      <w:r w:rsidR="1598F421">
        <w:t xml:space="preserve"> </w:t>
      </w:r>
      <w:r w:rsidR="5B434CB5">
        <w:t xml:space="preserve"> </w:t>
      </w:r>
      <w:r w:rsidR="293E9710">
        <w:t xml:space="preserve">As the Commission noted in the </w:t>
      </w:r>
      <w:r w:rsidRPr="666E882F" w:rsidR="293E9710">
        <w:rPr>
          <w:i/>
          <w:iCs/>
        </w:rPr>
        <w:t>Third Report and Order</w:t>
      </w:r>
      <w:r w:rsidRPr="666E882F" w:rsidR="6CCF2E4A">
        <w:rPr>
          <w:i/>
          <w:iCs/>
        </w:rPr>
        <w:t xml:space="preserve"> </w:t>
      </w:r>
      <w:r w:rsidR="6CCF2E4A">
        <w:t>adopted shortly thereafter</w:t>
      </w:r>
      <w:r w:rsidR="293E9710">
        <w:t xml:space="preserve">, </w:t>
      </w:r>
      <w:r w:rsidR="3DA0A0D8">
        <w:t>b</w:t>
      </w:r>
      <w:r w:rsidRPr="0037783D" w:rsidR="2B40CED4">
        <w:t>ecause</w:t>
      </w:r>
      <w:r w:rsidR="2B40CED4">
        <w:t xml:space="preserve"> of the</w:t>
      </w:r>
      <w:r w:rsidR="2DE9BB68">
        <w:t xml:space="preserve"> Broadband DATA Act’</w:t>
      </w:r>
      <w:r w:rsidR="2B40CED4">
        <w:t xml:space="preserve">s restrictions, </w:t>
      </w:r>
      <w:r w:rsidR="3DA0A0D8">
        <w:t>“</w:t>
      </w:r>
      <w:r w:rsidR="2B40CED4">
        <w:t xml:space="preserve">the Commission could not </w:t>
      </w:r>
      <w:r w:rsidR="3DA0A0D8">
        <w:t xml:space="preserve">undertake the development of costly IT and filing platforms needed to implement the requirements under the </w:t>
      </w:r>
      <w:r w:rsidR="102F3FAD">
        <w:t>Broadband</w:t>
      </w:r>
      <w:r w:rsidR="3DA0A0D8">
        <w:t xml:space="preserve"> DATA Act o</w:t>
      </w:r>
      <w:r w:rsidR="28F38CA7">
        <w:t>r</w:t>
      </w:r>
      <w:r w:rsidR="3DA0A0D8">
        <w:t xml:space="preserve"> the Commission’s rules until Congress specifically appropriated funding for that purpose.”</w:t>
      </w:r>
      <w:r>
        <w:rPr>
          <w:rStyle w:val="FootnoteReference"/>
        </w:rPr>
        <w:footnoteReference w:id="42"/>
      </w:r>
      <w:r w:rsidR="56A7DCEA">
        <w:t xml:space="preserve">  </w:t>
      </w:r>
      <w:r w:rsidR="04402113">
        <w:t xml:space="preserve"> </w:t>
      </w:r>
      <w:r w:rsidR="102F3FAD">
        <w:t xml:space="preserve"> </w:t>
      </w:r>
      <w:r w:rsidR="79519B5B">
        <w:t xml:space="preserve"> </w:t>
      </w:r>
    </w:p>
    <w:p w:rsidR="00281980" w:rsidP="006F7BD4" w14:paraId="2AEB2C87" w14:textId="27C3F044">
      <w:pPr>
        <w:pStyle w:val="ParaNum"/>
        <w:widowControl/>
      </w:pPr>
      <w:r>
        <w:t xml:space="preserve">Since receiving </w:t>
      </w:r>
      <w:r w:rsidR="00A232ED">
        <w:t>an</w:t>
      </w:r>
      <w:r>
        <w:t xml:space="preserve"> appropriation</w:t>
      </w:r>
      <w:r w:rsidR="00A232ED">
        <w:t xml:space="preserve"> of funding</w:t>
      </w:r>
      <w:r>
        <w:t xml:space="preserve">, the Commission has </w:t>
      </w:r>
      <w:r w:rsidR="007E5300">
        <w:t xml:space="preserve">worked </w:t>
      </w:r>
      <w:r w:rsidR="00032CB9">
        <w:t xml:space="preserve">on the many workstreams needed to implement the Act in order </w:t>
      </w:r>
      <w:r w:rsidR="007E5300">
        <w:t>to</w:t>
      </w:r>
      <w:r>
        <w:t xml:space="preserve"> launch </w:t>
      </w:r>
      <w:r w:rsidR="007E5300">
        <w:t xml:space="preserve">the BDC </w:t>
      </w:r>
      <w:r>
        <w:t xml:space="preserve">as </w:t>
      </w:r>
      <w:r w:rsidR="007E5300">
        <w:t>quickly</w:t>
      </w:r>
      <w:r>
        <w:t xml:space="preserve"> as possible</w:t>
      </w:r>
      <w:r w:rsidR="00604143">
        <w:t xml:space="preserve">.  </w:t>
      </w:r>
      <w:r w:rsidR="00777B49">
        <w:t>Accomplishment</w:t>
      </w:r>
      <w:r w:rsidR="0086259F">
        <w:t xml:space="preserve"> of </w:t>
      </w:r>
      <w:r w:rsidR="000E09FA">
        <w:t>a number of critical milestones has enabled us to</w:t>
      </w:r>
      <w:r w:rsidR="009F1418">
        <w:t xml:space="preserve"> </w:t>
      </w:r>
      <w:r w:rsidR="00777B49">
        <w:t xml:space="preserve">announce the opening of a BDC filing window on </w:t>
      </w:r>
      <w:r w:rsidR="000F38E8">
        <w:t>June 30</w:t>
      </w:r>
      <w:r w:rsidR="00777B49">
        <w:t>, 2022.</w:t>
      </w:r>
      <w:r>
        <w:t xml:space="preserve">  </w:t>
      </w:r>
    </w:p>
    <w:p w:rsidR="004D6C59" w:rsidP="007A60EE" w14:paraId="4668B099" w14:textId="37697511">
      <w:pPr>
        <w:pStyle w:val="ParaNum"/>
      </w:pPr>
      <w:r>
        <w:t>First</w:t>
      </w:r>
      <w:r w:rsidR="002A67CC">
        <w:t xml:space="preserve">, promptly </w:t>
      </w:r>
      <w:r w:rsidR="00244B04">
        <w:t xml:space="preserve">upon </w:t>
      </w:r>
      <w:r w:rsidR="00E6081C">
        <w:t>the receipt of funding</w:t>
      </w:r>
      <w:r>
        <w:t>,</w:t>
      </w:r>
      <w:r>
        <w:t xml:space="preserve"> the Commission retained an expert data architect to design a data-flow structure and build a prototype system that could collect</w:t>
      </w:r>
      <w:r w:rsidR="00872D3B">
        <w:t xml:space="preserve">, </w:t>
      </w:r>
      <w:r w:rsidR="00EF765E">
        <w:t xml:space="preserve">manage, </w:t>
      </w:r>
      <w:r>
        <w:t xml:space="preserve">and validate fixed and mobile broadband </w:t>
      </w:r>
      <w:r w:rsidR="00EF765E">
        <w:t xml:space="preserve">availability </w:t>
      </w:r>
      <w:r>
        <w:t>data.</w:t>
      </w:r>
      <w:r>
        <w:rPr>
          <w:rStyle w:val="FootnoteReference"/>
        </w:rPr>
        <w:footnoteReference w:id="43"/>
      </w:r>
      <w:r>
        <w:t xml:space="preserve">  </w:t>
      </w:r>
      <w:r w:rsidR="00DD4FB5">
        <w:t xml:space="preserve">The data architect </w:t>
      </w:r>
      <w:r w:rsidR="007A41B2">
        <w:t>developed a blueprint for the</w:t>
      </w:r>
      <w:r w:rsidR="00DD4FB5">
        <w:t xml:space="preserve"> </w:t>
      </w:r>
      <w:r>
        <w:t>complex set of systems and processes</w:t>
      </w:r>
      <w:r w:rsidR="0016296D">
        <w:t xml:space="preserve"> </w:t>
      </w:r>
      <w:r w:rsidR="007A41B2">
        <w:t>needed</w:t>
      </w:r>
      <w:r w:rsidR="00071B14">
        <w:t xml:space="preserve"> for</w:t>
      </w:r>
      <w:r w:rsidR="002B3DB9">
        <w:t xml:space="preserve"> </w:t>
      </w:r>
      <w:r w:rsidR="00071B14">
        <w:t xml:space="preserve">the </w:t>
      </w:r>
      <w:r>
        <w:t>collect</w:t>
      </w:r>
      <w:r w:rsidR="00071B14">
        <w:t>ion of</w:t>
      </w:r>
      <w:r>
        <w:t xml:space="preserve"> </w:t>
      </w:r>
      <w:r w:rsidR="002E37FD">
        <w:t>availability data from broadband providers</w:t>
      </w:r>
      <w:r w:rsidR="00560D5F">
        <w:t xml:space="preserve"> and </w:t>
      </w:r>
      <w:r>
        <w:t>verified coverage data from</w:t>
      </w:r>
      <w:r w:rsidR="00EF5D3E">
        <w:t xml:space="preserve"> </w:t>
      </w:r>
      <w:r>
        <w:t xml:space="preserve">federal, state, local, and Tribal </w:t>
      </w:r>
      <w:r w:rsidR="00DD38BF">
        <w:t xml:space="preserve">governmental </w:t>
      </w:r>
      <w:r>
        <w:t xml:space="preserve">entities and other third parties, </w:t>
      </w:r>
      <w:r w:rsidR="00071B14">
        <w:t>along with</w:t>
      </w:r>
      <w:r>
        <w:t xml:space="preserve"> challenge and crowdsource data.</w:t>
      </w:r>
      <w:r w:rsidR="00E6081C">
        <w:t xml:space="preserve">  Th</w:t>
      </w:r>
      <w:r w:rsidR="003934A8">
        <w:t>is</w:t>
      </w:r>
      <w:r w:rsidR="00E6081C">
        <w:t xml:space="preserve"> </w:t>
      </w:r>
      <w:r w:rsidR="00946713">
        <w:t xml:space="preserve">blueprint </w:t>
      </w:r>
      <w:r w:rsidR="00AB651C">
        <w:t xml:space="preserve">forms the basis </w:t>
      </w:r>
      <w:r w:rsidR="00F77396">
        <w:t xml:space="preserve">for how </w:t>
      </w:r>
      <w:r w:rsidR="00313519">
        <w:t>the</w:t>
      </w:r>
      <w:r w:rsidR="009F7657">
        <w:t xml:space="preserve"> collection system </w:t>
      </w:r>
      <w:r w:rsidR="00C12288">
        <w:t xml:space="preserve">being developed </w:t>
      </w:r>
      <w:r w:rsidR="00BF503B">
        <w:t xml:space="preserve">will </w:t>
      </w:r>
      <w:r w:rsidR="009F7657">
        <w:t>ingest</w:t>
      </w:r>
      <w:r w:rsidR="00760522">
        <w:t xml:space="preserve">, </w:t>
      </w:r>
      <w:r w:rsidR="009F7657">
        <w:t>process</w:t>
      </w:r>
      <w:r w:rsidR="00760522">
        <w:t>, and publish</w:t>
      </w:r>
      <w:r w:rsidR="009F7657">
        <w:t xml:space="preserve"> </w:t>
      </w:r>
      <w:r w:rsidR="00F77396">
        <w:t xml:space="preserve">these </w:t>
      </w:r>
      <w:r w:rsidR="00C65838">
        <w:t xml:space="preserve">complex, </w:t>
      </w:r>
      <w:r w:rsidR="00B47F53">
        <w:t>interrelated data</w:t>
      </w:r>
      <w:r w:rsidR="00C65838">
        <w:t xml:space="preserve"> in a reliable, efficient, and secure manner</w:t>
      </w:r>
      <w:r w:rsidR="009F7657">
        <w:t xml:space="preserve">.  </w:t>
      </w:r>
      <w:r w:rsidR="00B47F53">
        <w:t xml:space="preserve"> </w:t>
      </w:r>
    </w:p>
    <w:p w:rsidR="00C43F41" w:rsidRPr="00E2520E" w:rsidP="006B4BDC" w14:paraId="738DE769" w14:textId="5157DA40">
      <w:pPr>
        <w:pStyle w:val="ParaNum"/>
        <w:rPr>
          <w:rStyle w:val="normaltextrun"/>
          <w:color w:val="000000"/>
          <w:shd w:val="clear" w:color="auto" w:fill="FFFFFF"/>
        </w:rPr>
      </w:pPr>
      <w:r>
        <w:t>Second</w:t>
      </w:r>
      <w:r w:rsidR="00281980">
        <w:t>,</w:t>
      </w:r>
      <w:r w:rsidR="00C6128C">
        <w:t xml:space="preserve"> </w:t>
      </w:r>
      <w:r w:rsidR="00470155">
        <w:t>Commission staff initiated a pro</w:t>
      </w:r>
      <w:r w:rsidR="004D70A5">
        <w:t xml:space="preserve">curement for </w:t>
      </w:r>
      <w:r w:rsidR="00F957FE">
        <w:t xml:space="preserve">a contractor that would construct </w:t>
      </w:r>
      <w:r w:rsidR="00470155">
        <w:t>the</w:t>
      </w:r>
      <w:r w:rsidR="004D70A5">
        <w:t xml:space="preserve"> Fabric.  </w:t>
      </w:r>
      <w:bookmarkStart w:id="3" w:name="_Hlk95919739"/>
      <w:r w:rsidR="005F4D0D">
        <w:t xml:space="preserve">Forming the foundation </w:t>
      </w:r>
      <w:r w:rsidR="00225152">
        <w:t>th</w:t>
      </w:r>
      <w:r w:rsidR="003D5380">
        <w:t xml:space="preserve">at will </w:t>
      </w:r>
      <w:r w:rsidR="005F4D0D">
        <w:t>underpin</w:t>
      </w:r>
      <w:r w:rsidR="001178CF">
        <w:t xml:space="preserve"> all of</w:t>
      </w:r>
      <w:r w:rsidR="005F4D0D">
        <w:t xml:space="preserve"> </w:t>
      </w:r>
      <w:r w:rsidR="00F435C5">
        <w:t xml:space="preserve">the maps </w:t>
      </w:r>
      <w:r w:rsidR="0034210D">
        <w:t xml:space="preserve">published </w:t>
      </w:r>
      <w:r w:rsidR="003D1B9B">
        <w:t>by the Commission</w:t>
      </w:r>
      <w:r w:rsidR="005767A5">
        <w:rPr>
          <w:rStyle w:val="normaltextrun"/>
          <w:color w:val="000000" w:themeColor="text1"/>
        </w:rPr>
        <w:t>,</w:t>
      </w:r>
      <w:r>
        <w:rPr>
          <w:rStyle w:val="FootnoteReference"/>
        </w:rPr>
        <w:footnoteReference w:id="44"/>
      </w:r>
      <w:r>
        <w:rPr>
          <w:rStyle w:val="normaltextrun"/>
          <w:color w:val="000000" w:themeColor="text1"/>
        </w:rPr>
        <w:t xml:space="preserve"> the Fabric</w:t>
      </w:r>
      <w:r w:rsidRPr="39AF486E" w:rsidR="00AF4DD0">
        <w:rPr>
          <w:rStyle w:val="normaltextrun"/>
          <w:color w:val="000000" w:themeColor="text1"/>
        </w:rPr>
        <w:t xml:space="preserve"> </w:t>
      </w:r>
      <w:r w:rsidR="008A5749">
        <w:rPr>
          <w:rStyle w:val="normaltextrun"/>
          <w:color w:val="000000" w:themeColor="text1"/>
        </w:rPr>
        <w:t xml:space="preserve">will be </w:t>
      </w:r>
      <w:r w:rsidR="00112B51">
        <w:rPr>
          <w:rStyle w:val="normaltextrun"/>
          <w:color w:val="000000" w:themeColor="text1"/>
        </w:rPr>
        <w:t xml:space="preserve">a dataset of </w:t>
      </w:r>
      <w:r w:rsidR="00530EF7">
        <w:rPr>
          <w:rStyle w:val="normaltextrun"/>
          <w:color w:val="000000" w:themeColor="text1"/>
        </w:rPr>
        <w:t>all broadband serviceable locations in the United States</w:t>
      </w:r>
      <w:r w:rsidR="00414F65">
        <w:rPr>
          <w:rStyle w:val="normaltextrun"/>
          <w:color w:val="000000" w:themeColor="text1"/>
        </w:rPr>
        <w:t xml:space="preserve">, </w:t>
      </w:r>
      <w:r w:rsidR="00B62E24">
        <w:rPr>
          <w:rStyle w:val="normaltextrun"/>
          <w:color w:val="000000" w:themeColor="text1"/>
        </w:rPr>
        <w:t>enabl</w:t>
      </w:r>
      <w:r w:rsidR="00473A62">
        <w:rPr>
          <w:rStyle w:val="normaltextrun"/>
          <w:color w:val="000000" w:themeColor="text1"/>
        </w:rPr>
        <w:t>ing</w:t>
      </w:r>
      <w:r w:rsidR="00B62E24">
        <w:rPr>
          <w:rStyle w:val="normaltextrun"/>
          <w:color w:val="000000" w:themeColor="text1"/>
        </w:rPr>
        <w:t xml:space="preserve"> </w:t>
      </w:r>
      <w:r w:rsidRPr="39AF486E" w:rsidR="00AF4DD0">
        <w:rPr>
          <w:rStyle w:val="normaltextrun"/>
          <w:color w:val="000000" w:themeColor="text1"/>
        </w:rPr>
        <w:t xml:space="preserve">location-by-location </w:t>
      </w:r>
      <w:r w:rsidR="006B0F8C">
        <w:rPr>
          <w:rStyle w:val="normaltextrun"/>
          <w:color w:val="000000" w:themeColor="text1"/>
        </w:rPr>
        <w:t xml:space="preserve">reporting and </w:t>
      </w:r>
      <w:r w:rsidR="00473A62">
        <w:rPr>
          <w:rStyle w:val="normaltextrun"/>
          <w:color w:val="000000" w:themeColor="text1"/>
        </w:rPr>
        <w:t xml:space="preserve">maps </w:t>
      </w:r>
      <w:r w:rsidR="006B0F8C">
        <w:rPr>
          <w:rStyle w:val="normaltextrun"/>
          <w:color w:val="000000" w:themeColor="text1"/>
        </w:rPr>
        <w:t>of fixed broadband service availability</w:t>
      </w:r>
      <w:r w:rsidR="00C96A12">
        <w:rPr>
          <w:rStyle w:val="normaltextrun"/>
          <w:color w:val="000000" w:themeColor="text1"/>
        </w:rPr>
        <w:t xml:space="preserve">, thereby </w:t>
      </w:r>
      <w:r w:rsidRPr="39AF486E" w:rsidR="00A22BF2">
        <w:rPr>
          <w:rStyle w:val="normaltextrun"/>
          <w:color w:val="000000" w:themeColor="text1"/>
        </w:rPr>
        <w:t>allow</w:t>
      </w:r>
      <w:r w:rsidR="00A22BF2">
        <w:rPr>
          <w:rStyle w:val="normaltextrun"/>
          <w:color w:val="000000" w:themeColor="text1"/>
        </w:rPr>
        <w:t>ing</w:t>
      </w:r>
      <w:r w:rsidRPr="39AF486E" w:rsidR="00A22BF2">
        <w:rPr>
          <w:rStyle w:val="normaltextrun"/>
          <w:color w:val="000000" w:themeColor="text1"/>
        </w:rPr>
        <w:t xml:space="preserve"> anyone to determine</w:t>
      </w:r>
      <w:r w:rsidRPr="39AF486E" w:rsidR="00AF4DD0">
        <w:rPr>
          <w:rStyle w:val="normaltextrun"/>
          <w:color w:val="000000" w:themeColor="text1"/>
        </w:rPr>
        <w:t xml:space="preserve"> whether</w:t>
      </w:r>
      <w:r w:rsidRPr="39AF486E" w:rsidR="006635C1">
        <w:rPr>
          <w:rStyle w:val="normaltextrun"/>
          <w:color w:val="000000" w:themeColor="text1"/>
        </w:rPr>
        <w:t xml:space="preserve"> </w:t>
      </w:r>
      <w:r w:rsidRPr="39AF486E" w:rsidR="00AF4DD0">
        <w:rPr>
          <w:rStyle w:val="normaltextrun"/>
          <w:color w:val="000000" w:themeColor="text1"/>
        </w:rPr>
        <w:t>broadband service is or is not available</w:t>
      </w:r>
      <w:r w:rsidR="00774619">
        <w:rPr>
          <w:rStyle w:val="normaltextrun"/>
          <w:color w:val="000000" w:themeColor="text1"/>
        </w:rPr>
        <w:t xml:space="preserve"> at a particular </w:t>
      </w:r>
      <w:r w:rsidR="002979F2">
        <w:rPr>
          <w:rStyle w:val="normaltextrun"/>
          <w:color w:val="000000" w:themeColor="text1"/>
        </w:rPr>
        <w:t xml:space="preserve">home or </w:t>
      </w:r>
      <w:r w:rsidR="000E4DC1">
        <w:rPr>
          <w:rStyle w:val="normaltextrun"/>
          <w:color w:val="000000" w:themeColor="text1"/>
        </w:rPr>
        <w:t xml:space="preserve">small </w:t>
      </w:r>
      <w:r w:rsidR="002979F2">
        <w:rPr>
          <w:rStyle w:val="normaltextrun"/>
          <w:color w:val="000000" w:themeColor="text1"/>
        </w:rPr>
        <w:t>business location</w:t>
      </w:r>
      <w:r w:rsidRPr="39AF486E" w:rsidR="00AF4DD0">
        <w:rPr>
          <w:rStyle w:val="normaltextrun"/>
          <w:color w:val="000000" w:themeColor="text1"/>
        </w:rPr>
        <w:t xml:space="preserve">.  </w:t>
      </w:r>
      <w:bookmarkEnd w:id="3"/>
      <w:r w:rsidRPr="39AF486E" w:rsidR="00AF4DD0">
        <w:rPr>
          <w:rStyle w:val="normaltextrun"/>
          <w:color w:val="000000" w:themeColor="text1"/>
        </w:rPr>
        <w:t xml:space="preserve">The Broadband DATA Act specifically instructed the Commission to seek competitive bids for </w:t>
      </w:r>
      <w:r w:rsidR="0057616A">
        <w:rPr>
          <w:rStyle w:val="normaltextrun"/>
          <w:color w:val="000000" w:themeColor="text1"/>
        </w:rPr>
        <w:t xml:space="preserve">the </w:t>
      </w:r>
      <w:r w:rsidRPr="39AF486E" w:rsidR="00AF4DD0">
        <w:rPr>
          <w:rStyle w:val="normaltextrun"/>
          <w:color w:val="000000" w:themeColor="text1"/>
        </w:rPr>
        <w:t>construction of the Fabric consistent with the Federal Acquisition Regulation.</w:t>
      </w:r>
      <w:r>
        <w:rPr>
          <w:rStyle w:val="FootnoteReference"/>
          <w:color w:val="000000"/>
          <w:bdr w:val="none" w:sz="0" w:space="0" w:color="auto" w:frame="1"/>
        </w:rPr>
        <w:footnoteReference w:id="45"/>
      </w:r>
      <w:r w:rsidRPr="39AF486E" w:rsidR="00AF4DD0">
        <w:rPr>
          <w:rStyle w:val="normaltextrun"/>
          <w:color w:val="000000" w:themeColor="text1"/>
        </w:rPr>
        <w:t xml:space="preserve">  </w:t>
      </w:r>
      <w:r w:rsidRPr="39AF486E" w:rsidR="00C10B73">
        <w:rPr>
          <w:rStyle w:val="normaltextrun"/>
          <w:color w:val="000000" w:themeColor="text1"/>
        </w:rPr>
        <w:t xml:space="preserve">Accordingly, on March 8, 2021, the Commission issued a </w:t>
      </w:r>
      <w:r w:rsidRPr="39AF486E" w:rsidR="00212844">
        <w:rPr>
          <w:rStyle w:val="normaltextrun"/>
          <w:color w:val="000000" w:themeColor="text1"/>
        </w:rPr>
        <w:t xml:space="preserve">Request for Information (RFI) </w:t>
      </w:r>
      <w:r w:rsidR="005564CF">
        <w:rPr>
          <w:rStyle w:val="normaltextrun"/>
          <w:color w:val="000000" w:themeColor="text1"/>
        </w:rPr>
        <w:t>related to the Fabric procurement</w:t>
      </w:r>
      <w:r w:rsidRPr="006B4BDC" w:rsidR="00212844">
        <w:rPr>
          <w:rStyle w:val="normaltextrun"/>
          <w:color w:val="000000" w:themeColor="text1"/>
        </w:rPr>
        <w:t>.</w:t>
      </w:r>
      <w:r>
        <w:rPr>
          <w:rStyle w:val="FootnoteReference"/>
          <w:bdr w:val="none" w:sz="0" w:space="0" w:color="auto" w:frame="1"/>
        </w:rPr>
        <w:footnoteReference w:id="46"/>
      </w:r>
      <w:r w:rsidRPr="006B4BDC" w:rsidR="00212844">
        <w:rPr>
          <w:rStyle w:val="normaltextrun"/>
          <w:color w:val="000000" w:themeColor="text1"/>
        </w:rPr>
        <w:t xml:space="preserve"> </w:t>
      </w:r>
      <w:r w:rsidRPr="00914440" w:rsidR="00DF01BD">
        <w:rPr>
          <w:rStyle w:val="normaltextrun"/>
          <w:color w:val="000000" w:themeColor="text1"/>
        </w:rPr>
        <w:t xml:space="preserve"> </w:t>
      </w:r>
      <w:r w:rsidRPr="39AF486E" w:rsidR="00DF01BD">
        <w:rPr>
          <w:rStyle w:val="normaltextrun"/>
          <w:color w:val="000000" w:themeColor="text1"/>
        </w:rPr>
        <w:t xml:space="preserve">Following receipt of </w:t>
      </w:r>
      <w:r w:rsidR="005564CF">
        <w:rPr>
          <w:rStyle w:val="normaltextrun"/>
          <w:color w:val="000000" w:themeColor="text1"/>
        </w:rPr>
        <w:t xml:space="preserve">responses to </w:t>
      </w:r>
      <w:r w:rsidRPr="006B4BDC" w:rsidR="00DF01BD">
        <w:rPr>
          <w:rStyle w:val="normaltextrun"/>
          <w:color w:val="000000" w:themeColor="text1"/>
        </w:rPr>
        <w:t xml:space="preserve">the </w:t>
      </w:r>
      <w:r w:rsidRPr="39AF486E" w:rsidR="00DF01BD">
        <w:rPr>
          <w:rStyle w:val="normaltextrun"/>
          <w:color w:val="000000" w:themeColor="text1"/>
        </w:rPr>
        <w:t xml:space="preserve">RFI, the Commission </w:t>
      </w:r>
      <w:r w:rsidR="005564CF">
        <w:rPr>
          <w:rStyle w:val="normaltextrun"/>
          <w:color w:val="000000" w:themeColor="text1"/>
        </w:rPr>
        <w:t>hosted several</w:t>
      </w:r>
      <w:r w:rsidRPr="39AF486E" w:rsidR="00DF01BD">
        <w:rPr>
          <w:rStyle w:val="normaltextrun"/>
          <w:color w:val="000000" w:themeColor="text1"/>
        </w:rPr>
        <w:t xml:space="preserve"> Industry Feedback Sessions</w:t>
      </w:r>
      <w:r w:rsidRPr="39AF486E" w:rsidR="00E1736E">
        <w:rPr>
          <w:rStyle w:val="normaltextrun"/>
          <w:color w:val="000000" w:themeColor="text1"/>
        </w:rPr>
        <w:t>, which</w:t>
      </w:r>
      <w:r w:rsidRPr="39AF486E" w:rsidR="000E2CBE">
        <w:rPr>
          <w:rStyle w:val="normaltextrun"/>
          <w:color w:val="000000" w:themeColor="text1"/>
        </w:rPr>
        <w:t xml:space="preserve"> allowed </w:t>
      </w:r>
      <w:r w:rsidRPr="39AF486E" w:rsidR="00D954A2">
        <w:rPr>
          <w:rStyle w:val="normaltextrun"/>
          <w:color w:val="000000" w:themeColor="text1"/>
        </w:rPr>
        <w:t>staff</w:t>
      </w:r>
      <w:r w:rsidRPr="39AF486E" w:rsidR="00D27B0F">
        <w:rPr>
          <w:rStyle w:val="normaltextrun"/>
          <w:color w:val="000000" w:themeColor="text1"/>
        </w:rPr>
        <w:t xml:space="preserve"> to gain additional insights into the </w:t>
      </w:r>
      <w:r w:rsidRPr="39AF486E" w:rsidR="00F853D2">
        <w:rPr>
          <w:rStyle w:val="normaltextrun"/>
          <w:color w:val="000000" w:themeColor="text1"/>
        </w:rPr>
        <w:t>information provide</w:t>
      </w:r>
      <w:r w:rsidR="007A720D">
        <w:rPr>
          <w:rStyle w:val="normaltextrun"/>
          <w:color w:val="000000" w:themeColor="text1"/>
        </w:rPr>
        <w:t>d</w:t>
      </w:r>
      <w:r w:rsidRPr="39AF486E" w:rsidR="00F853D2">
        <w:rPr>
          <w:rStyle w:val="normaltextrun"/>
          <w:color w:val="000000" w:themeColor="text1"/>
        </w:rPr>
        <w:t xml:space="preserve"> through the RFI process and helped inform the</w:t>
      </w:r>
      <w:r w:rsidRPr="39AF486E" w:rsidR="00D954A2">
        <w:rPr>
          <w:rStyle w:val="normaltextrun"/>
          <w:color w:val="000000" w:themeColor="text1"/>
        </w:rPr>
        <w:t xml:space="preserve"> development of </w:t>
      </w:r>
      <w:r w:rsidR="005564CF">
        <w:rPr>
          <w:rStyle w:val="normaltextrun"/>
          <w:color w:val="000000" w:themeColor="text1"/>
        </w:rPr>
        <w:t>a</w:t>
      </w:r>
      <w:r w:rsidRPr="39AF486E" w:rsidR="00D954A2">
        <w:rPr>
          <w:rStyle w:val="normaltextrun"/>
          <w:color w:val="000000" w:themeColor="text1"/>
        </w:rPr>
        <w:t xml:space="preserve"> Request for Proposal (RFP)</w:t>
      </w:r>
      <w:r w:rsidR="008D06A6">
        <w:rPr>
          <w:rStyle w:val="normaltextrun"/>
          <w:color w:val="000000" w:themeColor="text1"/>
        </w:rPr>
        <w:t>,</w:t>
      </w:r>
      <w:r>
        <w:rPr>
          <w:rStyle w:val="FootnoteReference"/>
          <w:bdr w:val="none" w:sz="0" w:space="0" w:color="auto" w:frame="1"/>
        </w:rPr>
        <w:footnoteReference w:id="47"/>
      </w:r>
      <w:r w:rsidRPr="39AF486E" w:rsidR="00D27B0F">
        <w:rPr>
          <w:rStyle w:val="normaltextrun"/>
          <w:color w:val="000000" w:themeColor="text1"/>
        </w:rPr>
        <w:t xml:space="preserve"> </w:t>
      </w:r>
      <w:r w:rsidR="008D06A6">
        <w:rPr>
          <w:rStyle w:val="normaltextrun"/>
          <w:color w:val="000000" w:themeColor="text1"/>
        </w:rPr>
        <w:t>which was then</w:t>
      </w:r>
      <w:r w:rsidRPr="39AF486E" w:rsidR="00AF4DD0">
        <w:rPr>
          <w:rStyle w:val="normaltextrun"/>
          <w:color w:val="000000" w:themeColor="text1"/>
        </w:rPr>
        <w:t xml:space="preserve"> issued on June 1</w:t>
      </w:r>
      <w:r w:rsidR="005564CF">
        <w:rPr>
          <w:rStyle w:val="normaltextrun"/>
          <w:color w:val="000000" w:themeColor="text1"/>
        </w:rPr>
        <w:t>, 2021</w:t>
      </w:r>
      <w:r w:rsidRPr="39AF486E" w:rsidR="00AF4DD0">
        <w:rPr>
          <w:rStyle w:val="normaltextrun"/>
          <w:color w:val="000000" w:themeColor="text1"/>
        </w:rPr>
        <w:t>.</w:t>
      </w:r>
      <w:r>
        <w:rPr>
          <w:rStyle w:val="FootnoteReference"/>
          <w:bdr w:val="none" w:sz="0" w:space="0" w:color="auto" w:frame="1"/>
        </w:rPr>
        <w:footnoteReference w:id="48"/>
      </w:r>
      <w:r w:rsidRPr="39AF486E" w:rsidR="00AF4DD0">
        <w:rPr>
          <w:rStyle w:val="normaltextrun"/>
          <w:color w:val="000000" w:themeColor="text1"/>
        </w:rPr>
        <w:t xml:space="preserve">  </w:t>
      </w:r>
    </w:p>
    <w:p w:rsidR="005564CF" w:rsidRPr="00E2520E" w14:paraId="0ED66753" w14:textId="0441C7F9">
      <w:pPr>
        <w:pStyle w:val="ParaNum"/>
        <w:rPr>
          <w:color w:val="000000"/>
          <w:shd w:val="clear" w:color="auto" w:fill="FFFFFF"/>
        </w:rPr>
      </w:pPr>
      <w:r>
        <w:t>Third</w:t>
      </w:r>
      <w:r w:rsidR="00611AED">
        <w:t>,</w:t>
      </w:r>
      <w:r>
        <w:t xml:space="preserve"> on July 2, 2021, the Commission awarded a follow-on contract to build the BDC data collection system</w:t>
      </w:r>
      <w:r w:rsidR="00611AED">
        <w:t xml:space="preserve">.  </w:t>
      </w:r>
      <w:r w:rsidR="00E6081C">
        <w:t xml:space="preserve">The Commission issued this award to the same vendor that </w:t>
      </w:r>
      <w:r w:rsidR="00675294">
        <w:t xml:space="preserve">had </w:t>
      </w:r>
      <w:r w:rsidR="00E6081C">
        <w:t>provided the data architecture and design services, a</w:t>
      </w:r>
      <w:r w:rsidR="00611AED">
        <w:t xml:space="preserve">fter determining that the </w:t>
      </w:r>
      <w:r w:rsidR="003B4BCE">
        <w:t>frame</w:t>
      </w:r>
      <w:r w:rsidR="0041156E">
        <w:t>wo</w:t>
      </w:r>
      <w:r w:rsidR="003B4BCE">
        <w:t>rk</w:t>
      </w:r>
      <w:r w:rsidR="006F303A">
        <w:t xml:space="preserve"> and </w:t>
      </w:r>
      <w:r w:rsidR="00E6081C">
        <w:t xml:space="preserve">proof-of-concept </w:t>
      </w:r>
      <w:r w:rsidR="00611AED">
        <w:t xml:space="preserve">prototype </w:t>
      </w:r>
      <w:r w:rsidR="00611AED">
        <w:t>w</w:t>
      </w:r>
      <w:r w:rsidR="006F303A">
        <w:t>ere</w:t>
      </w:r>
      <w:r w:rsidR="00611AED">
        <w:t xml:space="preserve"> of sufficient quality to meet the needs of the BDC</w:t>
      </w:r>
      <w:r w:rsidR="00910D8E">
        <w:t xml:space="preserve"> and that the vendor possessed the requisite qualifications to undertake development of the </w:t>
      </w:r>
      <w:r w:rsidR="00E4583D">
        <w:t>systems</w:t>
      </w:r>
      <w:r w:rsidR="00E6081C">
        <w:t xml:space="preserve">.  This strategy </w:t>
      </w:r>
      <w:r w:rsidR="00611AED">
        <w:t xml:space="preserve">enabled the Commission to take advantage of efficiencies created </w:t>
      </w:r>
      <w:r w:rsidR="00461B12">
        <w:t xml:space="preserve">as a result of the vendor’s </w:t>
      </w:r>
      <w:r w:rsidR="00500CE7">
        <w:t>fami</w:t>
      </w:r>
      <w:r w:rsidR="003E45CE">
        <w:t>li</w:t>
      </w:r>
      <w:r w:rsidR="00500CE7">
        <w:t xml:space="preserve">arity with the </w:t>
      </w:r>
      <w:r w:rsidR="00214548">
        <w:t xml:space="preserve">system design and architectures </w:t>
      </w:r>
      <w:r w:rsidR="00611AED">
        <w:t xml:space="preserve">and </w:t>
      </w:r>
      <w:r w:rsidR="00214548">
        <w:t xml:space="preserve">thereby </w:t>
      </w:r>
      <w:r w:rsidR="00611AED">
        <w:t xml:space="preserve">reduced the overall </w:t>
      </w:r>
      <w:r w:rsidR="00187ADD">
        <w:t xml:space="preserve">anticipated </w:t>
      </w:r>
      <w:r w:rsidR="00611AED">
        <w:t>timeline for system delivery by several months.</w:t>
      </w:r>
      <w:r>
        <w:rPr>
          <w:rStyle w:val="FootnoteReference"/>
        </w:rPr>
        <w:footnoteReference w:id="49"/>
      </w:r>
      <w:r w:rsidR="00611AED">
        <w:t xml:space="preserve">  </w:t>
      </w:r>
      <w:r w:rsidR="00EF0AD3">
        <w:t xml:space="preserve">The vendor, with oversight from Commission staff, </w:t>
      </w:r>
      <w:r w:rsidR="007F5504">
        <w:t xml:space="preserve">has </w:t>
      </w:r>
      <w:r w:rsidR="00E600D5">
        <w:t>developed critical components of the BDC system u</w:t>
      </w:r>
      <w:r w:rsidR="00E64F89">
        <w:t>sing</w:t>
      </w:r>
      <w:r w:rsidR="00E600D5">
        <w:t xml:space="preserve"> agile </w:t>
      </w:r>
      <w:r w:rsidR="00AB47A2">
        <w:t xml:space="preserve">development </w:t>
      </w:r>
      <w:r w:rsidR="00B20B74">
        <w:t>practices</w:t>
      </w:r>
      <w:r w:rsidR="009611BB">
        <w:t>.</w:t>
      </w:r>
      <w:r w:rsidR="007F5504">
        <w:t xml:space="preserve">  </w:t>
      </w:r>
    </w:p>
    <w:p w:rsidR="006B4BDC" w:rsidRPr="00E2520E" w:rsidP="00E2520E" w14:paraId="54587D8C" w14:textId="6BE17FE7">
      <w:pPr>
        <w:pStyle w:val="ParaNum"/>
        <w:widowControl/>
        <w:rPr>
          <w:color w:val="000000"/>
          <w:shd w:val="clear" w:color="auto" w:fill="FFFFFF"/>
        </w:rPr>
      </w:pPr>
      <w:r>
        <w:t xml:space="preserve">Fourth, </w:t>
      </w:r>
      <w:r w:rsidR="00271FEB">
        <w:t>OEA, the Wireless Telecommunications Bureau</w:t>
      </w:r>
      <w:r w:rsidR="00583AEC">
        <w:t xml:space="preserve"> (WTB)</w:t>
      </w:r>
      <w:r w:rsidR="00271FEB">
        <w:t>, and the Office of Engineering and Technology</w:t>
      </w:r>
      <w:r w:rsidR="00583AEC">
        <w:t xml:space="preserve"> (OET)</w:t>
      </w:r>
      <w:r w:rsidR="00271FEB">
        <w:t xml:space="preserve"> initiated</w:t>
      </w:r>
      <w:r w:rsidR="00564C90">
        <w:t xml:space="preserve"> a complex rulemaking </w:t>
      </w:r>
      <w:r w:rsidR="00793EE1">
        <w:t xml:space="preserve">for </w:t>
      </w:r>
      <w:r w:rsidR="67E619E1">
        <w:t>the</w:t>
      </w:r>
      <w:r w:rsidR="00793EE1">
        <w:t xml:space="preserve"> mobile</w:t>
      </w:r>
      <w:r w:rsidR="00564C90">
        <w:t xml:space="preserve"> challenge</w:t>
      </w:r>
      <w:r w:rsidR="00793EE1">
        <w:t xml:space="preserve"> process, as well as for verifying mobile broadband availability data and for the receipt of mobile</w:t>
      </w:r>
      <w:r w:rsidR="00564C90">
        <w:t xml:space="preserve"> crowdsourc</w:t>
      </w:r>
      <w:r w:rsidR="00793EE1">
        <w:t>e</w:t>
      </w:r>
      <w:r w:rsidR="00564C90">
        <w:t xml:space="preserve"> </w:t>
      </w:r>
      <w:r w:rsidR="00793EE1">
        <w:t>data</w:t>
      </w:r>
      <w:r w:rsidR="00946713">
        <w:t>, as required by the Broadband DATA Act</w:t>
      </w:r>
      <w:r w:rsidR="00564C90">
        <w:t>.</w:t>
      </w:r>
      <w:r w:rsidR="00583AEC">
        <w:t xml:space="preserve"> </w:t>
      </w:r>
      <w:r w:rsidR="000A7237">
        <w:t xml:space="preserve"> </w:t>
      </w:r>
      <w:r w:rsidR="00F365A3">
        <w:t>The</w:t>
      </w:r>
      <w:r w:rsidR="00583AEC">
        <w:t xml:space="preserve"> </w:t>
      </w:r>
      <w:r w:rsidR="000A7237">
        <w:t>P</w:t>
      </w:r>
      <w:r w:rsidR="00583AEC">
        <w:t xml:space="preserve">ublic </w:t>
      </w:r>
      <w:r w:rsidR="000A7237">
        <w:t>N</w:t>
      </w:r>
      <w:r w:rsidR="00583AEC">
        <w:t xml:space="preserve">otice seeking comment on </w:t>
      </w:r>
      <w:r w:rsidR="00291A2A">
        <w:t xml:space="preserve">the technical requirements for these processes </w:t>
      </w:r>
      <w:r w:rsidR="00F365A3">
        <w:t xml:space="preserve">was released </w:t>
      </w:r>
      <w:r w:rsidR="00291A2A">
        <w:t>in July 2021.</w:t>
      </w:r>
      <w:r>
        <w:rPr>
          <w:rStyle w:val="FootnoteReference"/>
        </w:rPr>
        <w:footnoteReference w:id="50"/>
      </w:r>
      <w:r w:rsidR="00291A2A">
        <w:t xml:space="preserve">  </w:t>
      </w:r>
      <w:r w:rsidR="006B06CD">
        <w:t>T</w:t>
      </w:r>
      <w:r w:rsidR="00564C90">
        <w:t xml:space="preserve">he methodologies and statistical analyses </w:t>
      </w:r>
      <w:r w:rsidR="00CB2BFD">
        <w:t xml:space="preserve">on which the </w:t>
      </w:r>
      <w:r w:rsidR="00FC3802">
        <w:t xml:space="preserve">Bureau and Offices sought comment </w:t>
      </w:r>
      <w:r w:rsidR="00564C90">
        <w:t>will empower consumers, state, local, and Tribal governmental entities, and other third parties</w:t>
      </w:r>
      <w:r w:rsidR="00CB2BFD">
        <w:t>, as part of these processes,</w:t>
      </w:r>
      <w:r w:rsidR="00564C90">
        <w:t xml:space="preserve"> to submit mobile broadband performance data directly to the Commission  </w:t>
      </w:r>
      <w:r w:rsidR="002C3D6C">
        <w:t xml:space="preserve">in support of </w:t>
      </w:r>
      <w:r w:rsidR="00564C90">
        <w:t>challenges to mobile broadband service providers</w:t>
      </w:r>
      <w:r w:rsidR="002C3D6C">
        <w:t xml:space="preserve">’ coverage </w:t>
      </w:r>
      <w:r w:rsidR="004F6C52">
        <w:t>map</w:t>
      </w:r>
      <w:r w:rsidR="00447B87">
        <w:t>s</w:t>
      </w:r>
      <w:r w:rsidR="00564C90">
        <w:t>.</w:t>
      </w:r>
      <w:r>
        <w:rPr>
          <w:rStyle w:val="FootnoteReference"/>
        </w:rPr>
        <w:footnoteReference w:id="51"/>
      </w:r>
      <w:r w:rsidR="00564C90">
        <w:t xml:space="preserve">  From </w:t>
      </w:r>
      <w:r w:rsidR="00DC3C8D">
        <w:t>a challenger’s</w:t>
      </w:r>
      <w:r w:rsidR="00564C90">
        <w:t xml:space="preserve"> perspective, this process will be as simple as running a speed test on the FCC Speed Test app, or another speed test app approved by </w:t>
      </w:r>
      <w:r w:rsidR="00F80330">
        <w:t>OET</w:t>
      </w:r>
      <w:r w:rsidR="00564C90">
        <w:t xml:space="preserve">, which will then be submitted directly to the Commission and </w:t>
      </w:r>
      <w:r w:rsidR="00024C0F">
        <w:t xml:space="preserve">overlaid on </w:t>
      </w:r>
      <w:r w:rsidR="1F24E703">
        <w:t>the</w:t>
      </w:r>
      <w:r w:rsidR="00564C90">
        <w:t xml:space="preserve"> primary availability </w:t>
      </w:r>
      <w:r w:rsidR="0077196A">
        <w:t>maps</w:t>
      </w:r>
      <w:r w:rsidR="00564C90">
        <w:t xml:space="preserve"> to identify areas</w:t>
      </w:r>
      <w:r w:rsidR="00DC3C8D">
        <w:t xml:space="preserve"> subject to challenge</w:t>
      </w:r>
      <w:r w:rsidR="00564C90">
        <w:t>.</w:t>
      </w:r>
      <w:r>
        <w:rPr>
          <w:rStyle w:val="FootnoteReference"/>
        </w:rPr>
        <w:footnoteReference w:id="52"/>
      </w:r>
      <w:r w:rsidR="00564C90">
        <w:t xml:space="preserve">  </w:t>
      </w:r>
      <w:r w:rsidR="0048386E">
        <w:t>T</w:t>
      </w:r>
      <w:r w:rsidR="00564C90">
        <w:t xml:space="preserve">he Commission is also procuring additional support services to provide technical assistance to state, local, and Tribal governments, as well as consumers, </w:t>
      </w:r>
      <w:r w:rsidR="3266C668">
        <w:t>to ensure their ability to fully</w:t>
      </w:r>
      <w:r w:rsidR="1856314A">
        <w:t xml:space="preserve"> </w:t>
      </w:r>
      <w:r w:rsidR="00564C90">
        <w:t>participate in the challenge process.</w:t>
      </w:r>
      <w:r>
        <w:rPr>
          <w:rStyle w:val="FootnoteReference"/>
        </w:rPr>
        <w:footnoteReference w:id="53"/>
      </w:r>
    </w:p>
    <w:p w:rsidR="003C1AD5" w:rsidP="00A01A9F" w14:paraId="20F7CB3E" w14:textId="73BDC108">
      <w:pPr>
        <w:pStyle w:val="ParaNum"/>
        <w:widowControl/>
        <w:rPr>
          <w:rStyle w:val="normaltextrun"/>
        </w:rPr>
      </w:pPr>
      <w:r>
        <w:rPr>
          <w:color w:val="000000"/>
          <w:shd w:val="clear" w:color="auto" w:fill="FFFFFF"/>
        </w:rPr>
        <w:t xml:space="preserve">Fifth, </w:t>
      </w:r>
      <w:r>
        <w:rPr>
          <w:rStyle w:val="normaltextrun"/>
        </w:rPr>
        <w:t>the Commission is</w:t>
      </w:r>
      <w:r w:rsidR="005A0953">
        <w:rPr>
          <w:rStyle w:val="normaltextrun"/>
        </w:rPr>
        <w:t xml:space="preserve"> in</w:t>
      </w:r>
      <w:r>
        <w:rPr>
          <w:rStyle w:val="normaltextrun"/>
        </w:rPr>
        <w:t xml:space="preserve"> the process of acquiring resources to </w:t>
      </w:r>
      <w:r w:rsidR="00DD759C">
        <w:rPr>
          <w:rStyle w:val="normaltextrun"/>
        </w:rPr>
        <w:t xml:space="preserve">supplement the </w:t>
      </w:r>
      <w:r w:rsidR="00007473">
        <w:rPr>
          <w:rStyle w:val="normaltextrun"/>
        </w:rPr>
        <w:t>efforts</w:t>
      </w:r>
      <w:r w:rsidR="00DD759C">
        <w:rPr>
          <w:rStyle w:val="normaltextrun"/>
        </w:rPr>
        <w:t xml:space="preserve"> of staff </w:t>
      </w:r>
      <w:r w:rsidR="00007473">
        <w:rPr>
          <w:rStyle w:val="normaltextrun"/>
        </w:rPr>
        <w:t xml:space="preserve">to </w:t>
      </w:r>
      <w:r>
        <w:rPr>
          <w:rStyle w:val="normaltextrun"/>
        </w:rPr>
        <w:t xml:space="preserve">provide </w:t>
      </w:r>
      <w:r w:rsidR="00007473">
        <w:rPr>
          <w:rStyle w:val="normaltextrun"/>
        </w:rPr>
        <w:t xml:space="preserve">technical </w:t>
      </w:r>
      <w:r>
        <w:rPr>
          <w:rStyle w:val="normaltextrun"/>
        </w:rPr>
        <w:t xml:space="preserve">assistance to filers and others </w:t>
      </w:r>
      <w:r w:rsidR="00914440">
        <w:rPr>
          <w:rStyle w:val="normaltextrun"/>
        </w:rPr>
        <w:t xml:space="preserve">as </w:t>
      </w:r>
      <w:r>
        <w:rPr>
          <w:rStyle w:val="normaltextrun"/>
        </w:rPr>
        <w:t>required by the Broadband DATA Act.</w:t>
      </w:r>
      <w:r w:rsidR="00A85723">
        <w:rPr>
          <w:rStyle w:val="normaltextrun"/>
        </w:rPr>
        <w:t xml:space="preserve">  Commission staff hosted an initial workshop for Tribal </w:t>
      </w:r>
      <w:r w:rsidR="00007473">
        <w:rPr>
          <w:rStyle w:val="normaltextrun"/>
        </w:rPr>
        <w:t xml:space="preserve">entities </w:t>
      </w:r>
      <w:r w:rsidR="00A85723">
        <w:rPr>
          <w:rStyle w:val="normaltextrun"/>
        </w:rPr>
        <w:t xml:space="preserve">on December 8, 2021, during which </w:t>
      </w:r>
      <w:r w:rsidR="009423F9">
        <w:rPr>
          <w:rStyle w:val="normaltextrun"/>
        </w:rPr>
        <w:t>staff provided an overview of the BDC and information on the tools and processes th</w:t>
      </w:r>
      <w:r w:rsidR="0094731D">
        <w:rPr>
          <w:rStyle w:val="normaltextrun"/>
        </w:rPr>
        <w:t>at will enable Tribes to submit broadband availability data directly to the Commission</w:t>
      </w:r>
      <w:r w:rsidR="00A85723">
        <w:rPr>
          <w:rStyle w:val="normaltextrun"/>
        </w:rPr>
        <w:t>.</w:t>
      </w:r>
      <w:r>
        <w:rPr>
          <w:rStyle w:val="FootnoteReference"/>
        </w:rPr>
        <w:footnoteReference w:id="54"/>
      </w:r>
      <w:r>
        <w:rPr>
          <w:rStyle w:val="normaltextrun"/>
        </w:rPr>
        <w:t xml:space="preserve">  </w:t>
      </w:r>
      <w:r w:rsidR="00132132">
        <w:rPr>
          <w:rStyle w:val="normaltextrun"/>
        </w:rPr>
        <w:t>As t</w:t>
      </w:r>
      <w:r w:rsidR="00306093">
        <w:rPr>
          <w:rStyle w:val="normaltextrun"/>
        </w:rPr>
        <w:t>o</w:t>
      </w:r>
      <w:r w:rsidR="00132132">
        <w:rPr>
          <w:rStyle w:val="normaltextrun"/>
        </w:rPr>
        <w:t xml:space="preserve"> broadband service providers and other relevant entities, t</w:t>
      </w:r>
      <w:r>
        <w:rPr>
          <w:rStyle w:val="normaltextrun"/>
        </w:rPr>
        <w:t>he Commission has distinguished four tiers of technical assistance that i</w:t>
      </w:r>
      <w:r w:rsidR="005016EE">
        <w:rPr>
          <w:rStyle w:val="normaltextrun"/>
        </w:rPr>
        <w:t>t</w:t>
      </w:r>
      <w:r>
        <w:rPr>
          <w:rStyle w:val="normaltextrun"/>
        </w:rPr>
        <w:t xml:space="preserve"> will offer as a part of the BDC</w:t>
      </w:r>
      <w:r w:rsidR="00EB5636">
        <w:rPr>
          <w:rStyle w:val="normaltextrun"/>
        </w:rPr>
        <w:t xml:space="preserve">, </w:t>
      </w:r>
      <w:r w:rsidR="00116845">
        <w:rPr>
          <w:rStyle w:val="normaltextrun"/>
        </w:rPr>
        <w:t>consisting of</w:t>
      </w:r>
      <w:r w:rsidR="00EB5636">
        <w:rPr>
          <w:rStyle w:val="normaltextrun"/>
        </w:rPr>
        <w:t xml:space="preserve"> </w:t>
      </w:r>
      <w:r>
        <w:rPr>
          <w:rStyle w:val="normaltextrun"/>
        </w:rPr>
        <w:t>self-help resources, such as user guides and templates; support services to resolve basic questions on the broadband availability data collection, the challenge process and crowdsourcing efforts, and other common Helpdesk tasks; technically advanced guidance, including support for GIS data creation, manipulation</w:t>
      </w:r>
      <w:r w:rsidR="00413183">
        <w:rPr>
          <w:rStyle w:val="normaltextrun"/>
        </w:rPr>
        <w:t>,</w:t>
      </w:r>
      <w:r>
        <w:rPr>
          <w:rStyle w:val="normaltextrun"/>
        </w:rPr>
        <w:t xml:space="preserve"> and analysis; and responses to policy-related questions.</w:t>
      </w:r>
      <w:r>
        <w:rPr>
          <w:rStyle w:val="FootnoteReference"/>
        </w:rPr>
        <w:footnoteReference w:id="55"/>
      </w:r>
      <w:r>
        <w:rPr>
          <w:rStyle w:val="normaltextrun"/>
        </w:rPr>
        <w:t xml:space="preserve">  While certain aspects of this technical assistance can be handled internally by </w:t>
      </w:r>
      <w:r w:rsidR="002824AA">
        <w:rPr>
          <w:rStyle w:val="normaltextrun"/>
        </w:rPr>
        <w:t xml:space="preserve">Commission </w:t>
      </w:r>
      <w:r>
        <w:rPr>
          <w:rStyle w:val="normaltextrun"/>
        </w:rPr>
        <w:t>staff, the Commission requires outside services to provide the hands-on support envisioned by the Broadband DATA Act.  Accordingly,</w:t>
      </w:r>
      <w:r w:rsidR="00732B99">
        <w:rPr>
          <w:rStyle w:val="normaltextrun"/>
        </w:rPr>
        <w:t xml:space="preserve"> </w:t>
      </w:r>
      <w:r w:rsidR="00222518">
        <w:rPr>
          <w:rStyle w:val="normaltextrun"/>
        </w:rPr>
        <w:t xml:space="preserve">on January 27, 2022, the Commission </w:t>
      </w:r>
      <w:r w:rsidR="004924AD">
        <w:rPr>
          <w:rStyle w:val="normaltextrun"/>
        </w:rPr>
        <w:t xml:space="preserve">awarded a </w:t>
      </w:r>
      <w:r w:rsidR="00396B67">
        <w:rPr>
          <w:rStyle w:val="normaltextrun"/>
        </w:rPr>
        <w:t xml:space="preserve">contract to </w:t>
      </w:r>
      <w:r w:rsidR="0075765F">
        <w:rPr>
          <w:rStyle w:val="normaltextrun"/>
        </w:rPr>
        <w:t>a</w:t>
      </w:r>
      <w:r w:rsidR="0003247F">
        <w:rPr>
          <w:rStyle w:val="normaltextrun"/>
        </w:rPr>
        <w:t xml:space="preserve"> vendor with </w:t>
      </w:r>
      <w:r w:rsidR="006B1EE1">
        <w:rPr>
          <w:rStyle w:val="normaltextrun"/>
        </w:rPr>
        <w:t xml:space="preserve">GIS </w:t>
      </w:r>
      <w:r w:rsidR="006B1EE1">
        <w:rPr>
          <w:rStyle w:val="normaltextrun"/>
        </w:rPr>
        <w:t xml:space="preserve">expertise, to provide </w:t>
      </w:r>
      <w:r w:rsidR="0075765F">
        <w:rPr>
          <w:rStyle w:val="normaltextrun"/>
        </w:rPr>
        <w:t xml:space="preserve">certain of these </w:t>
      </w:r>
      <w:r w:rsidR="00660FC5">
        <w:rPr>
          <w:rStyle w:val="normaltextrun"/>
        </w:rPr>
        <w:t>technical</w:t>
      </w:r>
      <w:r w:rsidR="006B1EE1">
        <w:rPr>
          <w:rStyle w:val="normaltextrun"/>
        </w:rPr>
        <w:t xml:space="preserve"> support services for the BDC</w:t>
      </w:r>
      <w:r w:rsidR="00660FC5">
        <w:rPr>
          <w:rStyle w:val="normaltextrun"/>
        </w:rPr>
        <w:t>,</w:t>
      </w:r>
      <w:r>
        <w:rPr>
          <w:rStyle w:val="FootnoteReference"/>
        </w:rPr>
        <w:footnoteReference w:id="56"/>
      </w:r>
      <w:r w:rsidR="00473477">
        <w:rPr>
          <w:rStyle w:val="normaltextrun"/>
        </w:rPr>
        <w:t xml:space="preserve"> </w:t>
      </w:r>
      <w:r w:rsidR="000A334A">
        <w:rPr>
          <w:rStyle w:val="normaltextrun"/>
        </w:rPr>
        <w:t xml:space="preserve">and </w:t>
      </w:r>
      <w:r w:rsidR="007F4AE4">
        <w:rPr>
          <w:rStyle w:val="normaltextrun"/>
        </w:rPr>
        <w:t>is</w:t>
      </w:r>
      <w:r w:rsidR="000A334A">
        <w:rPr>
          <w:rStyle w:val="normaltextrun"/>
        </w:rPr>
        <w:t xml:space="preserve"> </w:t>
      </w:r>
      <w:r>
        <w:rPr>
          <w:rStyle w:val="normaltextrun"/>
        </w:rPr>
        <w:t xml:space="preserve">in </w:t>
      </w:r>
      <w:r w:rsidR="007F4AE4">
        <w:rPr>
          <w:rStyle w:val="normaltextrun"/>
        </w:rPr>
        <w:t xml:space="preserve">the process of </w:t>
      </w:r>
      <w:r w:rsidR="00B70027">
        <w:rPr>
          <w:rStyle w:val="normaltextrun"/>
        </w:rPr>
        <w:t xml:space="preserve">procuring </w:t>
      </w:r>
      <w:r w:rsidR="00AA7004">
        <w:rPr>
          <w:rStyle w:val="normaltextrun"/>
        </w:rPr>
        <w:t xml:space="preserve">services to provide more general </w:t>
      </w:r>
      <w:r w:rsidR="003B62F6">
        <w:rPr>
          <w:rStyle w:val="normaltextrun"/>
        </w:rPr>
        <w:t xml:space="preserve">helpdesk </w:t>
      </w:r>
      <w:r w:rsidR="00AA7004">
        <w:rPr>
          <w:rStyle w:val="normaltextrun"/>
        </w:rPr>
        <w:t>support</w:t>
      </w:r>
      <w:r>
        <w:rPr>
          <w:rStyle w:val="normaltextrun"/>
        </w:rPr>
        <w:t>.</w:t>
      </w:r>
      <w:r>
        <w:rPr>
          <w:rStyle w:val="FootnoteReference"/>
        </w:rPr>
        <w:footnoteReference w:id="57"/>
      </w:r>
      <w:r>
        <w:rPr>
          <w:rStyle w:val="normaltextrun"/>
        </w:rPr>
        <w:t xml:space="preserve">    </w:t>
      </w:r>
    </w:p>
    <w:p w:rsidR="00641462" w:rsidRPr="0058165D" w:rsidP="004A62A0" w14:paraId="2109D1A8" w14:textId="7F9A1005">
      <w:pPr>
        <w:pStyle w:val="ParaNum"/>
        <w:rPr>
          <w:color w:val="000000"/>
          <w:shd w:val="clear" w:color="auto" w:fill="FFFFFF"/>
        </w:rPr>
      </w:pPr>
      <w:r>
        <w:rPr>
          <w:color w:val="000000"/>
          <w:shd w:val="clear" w:color="auto" w:fill="FFFFFF"/>
        </w:rPr>
        <w:t xml:space="preserve">Sixth, Commission staff have engaged in a number of </w:t>
      </w:r>
      <w:r w:rsidR="003567D3">
        <w:rPr>
          <w:color w:val="000000"/>
          <w:shd w:val="clear" w:color="auto" w:fill="FFFFFF"/>
        </w:rPr>
        <w:t xml:space="preserve">other </w:t>
      </w:r>
      <w:r>
        <w:rPr>
          <w:color w:val="000000"/>
          <w:shd w:val="clear" w:color="auto" w:fill="FFFFFF"/>
        </w:rPr>
        <w:t xml:space="preserve">efforts to </w:t>
      </w:r>
      <w:r w:rsidR="003567D3">
        <w:rPr>
          <w:color w:val="000000"/>
          <w:shd w:val="clear" w:color="auto" w:fill="FFFFFF"/>
        </w:rPr>
        <w:t xml:space="preserve">improve broadband availability data and </w:t>
      </w:r>
      <w:r w:rsidR="00C23929">
        <w:rPr>
          <w:color w:val="000000"/>
          <w:shd w:val="clear" w:color="auto" w:fill="FFFFFF"/>
        </w:rPr>
        <w:t>prepare stakeholders for the new data collection</w:t>
      </w:r>
      <w:r w:rsidR="003567D3">
        <w:rPr>
          <w:color w:val="000000"/>
          <w:shd w:val="clear" w:color="auto" w:fill="FFFFFF"/>
        </w:rPr>
        <w:t>.  For example, in August</w:t>
      </w:r>
      <w:r w:rsidR="00EB5751">
        <w:rPr>
          <w:color w:val="000000"/>
          <w:shd w:val="clear" w:color="auto" w:fill="FFFFFF"/>
        </w:rPr>
        <w:t xml:space="preserve"> 2021 the Commission published 4G LTE coverage data from the nation’s four largest mobile wireless service providers, reported based upon the standardized </w:t>
      </w:r>
      <w:r w:rsidR="00745AB4">
        <w:rPr>
          <w:color w:val="000000"/>
          <w:shd w:val="clear" w:color="auto" w:fill="FFFFFF"/>
        </w:rPr>
        <w:t>BDC parameters.</w:t>
      </w:r>
      <w:r>
        <w:rPr>
          <w:rStyle w:val="FootnoteReference"/>
          <w:shd w:val="clear" w:color="auto" w:fill="FFFFFF"/>
        </w:rPr>
        <w:footnoteReference w:id="58"/>
      </w:r>
      <w:r w:rsidR="00745AB4">
        <w:rPr>
          <w:color w:val="000000"/>
          <w:shd w:val="clear" w:color="auto" w:fill="FFFFFF"/>
        </w:rPr>
        <w:t xml:space="preserve">  </w:t>
      </w:r>
      <w:r w:rsidR="004C0DD8">
        <w:rPr>
          <w:color w:val="000000"/>
          <w:shd w:val="clear" w:color="auto" w:fill="FFFFFF"/>
        </w:rPr>
        <w:t xml:space="preserve">Because these four carriers used </w:t>
      </w:r>
      <w:r w:rsidR="00232826">
        <w:rPr>
          <w:color w:val="000000"/>
          <w:shd w:val="clear" w:color="auto" w:fill="FFFFFF"/>
        </w:rPr>
        <w:t>the same key input parameters to model their 4G LTE network coverage</w:t>
      </w:r>
      <w:r w:rsidR="00472ADB">
        <w:rPr>
          <w:color w:val="000000"/>
          <w:shd w:val="clear" w:color="auto" w:fill="FFFFFF"/>
        </w:rPr>
        <w:t xml:space="preserve">, this map </w:t>
      </w:r>
      <w:r w:rsidR="00C0177C">
        <w:rPr>
          <w:color w:val="000000"/>
          <w:shd w:val="clear" w:color="auto" w:fill="FFFFFF"/>
        </w:rPr>
        <w:t xml:space="preserve">is a </w:t>
      </w:r>
      <w:r w:rsidR="0003245E">
        <w:rPr>
          <w:color w:val="000000" w:themeColor="text1"/>
        </w:rPr>
        <w:t>more consistent representation</w:t>
      </w:r>
      <w:r w:rsidR="00472ADB">
        <w:rPr>
          <w:color w:val="000000"/>
          <w:shd w:val="clear" w:color="auto" w:fill="FFFFFF"/>
        </w:rPr>
        <w:t xml:space="preserve"> of </w:t>
      </w:r>
      <w:r w:rsidRPr="7850C3BE" w:rsidR="004A269E">
        <w:rPr>
          <w:color w:val="000000" w:themeColor="text1"/>
        </w:rPr>
        <w:t xml:space="preserve">mobile </w:t>
      </w:r>
      <w:r w:rsidR="00472ADB">
        <w:rPr>
          <w:color w:val="000000"/>
          <w:shd w:val="clear" w:color="auto" w:fill="FFFFFF"/>
        </w:rPr>
        <w:t xml:space="preserve">wireless service </w:t>
      </w:r>
      <w:r w:rsidRPr="7850C3BE" w:rsidR="004A269E">
        <w:rPr>
          <w:color w:val="000000" w:themeColor="text1"/>
        </w:rPr>
        <w:t xml:space="preserve">coverage </w:t>
      </w:r>
      <w:r w:rsidR="00AF0BD0">
        <w:rPr>
          <w:color w:val="000000"/>
          <w:shd w:val="clear" w:color="auto" w:fill="FFFFFF"/>
        </w:rPr>
        <w:t xml:space="preserve">and provides a preview of how the mobile data to be collected from all carriers under the BDC will look. </w:t>
      </w:r>
      <w:r w:rsidR="00232826">
        <w:rPr>
          <w:color w:val="000000"/>
          <w:shd w:val="clear" w:color="auto" w:fill="FFFFFF"/>
        </w:rPr>
        <w:t xml:space="preserve"> </w:t>
      </w:r>
      <w:r w:rsidRPr="00AF0BD0" w:rsidR="00745AB4">
        <w:rPr>
          <w:color w:val="000000"/>
          <w:shd w:val="clear" w:color="auto" w:fill="FFFFFF"/>
        </w:rPr>
        <w:t xml:space="preserve">Staff have also provided presentations and participated in meetings and other events with stakeholders to provide updates on the progress of the work of the </w:t>
      </w:r>
      <w:r w:rsidRPr="00AF0BD0" w:rsidR="001B3D15">
        <w:rPr>
          <w:color w:val="000000"/>
          <w:shd w:val="clear" w:color="auto" w:fill="FFFFFF"/>
        </w:rPr>
        <w:t>Broadband Data Task Force</w:t>
      </w:r>
      <w:r w:rsidRPr="00AF0BD0" w:rsidR="00C23929">
        <w:rPr>
          <w:color w:val="000000"/>
          <w:shd w:val="clear" w:color="auto" w:fill="FFFFFF"/>
        </w:rPr>
        <w:t xml:space="preserve"> </w:t>
      </w:r>
      <w:r w:rsidRPr="00AF0BD0" w:rsidR="001B3D15">
        <w:rPr>
          <w:color w:val="000000"/>
          <w:shd w:val="clear" w:color="auto" w:fill="FFFFFF"/>
        </w:rPr>
        <w:t>and our efforts to launch the BDC.</w:t>
      </w:r>
      <w:r>
        <w:rPr>
          <w:rStyle w:val="FootnoteReference"/>
          <w:shd w:val="clear" w:color="auto" w:fill="FFFFFF"/>
        </w:rPr>
        <w:footnoteReference w:id="59"/>
      </w:r>
      <w:r w:rsidRPr="004A62A0" w:rsidR="001B3D15">
        <w:rPr>
          <w:color w:val="000000"/>
          <w:shd w:val="clear" w:color="auto" w:fill="FFFFFF"/>
        </w:rPr>
        <w:t xml:space="preserve">  </w:t>
      </w:r>
      <w:r w:rsidR="00480750">
        <w:rPr>
          <w:color w:val="000000"/>
          <w:shd w:val="clear" w:color="auto" w:fill="FFFFFF"/>
        </w:rPr>
        <w:t>The Commission has also</w:t>
      </w:r>
      <w:r w:rsidR="00CD7773">
        <w:rPr>
          <w:color w:val="000000"/>
          <w:shd w:val="clear" w:color="auto" w:fill="FFFFFF"/>
        </w:rPr>
        <w:t xml:space="preserve"> engaged consumers directly,</w:t>
      </w:r>
      <w:r w:rsidR="00DE5B47">
        <w:rPr>
          <w:color w:val="000000"/>
          <w:shd w:val="clear" w:color="auto" w:fill="FFFFFF"/>
        </w:rPr>
        <w:t xml:space="preserve"> establishing a new public portal for consumers</w:t>
      </w:r>
      <w:r w:rsidR="002F45D7">
        <w:rPr>
          <w:color w:val="000000"/>
          <w:shd w:val="clear" w:color="auto" w:fill="FFFFFF"/>
        </w:rPr>
        <w:t xml:space="preserve"> to share their broadband experiences to help inform the work of the Task Force.</w:t>
      </w:r>
      <w:r>
        <w:rPr>
          <w:rStyle w:val="FootnoteReference"/>
          <w:shd w:val="clear" w:color="auto" w:fill="FFFFFF"/>
        </w:rPr>
        <w:footnoteReference w:id="60"/>
      </w:r>
      <w:r w:rsidR="00480750">
        <w:rPr>
          <w:color w:val="000000"/>
          <w:shd w:val="clear" w:color="auto" w:fill="FFFFFF"/>
        </w:rPr>
        <w:t xml:space="preserve"> </w:t>
      </w:r>
      <w:r w:rsidR="00806A56">
        <w:rPr>
          <w:color w:val="000000"/>
          <w:shd w:val="clear" w:color="auto" w:fill="FFFFFF"/>
        </w:rPr>
        <w:t xml:space="preserve"> As of January </w:t>
      </w:r>
      <w:r w:rsidR="00907ECB">
        <w:rPr>
          <w:color w:val="000000"/>
          <w:shd w:val="clear" w:color="auto" w:fill="FFFFFF"/>
        </w:rPr>
        <w:t xml:space="preserve">31, </w:t>
      </w:r>
      <w:r w:rsidR="00806A56">
        <w:rPr>
          <w:color w:val="000000"/>
          <w:shd w:val="clear" w:color="auto" w:fill="FFFFFF"/>
        </w:rPr>
        <w:t>2022, the Co</w:t>
      </w:r>
      <w:r w:rsidR="00902E6F">
        <w:rPr>
          <w:color w:val="000000"/>
          <w:shd w:val="clear" w:color="auto" w:fill="FFFFFF"/>
        </w:rPr>
        <w:t xml:space="preserve">mmission has received over 13,500 broadband experience </w:t>
      </w:r>
      <w:r w:rsidR="000D0A08">
        <w:rPr>
          <w:color w:val="000000"/>
          <w:shd w:val="clear" w:color="auto" w:fill="FFFFFF"/>
        </w:rPr>
        <w:t xml:space="preserve">submissions </w:t>
      </w:r>
      <w:r w:rsidR="00902E6F">
        <w:rPr>
          <w:color w:val="000000"/>
          <w:shd w:val="clear" w:color="auto" w:fill="FFFFFF"/>
        </w:rPr>
        <w:t>from consumers</w:t>
      </w:r>
      <w:r w:rsidR="00FA3EDF">
        <w:rPr>
          <w:color w:val="000000"/>
          <w:shd w:val="clear" w:color="auto" w:fill="FFFFFF"/>
        </w:rPr>
        <w:t xml:space="preserve"> since opening this portal.  Additionally, the Commission </w:t>
      </w:r>
      <w:r w:rsidR="00953DC4">
        <w:rPr>
          <w:color w:val="000000"/>
          <w:shd w:val="clear" w:color="auto" w:fill="FFFFFF"/>
        </w:rPr>
        <w:t xml:space="preserve">is encouraging </w:t>
      </w:r>
      <w:r w:rsidR="00403F33">
        <w:rPr>
          <w:color w:val="000000"/>
          <w:shd w:val="clear" w:color="auto" w:fill="FFFFFF"/>
        </w:rPr>
        <w:t>consumers</w:t>
      </w:r>
      <w:r w:rsidR="00953DC4">
        <w:rPr>
          <w:color w:val="000000"/>
          <w:shd w:val="clear" w:color="auto" w:fill="FFFFFF"/>
        </w:rPr>
        <w:t xml:space="preserve"> to </w:t>
      </w:r>
      <w:r w:rsidR="00395946">
        <w:rPr>
          <w:color w:val="000000"/>
          <w:shd w:val="clear" w:color="auto" w:fill="FFFFFF"/>
        </w:rPr>
        <w:t xml:space="preserve">download the FCC Speed Test app, which currently collects </w:t>
      </w:r>
      <w:r w:rsidRPr="7850C3BE" w:rsidR="00F5255A">
        <w:rPr>
          <w:color w:val="000000" w:themeColor="text1"/>
        </w:rPr>
        <w:t xml:space="preserve">mobile </w:t>
      </w:r>
      <w:r w:rsidR="00395946">
        <w:rPr>
          <w:color w:val="000000"/>
          <w:shd w:val="clear" w:color="auto" w:fill="FFFFFF"/>
        </w:rPr>
        <w:t xml:space="preserve">speed test data as part of the FCC’s Measuring Broadband America program and will be </w:t>
      </w:r>
      <w:r w:rsidRPr="50B88E04" w:rsidR="7D6DAFC2">
        <w:rPr>
          <w:color w:val="000000" w:themeColor="text1"/>
        </w:rPr>
        <w:t xml:space="preserve">updated in the coming months to </w:t>
      </w:r>
      <w:r w:rsidRPr="50B88E04" w:rsidR="5A7E58A0">
        <w:rPr>
          <w:color w:val="000000" w:themeColor="text1"/>
        </w:rPr>
        <w:t>allow</w:t>
      </w:r>
      <w:r w:rsidR="00395946">
        <w:rPr>
          <w:color w:val="000000"/>
          <w:shd w:val="clear" w:color="auto" w:fill="FFFFFF"/>
        </w:rPr>
        <w:t xml:space="preserve"> consumers to submit</w:t>
      </w:r>
      <w:r w:rsidR="00ED338C">
        <w:rPr>
          <w:color w:val="000000"/>
          <w:shd w:val="clear" w:color="auto" w:fill="FFFFFF"/>
        </w:rPr>
        <w:t xml:space="preserve"> data in support of</w:t>
      </w:r>
      <w:r w:rsidR="00395946">
        <w:rPr>
          <w:color w:val="000000"/>
          <w:shd w:val="clear" w:color="auto" w:fill="FFFFFF"/>
        </w:rPr>
        <w:t xml:space="preserve"> challenges to the </w:t>
      </w:r>
      <w:r w:rsidR="00544217">
        <w:rPr>
          <w:color w:val="000000"/>
          <w:shd w:val="clear" w:color="auto" w:fill="FFFFFF"/>
        </w:rPr>
        <w:t>mobile broadband availability maps</w:t>
      </w:r>
      <w:r w:rsidR="573075D9">
        <w:rPr>
          <w:color w:val="000000"/>
          <w:shd w:val="clear" w:color="auto" w:fill="FFFFFF"/>
        </w:rPr>
        <w:t xml:space="preserve"> as part of the BDC platform</w:t>
      </w:r>
      <w:r w:rsidR="00544217">
        <w:rPr>
          <w:color w:val="000000"/>
          <w:shd w:val="clear" w:color="auto" w:fill="FFFFFF"/>
        </w:rPr>
        <w:t>.</w:t>
      </w:r>
      <w:r>
        <w:rPr>
          <w:rStyle w:val="FootnoteReference"/>
          <w:shd w:val="clear" w:color="auto" w:fill="FFFFFF"/>
        </w:rPr>
        <w:footnoteReference w:id="61"/>
      </w:r>
      <w:r w:rsidR="00953DC4">
        <w:rPr>
          <w:color w:val="000000"/>
          <w:shd w:val="clear" w:color="auto" w:fill="FFFFFF"/>
        </w:rPr>
        <w:t xml:space="preserve"> </w:t>
      </w:r>
    </w:p>
    <w:p w:rsidR="000F37E1" w14:paraId="0C91D10D" w14:textId="77777777">
      <w:pPr>
        <w:pStyle w:val="ParaNum"/>
        <w:rPr>
          <w:color w:val="000000" w:themeColor="text1"/>
        </w:rPr>
      </w:pPr>
      <w:r w:rsidRPr="7850C3BE">
        <w:rPr>
          <w:color w:val="000000" w:themeColor="text1"/>
        </w:rPr>
        <w:t>The</w:t>
      </w:r>
      <w:r w:rsidR="00BD1477">
        <w:rPr>
          <w:color w:val="000000" w:themeColor="text1"/>
        </w:rPr>
        <w:t>se</w:t>
      </w:r>
      <w:r w:rsidRPr="7850C3BE">
        <w:rPr>
          <w:color w:val="000000" w:themeColor="text1"/>
        </w:rPr>
        <w:t xml:space="preserve"> efforts</w:t>
      </w:r>
      <w:r w:rsidR="00B35C8D">
        <w:rPr>
          <w:color w:val="000000"/>
          <w:shd w:val="clear" w:color="auto" w:fill="FFFFFF"/>
        </w:rPr>
        <w:t xml:space="preserve"> </w:t>
      </w:r>
      <w:r w:rsidR="00BD1477">
        <w:rPr>
          <w:color w:val="000000" w:themeColor="text1"/>
        </w:rPr>
        <w:t xml:space="preserve">have </w:t>
      </w:r>
      <w:r w:rsidRPr="47142274" w:rsidR="00BD1477">
        <w:rPr>
          <w:color w:val="000000" w:themeColor="text1"/>
        </w:rPr>
        <w:t>resulted in</w:t>
      </w:r>
      <w:r w:rsidR="000B0C21">
        <w:rPr>
          <w:color w:val="000000"/>
          <w:shd w:val="clear" w:color="auto" w:fill="FFFFFF"/>
        </w:rPr>
        <w:t xml:space="preserve"> substantial progress toward </w:t>
      </w:r>
      <w:r w:rsidR="004C4756">
        <w:rPr>
          <w:color w:val="000000"/>
          <w:shd w:val="clear" w:color="auto" w:fill="FFFFFF"/>
        </w:rPr>
        <w:t>the launch of the BDC</w:t>
      </w:r>
      <w:r w:rsidRPr="47142274" w:rsidR="00BD1477">
        <w:rPr>
          <w:color w:val="000000" w:themeColor="text1"/>
        </w:rPr>
        <w:t xml:space="preserve">, </w:t>
      </w:r>
      <w:r w:rsidRPr="47142274" w:rsidR="00807736">
        <w:rPr>
          <w:color w:val="000000" w:themeColor="text1"/>
        </w:rPr>
        <w:t>b</w:t>
      </w:r>
      <w:r w:rsidR="004C4756">
        <w:rPr>
          <w:color w:val="000000"/>
          <w:shd w:val="clear" w:color="auto" w:fill="FFFFFF"/>
        </w:rPr>
        <w:t xml:space="preserve">ut </w:t>
      </w:r>
      <w:r w:rsidRPr="47142274" w:rsidR="00807736">
        <w:rPr>
          <w:color w:val="000000" w:themeColor="text1"/>
        </w:rPr>
        <w:t xml:space="preserve">several </w:t>
      </w:r>
      <w:r w:rsidR="004C4756">
        <w:rPr>
          <w:color w:val="000000"/>
          <w:shd w:val="clear" w:color="auto" w:fill="FFFFFF"/>
        </w:rPr>
        <w:t>challenges remain.</w:t>
      </w:r>
      <w:r w:rsidR="00B35C8D">
        <w:rPr>
          <w:color w:val="000000"/>
          <w:shd w:val="clear" w:color="auto" w:fill="FFFFFF"/>
        </w:rPr>
        <w:t xml:space="preserve"> </w:t>
      </w:r>
      <w:r w:rsidR="00BD1477">
        <w:rPr>
          <w:color w:val="000000"/>
          <w:shd w:val="clear" w:color="auto" w:fill="FFFFFF"/>
        </w:rPr>
        <w:t xml:space="preserve"> </w:t>
      </w:r>
      <w:r w:rsidR="00F86E44">
        <w:t xml:space="preserve">Most notably, </w:t>
      </w:r>
      <w:r w:rsidR="75117280">
        <w:t>our ability to open the initial BDC filing window</w:t>
      </w:r>
      <w:r w:rsidR="00FB1B61">
        <w:t xml:space="preserve"> as planned</w:t>
      </w:r>
      <w:r w:rsidR="75117280">
        <w:t xml:space="preserve"> is linked to the completion of the Fabric which, </w:t>
      </w:r>
      <w:r w:rsidR="45A27F78">
        <w:t>u</w:t>
      </w:r>
      <w:r w:rsidR="75117280">
        <w:t>nder the Broadband DATA A</w:t>
      </w:r>
      <w:r w:rsidR="0BDF6C0A">
        <w:t xml:space="preserve">ct, forms the foundation upon which all fixed broadband </w:t>
      </w:r>
      <w:r w:rsidR="5CCA03C9">
        <w:t>availability</w:t>
      </w:r>
      <w:r w:rsidR="0BDF6C0A">
        <w:t xml:space="preserve"> data is reported and overlaid.  T</w:t>
      </w:r>
      <w:r w:rsidR="00F86E44">
        <w:t>he</w:t>
      </w:r>
      <w:r w:rsidR="005858DB">
        <w:t xml:space="preserve"> protests of the</w:t>
      </w:r>
      <w:r w:rsidR="009E3403">
        <w:t xml:space="preserve"> Fabric</w:t>
      </w:r>
      <w:r w:rsidR="004736CD">
        <w:t>, while part of the competitive bid process required in the Broadband DATA Act have</w:t>
      </w:r>
      <w:r w:rsidR="00F86E44">
        <w:t xml:space="preserve"> </w:t>
      </w:r>
      <w:r w:rsidR="00E371EB">
        <w:t>imped</w:t>
      </w:r>
      <w:r w:rsidR="000D4909">
        <w:t>ed</w:t>
      </w:r>
      <w:r w:rsidR="00E371EB">
        <w:t xml:space="preserve"> </w:t>
      </w:r>
      <w:r w:rsidR="6A29BDDB">
        <w:t xml:space="preserve">both </w:t>
      </w:r>
      <w:r w:rsidR="00E371EB">
        <w:t xml:space="preserve">our ability to </w:t>
      </w:r>
      <w:r w:rsidR="00142E02">
        <w:t xml:space="preserve">move forward </w:t>
      </w:r>
      <w:r w:rsidR="00C7745E">
        <w:t>with</w:t>
      </w:r>
      <w:r w:rsidR="00142E02">
        <w:t xml:space="preserve"> </w:t>
      </w:r>
      <w:r w:rsidR="0016091B">
        <w:t xml:space="preserve">obtaining the Fabric data </w:t>
      </w:r>
      <w:r w:rsidR="00BE56DD">
        <w:t>in advance of</w:t>
      </w:r>
      <w:r w:rsidR="007075DB">
        <w:t xml:space="preserve"> </w:t>
      </w:r>
      <w:r w:rsidR="00E371EB">
        <w:t>launch</w:t>
      </w:r>
      <w:r w:rsidR="00BE56DD">
        <w:t>ing</w:t>
      </w:r>
      <w:r w:rsidR="00E371EB">
        <w:t xml:space="preserve"> the BDC</w:t>
      </w:r>
      <w:r w:rsidR="003B508F">
        <w:t xml:space="preserve"> </w:t>
      </w:r>
      <w:r w:rsidR="004C311D">
        <w:t xml:space="preserve">and </w:t>
      </w:r>
      <w:r w:rsidR="00C7745E">
        <w:t>with making</w:t>
      </w:r>
      <w:r w:rsidR="004C311D">
        <w:t xml:space="preserve"> </w:t>
      </w:r>
      <w:r w:rsidR="001E30F2">
        <w:t>the data available to filers</w:t>
      </w:r>
      <w:r w:rsidRPr="00A01A9F" w:rsidR="00E371EB">
        <w:rPr>
          <w:rStyle w:val="normaltextrun"/>
          <w:color w:val="000000" w:themeColor="text1"/>
        </w:rPr>
        <w:t xml:space="preserve">.  </w:t>
      </w:r>
      <w:r w:rsidRPr="27821D81" w:rsidR="00B22F70">
        <w:t xml:space="preserve">After </w:t>
      </w:r>
      <w:r w:rsidRPr="27821D81" w:rsidR="000D6557">
        <w:t xml:space="preserve">the RFP response deadline, but prior to our awarding a contract for the Fabric, </w:t>
      </w:r>
      <w:r w:rsidRPr="50CBE5AC" w:rsidR="4BC79A58">
        <w:rPr>
          <w:rStyle w:val="normaltextrun"/>
          <w:color w:val="000000" w:themeColor="text1"/>
        </w:rPr>
        <w:t>one of the offerors</w:t>
      </w:r>
      <w:r w:rsidRPr="00BD1477" w:rsidR="17142F34">
        <w:rPr>
          <w:rStyle w:val="normaltextrun"/>
          <w:color w:val="000000" w:themeColor="text1"/>
        </w:rPr>
        <w:t xml:space="preserve"> </w:t>
      </w:r>
      <w:r w:rsidRPr="00BD1477" w:rsidR="000D6557">
        <w:rPr>
          <w:rStyle w:val="normaltextrun"/>
          <w:color w:val="000000" w:themeColor="text1"/>
        </w:rPr>
        <w:t xml:space="preserve">filed a </w:t>
      </w:r>
      <w:r w:rsidRPr="00BD1477" w:rsidR="00E371EB">
        <w:rPr>
          <w:rStyle w:val="normaltextrun"/>
          <w:color w:val="000000" w:themeColor="text1"/>
        </w:rPr>
        <w:t xml:space="preserve">pre-award protest </w:t>
      </w:r>
      <w:r w:rsidRPr="00BD1477" w:rsidR="000D6557">
        <w:rPr>
          <w:rStyle w:val="normaltextrun"/>
          <w:color w:val="000000" w:themeColor="text1"/>
        </w:rPr>
        <w:t>of the RFP</w:t>
      </w:r>
      <w:r w:rsidR="00E371EB">
        <w:rPr>
          <w:rStyle w:val="normaltextrun"/>
          <w:color w:val="000000" w:themeColor="text1"/>
        </w:rPr>
        <w:t xml:space="preserve"> with the Government Accountability Office (GAO)</w:t>
      </w:r>
      <w:r w:rsidRPr="00BD1477" w:rsidR="000D6557">
        <w:rPr>
          <w:rStyle w:val="normaltextrun"/>
          <w:color w:val="000000" w:themeColor="text1"/>
        </w:rPr>
        <w:t>.  To quickly dispose of this protest, t</w:t>
      </w:r>
      <w:r w:rsidRPr="00BD1477" w:rsidR="00E371EB">
        <w:rPr>
          <w:rStyle w:val="normaltextrun"/>
          <w:color w:val="000000" w:themeColor="text1"/>
        </w:rPr>
        <w:t xml:space="preserve">he Commission delivered a revised RFP to all offerors </w:t>
      </w:r>
      <w:r w:rsidRPr="00BD1477" w:rsidR="00B661CA">
        <w:rPr>
          <w:rStyle w:val="normaltextrun"/>
          <w:color w:val="000000" w:themeColor="text1"/>
        </w:rPr>
        <w:t>and f</w:t>
      </w:r>
      <w:r w:rsidRPr="00BD1477" w:rsidR="00E371EB">
        <w:rPr>
          <w:rStyle w:val="normaltextrun"/>
          <w:color w:val="000000" w:themeColor="text1"/>
        </w:rPr>
        <w:t xml:space="preserve">ollowing </w:t>
      </w:r>
      <w:r w:rsidRPr="00BD1477" w:rsidR="000D6557">
        <w:rPr>
          <w:rStyle w:val="normaltextrun"/>
          <w:color w:val="000000" w:themeColor="text1"/>
        </w:rPr>
        <w:t>its</w:t>
      </w:r>
      <w:r w:rsidRPr="00BD1477" w:rsidR="00E371EB">
        <w:rPr>
          <w:rStyle w:val="normaltextrun"/>
          <w:color w:val="000000" w:themeColor="text1"/>
        </w:rPr>
        <w:t xml:space="preserve"> review </w:t>
      </w:r>
      <w:r w:rsidRPr="00BD1477" w:rsidR="000D6557">
        <w:rPr>
          <w:rStyle w:val="normaltextrun"/>
          <w:color w:val="000000" w:themeColor="text1"/>
        </w:rPr>
        <w:t xml:space="preserve">of the revised RFP responses, and </w:t>
      </w:r>
      <w:r w:rsidRPr="00BD1477" w:rsidR="00E371EB">
        <w:rPr>
          <w:rStyle w:val="normaltextrun"/>
          <w:color w:val="000000" w:themeColor="text1"/>
        </w:rPr>
        <w:t xml:space="preserve">consistent with </w:t>
      </w:r>
      <w:r w:rsidRPr="00BD1477" w:rsidR="4D904EEB">
        <w:rPr>
          <w:rStyle w:val="normaltextrun"/>
          <w:color w:val="000000" w:themeColor="text1"/>
        </w:rPr>
        <w:t xml:space="preserve">the evaluation requirements in </w:t>
      </w:r>
      <w:r w:rsidRPr="00BD1477" w:rsidR="4D904EEB">
        <w:rPr>
          <w:rStyle w:val="normaltextrun"/>
          <w:color w:val="000000" w:themeColor="text1"/>
        </w:rPr>
        <w:t>the</w:t>
      </w:r>
      <w:r w:rsidRPr="00BD1477" w:rsidR="00E371EB">
        <w:rPr>
          <w:rStyle w:val="normaltextrun"/>
          <w:color w:val="000000" w:themeColor="text1"/>
        </w:rPr>
        <w:t xml:space="preserve"> solicitation </w:t>
      </w:r>
      <w:r w:rsidRPr="00BD1477" w:rsidR="1AE6AA50">
        <w:rPr>
          <w:rStyle w:val="normaltextrun"/>
          <w:color w:val="000000" w:themeColor="text1"/>
        </w:rPr>
        <w:t>and the Federal Acquisition Regulation (FAR)</w:t>
      </w:r>
      <w:r w:rsidR="00E371EB">
        <w:rPr>
          <w:rStyle w:val="normaltextrun"/>
          <w:color w:val="000000" w:themeColor="text1"/>
        </w:rPr>
        <w:t xml:space="preserve">, the Commission awarded </w:t>
      </w:r>
      <w:r w:rsidRPr="00BD1477" w:rsidR="000D6557">
        <w:rPr>
          <w:rStyle w:val="normaltextrun"/>
          <w:color w:val="000000" w:themeColor="text1"/>
        </w:rPr>
        <w:t>a</w:t>
      </w:r>
      <w:r w:rsidR="00E371EB">
        <w:rPr>
          <w:rStyle w:val="normaltextrun"/>
          <w:color w:val="000000" w:themeColor="text1"/>
        </w:rPr>
        <w:t xml:space="preserve"> contract for Fabric development on November 9.  Subsequently, a</w:t>
      </w:r>
      <w:r w:rsidRPr="00BD1477" w:rsidR="002514A8">
        <w:rPr>
          <w:rStyle w:val="normaltextrun"/>
          <w:color w:val="000000" w:themeColor="text1"/>
        </w:rPr>
        <w:t>n</w:t>
      </w:r>
      <w:r w:rsidRPr="00BD1477" w:rsidR="00E371EB">
        <w:rPr>
          <w:rStyle w:val="normaltextrun"/>
          <w:color w:val="000000" w:themeColor="text1"/>
        </w:rPr>
        <w:t xml:space="preserve"> </w:t>
      </w:r>
      <w:r w:rsidRPr="00BD1477" w:rsidR="002514A8">
        <w:rPr>
          <w:rStyle w:val="normaltextrun"/>
          <w:color w:val="000000" w:themeColor="text1"/>
        </w:rPr>
        <w:t>unsuccessful offeror</w:t>
      </w:r>
      <w:r w:rsidR="00E371EB">
        <w:rPr>
          <w:rStyle w:val="normaltextrun"/>
          <w:color w:val="000000" w:themeColor="text1"/>
        </w:rPr>
        <w:t xml:space="preserve"> filed a post-award protest with GAO, as permitted under the </w:t>
      </w:r>
      <w:r w:rsidR="76986067">
        <w:rPr>
          <w:rStyle w:val="normaltextrun"/>
          <w:color w:val="000000" w:themeColor="text1"/>
        </w:rPr>
        <w:t>F</w:t>
      </w:r>
      <w:r w:rsidR="014AD0C2">
        <w:rPr>
          <w:rStyle w:val="normaltextrun"/>
          <w:color w:val="000000" w:themeColor="text1"/>
        </w:rPr>
        <w:t>AR</w:t>
      </w:r>
      <w:r w:rsidRPr="00BD1477" w:rsidR="001B749E">
        <w:rPr>
          <w:rStyle w:val="normaltextrun"/>
          <w:color w:val="000000" w:themeColor="text1"/>
        </w:rPr>
        <w:t xml:space="preserve">, and has </w:t>
      </w:r>
      <w:r w:rsidRPr="666E882F" w:rsidR="006B792B">
        <w:rPr>
          <w:rStyle w:val="normaltextrun"/>
          <w:color w:val="000000" w:themeColor="text1"/>
        </w:rPr>
        <w:t xml:space="preserve">since </w:t>
      </w:r>
      <w:r w:rsidRPr="666E882F" w:rsidR="001B749E">
        <w:rPr>
          <w:rStyle w:val="normaltextrun"/>
          <w:color w:val="000000" w:themeColor="text1"/>
        </w:rPr>
        <w:t>filed several supplemental protests</w:t>
      </w:r>
      <w:r w:rsidRPr="666E882F" w:rsidR="00E371EB">
        <w:rPr>
          <w:rStyle w:val="normaltextrun"/>
          <w:color w:val="000000" w:themeColor="text1"/>
        </w:rPr>
        <w:t xml:space="preserve">. </w:t>
      </w:r>
      <w:r w:rsidRPr="50CBE5AC" w:rsidR="6F3C7591">
        <w:rPr>
          <w:rStyle w:val="normaltextrun"/>
          <w:color w:val="000000" w:themeColor="text1"/>
        </w:rPr>
        <w:t xml:space="preserve"> </w:t>
      </w:r>
      <w:r w:rsidRPr="50CBE5AC" w:rsidR="673197D3">
        <w:rPr>
          <w:rStyle w:val="normaltextrun"/>
          <w:color w:val="000000" w:themeColor="text1"/>
        </w:rPr>
        <w:t>W</w:t>
      </w:r>
      <w:r w:rsidRPr="50CBE5AC" w:rsidR="6F3C7591">
        <w:rPr>
          <w:rStyle w:val="normaltextrun"/>
          <w:color w:val="000000" w:themeColor="text1"/>
        </w:rPr>
        <w:t xml:space="preserve">e were </w:t>
      </w:r>
      <w:r w:rsidRPr="00BD1477" w:rsidR="24786C18">
        <w:rPr>
          <w:rStyle w:val="normaltextrun"/>
          <w:color w:val="000000" w:themeColor="text1"/>
        </w:rPr>
        <w:t>required</w:t>
      </w:r>
      <w:r w:rsidRPr="50CBE5AC" w:rsidR="00903746">
        <w:rPr>
          <w:rStyle w:val="normaltextrun"/>
          <w:color w:val="000000" w:themeColor="text1"/>
        </w:rPr>
        <w:t xml:space="preserve"> to </w:t>
      </w:r>
      <w:r w:rsidRPr="00BD1477" w:rsidR="398089AD">
        <w:rPr>
          <w:rStyle w:val="normaltextrun"/>
          <w:color w:val="000000" w:themeColor="text1"/>
        </w:rPr>
        <w:t>suspend</w:t>
      </w:r>
      <w:r w:rsidRPr="666E882F" w:rsidR="398089AD">
        <w:rPr>
          <w:rStyle w:val="normaltextrun"/>
          <w:color w:val="000000" w:themeColor="text1"/>
        </w:rPr>
        <w:t xml:space="preserve"> performance of the contract unt</w:t>
      </w:r>
      <w:r w:rsidRPr="00BD1477" w:rsidR="00197F64">
        <w:rPr>
          <w:rStyle w:val="normaltextrun"/>
          <w:color w:val="000000" w:themeColor="text1"/>
        </w:rPr>
        <w:t>i</w:t>
      </w:r>
      <w:r w:rsidRPr="50CBE5AC" w:rsidR="4DC6BEA1">
        <w:rPr>
          <w:rStyle w:val="normaltextrun"/>
          <w:color w:val="000000" w:themeColor="text1"/>
        </w:rPr>
        <w:t>l GAO issues a decision</w:t>
      </w:r>
      <w:r w:rsidR="007818FE">
        <w:rPr>
          <w:rStyle w:val="normaltextrun"/>
          <w:color w:val="000000" w:themeColor="text1"/>
        </w:rPr>
        <w:t>,</w:t>
      </w:r>
      <w:r w:rsidRPr="50CBE5AC" w:rsidR="0D99F659">
        <w:rPr>
          <w:rStyle w:val="normaltextrun"/>
          <w:color w:val="000000" w:themeColor="text1"/>
        </w:rPr>
        <w:t xml:space="preserve"> and the Commission has therefore been </w:t>
      </w:r>
      <w:r w:rsidRPr="50CBE5AC" w:rsidR="2EC230C7">
        <w:rPr>
          <w:rStyle w:val="normaltextrun"/>
          <w:color w:val="000000" w:themeColor="text1"/>
        </w:rPr>
        <w:t>un</w:t>
      </w:r>
      <w:r w:rsidRPr="50CBE5AC" w:rsidR="0D99F659">
        <w:rPr>
          <w:rStyle w:val="normaltextrun"/>
          <w:color w:val="000000" w:themeColor="text1"/>
        </w:rPr>
        <w:t xml:space="preserve">able to commence work with </w:t>
      </w:r>
      <w:r w:rsidRPr="66A97F98" w:rsidR="00A0194F">
        <w:rPr>
          <w:rStyle w:val="normaltextrun"/>
          <w:color w:val="000000" w:themeColor="text1"/>
        </w:rPr>
        <w:t xml:space="preserve">the contractor </w:t>
      </w:r>
      <w:r w:rsidRPr="50CBE5AC" w:rsidR="0D99F659">
        <w:rPr>
          <w:rStyle w:val="normaltextrun"/>
          <w:color w:val="000000" w:themeColor="text1"/>
        </w:rPr>
        <w:t>on development of the Fabric.</w:t>
      </w:r>
      <w:r>
        <w:rPr>
          <w:rStyle w:val="FootnoteReference"/>
          <w:color w:val="000000" w:themeColor="text1"/>
        </w:rPr>
        <w:footnoteReference w:id="62"/>
      </w:r>
      <w:r w:rsidR="004D3714">
        <w:rPr>
          <w:rStyle w:val="normaltextrun"/>
          <w:color w:val="000000" w:themeColor="text1"/>
        </w:rPr>
        <w:t xml:space="preserve">  </w:t>
      </w:r>
      <w:r w:rsidRPr="004D3714" w:rsidR="64DF87A9">
        <w:rPr>
          <w:color w:val="000000" w:themeColor="text1"/>
        </w:rPr>
        <w:t>However, p</w:t>
      </w:r>
      <w:r w:rsidRPr="004D3714" w:rsidR="0042217B">
        <w:rPr>
          <w:color w:val="000000" w:themeColor="text1"/>
        </w:rPr>
        <w:t>ursuant</w:t>
      </w:r>
      <w:r w:rsidRPr="00A01A9F" w:rsidR="0042217B">
        <w:rPr>
          <w:color w:val="000000" w:themeColor="text1"/>
        </w:rPr>
        <w:t xml:space="preserve"> to its </w:t>
      </w:r>
      <w:r w:rsidRPr="00A01A9F" w:rsidR="33F79BC5">
        <w:rPr>
          <w:color w:val="000000" w:themeColor="text1"/>
        </w:rPr>
        <w:t>regulations</w:t>
      </w:r>
      <w:r w:rsidRPr="00A01A9F" w:rsidR="0042217B">
        <w:rPr>
          <w:color w:val="000000" w:themeColor="text1"/>
        </w:rPr>
        <w:t xml:space="preserve">, GAO is expected to issue a decision on </w:t>
      </w:r>
      <w:r w:rsidRPr="66A97F98" w:rsidR="00A0194F">
        <w:rPr>
          <w:color w:val="000000" w:themeColor="text1"/>
        </w:rPr>
        <w:t xml:space="preserve">the </w:t>
      </w:r>
      <w:r w:rsidRPr="00A01A9F" w:rsidR="0042217B">
        <w:rPr>
          <w:color w:val="000000" w:themeColor="text1"/>
        </w:rPr>
        <w:t>protest within 100 days</w:t>
      </w:r>
      <w:r w:rsidR="00A15CC0">
        <w:rPr>
          <w:color w:val="000000" w:themeColor="text1"/>
        </w:rPr>
        <w:t xml:space="preserve"> after being filed</w:t>
      </w:r>
      <w:r w:rsidRPr="004D3714" w:rsidR="0042217B">
        <w:rPr>
          <w:color w:val="000000" w:themeColor="text1"/>
        </w:rPr>
        <w:t>.</w:t>
      </w:r>
      <w:r>
        <w:rPr>
          <w:rStyle w:val="FootnoteReference"/>
        </w:rPr>
        <w:footnoteReference w:id="63"/>
      </w:r>
      <w:r w:rsidRPr="004D3714" w:rsidR="006E5DA5">
        <w:rPr>
          <w:color w:val="000000" w:themeColor="text1"/>
        </w:rPr>
        <w:t xml:space="preserve">  </w:t>
      </w:r>
    </w:p>
    <w:p w:rsidR="0042217B" w:rsidRPr="00A01A9F" w14:paraId="1AED7A90" w14:textId="787A72C4">
      <w:pPr>
        <w:pStyle w:val="ParaNum"/>
        <w:rPr>
          <w:color w:val="000000" w:themeColor="text1"/>
        </w:rPr>
      </w:pPr>
      <w:r w:rsidRPr="004D3714">
        <w:rPr>
          <w:color w:val="000000" w:themeColor="text1"/>
        </w:rPr>
        <w:t>Assuming</w:t>
      </w:r>
      <w:r w:rsidRPr="00A01A9F">
        <w:rPr>
          <w:color w:val="000000" w:themeColor="text1"/>
        </w:rPr>
        <w:t xml:space="preserve"> a </w:t>
      </w:r>
      <w:r w:rsidRPr="004D3714">
        <w:rPr>
          <w:color w:val="000000" w:themeColor="text1"/>
        </w:rPr>
        <w:t>favorable result</w:t>
      </w:r>
      <w:r w:rsidRPr="00A01A9F">
        <w:rPr>
          <w:color w:val="000000" w:themeColor="text1"/>
        </w:rPr>
        <w:t xml:space="preserve"> </w:t>
      </w:r>
      <w:r w:rsidRPr="00A01A9F" w:rsidR="5A334700">
        <w:rPr>
          <w:color w:val="000000" w:themeColor="text1"/>
        </w:rPr>
        <w:t>from GAO</w:t>
      </w:r>
      <w:r w:rsidRPr="004D3714" w:rsidR="5A334700">
        <w:rPr>
          <w:color w:val="000000" w:themeColor="text1"/>
        </w:rPr>
        <w:t>,</w:t>
      </w:r>
      <w:r w:rsidR="009172AE">
        <w:rPr>
          <w:color w:val="000000" w:themeColor="text1"/>
        </w:rPr>
        <w:t xml:space="preserve"> </w:t>
      </w:r>
      <w:r w:rsidR="008000C1">
        <w:rPr>
          <w:color w:val="000000" w:themeColor="text1"/>
        </w:rPr>
        <w:t xml:space="preserve">we anticipate </w:t>
      </w:r>
      <w:r w:rsidR="00845BD7">
        <w:rPr>
          <w:color w:val="000000" w:themeColor="text1"/>
        </w:rPr>
        <w:t>t</w:t>
      </w:r>
      <w:r w:rsidRPr="66A97F98" w:rsidR="00246807">
        <w:rPr>
          <w:color w:val="000000" w:themeColor="text1"/>
        </w:rPr>
        <w:t>he contractor will</w:t>
      </w:r>
      <w:r w:rsidRPr="66A97F98" w:rsidR="442C2982">
        <w:rPr>
          <w:color w:val="000000" w:themeColor="text1"/>
        </w:rPr>
        <w:t xml:space="preserve"> </w:t>
      </w:r>
      <w:r w:rsidRPr="66A97F98" w:rsidR="00246807">
        <w:rPr>
          <w:color w:val="000000" w:themeColor="text1"/>
        </w:rPr>
        <w:t xml:space="preserve">deliver to the Commission a </w:t>
      </w:r>
      <w:r w:rsidR="00DA6C72">
        <w:rPr>
          <w:color w:val="000000" w:themeColor="text1"/>
        </w:rPr>
        <w:t>preliminary</w:t>
      </w:r>
      <w:r w:rsidRPr="66A97F98" w:rsidR="00246807">
        <w:rPr>
          <w:color w:val="000000" w:themeColor="text1"/>
        </w:rPr>
        <w:t xml:space="preserve"> version of the Fabric </w:t>
      </w:r>
      <w:r w:rsidR="00845BD7">
        <w:rPr>
          <w:color w:val="000000" w:themeColor="text1"/>
        </w:rPr>
        <w:t>that we would</w:t>
      </w:r>
      <w:r w:rsidR="006E02DA">
        <w:rPr>
          <w:color w:val="000000" w:themeColor="text1"/>
        </w:rPr>
        <w:t xml:space="preserve"> plan to</w:t>
      </w:r>
      <w:r w:rsidR="00845BD7">
        <w:rPr>
          <w:color w:val="000000" w:themeColor="text1"/>
        </w:rPr>
        <w:t xml:space="preserve"> </w:t>
      </w:r>
      <w:r w:rsidRPr="66A97F98" w:rsidR="00246807">
        <w:rPr>
          <w:color w:val="000000" w:themeColor="text1"/>
        </w:rPr>
        <w:t xml:space="preserve">share with filers so they can </w:t>
      </w:r>
      <w:r w:rsidRPr="66A97F98" w:rsidR="7BBE4C9A">
        <w:rPr>
          <w:color w:val="000000" w:themeColor="text1"/>
        </w:rPr>
        <w:t xml:space="preserve">begin </w:t>
      </w:r>
      <w:r w:rsidR="00AC14C5">
        <w:rPr>
          <w:color w:val="000000" w:themeColor="text1"/>
        </w:rPr>
        <w:t xml:space="preserve">developing their </w:t>
      </w:r>
      <w:r w:rsidR="000E0AA6">
        <w:rPr>
          <w:color w:val="000000" w:themeColor="text1"/>
        </w:rPr>
        <w:t>processes</w:t>
      </w:r>
      <w:r w:rsidR="00F92C6A">
        <w:rPr>
          <w:color w:val="000000" w:themeColor="text1"/>
        </w:rPr>
        <w:t xml:space="preserve"> to</w:t>
      </w:r>
      <w:r w:rsidR="000E0AA6">
        <w:rPr>
          <w:color w:val="000000" w:themeColor="text1"/>
        </w:rPr>
        <w:t xml:space="preserve"> </w:t>
      </w:r>
      <w:r w:rsidR="00940431">
        <w:rPr>
          <w:color w:val="000000" w:themeColor="text1"/>
        </w:rPr>
        <w:t>align</w:t>
      </w:r>
      <w:r w:rsidRPr="66A97F98" w:rsidR="00246807">
        <w:rPr>
          <w:color w:val="000000" w:themeColor="text1"/>
        </w:rPr>
        <w:t xml:space="preserve"> their </w:t>
      </w:r>
      <w:r w:rsidR="009D0B19">
        <w:rPr>
          <w:color w:val="000000" w:themeColor="text1"/>
        </w:rPr>
        <w:t xml:space="preserve">address or </w:t>
      </w:r>
      <w:r w:rsidRPr="66A97F98" w:rsidR="00246807">
        <w:rPr>
          <w:color w:val="000000" w:themeColor="text1"/>
        </w:rPr>
        <w:t>location data with the Fabric</w:t>
      </w:r>
      <w:r w:rsidRPr="66A97F98" w:rsidR="760F325A">
        <w:rPr>
          <w:color w:val="000000" w:themeColor="text1"/>
        </w:rPr>
        <w:t xml:space="preserve"> </w:t>
      </w:r>
      <w:r w:rsidR="00DD1288">
        <w:rPr>
          <w:color w:val="000000" w:themeColor="text1"/>
        </w:rPr>
        <w:t xml:space="preserve">well in advance of the </w:t>
      </w:r>
      <w:r w:rsidR="00BA2B1A">
        <w:rPr>
          <w:color w:val="000000" w:themeColor="text1"/>
        </w:rPr>
        <w:t xml:space="preserve">opening of the reporting </w:t>
      </w:r>
      <w:r w:rsidRPr="66A97F98" w:rsidR="3D240381">
        <w:rPr>
          <w:color w:val="000000" w:themeColor="text1"/>
        </w:rPr>
        <w:t>window</w:t>
      </w:r>
      <w:r w:rsidRPr="66A97F98" w:rsidR="00246807">
        <w:rPr>
          <w:color w:val="000000" w:themeColor="text1"/>
        </w:rPr>
        <w:t xml:space="preserve">. </w:t>
      </w:r>
      <w:r w:rsidRPr="0006297D" w:rsidR="0006297D">
        <w:rPr>
          <w:color w:val="000000" w:themeColor="text1"/>
        </w:rPr>
        <w:t xml:space="preserve"> </w:t>
      </w:r>
      <w:r w:rsidR="0006297D">
        <w:rPr>
          <w:color w:val="000000" w:themeColor="text1"/>
        </w:rPr>
        <w:t>W</w:t>
      </w:r>
      <w:r w:rsidRPr="004D3714" w:rsidR="0006297D">
        <w:rPr>
          <w:color w:val="000000" w:themeColor="text1"/>
        </w:rPr>
        <w:t xml:space="preserve">e will </w:t>
      </w:r>
      <w:r w:rsidR="0006297D">
        <w:rPr>
          <w:color w:val="000000" w:themeColor="text1"/>
        </w:rPr>
        <w:t>also</w:t>
      </w:r>
      <w:r w:rsidRPr="004D3714" w:rsidR="0006297D">
        <w:rPr>
          <w:color w:val="000000" w:themeColor="text1"/>
        </w:rPr>
        <w:t xml:space="preserve"> </w:t>
      </w:r>
      <w:r w:rsidR="003A2442">
        <w:rPr>
          <w:color w:val="000000" w:themeColor="text1"/>
        </w:rPr>
        <w:t>work with the contractor to finalize the requirements</w:t>
      </w:r>
      <w:r w:rsidR="003C2556">
        <w:rPr>
          <w:color w:val="000000" w:themeColor="text1"/>
        </w:rPr>
        <w:t xml:space="preserve"> </w:t>
      </w:r>
      <w:r w:rsidR="00B47B74">
        <w:rPr>
          <w:color w:val="000000" w:themeColor="text1"/>
        </w:rPr>
        <w:t xml:space="preserve">for the </w:t>
      </w:r>
      <w:r w:rsidR="00FC3662">
        <w:rPr>
          <w:color w:val="000000" w:themeColor="text1"/>
        </w:rPr>
        <w:t>production</w:t>
      </w:r>
      <w:r w:rsidR="00CF37F1">
        <w:rPr>
          <w:color w:val="000000" w:themeColor="text1"/>
        </w:rPr>
        <w:t xml:space="preserve"> version of the Fabric</w:t>
      </w:r>
      <w:r w:rsidRPr="004D3714" w:rsidR="0006297D">
        <w:rPr>
          <w:color w:val="000000" w:themeColor="text1"/>
        </w:rPr>
        <w:t>.</w:t>
      </w:r>
      <w:r>
        <w:rPr>
          <w:rStyle w:val="FootnoteReference"/>
        </w:rPr>
        <w:footnoteReference w:id="64"/>
      </w:r>
      <w:r w:rsidR="0006297D">
        <w:rPr>
          <w:color w:val="000000" w:themeColor="text1"/>
        </w:rPr>
        <w:t xml:space="preserve"> </w:t>
      </w:r>
      <w:r w:rsidRPr="004D3714" w:rsidR="0006297D">
        <w:rPr>
          <w:color w:val="000000" w:themeColor="text1"/>
        </w:rPr>
        <w:t xml:space="preserve"> </w:t>
      </w:r>
      <w:r w:rsidRPr="004D3714" w:rsidR="5BCF1761">
        <w:rPr>
          <w:color w:val="000000" w:themeColor="text1"/>
        </w:rPr>
        <w:t xml:space="preserve">While </w:t>
      </w:r>
      <w:r w:rsidRPr="004D3714" w:rsidR="751583F6">
        <w:rPr>
          <w:color w:val="000000" w:themeColor="text1"/>
        </w:rPr>
        <w:t>complet</w:t>
      </w:r>
      <w:r w:rsidR="00A15CC0">
        <w:rPr>
          <w:color w:val="000000" w:themeColor="text1"/>
        </w:rPr>
        <w:t>ing</w:t>
      </w:r>
      <w:r w:rsidRPr="004D3714" w:rsidR="751583F6">
        <w:rPr>
          <w:color w:val="000000" w:themeColor="text1"/>
        </w:rPr>
        <w:t xml:space="preserve"> this </w:t>
      </w:r>
      <w:r w:rsidR="00E81ED4">
        <w:rPr>
          <w:color w:val="000000" w:themeColor="text1"/>
        </w:rPr>
        <w:t xml:space="preserve">preparatory and </w:t>
      </w:r>
      <w:r w:rsidRPr="004D3714" w:rsidR="751583F6">
        <w:rPr>
          <w:color w:val="000000" w:themeColor="text1"/>
        </w:rPr>
        <w:t>development work and integrat</w:t>
      </w:r>
      <w:r w:rsidR="00EC67C4">
        <w:rPr>
          <w:color w:val="000000" w:themeColor="text1"/>
        </w:rPr>
        <w:t xml:space="preserve">ing the </w:t>
      </w:r>
      <w:r w:rsidR="00E81ED4">
        <w:rPr>
          <w:color w:val="000000" w:themeColor="text1"/>
        </w:rPr>
        <w:t xml:space="preserve">production version of the </w:t>
      </w:r>
      <w:r w:rsidR="00EC67C4">
        <w:rPr>
          <w:color w:val="000000" w:themeColor="text1"/>
        </w:rPr>
        <w:t>Fabric data</w:t>
      </w:r>
      <w:r w:rsidRPr="004D3714" w:rsidR="751583F6">
        <w:rPr>
          <w:color w:val="000000" w:themeColor="text1"/>
        </w:rPr>
        <w:t xml:space="preserve"> into the </w:t>
      </w:r>
      <w:r w:rsidRPr="00A01A9F" w:rsidR="751583F6">
        <w:rPr>
          <w:color w:val="000000" w:themeColor="text1"/>
        </w:rPr>
        <w:t xml:space="preserve">BDC </w:t>
      </w:r>
      <w:r w:rsidRPr="004D3714" w:rsidR="751583F6">
        <w:rPr>
          <w:color w:val="000000" w:themeColor="text1"/>
        </w:rPr>
        <w:t>system</w:t>
      </w:r>
      <w:r w:rsidR="00EC67C4">
        <w:rPr>
          <w:color w:val="000000" w:themeColor="text1"/>
        </w:rPr>
        <w:t xml:space="preserve"> will take time</w:t>
      </w:r>
      <w:r w:rsidRPr="004D3714" w:rsidR="51783A27">
        <w:rPr>
          <w:color w:val="000000" w:themeColor="text1"/>
        </w:rPr>
        <w:t xml:space="preserve">, </w:t>
      </w:r>
      <w:r w:rsidRPr="004D3714" w:rsidR="1E31ACB6">
        <w:rPr>
          <w:color w:val="000000" w:themeColor="text1"/>
        </w:rPr>
        <w:t xml:space="preserve">a </w:t>
      </w:r>
      <w:r w:rsidRPr="004D3714" w:rsidR="58E45A19">
        <w:rPr>
          <w:color w:val="000000" w:themeColor="text1"/>
        </w:rPr>
        <w:t>favorable</w:t>
      </w:r>
      <w:r w:rsidRPr="004D3714" w:rsidR="1E31ACB6">
        <w:rPr>
          <w:color w:val="000000" w:themeColor="text1"/>
        </w:rPr>
        <w:t xml:space="preserve"> GAO action </w:t>
      </w:r>
      <w:r w:rsidRPr="004D3714" w:rsidR="17DB938F">
        <w:rPr>
          <w:color w:val="000000" w:themeColor="text1"/>
        </w:rPr>
        <w:t>with</w:t>
      </w:r>
      <w:r w:rsidRPr="004D3714" w:rsidR="1E31ACB6">
        <w:rPr>
          <w:color w:val="000000" w:themeColor="text1"/>
        </w:rPr>
        <w:t xml:space="preserve">in its usual timeframe should enable </w:t>
      </w:r>
      <w:r w:rsidRPr="004D3714" w:rsidR="27716E82">
        <w:rPr>
          <w:color w:val="000000" w:themeColor="text1"/>
        </w:rPr>
        <w:t xml:space="preserve">a </w:t>
      </w:r>
      <w:r w:rsidRPr="004D3714" w:rsidR="00721E4E">
        <w:rPr>
          <w:color w:val="000000" w:themeColor="text1"/>
        </w:rPr>
        <w:t>production version</w:t>
      </w:r>
      <w:r w:rsidRPr="00A01A9F" w:rsidR="00721E4E">
        <w:rPr>
          <w:color w:val="000000" w:themeColor="text1"/>
        </w:rPr>
        <w:t xml:space="preserve"> of the Fabric</w:t>
      </w:r>
      <w:r w:rsidRPr="00A01A9F" w:rsidR="1C54E175">
        <w:rPr>
          <w:color w:val="000000" w:themeColor="text1"/>
        </w:rPr>
        <w:t xml:space="preserve"> </w:t>
      </w:r>
      <w:r w:rsidRPr="004D3714" w:rsidR="2B486F7E">
        <w:rPr>
          <w:color w:val="000000" w:themeColor="text1"/>
        </w:rPr>
        <w:t>to be completed</w:t>
      </w:r>
      <w:r w:rsidRPr="004D3714" w:rsidR="475DCFD9">
        <w:rPr>
          <w:color w:val="000000" w:themeColor="text1"/>
        </w:rPr>
        <w:t xml:space="preserve"> </w:t>
      </w:r>
      <w:r w:rsidRPr="00A01A9F" w:rsidR="0025323E">
        <w:rPr>
          <w:color w:val="000000" w:themeColor="text1"/>
        </w:rPr>
        <w:t xml:space="preserve">and </w:t>
      </w:r>
      <w:r w:rsidR="0025323E">
        <w:rPr>
          <w:color w:val="000000" w:themeColor="text1"/>
        </w:rPr>
        <w:t>made</w:t>
      </w:r>
      <w:r w:rsidRPr="00A01A9F" w:rsidR="0025323E">
        <w:rPr>
          <w:color w:val="000000" w:themeColor="text1"/>
        </w:rPr>
        <w:t xml:space="preserve"> available to filers</w:t>
      </w:r>
      <w:r w:rsidRPr="00A01A9F" w:rsidR="475DCFD9">
        <w:rPr>
          <w:color w:val="000000" w:themeColor="text1"/>
        </w:rPr>
        <w:t xml:space="preserve"> </w:t>
      </w:r>
      <w:r w:rsidRPr="004D3714" w:rsidR="475DCFD9">
        <w:rPr>
          <w:color w:val="000000" w:themeColor="text1"/>
        </w:rPr>
        <w:t xml:space="preserve">in time for </w:t>
      </w:r>
      <w:r w:rsidRPr="004D3714" w:rsidR="1C54E175">
        <w:rPr>
          <w:color w:val="000000" w:themeColor="text1"/>
        </w:rPr>
        <w:t xml:space="preserve">the </w:t>
      </w:r>
      <w:r w:rsidRPr="004D3714" w:rsidR="44262F17">
        <w:rPr>
          <w:color w:val="000000" w:themeColor="text1"/>
        </w:rPr>
        <w:t>initial collection</w:t>
      </w:r>
      <w:r w:rsidRPr="004D3714" w:rsidR="00721E4E">
        <w:rPr>
          <w:color w:val="000000" w:themeColor="text1"/>
        </w:rPr>
        <w:t>.</w:t>
      </w:r>
      <w:r>
        <w:rPr>
          <w:rStyle w:val="FootnoteReference"/>
        </w:rPr>
        <w:footnoteReference w:id="65"/>
      </w:r>
    </w:p>
    <w:p w:rsidR="00611AED" w:rsidRPr="00F57590" w14:paraId="7FD91820" w14:textId="045B6EAE">
      <w:pPr>
        <w:pStyle w:val="ParaNum"/>
        <w:rPr>
          <w:color w:val="000000"/>
          <w:shd w:val="clear" w:color="auto" w:fill="FFFFFF"/>
        </w:rPr>
      </w:pPr>
      <w:r>
        <w:t xml:space="preserve">At the same time the Fabric is under development, </w:t>
      </w:r>
      <w:r w:rsidR="00C75AEF">
        <w:t>we will finalize construction and testing of the Broadband Data Collection system.  A</w:t>
      </w:r>
      <w:r w:rsidR="009C0D24">
        <w:t xml:space="preserve">fter each component of the </w:t>
      </w:r>
      <w:r w:rsidR="00D96545">
        <w:t xml:space="preserve">system is developed, </w:t>
      </w:r>
      <w:r w:rsidR="00BF0EFC">
        <w:t xml:space="preserve">it </w:t>
      </w:r>
      <w:r>
        <w:t>undergo</w:t>
      </w:r>
      <w:r w:rsidR="00BF0EFC">
        <w:t>es</w:t>
      </w:r>
      <w:r>
        <w:t xml:space="preserve"> user acceptance testing</w:t>
      </w:r>
      <w:r w:rsidR="00456C15">
        <w:t xml:space="preserve"> (UAT)</w:t>
      </w:r>
      <w:r>
        <w:t>, independent verification and validation</w:t>
      </w:r>
      <w:r w:rsidR="00456C15">
        <w:t xml:space="preserve"> (IV&amp;V)</w:t>
      </w:r>
      <w:r>
        <w:t xml:space="preserve">, and remediation of any issues </w:t>
      </w:r>
      <w:r w:rsidR="00456C15">
        <w:t xml:space="preserve">that are </w:t>
      </w:r>
      <w:r>
        <w:t>identified</w:t>
      </w:r>
      <w:r w:rsidR="00456C15">
        <w:t xml:space="preserve"> through the UAT and IV&amp;V processes</w:t>
      </w:r>
      <w:r w:rsidR="00BF1378">
        <w:t>, all of which ensu</w:t>
      </w:r>
      <w:r w:rsidR="003B2A5C">
        <w:t xml:space="preserve">res the system is reliable, </w:t>
      </w:r>
      <w:r w:rsidR="002A42FE">
        <w:t>robust, and functions correctly</w:t>
      </w:r>
      <w:r w:rsidR="00456C15">
        <w:t xml:space="preserve">.  </w:t>
      </w:r>
      <w:r w:rsidR="006102F4">
        <w:t>The system components must also undergo</w:t>
      </w:r>
      <w:r>
        <w:t xml:space="preserve"> </w:t>
      </w:r>
      <w:r w:rsidR="00651F13">
        <w:t xml:space="preserve">comprehensive </w:t>
      </w:r>
      <w:r>
        <w:t>security review to receive an Authori</w:t>
      </w:r>
      <w:r w:rsidR="00F01A94">
        <w:t>zation</w:t>
      </w:r>
      <w:r>
        <w:t xml:space="preserve"> to Operate before the system </w:t>
      </w:r>
      <w:r w:rsidR="001636B5">
        <w:t xml:space="preserve">code can be pushed into a production environment for final testing prior to </w:t>
      </w:r>
      <w:r>
        <w:t>launch.</w:t>
      </w:r>
      <w:r>
        <w:rPr>
          <w:rStyle w:val="FootnoteReference"/>
        </w:rPr>
        <w:footnoteReference w:id="66"/>
      </w:r>
      <w:r w:rsidR="001636B5">
        <w:t xml:space="preserve">  </w:t>
      </w:r>
      <w:r w:rsidR="00B1732F">
        <w:t>C</w:t>
      </w:r>
      <w:r w:rsidR="001636B5">
        <w:t xml:space="preserve">ompletion of </w:t>
      </w:r>
      <w:r w:rsidR="00B1732F">
        <w:t xml:space="preserve">each of </w:t>
      </w:r>
      <w:r w:rsidR="001636B5">
        <w:t xml:space="preserve">these additional tasks </w:t>
      </w:r>
      <w:r w:rsidR="00B1732F">
        <w:t>is a</w:t>
      </w:r>
      <w:r w:rsidR="004229BC">
        <w:t xml:space="preserve"> prerequisite to our opening the initial BDC filing window</w:t>
      </w:r>
      <w:r w:rsidR="001636B5">
        <w:t xml:space="preserve">.  </w:t>
      </w:r>
    </w:p>
    <w:p w:rsidR="00AF0895" w:rsidRPr="00F57590" w14:paraId="26923E6B" w14:textId="6CC1CCBF">
      <w:pPr>
        <w:pStyle w:val="ParaNum"/>
        <w:rPr>
          <w:rStyle w:val="normaltextrun"/>
          <w:color w:val="000000"/>
          <w:shd w:val="clear" w:color="auto" w:fill="FFFFFF"/>
        </w:rPr>
      </w:pPr>
      <w:r>
        <w:t xml:space="preserve">Finally, </w:t>
      </w:r>
      <w:r w:rsidR="1F313961">
        <w:t xml:space="preserve">Commission staff will </w:t>
      </w:r>
      <w:r w:rsidR="00884948">
        <w:t>be</w:t>
      </w:r>
      <w:r w:rsidR="1F313961">
        <w:t xml:space="preserve"> work</w:t>
      </w:r>
      <w:r w:rsidR="00884948">
        <w:t>ing</w:t>
      </w:r>
      <w:r w:rsidR="1F313961">
        <w:t xml:space="preserve"> with our technical assistance vendor(s) to onboard </w:t>
      </w:r>
      <w:r w:rsidR="270089E1">
        <w:t xml:space="preserve">and </w:t>
      </w:r>
      <w:r w:rsidR="78E9B27D">
        <w:t>train their staff</w:t>
      </w:r>
      <w:r w:rsidR="270089E1">
        <w:t xml:space="preserve"> </w:t>
      </w:r>
      <w:r w:rsidR="5832B8CD">
        <w:t>on</w:t>
      </w:r>
      <w:r w:rsidR="270089E1">
        <w:t xml:space="preserve"> the detail</w:t>
      </w:r>
      <w:r w:rsidR="344354AC">
        <w:t>s</w:t>
      </w:r>
      <w:r w:rsidR="270089E1">
        <w:t xml:space="preserve"> </w:t>
      </w:r>
      <w:r w:rsidR="3AFECA27">
        <w:t>of the</w:t>
      </w:r>
      <w:r w:rsidR="270089E1">
        <w:t xml:space="preserve"> BDC </w:t>
      </w:r>
      <w:r w:rsidR="7CA74435">
        <w:t xml:space="preserve">requirements and processes </w:t>
      </w:r>
      <w:r w:rsidR="725022B9">
        <w:t xml:space="preserve">and </w:t>
      </w:r>
      <w:r w:rsidR="3AFECA27">
        <w:t>how the BDC system works</w:t>
      </w:r>
      <w:r w:rsidR="20A6EE46">
        <w:t xml:space="preserve">, </w:t>
      </w:r>
      <w:r w:rsidR="3AFECA27">
        <w:t xml:space="preserve">to </w:t>
      </w:r>
      <w:r w:rsidR="20A6EE46">
        <w:t xml:space="preserve">prepare self-help materials and other resources, </w:t>
      </w:r>
      <w:r w:rsidR="4BA17C33">
        <w:t xml:space="preserve">to </w:t>
      </w:r>
      <w:r w:rsidR="20A6EE46">
        <w:t xml:space="preserve">stand-up the customer support center for providing </w:t>
      </w:r>
      <w:r w:rsidR="0070404C">
        <w:t>user</w:t>
      </w:r>
      <w:r w:rsidR="20A6EE46">
        <w:t xml:space="preserve"> assistance, and </w:t>
      </w:r>
      <w:r w:rsidR="4BA17C33">
        <w:t xml:space="preserve">to </w:t>
      </w:r>
      <w:r w:rsidR="270089E1">
        <w:t xml:space="preserve">allocate resources for support requests (including potential surge support during high-demand periods, such as the initial filing window, when we expect a large number of filers to have questions </w:t>
      </w:r>
      <w:r w:rsidR="4BA17C33">
        <w:t>about</w:t>
      </w:r>
      <w:r w:rsidR="270089E1">
        <w:t xml:space="preserve"> preparing </w:t>
      </w:r>
      <w:r w:rsidR="4BA17C33">
        <w:t xml:space="preserve">their </w:t>
      </w:r>
      <w:r w:rsidR="270089E1">
        <w:t xml:space="preserve">data based upon the BDC requirements and parameters).  All of these resources need to be in place before we </w:t>
      </w:r>
      <w:r w:rsidR="7D5B7B61">
        <w:t>open</w:t>
      </w:r>
      <w:r w:rsidR="270089E1">
        <w:t xml:space="preserve"> the initial BDC filing window</w:t>
      </w:r>
      <w:r w:rsidR="004229BC">
        <w:t xml:space="preserve">, as required under the Broadband DATA Act. </w:t>
      </w:r>
      <w:r>
        <w:t xml:space="preserve">  </w:t>
      </w:r>
    </w:p>
    <w:p w:rsidR="005F2EBD" w14:paraId="5EC2F58A" w14:textId="427C1D12">
      <w:pPr>
        <w:pStyle w:val="Heading1"/>
      </w:pPr>
      <w:r>
        <w:t>Discussion</w:t>
      </w:r>
    </w:p>
    <w:p w:rsidR="000D6557" w:rsidRPr="004B0DD0" w:rsidP="00F57590" w14:paraId="2E741FA5" w14:textId="68DBDC83">
      <w:pPr>
        <w:pStyle w:val="ParaNum"/>
        <w:rPr>
          <w:rStyle w:val="normaltextrun"/>
        </w:rPr>
      </w:pPr>
      <w:r w:rsidRPr="004B0DD0">
        <w:rPr>
          <w:rStyle w:val="normaltextrun"/>
          <w:color w:val="000000"/>
          <w:shd w:val="clear" w:color="auto" w:fill="FFFFFF"/>
        </w:rPr>
        <w:t>Despite the challenges</w:t>
      </w:r>
      <w:r w:rsidR="00EF0E1D">
        <w:rPr>
          <w:rStyle w:val="normaltextrun"/>
          <w:color w:val="000000"/>
          <w:shd w:val="clear" w:color="auto" w:fill="FFFFFF"/>
        </w:rPr>
        <w:t xml:space="preserve"> outlined above</w:t>
      </w:r>
      <w:r w:rsidRPr="004B0DD0">
        <w:rPr>
          <w:rStyle w:val="normaltextrun"/>
          <w:color w:val="000000"/>
          <w:shd w:val="clear" w:color="auto" w:fill="FFFFFF"/>
        </w:rPr>
        <w:t xml:space="preserve">, the Commission continues to </w:t>
      </w:r>
      <w:r w:rsidR="004B0DD0">
        <w:rPr>
          <w:rStyle w:val="normaltextrun"/>
          <w:color w:val="000000"/>
          <w:shd w:val="clear" w:color="auto" w:fill="FFFFFF"/>
        </w:rPr>
        <w:t>ma</w:t>
      </w:r>
      <w:r w:rsidR="00BC5A05">
        <w:rPr>
          <w:rStyle w:val="normaltextrun"/>
          <w:color w:val="000000"/>
          <w:shd w:val="clear" w:color="auto" w:fill="FFFFFF"/>
        </w:rPr>
        <w:t>k</w:t>
      </w:r>
      <w:r w:rsidR="004B0DD0">
        <w:rPr>
          <w:rStyle w:val="normaltextrun"/>
          <w:color w:val="000000"/>
          <w:shd w:val="clear" w:color="auto" w:fill="FFFFFF"/>
        </w:rPr>
        <w:t>e advancements</w:t>
      </w:r>
      <w:r w:rsidRPr="004B0DD0">
        <w:rPr>
          <w:rStyle w:val="normaltextrun"/>
          <w:color w:val="000000"/>
          <w:shd w:val="clear" w:color="auto" w:fill="FFFFFF"/>
        </w:rPr>
        <w:t xml:space="preserve"> on the substantial </w:t>
      </w:r>
      <w:r w:rsidR="00F13071">
        <w:rPr>
          <w:rStyle w:val="normaltextrun"/>
          <w:color w:val="000000"/>
          <w:shd w:val="clear" w:color="auto" w:fill="FFFFFF"/>
        </w:rPr>
        <w:t xml:space="preserve">amount of </w:t>
      </w:r>
      <w:r w:rsidRPr="004B0DD0">
        <w:rPr>
          <w:rStyle w:val="normaltextrun"/>
          <w:color w:val="000000"/>
          <w:shd w:val="clear" w:color="auto" w:fill="FFFFFF"/>
        </w:rPr>
        <w:t>work left to be done</w:t>
      </w:r>
      <w:r w:rsidRPr="7850C3BE" w:rsidR="002627F6">
        <w:rPr>
          <w:rStyle w:val="normaltextrun"/>
          <w:color w:val="000000" w:themeColor="text1"/>
        </w:rPr>
        <w:t xml:space="preserve"> to launch the BDC.  S</w:t>
      </w:r>
      <w:r w:rsidR="00B1732F">
        <w:rPr>
          <w:rStyle w:val="normaltextrun"/>
          <w:color w:val="000000"/>
          <w:shd w:val="clear" w:color="auto" w:fill="FFFFFF"/>
        </w:rPr>
        <w:t xml:space="preserve">ubject to </w:t>
      </w:r>
      <w:r w:rsidR="000B4CDF">
        <w:rPr>
          <w:rStyle w:val="normaltextrun"/>
          <w:color w:val="000000"/>
          <w:shd w:val="clear" w:color="auto" w:fill="FFFFFF"/>
        </w:rPr>
        <w:t xml:space="preserve">a favorable </w:t>
      </w:r>
      <w:r w:rsidR="00B1732F">
        <w:rPr>
          <w:rStyle w:val="normaltextrun"/>
          <w:color w:val="000000"/>
          <w:shd w:val="clear" w:color="auto" w:fill="FFFFFF"/>
        </w:rPr>
        <w:t>outcome of the Fabric post-award protest</w:t>
      </w:r>
      <w:r w:rsidRPr="7850C3BE" w:rsidR="002627F6">
        <w:rPr>
          <w:rStyle w:val="normaltextrun"/>
          <w:color w:val="000000" w:themeColor="text1"/>
        </w:rPr>
        <w:t xml:space="preserve">, </w:t>
      </w:r>
      <w:r w:rsidR="00AA45D8">
        <w:rPr>
          <w:rStyle w:val="normaltextrun"/>
          <w:color w:val="000000"/>
          <w:shd w:val="clear" w:color="auto" w:fill="FFFFFF"/>
        </w:rPr>
        <w:t xml:space="preserve">we </w:t>
      </w:r>
      <w:r w:rsidR="001C3415">
        <w:rPr>
          <w:rStyle w:val="normaltextrun"/>
          <w:color w:val="000000"/>
          <w:shd w:val="clear" w:color="auto" w:fill="FFFFFF"/>
        </w:rPr>
        <w:t xml:space="preserve">believe that the BDC system will be </w:t>
      </w:r>
      <w:r w:rsidR="00111B5A">
        <w:rPr>
          <w:rStyle w:val="normaltextrun"/>
          <w:color w:val="000000"/>
          <w:shd w:val="clear" w:color="auto" w:fill="FFFFFF"/>
        </w:rPr>
        <w:t xml:space="preserve">ready to begin accepting data on </w:t>
      </w:r>
      <w:r w:rsidR="000F38E8">
        <w:rPr>
          <w:rStyle w:val="normaltextrun"/>
          <w:color w:val="000000"/>
          <w:shd w:val="clear" w:color="auto" w:fill="FFFFFF"/>
        </w:rPr>
        <w:t>June 30</w:t>
      </w:r>
      <w:r w:rsidR="00111B5A">
        <w:rPr>
          <w:rStyle w:val="normaltextrun"/>
          <w:color w:val="000000"/>
          <w:shd w:val="clear" w:color="auto" w:fill="FFFFFF"/>
        </w:rPr>
        <w:t>, 2022</w:t>
      </w:r>
      <w:r w:rsidRPr="004B0DD0">
        <w:rPr>
          <w:rStyle w:val="normaltextrun"/>
          <w:color w:val="000000"/>
          <w:shd w:val="clear" w:color="auto" w:fill="FFFFFF"/>
        </w:rPr>
        <w:t>.</w:t>
      </w:r>
      <w:r w:rsidR="00111B5A">
        <w:rPr>
          <w:rStyle w:val="normaltextrun"/>
          <w:color w:val="000000"/>
          <w:shd w:val="clear" w:color="auto" w:fill="FFFFFF"/>
        </w:rPr>
        <w:t xml:space="preserve">  Accordingly, we issue this Public Notice announcing the start of the BDC and initial filing dates. </w:t>
      </w:r>
    </w:p>
    <w:p w:rsidR="00373E01" w:rsidP="005410D2" w14:paraId="1AF5B113" w14:textId="413DC604">
      <w:pPr>
        <w:pStyle w:val="Heading2"/>
      </w:pPr>
      <w:r>
        <w:t xml:space="preserve">Notice of Initial </w:t>
      </w:r>
      <w:r w:rsidR="00AB0E37">
        <w:t xml:space="preserve">BDC </w:t>
      </w:r>
      <w:r w:rsidR="005F2EBD">
        <w:t>F</w:t>
      </w:r>
      <w:r w:rsidR="0049468F">
        <w:t xml:space="preserve">iling </w:t>
      </w:r>
      <w:r>
        <w:t>Dates</w:t>
      </w:r>
    </w:p>
    <w:p w:rsidR="001F16CA" w:rsidP="005F2EBD" w14:paraId="38134787" w14:textId="44F4A625">
      <w:pPr>
        <w:pStyle w:val="ParaNum"/>
      </w:pPr>
      <w:r>
        <w:t xml:space="preserve">Fixed and mobile broadband service providers required to file broadband availability coverage data pursuant to </w:t>
      </w:r>
      <w:r w:rsidR="002F6B26">
        <w:t xml:space="preserve">section 1.7004 of the </w:t>
      </w:r>
      <w:r>
        <w:t>Commission</w:t>
      </w:r>
      <w:r w:rsidR="002F6B26">
        <w:t>’s</w:t>
      </w:r>
      <w:r>
        <w:t xml:space="preserve"> rules </w:t>
      </w:r>
      <w:r w:rsidR="00F25BA7">
        <w:t xml:space="preserve">(covered broadband service providers) </w:t>
      </w:r>
      <w:r w:rsidR="00755717">
        <w:t>must prepare their initial data submissions reporting d</w:t>
      </w:r>
      <w:r w:rsidR="00561F5C">
        <w:t>a</w:t>
      </w:r>
      <w:r w:rsidR="00755717">
        <w:t>ta as of June 30, 2022</w:t>
      </w:r>
      <w:r w:rsidR="00561F5C">
        <w:t>.</w:t>
      </w:r>
      <w:r>
        <w:rPr>
          <w:rStyle w:val="FootnoteReference"/>
        </w:rPr>
        <w:footnoteReference w:id="67"/>
      </w:r>
      <w:r w:rsidR="00561F5C">
        <w:t xml:space="preserve">  Commission staff will open the BDC filing window on</w:t>
      </w:r>
      <w:r>
        <w:t xml:space="preserve"> </w:t>
      </w:r>
      <w:r w:rsidR="000F38E8">
        <w:t>June 30</w:t>
      </w:r>
      <w:r w:rsidR="00561F5C">
        <w:t xml:space="preserve">, 2022, and covered broadband service providers must submit their data </w:t>
      </w:r>
      <w:r w:rsidR="004810A1">
        <w:t>no later than</w:t>
      </w:r>
      <w:r>
        <w:t xml:space="preserve"> September 1, 2022</w:t>
      </w:r>
      <w:r w:rsidR="00561F5C">
        <w:t>.</w:t>
      </w:r>
      <w:r>
        <w:rPr>
          <w:rStyle w:val="FootnoteReference"/>
        </w:rPr>
        <w:footnoteReference w:id="68"/>
      </w:r>
      <w:r w:rsidR="00561F5C">
        <w:t xml:space="preserve">  </w:t>
      </w:r>
      <w:r w:rsidR="00DC6C46">
        <w:t>Other federal agencies</w:t>
      </w:r>
      <w:r w:rsidR="0052011B">
        <w:t xml:space="preserve"> </w:t>
      </w:r>
      <w:r w:rsidR="00EB3391">
        <w:t xml:space="preserve">as well as </w:t>
      </w:r>
      <w:r w:rsidR="001D73DE">
        <w:t>s</w:t>
      </w:r>
      <w:r w:rsidR="00DC6C46">
        <w:t>tate, local</w:t>
      </w:r>
      <w:r w:rsidR="001B6533">
        <w:t>,</w:t>
      </w:r>
      <w:r w:rsidR="00DC6C46">
        <w:t xml:space="preserve"> and Tribal </w:t>
      </w:r>
      <w:r w:rsidR="00644910">
        <w:t xml:space="preserve">governmental </w:t>
      </w:r>
      <w:r w:rsidR="00DC6C46">
        <w:t xml:space="preserve">entities primarily responsible for mapping or tracking broadband </w:t>
      </w:r>
      <w:r w:rsidR="00954D7E">
        <w:t>I</w:t>
      </w:r>
      <w:r w:rsidR="00DC6C46">
        <w:t xml:space="preserve">nternet access service coverage in their areas </w:t>
      </w:r>
      <w:r w:rsidR="0052011B">
        <w:t xml:space="preserve">and third parties </w:t>
      </w:r>
      <w:r w:rsidR="00F96B8C">
        <w:t xml:space="preserve">wishing to submit </w:t>
      </w:r>
      <w:r w:rsidR="0052011B">
        <w:t xml:space="preserve">verified availability data must also submit </w:t>
      </w:r>
      <w:r w:rsidR="000D5459">
        <w:t xml:space="preserve">their </w:t>
      </w:r>
      <w:r w:rsidR="0052011B">
        <w:t xml:space="preserve">data </w:t>
      </w:r>
      <w:r w:rsidR="00655295">
        <w:t>as</w:t>
      </w:r>
      <w:r w:rsidR="000D5459">
        <w:t xml:space="preserve"> </w:t>
      </w:r>
      <w:r w:rsidR="00655295">
        <w:t xml:space="preserve">of the same </w:t>
      </w:r>
      <w:r w:rsidR="000D5459">
        <w:t>date</w:t>
      </w:r>
      <w:r w:rsidR="00655295">
        <w:t xml:space="preserve"> (i.e., June 30, 2022) on or before September 1, 2022.</w:t>
      </w:r>
      <w:r>
        <w:rPr>
          <w:rStyle w:val="FootnoteReference"/>
        </w:rPr>
        <w:footnoteReference w:id="69"/>
      </w:r>
      <w:r>
        <w:t xml:space="preserve">  </w:t>
      </w:r>
    </w:p>
    <w:p w:rsidR="00856682" w:rsidP="00380D76" w14:paraId="7471B77D" w14:textId="44FE7162">
      <w:pPr>
        <w:pStyle w:val="ParaNum"/>
      </w:pPr>
      <w:r>
        <w:t xml:space="preserve">In the </w:t>
      </w:r>
      <w:r w:rsidRPr="3E52B3F8">
        <w:rPr>
          <w:i/>
          <w:iCs/>
        </w:rPr>
        <w:t>Second Order</w:t>
      </w:r>
      <w:r w:rsidRPr="3E52B3F8" w:rsidR="00044352">
        <w:rPr>
          <w:i/>
          <w:iCs/>
        </w:rPr>
        <w:t xml:space="preserve"> and Third Further Notice</w:t>
      </w:r>
      <w:r>
        <w:t xml:space="preserve">, the Commission directed OEA to issue a public notice announcing the initial BDC filing deadline at least six months prior to that </w:t>
      </w:r>
      <w:r w:rsidR="00BE54D8">
        <w:t>date</w:t>
      </w:r>
      <w:r>
        <w:t>.</w:t>
      </w:r>
      <w:r>
        <w:rPr>
          <w:rStyle w:val="FootnoteReference"/>
        </w:rPr>
        <w:footnoteReference w:id="70"/>
      </w:r>
      <w:r>
        <w:t xml:space="preserve">  </w:t>
      </w:r>
      <w:r w:rsidR="00107185">
        <w:t xml:space="preserve">Accordingly, the Broadband Data Task Force and OEA are providing this </w:t>
      </w:r>
      <w:r w:rsidR="007B3782">
        <w:t xml:space="preserve">Public </w:t>
      </w:r>
      <w:r w:rsidR="00107185">
        <w:t xml:space="preserve">Notice more than six months in advance of the September 1, 2022 filing deadline.  </w:t>
      </w:r>
      <w:r w:rsidR="00A861DF">
        <w:t xml:space="preserve">We </w:t>
      </w:r>
      <w:r w:rsidR="003C7956">
        <w:t>do so</w:t>
      </w:r>
      <w:r w:rsidR="00A861DF">
        <w:t xml:space="preserve"> </w:t>
      </w:r>
      <w:r w:rsidR="003C7956">
        <w:t xml:space="preserve">notwithstanding a provision </w:t>
      </w:r>
      <w:r w:rsidR="00D710BB">
        <w:t>of</w:t>
      </w:r>
      <w:r w:rsidR="003C7956">
        <w:t xml:space="preserve"> the Infrastructure Investment and Jobs Act</w:t>
      </w:r>
      <w:r w:rsidR="00E739B8">
        <w:t xml:space="preserve"> </w:t>
      </w:r>
      <w:r w:rsidR="009C7159">
        <w:t xml:space="preserve">(IIJA) </w:t>
      </w:r>
      <w:r w:rsidR="007F4189">
        <w:t>alleviating</w:t>
      </w:r>
      <w:r w:rsidR="00E739B8">
        <w:t xml:space="preserve"> the Commission </w:t>
      </w:r>
      <w:r w:rsidR="007F4189">
        <w:t xml:space="preserve">of any obligation to provide this </w:t>
      </w:r>
      <w:r w:rsidR="00540FE9">
        <w:t xml:space="preserve">amount of notice, and instead requiring only that the Commission </w:t>
      </w:r>
      <w:r w:rsidR="00E739B8">
        <w:t>“provide notice to broadband providers not later than 60 days before the initial deadline for submission of data” in the BDC.</w:t>
      </w:r>
      <w:r>
        <w:rPr>
          <w:rStyle w:val="FootnoteReference"/>
        </w:rPr>
        <w:footnoteReference w:id="71"/>
      </w:r>
      <w:r w:rsidR="003C7956">
        <w:t xml:space="preserve">  </w:t>
      </w:r>
      <w:r>
        <w:t xml:space="preserve">Our approach </w:t>
      </w:r>
      <w:r w:rsidR="001343BD">
        <w:t>in</w:t>
      </w:r>
      <w:r>
        <w:t xml:space="preserve"> announcing the </w:t>
      </w:r>
      <w:r w:rsidR="008F3897">
        <w:t>deadline for</w:t>
      </w:r>
      <w:r>
        <w:t xml:space="preserve"> the inaugural BDC collection </w:t>
      </w:r>
      <w:r w:rsidR="00FD335F">
        <w:t xml:space="preserve">at this time </w:t>
      </w:r>
      <w:r>
        <w:t xml:space="preserve">is guided by several considerations.  </w:t>
      </w:r>
    </w:p>
    <w:p w:rsidR="00856682" w:rsidP="00380D76" w14:paraId="402C9576" w14:textId="7C743482">
      <w:pPr>
        <w:pStyle w:val="ParaNum"/>
      </w:pPr>
      <w:r>
        <w:t>First,</w:t>
      </w:r>
      <w:r w:rsidR="00C51015">
        <w:t xml:space="preserve"> we want to </w:t>
      </w:r>
      <w:r w:rsidR="00507784">
        <w:t xml:space="preserve">give as much advance </w:t>
      </w:r>
      <w:r w:rsidR="005C3350">
        <w:t xml:space="preserve">notice </w:t>
      </w:r>
      <w:r w:rsidR="00C71E29">
        <w:t xml:space="preserve">as possible </w:t>
      </w:r>
      <w:r w:rsidR="00507784">
        <w:t>to broadband service providers and filers of verified availability data</w:t>
      </w:r>
      <w:r w:rsidR="00C71E29">
        <w:t xml:space="preserve"> prior to the </w:t>
      </w:r>
      <w:r w:rsidR="00507784">
        <w:t>reporting dat</w:t>
      </w:r>
      <w:r w:rsidR="00C71E29">
        <w:t>e</w:t>
      </w:r>
      <w:r w:rsidR="00507784">
        <w:t xml:space="preserve"> and the opening of the filing window.  </w:t>
      </w:r>
      <w:r w:rsidR="00B1003A">
        <w:t xml:space="preserve">Broadband service providers have had ample time since enactment of the Broadband DATA Act, which specified many of the data collection requirements, and </w:t>
      </w:r>
      <w:r w:rsidR="00DB375A">
        <w:t>adoption of</w:t>
      </w:r>
      <w:r w:rsidR="00B1003A">
        <w:t xml:space="preserve"> the BDC rules to prepare for this collection.</w:t>
      </w:r>
      <w:r>
        <w:rPr>
          <w:rStyle w:val="FootnoteReference"/>
        </w:rPr>
        <w:footnoteReference w:id="72"/>
      </w:r>
      <w:r w:rsidR="00B1003A">
        <w:t xml:space="preserve">  </w:t>
      </w:r>
      <w:r w:rsidR="003B0E55">
        <w:t>But w</w:t>
      </w:r>
      <w:r w:rsidR="00750B63">
        <w:t xml:space="preserve">e </w:t>
      </w:r>
      <w:r w:rsidR="000A354A">
        <w:t>believe</w:t>
      </w:r>
      <w:r w:rsidR="00B1003A">
        <w:t xml:space="preserve"> that</w:t>
      </w:r>
      <w:r w:rsidR="000A354A">
        <w:t xml:space="preserve"> it would be beneficial to provide </w:t>
      </w:r>
      <w:r w:rsidR="007040E0">
        <w:t>reporting entities</w:t>
      </w:r>
      <w:r w:rsidR="00970F3A">
        <w:t xml:space="preserve"> (i.e., covered broadband service providers and verified </w:t>
      </w:r>
      <w:r w:rsidR="00C31845">
        <w:t xml:space="preserve">availability </w:t>
      </w:r>
      <w:r w:rsidR="00970F3A">
        <w:t>data filers)</w:t>
      </w:r>
      <w:r w:rsidR="007040E0">
        <w:t xml:space="preserve"> with </w:t>
      </w:r>
      <w:r w:rsidR="000A354A">
        <w:t xml:space="preserve">the </w:t>
      </w:r>
      <w:r w:rsidR="007040E0">
        <w:t>maximum</w:t>
      </w:r>
      <w:r w:rsidR="000A354A">
        <w:t xml:space="preserve"> </w:t>
      </w:r>
      <w:r w:rsidR="000D1DD5">
        <w:t xml:space="preserve">possible </w:t>
      </w:r>
      <w:r w:rsidR="000A354A">
        <w:t xml:space="preserve">notice </w:t>
      </w:r>
      <w:r w:rsidR="003B0E55">
        <w:t>of the starting date</w:t>
      </w:r>
      <w:r w:rsidR="000A354A">
        <w:t xml:space="preserve">, while balancing </w:t>
      </w:r>
      <w:r w:rsidR="00FF3F79">
        <w:t xml:space="preserve">the number of interrelated variables that contribute to our ability to announce with some certainty </w:t>
      </w:r>
      <w:r w:rsidR="000D229E">
        <w:t xml:space="preserve">a specific date by which </w:t>
      </w:r>
      <w:r w:rsidR="00FF3F79">
        <w:t>the BDC system</w:t>
      </w:r>
      <w:r w:rsidR="00F003C4">
        <w:t>, the</w:t>
      </w:r>
      <w:r w:rsidR="00FF3F79">
        <w:t xml:space="preserve"> Fabric data</w:t>
      </w:r>
      <w:r w:rsidR="00F003C4">
        <w:t>, various technical assistance resources, and other key resources</w:t>
      </w:r>
      <w:r w:rsidR="00FF3F79">
        <w:t xml:space="preserve"> will be available to filers.  </w:t>
      </w:r>
    </w:p>
    <w:p w:rsidR="000E1B48" w:rsidP="00F57590" w14:paraId="6904DF2E" w14:textId="3D456505">
      <w:pPr>
        <w:pStyle w:val="ParaNum"/>
        <w:widowControl/>
      </w:pPr>
      <w:r>
        <w:t>Second,</w:t>
      </w:r>
      <w:r w:rsidR="00F003C4">
        <w:t xml:space="preserve"> </w:t>
      </w:r>
      <w:r w:rsidR="0099610F">
        <w:t xml:space="preserve">we maximize the notice period afforded </w:t>
      </w:r>
      <w:r w:rsidR="00DD3113">
        <w:t xml:space="preserve">service providers to emphasize that </w:t>
      </w:r>
      <w:r w:rsidR="00992255">
        <w:t xml:space="preserve">any requests for waivers or extensions of the filing deadline will </w:t>
      </w:r>
      <w:r w:rsidR="00E50C27">
        <w:t xml:space="preserve">“face[] a high hurdle even at the starting </w:t>
      </w:r>
      <w:r w:rsidR="00E50C27">
        <w:t>gate”</w:t>
      </w:r>
      <w:r>
        <w:rPr>
          <w:rStyle w:val="FootnoteReference"/>
        </w:rPr>
        <w:footnoteReference w:id="73"/>
      </w:r>
      <w:r w:rsidR="00E50C27">
        <w:t xml:space="preserve"> </w:t>
      </w:r>
      <w:r w:rsidR="00992255">
        <w:t>and that a f</w:t>
      </w:r>
      <w:r w:rsidRPr="00F21B58" w:rsidR="00992255">
        <w:t>ailure to timely file required data in the new BDC system may lead to enforcement action and/or penalties as set forth in the Commu</w:t>
      </w:r>
      <w:r w:rsidRPr="00545CE6" w:rsidR="00992255">
        <w:t>nications Act and other applicable laws</w:t>
      </w:r>
      <w:r w:rsidR="00E82DA9">
        <w:t xml:space="preserve"> absent circumstances beyond a filer’s control</w:t>
      </w:r>
      <w:r w:rsidRPr="00545CE6" w:rsidR="00992255">
        <w:t>.</w:t>
      </w:r>
      <w:r>
        <w:rPr>
          <w:rStyle w:val="FootnoteReference"/>
        </w:rPr>
        <w:footnoteReference w:id="74"/>
      </w:r>
      <w:r w:rsidR="00BA1501">
        <w:t xml:space="preserve"> </w:t>
      </w:r>
      <w:r w:rsidR="00992255">
        <w:t xml:space="preserve"> </w:t>
      </w:r>
      <w:r w:rsidRPr="00545CE6" w:rsidR="00BA1501">
        <w:t xml:space="preserve">Accurate and timely submission of </w:t>
      </w:r>
      <w:r w:rsidRPr="00F21B58" w:rsidR="00BA1501">
        <w:t xml:space="preserve">BDC data is mandatory for </w:t>
      </w:r>
      <w:r w:rsidR="000223F8">
        <w:t>covered broadband service providers</w:t>
      </w:r>
      <w:r w:rsidRPr="00F21B58" w:rsidR="00BA1501">
        <w:t>.</w:t>
      </w:r>
      <w:r>
        <w:rPr>
          <w:rStyle w:val="FootnoteReference"/>
        </w:rPr>
        <w:footnoteReference w:id="75"/>
      </w:r>
      <w:r w:rsidRPr="00F21B58" w:rsidR="00BA1501">
        <w:t xml:space="preserve">  </w:t>
      </w:r>
      <w:r w:rsidR="00BA1501">
        <w:t xml:space="preserve">Federal and state policymakers, in addition to the general public, have an urgent and </w:t>
      </w:r>
      <w:r w:rsidR="007B08A4">
        <w:t xml:space="preserve">compelling </w:t>
      </w:r>
      <w:r w:rsidR="00BA1501">
        <w:t xml:space="preserve">need for these data, </w:t>
      </w:r>
      <w:r w:rsidR="007B08A4">
        <w:t xml:space="preserve">particularly </w:t>
      </w:r>
      <w:r w:rsidR="00BA1501">
        <w:t xml:space="preserve">given they are a prerequisite to the distribution of many of the broadband deployment funds made available by Congress in the </w:t>
      </w:r>
      <w:r w:rsidR="00BC150A">
        <w:t>IIJA</w:t>
      </w:r>
      <w:r w:rsidR="00BA1501">
        <w:t>.</w:t>
      </w:r>
      <w:r>
        <w:rPr>
          <w:rStyle w:val="FootnoteReference"/>
        </w:rPr>
        <w:footnoteReference w:id="76"/>
      </w:r>
      <w:r w:rsidR="00776746">
        <w:t xml:space="preserve">  </w:t>
      </w:r>
    </w:p>
    <w:p w:rsidR="00856682" w:rsidP="00380D76" w14:paraId="6597B2E7" w14:textId="4AB30872">
      <w:pPr>
        <w:pStyle w:val="ParaNum"/>
      </w:pPr>
      <w:r>
        <w:t>In addition, w</w:t>
      </w:r>
      <w:r w:rsidR="00776746">
        <w:t xml:space="preserve">e urge reporting entities to </w:t>
      </w:r>
      <w:r w:rsidR="000E1B48">
        <w:t xml:space="preserve">upload their broadband availability data into the system </w:t>
      </w:r>
      <w:r w:rsidR="00AA0707">
        <w:t>well in advance of</w:t>
      </w:r>
      <w:r w:rsidR="000E1B48">
        <w:t xml:space="preserve"> the end of the filing window (i.e., before September 1, 2022).  </w:t>
      </w:r>
      <w:r w:rsidR="00776746">
        <w:t>The BDC system will include automatic checks and validations that will prevent filers from submitting faulty data</w:t>
      </w:r>
      <w:r w:rsidR="00C96C5E">
        <w:t>;</w:t>
      </w:r>
      <w:r w:rsidR="00776746">
        <w:t xml:space="preserve"> thus, filers </w:t>
      </w:r>
      <w:r w:rsidR="00C96C5E">
        <w:t>must</w:t>
      </w:r>
      <w:r w:rsidR="00776746">
        <w:t xml:space="preserve"> correct any errors identified by the system </w:t>
      </w:r>
      <w:r w:rsidRPr="3E52B3F8" w:rsidR="00776746">
        <w:rPr>
          <w:b/>
          <w:bCs/>
          <w:i/>
          <w:iCs/>
        </w:rPr>
        <w:t>prior</w:t>
      </w:r>
      <w:r w:rsidR="00776746">
        <w:t xml:space="preserve"> to </w:t>
      </w:r>
      <w:r w:rsidR="00C624BA">
        <w:t xml:space="preserve">submitting and certifying </w:t>
      </w:r>
      <w:r w:rsidR="000114EA">
        <w:t>a BDC filing</w:t>
      </w:r>
      <w:r w:rsidR="008C2D8F">
        <w:t>, which they must do before the filing deadline</w:t>
      </w:r>
      <w:r w:rsidR="00776746">
        <w:t>.</w:t>
      </w:r>
      <w:r>
        <w:rPr>
          <w:rStyle w:val="FootnoteReference"/>
        </w:rPr>
        <w:footnoteReference w:id="77"/>
      </w:r>
      <w:r>
        <w:t xml:space="preserve"> </w:t>
      </w:r>
      <w:r w:rsidR="005826E8">
        <w:t xml:space="preserve"> </w:t>
      </w:r>
      <w:r w:rsidR="00FA2E08">
        <w:t xml:space="preserve">Filing early in the </w:t>
      </w:r>
      <w:r w:rsidR="00807FAA">
        <w:t>window will affor</w:t>
      </w:r>
      <w:r w:rsidR="00C2738F">
        <w:t>d</w:t>
      </w:r>
      <w:r w:rsidR="00807FAA">
        <w:t xml:space="preserve"> filers an opportunity to make any necessary corrections in a</w:t>
      </w:r>
      <w:r w:rsidR="005C657F">
        <w:t xml:space="preserve">dvance of the deadline to assure that their submission is timely filed. </w:t>
      </w:r>
      <w:r>
        <w:t xml:space="preserve"> Stated another way, </w:t>
      </w:r>
      <w:r w:rsidR="00852C72">
        <w:t>a</w:t>
      </w:r>
      <w:r w:rsidR="007540E9">
        <w:t xml:space="preserve"> filer</w:t>
      </w:r>
      <w:r w:rsidR="003818D2">
        <w:t>’s</w:t>
      </w:r>
      <w:r w:rsidR="007540E9">
        <w:t xml:space="preserve"> fail</w:t>
      </w:r>
      <w:r w:rsidR="003818D2">
        <w:t>ure</w:t>
      </w:r>
      <w:r w:rsidR="007540E9">
        <w:t xml:space="preserve"> to take into account the time required to resub</w:t>
      </w:r>
      <w:r w:rsidR="003818D2">
        <w:t xml:space="preserve">mit data in response to potential rejections by these system validations </w:t>
      </w:r>
      <w:r w:rsidR="001202E0">
        <w:t xml:space="preserve">on or before the close of the </w:t>
      </w:r>
      <w:r w:rsidR="00BA02DB">
        <w:t xml:space="preserve">filing </w:t>
      </w:r>
      <w:r w:rsidR="001202E0">
        <w:t>window</w:t>
      </w:r>
      <w:r w:rsidR="009B53AB">
        <w:t xml:space="preserve"> w</w:t>
      </w:r>
      <w:r w:rsidR="0077482D">
        <w:t xml:space="preserve">ill not </w:t>
      </w:r>
      <w:r w:rsidR="00B212F7">
        <w:t xml:space="preserve">constitute a circumstance </w:t>
      </w:r>
      <w:r w:rsidR="00C46F5D">
        <w:t xml:space="preserve">beyond a filer’s control that would </w:t>
      </w:r>
      <w:r w:rsidR="009B53AB">
        <w:t>excu</w:t>
      </w:r>
      <w:r w:rsidR="004E74E7">
        <w:t>se</w:t>
      </w:r>
      <w:r w:rsidR="009B53AB">
        <w:t xml:space="preserve"> noncompliance with the deadline</w:t>
      </w:r>
      <w:r w:rsidR="001202E0">
        <w:t xml:space="preserve">.  </w:t>
      </w:r>
    </w:p>
    <w:p w:rsidR="00F577F9" w:rsidP="00380D76" w14:paraId="66384F57" w14:textId="43FEDA9D">
      <w:pPr>
        <w:pStyle w:val="ParaNum"/>
      </w:pPr>
      <w:r>
        <w:t xml:space="preserve">Third, </w:t>
      </w:r>
      <w:r w:rsidR="75C5BEBB">
        <w:t>we issue th</w:t>
      </w:r>
      <w:r w:rsidR="00BA58AD">
        <w:t xml:space="preserve">is </w:t>
      </w:r>
      <w:r w:rsidR="00F5048A">
        <w:t xml:space="preserve">Public </w:t>
      </w:r>
      <w:r w:rsidR="75C5BEBB">
        <w:t xml:space="preserve">Notice based upon our </w:t>
      </w:r>
      <w:r w:rsidR="00BD1909">
        <w:t xml:space="preserve">current expectation </w:t>
      </w:r>
      <w:r w:rsidR="75C5BEBB">
        <w:t xml:space="preserve">of when the </w:t>
      </w:r>
      <w:r w:rsidR="40CD195F">
        <w:t>BDC system, the Fabric data, a revised version of the FCC Speed Test app, approved third-party speed test apps, various forms of technical assistance, and other resources will be in place</w:t>
      </w:r>
      <w:r w:rsidR="5267A2BC">
        <w:t xml:space="preserve"> as part of the broader BDC framework.  As noted above, however, </w:t>
      </w:r>
      <w:r w:rsidR="3A9E55D6">
        <w:t xml:space="preserve">the delivery schedule for several of these resources could be affected by forces outside of the control of the </w:t>
      </w:r>
      <w:r w:rsidR="33EDEC03">
        <w:t>Commission</w:t>
      </w:r>
      <w:r w:rsidR="3A9E55D6">
        <w:t xml:space="preserve">.  </w:t>
      </w:r>
      <w:r w:rsidR="084B5F51">
        <w:t xml:space="preserve">While the end result of any one of these factors could be that we are forced to </w:t>
      </w:r>
      <w:r w:rsidR="19674962">
        <w:t xml:space="preserve">extend, on our own motion, the </w:t>
      </w:r>
      <w:r w:rsidR="39480382">
        <w:t xml:space="preserve">filing window dates, we do not expect that to be the case.  </w:t>
      </w:r>
      <w:r w:rsidR="2DA0EFBB">
        <w:t xml:space="preserve">On the contrary, </w:t>
      </w:r>
      <w:r w:rsidR="38B1FCBE">
        <w:t>i</w:t>
      </w:r>
      <w:r w:rsidR="5F926E77">
        <w:t xml:space="preserve">t is </w:t>
      </w:r>
      <w:r w:rsidR="0B7E9B76">
        <w:t>possible that</w:t>
      </w:r>
      <w:r w:rsidR="5C0496C2">
        <w:t xml:space="preserve"> all of the systems and processes comprising the BDC </w:t>
      </w:r>
      <w:r w:rsidR="0B7E9B76">
        <w:t>could be</w:t>
      </w:r>
      <w:r w:rsidR="5C0496C2">
        <w:t xml:space="preserve"> ready for launch in advance of </w:t>
      </w:r>
      <w:r w:rsidR="000F38E8">
        <w:t>June 30</w:t>
      </w:r>
      <w:r w:rsidR="0B7E9B76">
        <w:t xml:space="preserve">.  </w:t>
      </w:r>
      <w:r w:rsidR="35E99027">
        <w:t>In the event that</w:t>
      </w:r>
      <w:r w:rsidR="04271DF5">
        <w:t xml:space="preserve">, over the coming weeks, </w:t>
      </w:r>
      <w:r w:rsidR="489976F8">
        <w:t xml:space="preserve">the Broadband Data Task Force </w:t>
      </w:r>
      <w:r w:rsidR="00BD1909">
        <w:t xml:space="preserve">and OEA </w:t>
      </w:r>
      <w:r w:rsidR="33804D6B">
        <w:t xml:space="preserve">gather additional information indicating that the various components of the BDC will all be </w:t>
      </w:r>
      <w:r w:rsidR="066819DF">
        <w:t xml:space="preserve">ready and available for launch prior to </w:t>
      </w:r>
      <w:r w:rsidR="00894AE4">
        <w:t>June 30</w:t>
      </w:r>
      <w:r w:rsidR="5C0496C2">
        <w:t>, the</w:t>
      </w:r>
      <w:r w:rsidR="55E18DE9">
        <w:t xml:space="preserve">n </w:t>
      </w:r>
      <w:r w:rsidR="73AF3C34">
        <w:t xml:space="preserve">broadband service providers and entities intending to submit verified broadband availability data should take into consideration </w:t>
      </w:r>
      <w:r w:rsidR="009A1B23">
        <w:t xml:space="preserve">in their preparations for filing </w:t>
      </w:r>
      <w:r w:rsidR="73AF3C34">
        <w:t xml:space="preserve">that, pursuant to section 60103(c) of the IIJA, the </w:t>
      </w:r>
      <w:r w:rsidR="5C0496C2">
        <w:t xml:space="preserve">Commission </w:t>
      </w:r>
      <w:r w:rsidR="19F12006">
        <w:t xml:space="preserve">retains the </w:t>
      </w:r>
      <w:r w:rsidR="009A1B23">
        <w:t xml:space="preserve">statutory </w:t>
      </w:r>
      <w:r w:rsidR="19F12006">
        <w:t>discretion</w:t>
      </w:r>
      <w:r w:rsidR="00ED4DB7">
        <w:t>,</w:t>
      </w:r>
      <w:r w:rsidR="19F12006">
        <w:t xml:space="preserve"> </w:t>
      </w:r>
      <w:r w:rsidR="2D728FE9">
        <w:t>and</w:t>
      </w:r>
      <w:r w:rsidR="00ED4DB7">
        <w:t xml:space="preserve"> therefore</w:t>
      </w:r>
      <w:r w:rsidR="2D728FE9">
        <w:t xml:space="preserve"> reserves the right</w:t>
      </w:r>
      <w:r w:rsidR="00ED4DB7">
        <w:t>,</w:t>
      </w:r>
      <w:r w:rsidR="2D728FE9">
        <w:t xml:space="preserve"> </w:t>
      </w:r>
      <w:r w:rsidR="19F12006">
        <w:t>to</w:t>
      </w:r>
      <w:r w:rsidR="73AF3C34">
        <w:t xml:space="preserve"> issue an order </w:t>
      </w:r>
      <w:r w:rsidR="54F01E3D">
        <w:t>modifying the as-of</w:t>
      </w:r>
      <w:r w:rsidR="7B53E2F8">
        <w:t xml:space="preserve"> and</w:t>
      </w:r>
      <w:r w:rsidR="5C0496C2">
        <w:t xml:space="preserve"> filing </w:t>
      </w:r>
      <w:r w:rsidR="7B53E2F8">
        <w:t>window dates announced in this Public Notice</w:t>
      </w:r>
      <w:r w:rsidR="2D728FE9">
        <w:t xml:space="preserve"> to earlier dat</w:t>
      </w:r>
      <w:r w:rsidR="2D54DAF5">
        <w:t>es</w:t>
      </w:r>
      <w:r w:rsidR="7B53E2F8">
        <w:t xml:space="preserve">, subject to providing </w:t>
      </w:r>
      <w:r w:rsidR="5C0496C2">
        <w:t>notice</w:t>
      </w:r>
      <w:r w:rsidR="082BAA33">
        <w:t xml:space="preserve"> not later than 60 days before the deadline for submission </w:t>
      </w:r>
      <w:r w:rsidR="31F0849D">
        <w:t>of the data</w:t>
      </w:r>
      <w:r w:rsidR="5C0496C2">
        <w:t>.</w:t>
      </w:r>
    </w:p>
    <w:p w:rsidR="00DE248F" w:rsidP="005410D2" w14:paraId="6B23AD59" w14:textId="30230158">
      <w:pPr>
        <w:pStyle w:val="Heading2"/>
      </w:pPr>
      <w:r>
        <w:t xml:space="preserve">BDC </w:t>
      </w:r>
      <w:r>
        <w:t>Data Specifications</w:t>
      </w:r>
    </w:p>
    <w:p w:rsidR="00AB0E37" w:rsidP="00EB61B5" w14:paraId="637C1904" w14:textId="678464B3">
      <w:pPr>
        <w:pStyle w:val="ParaNum"/>
        <w:widowControl/>
      </w:pPr>
      <w:r>
        <w:t>We intend to release detailed d</w:t>
      </w:r>
      <w:r w:rsidR="00A70837">
        <w:t xml:space="preserve">ata specifications that </w:t>
      </w:r>
      <w:r w:rsidR="006B6ED7">
        <w:t>instruct</w:t>
      </w:r>
      <w:r w:rsidR="000C768E">
        <w:t xml:space="preserve"> </w:t>
      </w:r>
      <w:r w:rsidR="00F220A5">
        <w:t xml:space="preserve">filers on how </w:t>
      </w:r>
      <w:r w:rsidR="003A6C16">
        <w:t xml:space="preserve">they must </w:t>
      </w:r>
      <w:r w:rsidR="00F220A5">
        <w:t xml:space="preserve">prepare </w:t>
      </w:r>
      <w:r w:rsidR="003A6C16">
        <w:t xml:space="preserve">and format </w:t>
      </w:r>
      <w:r w:rsidR="00F220A5">
        <w:t>their BDC availability data</w:t>
      </w:r>
      <w:r w:rsidR="00A70837">
        <w:t xml:space="preserve">.  The specifications </w:t>
      </w:r>
      <w:r w:rsidR="008B0335">
        <w:t xml:space="preserve">will </w:t>
      </w:r>
      <w:r w:rsidR="00A70837">
        <w:t>address the types of data that must</w:t>
      </w:r>
      <w:r w:rsidR="00F220A5">
        <w:t xml:space="preserve"> or may</w:t>
      </w:r>
      <w:r w:rsidR="00A70837">
        <w:t xml:space="preserve"> be submitted</w:t>
      </w:r>
      <w:r w:rsidR="00F220A5">
        <w:t xml:space="preserve"> by different entities</w:t>
      </w:r>
      <w:r w:rsidR="00A70837">
        <w:t xml:space="preserve">, how the system will accept the data, how files </w:t>
      </w:r>
      <w:r w:rsidR="006235DC">
        <w:t xml:space="preserve">must </w:t>
      </w:r>
      <w:r w:rsidR="00A70837">
        <w:t>be formatted</w:t>
      </w:r>
      <w:r w:rsidR="003B27A4">
        <w:t xml:space="preserve"> for upload</w:t>
      </w:r>
      <w:r w:rsidR="00A70837">
        <w:t>, and the values that the system will accept and validate against other sources.</w:t>
      </w:r>
      <w:r w:rsidR="006235DC">
        <w:t xml:space="preserve"> </w:t>
      </w:r>
      <w:r w:rsidR="00A70837">
        <w:t xml:space="preserve"> </w:t>
      </w:r>
      <w:r w:rsidR="0045783A">
        <w:t xml:space="preserve">In </w:t>
      </w:r>
      <w:r w:rsidR="0045783A">
        <w:t xml:space="preserve">addition to announcing the </w:t>
      </w:r>
      <w:r w:rsidR="00DB56E7">
        <w:t>release</w:t>
      </w:r>
      <w:r w:rsidR="0045783A">
        <w:t xml:space="preserve"> of the data specifications </w:t>
      </w:r>
      <w:r w:rsidR="001169AE">
        <w:t>by a public notice, t</w:t>
      </w:r>
      <w:r w:rsidR="00A70837">
        <w:t xml:space="preserve">he specifications </w:t>
      </w:r>
      <w:r w:rsidR="008B0335">
        <w:t xml:space="preserve">will </w:t>
      </w:r>
      <w:r w:rsidR="001B0AF4">
        <w:t xml:space="preserve">also </w:t>
      </w:r>
      <w:r w:rsidR="008B0335">
        <w:t xml:space="preserve">be </w:t>
      </w:r>
      <w:r w:rsidR="00A70837">
        <w:t xml:space="preserve">available </w:t>
      </w:r>
      <w:r w:rsidR="00B07E22">
        <w:t xml:space="preserve">on the BDC webpage at </w:t>
      </w:r>
      <w:hyperlink r:id="rId5" w:history="1">
        <w:r w:rsidRPr="3E52B3F8" w:rsidR="1F410A48">
          <w:rPr>
            <w:rStyle w:val="Hyperlink"/>
          </w:rPr>
          <w:t>https://www.fcc.gov/BroadbandData/</w:t>
        </w:r>
      </w:hyperlink>
      <w:r w:rsidR="1F410A48">
        <w:t xml:space="preserve">. </w:t>
      </w:r>
    </w:p>
    <w:p w:rsidR="00AB0E37" w:rsidP="005410D2" w14:paraId="6AC71E7E" w14:textId="5D181B9D">
      <w:pPr>
        <w:pStyle w:val="Heading2"/>
      </w:pPr>
      <w:r>
        <w:t>Form 477 Filing Requirements</w:t>
      </w:r>
      <w:r w:rsidR="00BF4ABE">
        <w:t xml:space="preserve"> and</w:t>
      </w:r>
      <w:r w:rsidR="00F978FD">
        <w:t xml:space="preserve"> Subscription Data</w:t>
      </w:r>
    </w:p>
    <w:p w:rsidR="00C6634F" w:rsidP="00EB61B5" w14:paraId="16EC127A" w14:textId="5A2C5CDC">
      <w:pPr>
        <w:pStyle w:val="ParaNum"/>
        <w:widowControl/>
      </w:pPr>
      <w:r>
        <w:t>This Notice does not alter the obligation</w:t>
      </w:r>
      <w:r w:rsidR="007111CB">
        <w:t xml:space="preserve"> of service prov</w:t>
      </w:r>
      <w:r w:rsidR="006918FF">
        <w:t>iders</w:t>
      </w:r>
      <w:r>
        <w:t xml:space="preserve"> to file the semiannual Form 477 filing. </w:t>
      </w:r>
      <w:r w:rsidR="00AF57D7">
        <w:t xml:space="preserve"> </w:t>
      </w:r>
      <w:r w:rsidR="00D71962">
        <w:t xml:space="preserve">In the </w:t>
      </w:r>
      <w:r w:rsidRPr="3E52B3F8" w:rsidR="00D71962">
        <w:rPr>
          <w:i/>
          <w:iCs/>
        </w:rPr>
        <w:t>Third Report and Order</w:t>
      </w:r>
      <w:r w:rsidR="00D71962">
        <w:t>, t</w:t>
      </w:r>
      <w:r w:rsidR="00AF57D7">
        <w:t xml:space="preserve">he Commission stated that it would </w:t>
      </w:r>
      <w:r w:rsidR="009C5993">
        <w:t xml:space="preserve">continue the “census-based deployment data collection under Form 477 </w:t>
      </w:r>
      <w:r w:rsidR="006C1913">
        <w:t xml:space="preserve">[for fixed service providers] </w:t>
      </w:r>
      <w:r w:rsidR="009C5993">
        <w:t>for at least one reporting cycle after the new granular reporting collection commences.”</w:t>
      </w:r>
      <w:r>
        <w:rPr>
          <w:rStyle w:val="FootnoteReference"/>
        </w:rPr>
        <w:footnoteReference w:id="78"/>
      </w:r>
      <w:r w:rsidR="009C5993">
        <w:t xml:space="preserve"> </w:t>
      </w:r>
      <w:r>
        <w:t xml:space="preserve"> </w:t>
      </w:r>
      <w:r w:rsidRPr="006E0A42" w:rsidR="00C07ACB">
        <w:t>The Commission likewise did not specify a sunset date for the Form 477 broadband deployment collection for mobile service providers.</w:t>
      </w:r>
      <w:r>
        <w:rPr>
          <w:rStyle w:val="FootnoteReference"/>
        </w:rPr>
        <w:footnoteReference w:id="79"/>
      </w:r>
      <w:r w:rsidR="00C07ACB">
        <w:t xml:space="preserve">  </w:t>
      </w:r>
      <w:r>
        <w:t xml:space="preserve">Until the Commission announces </w:t>
      </w:r>
      <w:r w:rsidR="00580706">
        <w:t>a</w:t>
      </w:r>
      <w:r>
        <w:t xml:space="preserve"> sunset </w:t>
      </w:r>
      <w:r w:rsidR="00580706">
        <w:t>date for</w:t>
      </w:r>
      <w:r>
        <w:t xml:space="preserve"> </w:t>
      </w:r>
      <w:r w:rsidR="003D0FCA">
        <w:t xml:space="preserve">the submission of </w:t>
      </w:r>
      <w:r>
        <w:t>Form 477</w:t>
      </w:r>
      <w:r w:rsidR="00D16806">
        <w:t xml:space="preserve"> </w:t>
      </w:r>
      <w:r w:rsidR="0068364C">
        <w:t xml:space="preserve">broadband </w:t>
      </w:r>
      <w:r w:rsidR="00D16806">
        <w:t>deployment data</w:t>
      </w:r>
      <w:r>
        <w:t xml:space="preserve">, all service providers required to submit </w:t>
      </w:r>
      <w:r w:rsidR="003D0FCA">
        <w:t xml:space="preserve">these </w:t>
      </w:r>
      <w:r>
        <w:t xml:space="preserve">data </w:t>
      </w:r>
      <w:r w:rsidR="00191ABE">
        <w:t>under</w:t>
      </w:r>
      <w:r>
        <w:t xml:space="preserve"> Form 477 must continue </w:t>
      </w:r>
      <w:r w:rsidR="00191ABE">
        <w:t>to do so</w:t>
      </w:r>
      <w:r>
        <w:t>.</w:t>
      </w:r>
      <w:r>
        <w:rPr>
          <w:rStyle w:val="FootnoteReference"/>
        </w:rPr>
        <w:footnoteReference w:id="80"/>
      </w:r>
    </w:p>
    <w:p w:rsidR="00025A91" w:rsidRPr="00BC0C22" w:rsidP="006F7BD4" w14:paraId="5764A2ED" w14:textId="1D33B322">
      <w:pPr>
        <w:pStyle w:val="ParaNum"/>
      </w:pPr>
      <w:r>
        <w:t>Additionally, f</w:t>
      </w:r>
      <w:r w:rsidR="00C83337">
        <w:t xml:space="preserve">ixed and mobile </w:t>
      </w:r>
      <w:r w:rsidR="00F33A7D">
        <w:t>broadband</w:t>
      </w:r>
      <w:r w:rsidR="00C83337">
        <w:t xml:space="preserve"> service providers </w:t>
      </w:r>
      <w:r w:rsidR="007C1168">
        <w:t>that</w:t>
      </w:r>
      <w:r w:rsidR="00C83337">
        <w:t xml:space="preserve"> have traditionally </w:t>
      </w:r>
      <w:r w:rsidR="00B94EAC">
        <w:t xml:space="preserve">filed broadband and voice subscribership data in the FCC’s Form 477 filing interface will be required to file </w:t>
      </w:r>
      <w:r w:rsidR="00BF56A2">
        <w:t xml:space="preserve">these </w:t>
      </w:r>
      <w:r w:rsidR="005528AB">
        <w:t>subscribership</w:t>
      </w:r>
      <w:r w:rsidR="00601298">
        <w:t xml:space="preserve"> </w:t>
      </w:r>
      <w:r w:rsidR="00B94EAC">
        <w:t xml:space="preserve">data in </w:t>
      </w:r>
      <w:r w:rsidRPr="3E52B3F8" w:rsidR="00B94EAC">
        <w:rPr>
          <w:i/>
          <w:iCs/>
        </w:rPr>
        <w:t>both</w:t>
      </w:r>
      <w:r w:rsidR="00B94EAC">
        <w:t xml:space="preserve"> the new BDC </w:t>
      </w:r>
      <w:r w:rsidR="00601298">
        <w:t>s</w:t>
      </w:r>
      <w:r w:rsidR="00B94EAC">
        <w:t xml:space="preserve">ystem </w:t>
      </w:r>
      <w:r w:rsidR="00601298">
        <w:t>and</w:t>
      </w:r>
      <w:r w:rsidR="00B94EAC">
        <w:t xml:space="preserve"> the </w:t>
      </w:r>
      <w:r w:rsidR="00220A93">
        <w:t>existing</w:t>
      </w:r>
      <w:r w:rsidR="00B94EAC">
        <w:t xml:space="preserve"> Form 477 filing interface. </w:t>
      </w:r>
      <w:r w:rsidR="00ED55D3">
        <w:t xml:space="preserve"> The </w:t>
      </w:r>
      <w:r w:rsidR="00660AC6">
        <w:t xml:space="preserve">Commission </w:t>
      </w:r>
      <w:r w:rsidR="004F67FE">
        <w:t xml:space="preserve">has several reasons for requiring filers to </w:t>
      </w:r>
      <w:r w:rsidR="00BF56A2">
        <w:t xml:space="preserve">submit </w:t>
      </w:r>
      <w:r w:rsidR="004F67FE">
        <w:t>subscribership data in both</w:t>
      </w:r>
      <w:r w:rsidR="00E008F9">
        <w:t xml:space="preserve"> </w:t>
      </w:r>
      <w:r w:rsidR="00F8455E">
        <w:t>systems</w:t>
      </w:r>
      <w:r w:rsidR="00E008F9">
        <w:t>.  First, as</w:t>
      </w:r>
      <w:r w:rsidR="00791DBF">
        <w:t xml:space="preserve"> referenced above, </w:t>
      </w:r>
      <w:r w:rsidR="00F8455E">
        <w:t>we</w:t>
      </w:r>
      <w:r w:rsidR="0067562E">
        <w:t xml:space="preserve"> anticipate</w:t>
      </w:r>
      <w:r w:rsidR="00F8455E">
        <w:t xml:space="preserve"> </w:t>
      </w:r>
      <w:r w:rsidR="00DC05F0">
        <w:t xml:space="preserve">that </w:t>
      </w:r>
      <w:r w:rsidR="00F8455E">
        <w:t>the Commission will</w:t>
      </w:r>
      <w:r w:rsidR="0067562E">
        <w:t xml:space="preserve"> sunset </w:t>
      </w:r>
      <w:r w:rsidR="00CD667B">
        <w:t>the</w:t>
      </w:r>
      <w:r w:rsidR="0067562E">
        <w:t xml:space="preserve"> </w:t>
      </w:r>
      <w:r w:rsidR="00276E1F">
        <w:t xml:space="preserve">collection of broadband </w:t>
      </w:r>
      <w:r w:rsidRPr="000A1935" w:rsidR="00276E1F">
        <w:t>deployment</w:t>
      </w:r>
      <w:r w:rsidRPr="00406B17" w:rsidR="00276E1F">
        <w:t xml:space="preserve"> </w:t>
      </w:r>
      <w:r w:rsidR="00276E1F">
        <w:t xml:space="preserve">data </w:t>
      </w:r>
      <w:r w:rsidR="00D932E1">
        <w:t xml:space="preserve">under Form 477 </w:t>
      </w:r>
      <w:r w:rsidR="002D72AC">
        <w:t xml:space="preserve">and </w:t>
      </w:r>
      <w:r w:rsidR="00817208">
        <w:t xml:space="preserve">then </w:t>
      </w:r>
      <w:r w:rsidR="002D72AC">
        <w:t xml:space="preserve">decommission </w:t>
      </w:r>
      <w:r w:rsidR="00BB7295">
        <w:t xml:space="preserve">the </w:t>
      </w:r>
      <w:r w:rsidR="00B464E9">
        <w:t xml:space="preserve">use of the </w:t>
      </w:r>
      <w:r w:rsidR="00BB7295">
        <w:t xml:space="preserve">existing </w:t>
      </w:r>
      <w:r w:rsidR="00817208">
        <w:t xml:space="preserve">Form 477 </w:t>
      </w:r>
      <w:r w:rsidR="00BB7295">
        <w:t xml:space="preserve">filing </w:t>
      </w:r>
      <w:r w:rsidR="00817208">
        <w:t xml:space="preserve">interface </w:t>
      </w:r>
      <w:r w:rsidR="00D932E1">
        <w:t>to</w:t>
      </w:r>
      <w:r w:rsidR="00D82ABD">
        <w:t xml:space="preserve"> collect new data </w:t>
      </w:r>
      <w:r w:rsidR="00D932E1">
        <w:t>at a yet-to-be-determined date</w:t>
      </w:r>
      <w:r w:rsidR="003C0C2D">
        <w:t xml:space="preserve">.  </w:t>
      </w:r>
      <w:r w:rsidR="004C2A60">
        <w:t xml:space="preserve">However, the collection of </w:t>
      </w:r>
      <w:r w:rsidR="00E95993">
        <w:t>Form 477</w:t>
      </w:r>
      <w:r w:rsidR="004C2A60">
        <w:t xml:space="preserve"> subscribership data</w:t>
      </w:r>
      <w:r w:rsidR="007D62B7">
        <w:t xml:space="preserve"> will continue,</w:t>
      </w:r>
      <w:r>
        <w:rPr>
          <w:rStyle w:val="FootnoteReference"/>
        </w:rPr>
        <w:footnoteReference w:id="81"/>
      </w:r>
      <w:r w:rsidR="007D62B7">
        <w:t xml:space="preserve"> </w:t>
      </w:r>
      <w:r w:rsidR="008A3E10">
        <w:t xml:space="preserve">and </w:t>
      </w:r>
      <w:r w:rsidR="00A95E53">
        <w:t>by collecting th</w:t>
      </w:r>
      <w:r w:rsidR="00CD667B">
        <w:t>ese</w:t>
      </w:r>
      <w:r w:rsidR="00A95E53">
        <w:t xml:space="preserve"> data through the</w:t>
      </w:r>
      <w:r w:rsidR="008A3E10">
        <w:t xml:space="preserve"> BDC </w:t>
      </w:r>
      <w:r w:rsidR="009431E4">
        <w:t>s</w:t>
      </w:r>
      <w:r w:rsidR="008A3E10">
        <w:t>ystem</w:t>
      </w:r>
      <w:r w:rsidR="00A95E53">
        <w:t xml:space="preserve">, filers will be able to </w:t>
      </w:r>
      <w:r w:rsidR="00A41DBF">
        <w:t xml:space="preserve">submit all of their biannual broadband and voice data in a single system at the same time.  </w:t>
      </w:r>
      <w:r w:rsidR="00254703">
        <w:t xml:space="preserve">Further, </w:t>
      </w:r>
      <w:r w:rsidR="0033245F">
        <w:t xml:space="preserve">collecting </w:t>
      </w:r>
      <w:r w:rsidR="00066D88">
        <w:t xml:space="preserve">subscribership </w:t>
      </w:r>
      <w:r w:rsidR="00F5411F">
        <w:t xml:space="preserve">data in the BDC </w:t>
      </w:r>
      <w:r w:rsidR="009431E4">
        <w:t>s</w:t>
      </w:r>
      <w:r w:rsidR="00F5411F">
        <w:t xml:space="preserve">ystem will improve the </w:t>
      </w:r>
      <w:r w:rsidR="00D05C67">
        <w:t xml:space="preserve">quality of both the </w:t>
      </w:r>
      <w:r w:rsidR="00ED795D">
        <w:t xml:space="preserve">BDC availability </w:t>
      </w:r>
      <w:r w:rsidR="00F5411F">
        <w:t xml:space="preserve">data </w:t>
      </w:r>
      <w:r w:rsidR="00ED795D">
        <w:t xml:space="preserve">and the </w:t>
      </w:r>
      <w:r w:rsidR="004A5A9C">
        <w:t xml:space="preserve">Form 477 </w:t>
      </w:r>
      <w:r w:rsidR="00ED795D">
        <w:t xml:space="preserve">subscribership data </w:t>
      </w:r>
      <w:r w:rsidR="00DD370A">
        <w:t xml:space="preserve">because the system will conduct </w:t>
      </w:r>
      <w:r w:rsidR="00E83A83">
        <w:t xml:space="preserve">automated data quality checks </w:t>
      </w:r>
      <w:r w:rsidR="0033245F">
        <w:t>comparing</w:t>
      </w:r>
      <w:r w:rsidR="00E83A83">
        <w:t xml:space="preserve"> the </w:t>
      </w:r>
      <w:r w:rsidR="004A5A9C">
        <w:t xml:space="preserve">two types of </w:t>
      </w:r>
      <w:r w:rsidR="00E83A83">
        <w:t xml:space="preserve">data </w:t>
      </w:r>
      <w:r w:rsidR="004A5A9C">
        <w:t>and identi</w:t>
      </w:r>
      <w:r w:rsidR="004B7544">
        <w:t xml:space="preserve">fying </w:t>
      </w:r>
      <w:r w:rsidR="0007533C">
        <w:t xml:space="preserve">errors or </w:t>
      </w:r>
      <w:r w:rsidR="00531250">
        <w:t>inconsistencies</w:t>
      </w:r>
      <w:r w:rsidR="0007533C">
        <w:t xml:space="preserve"> for filers in real time</w:t>
      </w:r>
      <w:r w:rsidR="00E83A83">
        <w:t xml:space="preserve">.  Finally, it will </w:t>
      </w:r>
      <w:r w:rsidR="00E96CB7">
        <w:t xml:space="preserve">enable the </w:t>
      </w:r>
      <w:r w:rsidR="000C2C52">
        <w:t xml:space="preserve">Commission </w:t>
      </w:r>
      <w:r w:rsidR="00E96CB7">
        <w:t xml:space="preserve">to track whether the same provider is complying with both the Form 477 and BDC </w:t>
      </w:r>
      <w:r w:rsidR="009431E4">
        <w:t>c</w:t>
      </w:r>
      <w:r w:rsidR="00E96CB7">
        <w:t xml:space="preserve">ollections. </w:t>
      </w:r>
      <w:r w:rsidR="00EA54D6">
        <w:t xml:space="preserve"> </w:t>
      </w:r>
      <w:r w:rsidR="00C8476D">
        <w:t xml:space="preserve">Therefore, </w:t>
      </w:r>
      <w:r w:rsidR="003B4FF4">
        <w:t xml:space="preserve">fixed and mobile service providers that </w:t>
      </w:r>
      <w:r w:rsidR="003F1C7F">
        <w:t>offer both broadband and voice services must file subscribership data for both services</w:t>
      </w:r>
      <w:r w:rsidR="00C8476D">
        <w:t xml:space="preserve"> </w:t>
      </w:r>
      <w:r w:rsidR="00CA36A3">
        <w:t>in both the BDC system and the Form 477 filing interface for data as of June 30, 2022 and until the Commission</w:t>
      </w:r>
      <w:r w:rsidR="00C018F0">
        <w:t xml:space="preserve"> decommissions the Form 477 filing interface</w:t>
      </w:r>
      <w:r w:rsidR="00CA36A3">
        <w:t xml:space="preserve">.  </w:t>
      </w:r>
      <w:r w:rsidR="001F215E">
        <w:t xml:space="preserve">Service providers that offer </w:t>
      </w:r>
      <w:r w:rsidRPr="007036BC" w:rsidR="001F215E">
        <w:t>only</w:t>
      </w:r>
      <w:r w:rsidR="001F215E">
        <w:t xml:space="preserve"> voice service</w:t>
      </w:r>
      <w:r w:rsidR="003F1C7F">
        <w:t xml:space="preserve"> </w:t>
      </w:r>
      <w:r w:rsidR="00C018F0">
        <w:t xml:space="preserve">(and do not also offer broadband service) are not required to </w:t>
      </w:r>
      <w:r w:rsidR="001840B2">
        <w:t>submit their voice subscribership data in both systems</w:t>
      </w:r>
      <w:r w:rsidR="00F11AF3">
        <w:t xml:space="preserve">; </w:t>
      </w:r>
      <w:r w:rsidR="00220762">
        <w:t xml:space="preserve">such </w:t>
      </w:r>
      <w:r w:rsidR="00F11AF3">
        <w:t>data as-of June 30, 2022 must be submitted in the Form 477 filing interface</w:t>
      </w:r>
      <w:r w:rsidR="001840B2">
        <w:t>.</w:t>
      </w:r>
      <w:r>
        <w:rPr>
          <w:rStyle w:val="FootnoteReference"/>
        </w:rPr>
        <w:footnoteReference w:id="82"/>
      </w:r>
    </w:p>
    <w:p w:rsidR="000D084E" w:rsidP="005410D2" w14:paraId="7F866CE6" w14:textId="2738EB1F">
      <w:pPr>
        <w:pStyle w:val="Heading2"/>
      </w:pPr>
      <w:r>
        <w:t>Forthcoming Resources</w:t>
      </w:r>
      <w:r w:rsidR="003E0497">
        <w:t xml:space="preserve"> and Additional Information</w:t>
      </w:r>
    </w:p>
    <w:p w:rsidR="003E0497" w:rsidP="00F13A8D" w14:paraId="2749B388" w14:textId="2738EB1F">
      <w:pPr>
        <w:pStyle w:val="ParaNum"/>
      </w:pPr>
      <w:r>
        <w:t>T</w:t>
      </w:r>
      <w:r w:rsidR="00025A91">
        <w:t xml:space="preserve">he </w:t>
      </w:r>
      <w:r w:rsidR="00F87874">
        <w:t xml:space="preserve">Commission </w:t>
      </w:r>
      <w:r w:rsidR="00025A91">
        <w:t xml:space="preserve">will </w:t>
      </w:r>
      <w:r w:rsidR="005E7D53">
        <w:t xml:space="preserve">release over the coming </w:t>
      </w:r>
      <w:r w:rsidR="00933D38">
        <w:t>weeks</w:t>
      </w:r>
      <w:r w:rsidR="005E7D53">
        <w:t xml:space="preserve"> a number of additional resources pertaining to the BDC including</w:t>
      </w:r>
      <w:r w:rsidR="00252708">
        <w:t>, but not limited to</w:t>
      </w:r>
      <w:r w:rsidR="005E7D53">
        <w:t xml:space="preserve">: </w:t>
      </w:r>
      <w:r w:rsidR="00E42FF1">
        <w:t xml:space="preserve">data specifications for broadband availability data, challenge and crowdsource data, infrastructure data for challenge rebuttal, and third-party speed test data; </w:t>
      </w:r>
      <w:r w:rsidR="00E651E0">
        <w:t xml:space="preserve">a User Guide for the BDC system; </w:t>
      </w:r>
      <w:r w:rsidR="005E7D53">
        <w:t>an order</w:t>
      </w:r>
      <w:r w:rsidR="0080126A">
        <w:t xml:space="preserve"> establishing the technical requirements for the mobile challenge, verification, and crowdsourcing processes</w:t>
      </w:r>
      <w:r w:rsidR="009431E4">
        <w:t xml:space="preserve"> </w:t>
      </w:r>
      <w:r w:rsidR="00055870">
        <w:t xml:space="preserve">based on the record developed in response to the </w:t>
      </w:r>
      <w:r w:rsidRPr="3E52B3F8" w:rsidR="00055870">
        <w:rPr>
          <w:i/>
          <w:iCs/>
        </w:rPr>
        <w:t>BDC Mobile Technical Requirements Public Notice</w:t>
      </w:r>
      <w:r w:rsidR="00055870">
        <w:t>; a public notic</w:t>
      </w:r>
      <w:r w:rsidR="00C71995">
        <w:t xml:space="preserve">e announcing the process through which third-party speed test apps can seek approval from OET for use </w:t>
      </w:r>
      <w:r w:rsidR="00C931EE">
        <w:t xml:space="preserve">in the challenge and crowdsource </w:t>
      </w:r>
      <w:r w:rsidR="00C931EE">
        <w:t>processes</w:t>
      </w:r>
      <w:r w:rsidR="00693F58">
        <w:t xml:space="preserve">; </w:t>
      </w:r>
      <w:r w:rsidR="007C697C">
        <w:t xml:space="preserve">guidance </w:t>
      </w:r>
      <w:r w:rsidR="00F90B1B">
        <w:t xml:space="preserve">on the process for </w:t>
      </w:r>
      <w:r w:rsidR="003C3E2E">
        <w:t xml:space="preserve">authenticating </w:t>
      </w:r>
      <w:r w:rsidR="00F90B1B">
        <w:t>state, local, and Tribal government filers</w:t>
      </w:r>
      <w:r w:rsidR="00E42FF1">
        <w:t xml:space="preserve"> primarily responsible for mapping or tracking broadband </w:t>
      </w:r>
      <w:r w:rsidR="00BC4A83">
        <w:t>service coverage</w:t>
      </w:r>
      <w:r w:rsidR="00252708">
        <w:t xml:space="preserve">; </w:t>
      </w:r>
      <w:r w:rsidR="00186588">
        <w:t xml:space="preserve">and information on </w:t>
      </w:r>
      <w:r w:rsidR="006B62F6">
        <w:t xml:space="preserve">the technical </w:t>
      </w:r>
      <w:r w:rsidR="00571B20">
        <w:t>assistance resources</w:t>
      </w:r>
      <w:r w:rsidR="00EA54D6">
        <w:t xml:space="preserve"> and support</w:t>
      </w:r>
      <w:r w:rsidR="00571B20">
        <w:t xml:space="preserve"> the Commission will make available as part of the BDC</w:t>
      </w:r>
      <w:r w:rsidR="0008302A">
        <w:t xml:space="preserve">.  </w:t>
      </w:r>
      <w:r w:rsidR="00C36D13">
        <w:t xml:space="preserve">These, and all other releases pertaining to the BDC, will be made available on </w:t>
      </w:r>
      <w:r w:rsidR="00CD6D64">
        <w:t xml:space="preserve">the </w:t>
      </w:r>
      <w:r w:rsidR="00C36D13">
        <w:t>BDC webpage</w:t>
      </w:r>
      <w:r w:rsidR="00CD6D64">
        <w:t xml:space="preserve">, at </w:t>
      </w:r>
      <w:hyperlink r:id="rId5" w:history="1">
        <w:r w:rsidRPr="3E52B3F8" w:rsidR="55032F5E">
          <w:rPr>
            <w:rStyle w:val="Hyperlink"/>
          </w:rPr>
          <w:t>https://www.fcc.gov/BroadbandData/</w:t>
        </w:r>
      </w:hyperlink>
      <w:r w:rsidR="00CD6D64">
        <w:t xml:space="preserve">. </w:t>
      </w:r>
    </w:p>
    <w:p w:rsidR="00C05DDD" w:rsidP="00A01A9F" w14:paraId="0B2CC22B" w14:textId="7D6B1F6F">
      <w:pPr>
        <w:pStyle w:val="ParaNum"/>
        <w:widowControl/>
      </w:pPr>
      <w:r>
        <w:t>For additional information</w:t>
      </w:r>
      <w:r w:rsidR="00673380">
        <w:t xml:space="preserve"> and questions regarding the Broadband Data Collection</w:t>
      </w:r>
      <w:r w:rsidR="00607F44">
        <w:t xml:space="preserve"> </w:t>
      </w:r>
      <w:r w:rsidR="026A73E1">
        <w:t xml:space="preserve">please visit the BDC website at </w:t>
      </w:r>
      <w:hyperlink r:id="rId6" w:history="1">
        <w:r w:rsidRPr="590B4C43" w:rsidR="59A5634B">
          <w:rPr>
            <w:rStyle w:val="Hyperlink"/>
          </w:rPr>
          <w:t>www.FCC.gov/BroadbandData</w:t>
        </w:r>
      </w:hyperlink>
      <w:r w:rsidR="026A73E1">
        <w:t xml:space="preserve"> or </w:t>
      </w:r>
      <w:r>
        <w:t>email</w:t>
      </w:r>
      <w:r w:rsidR="002F0B5B">
        <w:t xml:space="preserve"> </w:t>
      </w:r>
      <w:hyperlink r:id="rId7" w:history="1">
        <w:r w:rsidRPr="3E52B3F8" w:rsidR="2CC9C355">
          <w:rPr>
            <w:rStyle w:val="Hyperlink"/>
          </w:rPr>
          <w:t>BroadbandDataInquiries@fcc.gov</w:t>
        </w:r>
      </w:hyperlink>
      <w:r w:rsidR="78EECD58">
        <w:t>.</w:t>
      </w:r>
      <w:r>
        <w:t xml:space="preserve">  </w:t>
      </w:r>
      <w:r w:rsidR="008B4B86">
        <w:t>For media inquiries please conta</w:t>
      </w:r>
      <w:r w:rsidR="003B3D30">
        <w:t>c</w:t>
      </w:r>
      <w:r w:rsidR="008B4B86">
        <w:t>t Anne</w:t>
      </w:r>
      <w:r w:rsidR="003B3D30">
        <w:t xml:space="preserve"> Veigle in the Office of Media Relations at </w:t>
      </w:r>
      <w:hyperlink r:id="rId8" w:history="1">
        <w:r w:rsidRPr="3E52B3F8" w:rsidR="20226C8F">
          <w:rPr>
            <w:rStyle w:val="Hyperlink"/>
          </w:rPr>
          <w:t>anne.veigle@fcc.gov</w:t>
        </w:r>
      </w:hyperlink>
      <w:r w:rsidR="20226C8F">
        <w:t xml:space="preserve">. </w:t>
      </w:r>
    </w:p>
    <w:p w:rsidR="00C05DDD" w:rsidRPr="002419D4" w:rsidP="002419D4" w14:paraId="4F218FD0" w14:textId="77777777">
      <w:pPr>
        <w:pStyle w:val="ParaNum"/>
        <w:numPr>
          <w:ilvl w:val="0"/>
          <w:numId w:val="0"/>
        </w:numPr>
        <w:jc w:val="center"/>
        <w:rPr>
          <w:b/>
          <w:bCs/>
        </w:rPr>
      </w:pPr>
      <w:r w:rsidRPr="002419D4">
        <w:rPr>
          <w:b/>
          <w:bCs/>
        </w:rPr>
        <w:t>– FCC –</w:t>
      </w:r>
    </w:p>
    <w:p w:rsidR="00404B53" w:rsidRPr="00404B53" w:rsidP="00C05DDD" w14:paraId="579DA854" w14:textId="77777777">
      <w:pPr>
        <w:pStyle w:val="ParaNum"/>
        <w:numPr>
          <w:ilvl w:val="0"/>
          <w:numId w:val="0"/>
        </w:numPr>
        <w:ind w:left="720"/>
      </w:pP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471" w14:paraId="017D7CBD" w14:textId="77777777">
    <w:pPr>
      <w:pStyle w:val="Footer"/>
      <w:framePr w:wrap="around" w:vAnchor="text" w:hAnchor="margin" w:xAlign="center" w:y="1"/>
    </w:pPr>
    <w:r>
      <w:fldChar w:fldCharType="begin"/>
    </w:r>
    <w:r>
      <w:instrText xml:space="preserve">PAGE  </w:instrText>
    </w:r>
    <w:r>
      <w:fldChar w:fldCharType="separate"/>
    </w:r>
    <w:r>
      <w:fldChar w:fldCharType="end"/>
    </w:r>
  </w:p>
  <w:p w:rsidR="00B31471" w14:paraId="46270B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471" w14:paraId="11CE467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471" w14:paraId="3B8DE78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294F" w14:paraId="17F0B037" w14:textId="77777777">
      <w:r>
        <w:separator/>
      </w:r>
    </w:p>
  </w:footnote>
  <w:footnote w:type="continuationSeparator" w:id="1">
    <w:p w:rsidR="0086294F" w14:paraId="5EA5F1EE" w14:textId="77777777">
      <w:pPr>
        <w:rPr>
          <w:sz w:val="20"/>
        </w:rPr>
      </w:pPr>
      <w:r>
        <w:rPr>
          <w:sz w:val="20"/>
        </w:rPr>
        <w:t xml:space="preserve">(Continued from previous page)  </w:t>
      </w:r>
      <w:r>
        <w:rPr>
          <w:sz w:val="20"/>
        </w:rPr>
        <w:separator/>
      </w:r>
    </w:p>
  </w:footnote>
  <w:footnote w:type="continuationNotice" w:id="2">
    <w:p w:rsidR="0086294F" w14:paraId="51D24548" w14:textId="77777777">
      <w:pPr>
        <w:jc w:val="right"/>
        <w:rPr>
          <w:sz w:val="20"/>
        </w:rPr>
      </w:pPr>
      <w:r>
        <w:rPr>
          <w:sz w:val="20"/>
        </w:rPr>
        <w:t>(continued….)</w:t>
      </w:r>
    </w:p>
  </w:footnote>
  <w:footnote w:id="3">
    <w:p w:rsidR="0059476E" w:rsidP="0059476E" w14:paraId="0160E17C" w14:textId="78C27862">
      <w:pPr>
        <w:pStyle w:val="FootnoteText"/>
      </w:pPr>
      <w:r>
        <w:rPr>
          <w:rStyle w:val="FootnoteReference"/>
        </w:rPr>
        <w:footnoteRef/>
      </w:r>
      <w:r>
        <w:t xml:space="preserve"> </w:t>
      </w:r>
      <w:r>
        <w:rPr>
          <w:i/>
          <w:iCs/>
        </w:rPr>
        <w:t xml:space="preserve">See </w:t>
      </w:r>
      <w:r w:rsidRPr="009127E6">
        <w:t>Infrastructure Investment and Jobs Act, Pub. L. No. 117-58</w:t>
      </w:r>
      <w:r>
        <w:t xml:space="preserve">, div. F, tit. I </w:t>
      </w:r>
      <w:r w:rsidRPr="009127E6">
        <w:t xml:space="preserve">(2021), </w:t>
      </w:r>
      <w:r w:rsidRPr="009127E6">
        <w:rPr>
          <w:i/>
          <w:iCs/>
        </w:rPr>
        <w:t>available at</w:t>
      </w:r>
      <w:r w:rsidRPr="009127E6">
        <w:t xml:space="preserve"> </w:t>
      </w:r>
      <w:hyperlink r:id="rId1" w:history="1">
        <w:r w:rsidRPr="009127E6">
          <w:rPr>
            <w:rStyle w:val="Hyperlink"/>
          </w:rPr>
          <w:t>https://www.govinfo.gov/content/pkg/BILLS-117hr3684enr/pdf/BILLS-117hr3684enr.pdf</w:t>
        </w:r>
      </w:hyperlink>
      <w:r w:rsidRPr="009127E6">
        <w:t xml:space="preserve"> (</w:t>
      </w:r>
      <w:r>
        <w:t>IIJA</w:t>
      </w:r>
      <w:r w:rsidRPr="009127E6">
        <w:t>).</w:t>
      </w:r>
    </w:p>
  </w:footnote>
  <w:footnote w:id="4">
    <w:p w:rsidR="000F38E8" w:rsidP="000F38E8" w14:paraId="039197F3" w14:textId="231594AD">
      <w:pPr>
        <w:pStyle w:val="FootnoteText"/>
      </w:pPr>
      <w:r>
        <w:rPr>
          <w:rStyle w:val="FootnoteReference"/>
        </w:rPr>
        <w:footnoteRef/>
      </w:r>
      <w:r>
        <w:t xml:space="preserve"> </w:t>
      </w:r>
      <w:r w:rsidR="00856061">
        <w:t xml:space="preserve">Updates on </w:t>
      </w:r>
      <w:r w:rsidR="001F157B">
        <w:t>BDC filing specifications, including t</w:t>
      </w:r>
      <w:r>
        <w:t>he URL for the BDC system website</w:t>
      </w:r>
      <w:r w:rsidR="001F157B">
        <w:t>,</w:t>
      </w:r>
      <w:r>
        <w:t xml:space="preserve"> will be posted on the FCC’s BDC webpage at </w:t>
      </w:r>
      <w:hyperlink r:id="rId2" w:history="1">
        <w:r w:rsidRPr="00FB356C">
          <w:rPr>
            <w:rStyle w:val="Hyperlink"/>
          </w:rPr>
          <w:t>https://www.fcc.gov/BroadbandData</w:t>
        </w:r>
      </w:hyperlink>
      <w:r w:rsidRPr="00F31BC2" w:rsidR="001F157B">
        <w:rPr>
          <w:rStyle w:val="Hyperlink"/>
          <w:u w:val="none"/>
        </w:rPr>
        <w:t xml:space="preserve"> </w:t>
      </w:r>
      <w:r w:rsidRPr="00F31BC2" w:rsidR="001F157B">
        <w:rPr>
          <w:rStyle w:val="Hyperlink"/>
          <w:color w:val="auto"/>
          <w:u w:val="none"/>
        </w:rPr>
        <w:t>as the filing date approaches</w:t>
      </w:r>
      <w:r>
        <w:t xml:space="preserve">. </w:t>
      </w:r>
    </w:p>
  </w:footnote>
  <w:footnote w:id="5">
    <w:p w:rsidR="00462A12" w:rsidP="00462A12" w14:paraId="3577EAD5" w14:textId="0C444CA3">
      <w:pPr>
        <w:pStyle w:val="FootnoteText"/>
      </w:pPr>
      <w:r>
        <w:rPr>
          <w:rStyle w:val="FootnoteReference"/>
        </w:rPr>
        <w:footnoteRef/>
      </w:r>
      <w:r>
        <w:t xml:space="preserve"> </w:t>
      </w:r>
      <w:r w:rsidR="00D96EBE">
        <w:t xml:space="preserve">These </w:t>
      </w:r>
      <w:r w:rsidR="00464FFA">
        <w:t xml:space="preserve">as-of dates and filing deadlines were established by the Commission in the </w:t>
      </w:r>
      <w:r w:rsidR="008A4357">
        <w:rPr>
          <w:i/>
          <w:iCs/>
        </w:rPr>
        <w:t xml:space="preserve">Second Order and Third Further </w:t>
      </w:r>
      <w:r w:rsidRPr="008A4357" w:rsidR="008A4357">
        <w:rPr>
          <w:i/>
          <w:iCs/>
        </w:rPr>
        <w:t>Notice</w:t>
      </w:r>
      <w:r w:rsidR="008A4357">
        <w:t xml:space="preserve">.  </w:t>
      </w:r>
      <w:r w:rsidR="008A4357">
        <w:rPr>
          <w:i/>
          <w:iCs/>
        </w:rPr>
        <w:t xml:space="preserve">See </w:t>
      </w:r>
      <w:r w:rsidRPr="00D437FC" w:rsidR="008A4357">
        <w:rPr>
          <w:i/>
          <w:iCs/>
        </w:rPr>
        <w:t>Establishing the Digital Opportunity Data Collection; Modernizing the FCC Form 477 Data Program</w:t>
      </w:r>
      <w:r w:rsidR="008A4357">
        <w:t>, WC Docket Nos. 19-195, 11-10, Second Report and Order and Third Further Notice of Proposed Rulemaking, 35 FCC Rcd 7460, 7484, para. 55 (2020) (</w:t>
      </w:r>
      <w:r w:rsidRPr="00D437FC" w:rsidR="008A4357">
        <w:rPr>
          <w:i/>
          <w:iCs/>
        </w:rPr>
        <w:t>Second Order and Third Further Notice</w:t>
      </w:r>
      <w:r w:rsidR="008A4357">
        <w:t>).</w:t>
      </w:r>
      <w:r w:rsidR="008A4357">
        <w:rPr>
          <w:i/>
          <w:iCs/>
        </w:rPr>
        <w:t xml:space="preserve"> </w:t>
      </w:r>
    </w:p>
  </w:footnote>
  <w:footnote w:id="6">
    <w:p w:rsidR="002B2E13" w:rsidP="002B2E13" w14:paraId="18DDB8A8" w14:textId="5A923ADD">
      <w:pPr>
        <w:pStyle w:val="FootnoteText"/>
      </w:pPr>
      <w:r>
        <w:rPr>
          <w:rStyle w:val="FootnoteReference"/>
        </w:rPr>
        <w:footnoteRef/>
      </w:r>
      <w:r>
        <w:t xml:space="preserve"> </w:t>
      </w:r>
      <w:r w:rsidRPr="00B55F28">
        <w:t>Broadband Deployment Accuracy and Technological Availability Act, Pub. L. No. 116-130, 134 Stat. 228 (2020) (codified at 47 U.S.C. §§ 641-646) (Broadband DATA Act</w:t>
      </w:r>
      <w:r w:rsidR="00E5571D">
        <w:t xml:space="preserve"> or Act</w:t>
      </w:r>
      <w:r w:rsidRPr="00B55F28">
        <w:t>)</w:t>
      </w:r>
      <w:r>
        <w:t>.</w:t>
      </w:r>
    </w:p>
  </w:footnote>
  <w:footnote w:id="7">
    <w:p w:rsidR="00B063AF" w14:paraId="0CE51455" w14:textId="1745261E">
      <w:pPr>
        <w:pStyle w:val="FootnoteText"/>
      </w:pPr>
      <w:r>
        <w:rPr>
          <w:rStyle w:val="FootnoteReference"/>
        </w:rPr>
        <w:footnoteRef/>
      </w:r>
      <w:r>
        <w:t xml:space="preserve"> 47 U.S.C. § 642</w:t>
      </w:r>
      <w:r w:rsidR="00522C3C">
        <w:t>(a)(1)(A).</w:t>
      </w:r>
    </w:p>
  </w:footnote>
  <w:footnote w:id="8">
    <w:p w:rsidR="000150BD" w14:paraId="49806C8A" w14:textId="4745E48A">
      <w:pPr>
        <w:pStyle w:val="FootnoteText"/>
      </w:pPr>
      <w:r>
        <w:rPr>
          <w:rStyle w:val="FootnoteReference"/>
        </w:rPr>
        <w:footnoteRef/>
      </w:r>
      <w:r>
        <w:t xml:space="preserve"> 47 U.S.C. § 642</w:t>
      </w:r>
      <w:r w:rsidR="001E495A">
        <w:t>(b)(1)</w:t>
      </w:r>
      <w:r w:rsidR="009A4DF6">
        <w:t>(A)(i)</w:t>
      </w:r>
      <w:r>
        <w:t>, (</w:t>
      </w:r>
      <w:r w:rsidR="001E495A">
        <w:t>b)(1)(B)(ii).</w:t>
      </w:r>
    </w:p>
  </w:footnote>
  <w:footnote w:id="9">
    <w:p w:rsidR="00B94E36" w14:paraId="4EA22043" w14:textId="4938B320">
      <w:pPr>
        <w:pStyle w:val="FootnoteText"/>
      </w:pPr>
      <w:r>
        <w:rPr>
          <w:rStyle w:val="FootnoteReference"/>
        </w:rPr>
        <w:footnoteRef/>
      </w:r>
      <w:r>
        <w:t xml:space="preserve"> 47 U.S.C.</w:t>
      </w:r>
      <w:r w:rsidR="00B760E4">
        <w:t xml:space="preserve"> §</w:t>
      </w:r>
      <w:r>
        <w:t xml:space="preserve"> </w:t>
      </w:r>
      <w:r w:rsidR="00B760E4">
        <w:t>642(b)</w:t>
      </w:r>
      <w:r>
        <w:t>(</w:t>
      </w:r>
      <w:r w:rsidR="00B760E4">
        <w:t>2)(</w:t>
      </w:r>
      <w:r>
        <w:t>B)</w:t>
      </w:r>
      <w:r w:rsidR="00B760E4">
        <w:t>, (b)(3).</w:t>
      </w:r>
    </w:p>
  </w:footnote>
  <w:footnote w:id="10">
    <w:p w:rsidR="007E1D16" w14:paraId="03F664F2" w14:textId="63C67939">
      <w:pPr>
        <w:pStyle w:val="FootnoteText"/>
      </w:pPr>
      <w:r>
        <w:rPr>
          <w:rStyle w:val="FootnoteReference"/>
        </w:rPr>
        <w:footnoteRef/>
      </w:r>
      <w:r>
        <w:t xml:space="preserve"> 47 U.S.C. § 642(a)(1)(B)(i).</w:t>
      </w:r>
    </w:p>
  </w:footnote>
  <w:footnote w:id="11">
    <w:p w:rsidR="00E845DE" w14:paraId="35E5D2A2" w14:textId="1AF6E951">
      <w:pPr>
        <w:pStyle w:val="FootnoteText"/>
      </w:pPr>
      <w:r>
        <w:rPr>
          <w:rStyle w:val="FootnoteReference"/>
        </w:rPr>
        <w:footnoteRef/>
      </w:r>
      <w:r>
        <w:t xml:space="preserve"> 47 U.S.C. § 642(a)(2).</w:t>
      </w:r>
    </w:p>
  </w:footnote>
  <w:footnote w:id="12">
    <w:p w:rsidR="00DB1067" w14:paraId="77745709" w14:textId="4F36DDA7">
      <w:pPr>
        <w:pStyle w:val="FootnoteText"/>
      </w:pPr>
      <w:r>
        <w:rPr>
          <w:rStyle w:val="FootnoteReference"/>
        </w:rPr>
        <w:footnoteRef/>
      </w:r>
      <w:r>
        <w:t xml:space="preserve"> 47 U.S.C. § 642(b)(5).</w:t>
      </w:r>
    </w:p>
  </w:footnote>
  <w:footnote w:id="13">
    <w:p w:rsidR="00966C51" w14:paraId="1F30D160" w14:textId="5F5D57C6">
      <w:pPr>
        <w:pStyle w:val="FootnoteText"/>
      </w:pPr>
      <w:r>
        <w:rPr>
          <w:rStyle w:val="FootnoteReference"/>
        </w:rPr>
        <w:footnoteRef/>
      </w:r>
      <w:r>
        <w:t xml:space="preserve"> 47 U.S.C. § 644(c)-(e). </w:t>
      </w:r>
    </w:p>
  </w:footnote>
  <w:footnote w:id="14">
    <w:p w:rsidR="007F504E" w14:paraId="2C1BF497" w14:textId="699E344F">
      <w:pPr>
        <w:pStyle w:val="FootnoteText"/>
      </w:pPr>
      <w:r>
        <w:rPr>
          <w:rStyle w:val="FootnoteReference"/>
        </w:rPr>
        <w:footnoteRef/>
      </w:r>
      <w:r>
        <w:t xml:space="preserve"> 47 U.S.C. § </w:t>
      </w:r>
      <w:r w:rsidR="00B4388A">
        <w:t xml:space="preserve">644(c)(1).  </w:t>
      </w:r>
    </w:p>
  </w:footnote>
  <w:footnote w:id="15">
    <w:p w:rsidR="00F33377" w:rsidP="00F33377" w14:paraId="61815CBE" w14:textId="77777777">
      <w:pPr>
        <w:pStyle w:val="FootnoteText"/>
      </w:pPr>
      <w:r>
        <w:rPr>
          <w:rStyle w:val="FootnoteReference"/>
        </w:rPr>
        <w:footnoteRef/>
      </w:r>
      <w:r>
        <w:t xml:space="preserve"> 47 U.S.C. § 644(d). </w:t>
      </w:r>
    </w:p>
  </w:footnote>
  <w:footnote w:id="16">
    <w:p w:rsidR="00F33377" w:rsidP="00F33377" w14:paraId="3ACFE048" w14:textId="77777777">
      <w:pPr>
        <w:pStyle w:val="FootnoteText"/>
      </w:pPr>
      <w:r>
        <w:rPr>
          <w:rStyle w:val="FootnoteReference"/>
        </w:rPr>
        <w:footnoteRef/>
      </w:r>
      <w:r>
        <w:t xml:space="preserve"> 47 U.S.C. § 644(e).</w:t>
      </w:r>
    </w:p>
  </w:footnote>
  <w:footnote w:id="17">
    <w:p w:rsidR="00AF4DD0" w:rsidP="00AF4DD0" w14:paraId="53CE2354" w14:textId="59751E51">
      <w:pPr>
        <w:pStyle w:val="FootnoteText"/>
      </w:pPr>
      <w:r>
        <w:rPr>
          <w:rStyle w:val="FootnoteReference"/>
        </w:rPr>
        <w:footnoteRef/>
      </w:r>
      <w:r>
        <w:t xml:space="preserve"> </w:t>
      </w:r>
      <w:r w:rsidRPr="00CA4034">
        <w:rPr>
          <w:i/>
          <w:iCs/>
        </w:rPr>
        <w:t xml:space="preserve">See </w:t>
      </w:r>
      <w:bookmarkStart w:id="2" w:name="_Hlk66730570"/>
      <w:r w:rsidRPr="00D437FC">
        <w:rPr>
          <w:i/>
          <w:iCs/>
        </w:rPr>
        <w:t>Establishing the Digital Opportunity Data Collection; Modernizing the FCC Form 477 Data Program</w:t>
      </w:r>
      <w:r>
        <w:t>, WC Docket Nos. 19-195, 11-10</w:t>
      </w:r>
      <w:bookmarkEnd w:id="2"/>
      <w:r>
        <w:t>, Second Report and Order and Third Further Notice of Proposed Rulemaking, 35 FCC Rcd 7460 (2020) (</w:t>
      </w:r>
      <w:r w:rsidRPr="00D437FC">
        <w:rPr>
          <w:i/>
          <w:iCs/>
        </w:rPr>
        <w:t>Second Order and Third Further Notice</w:t>
      </w:r>
      <w:r>
        <w:t xml:space="preserve">); </w:t>
      </w:r>
      <w:r w:rsidRPr="00D437FC">
        <w:rPr>
          <w:i/>
          <w:iCs/>
        </w:rPr>
        <w:t>Establishing the Digital Opportunity Data Collection; Modernizing the FCC Form 477 Data Program</w:t>
      </w:r>
      <w:r w:rsidRPr="00C7716D">
        <w:t>, WC Docket Nos. 19-195</w:t>
      </w:r>
      <w:r>
        <w:t xml:space="preserve">, </w:t>
      </w:r>
      <w:r w:rsidRPr="00C7716D">
        <w:t>11-10</w:t>
      </w:r>
      <w:r>
        <w:t>, Third Report and Order, 36 FCC Rcd 1126 (2021) (</w:t>
      </w:r>
      <w:r w:rsidRPr="00D437FC">
        <w:rPr>
          <w:i/>
          <w:iCs/>
        </w:rPr>
        <w:t xml:space="preserve">Third </w:t>
      </w:r>
      <w:r w:rsidR="00032543">
        <w:rPr>
          <w:i/>
          <w:iCs/>
        </w:rPr>
        <w:t xml:space="preserve">Report and </w:t>
      </w:r>
      <w:r w:rsidRPr="00D437FC">
        <w:rPr>
          <w:i/>
          <w:iCs/>
        </w:rPr>
        <w:t>Order</w:t>
      </w:r>
      <w:r>
        <w:t>).  The BDC was formerly know</w:t>
      </w:r>
      <w:r w:rsidR="00936700">
        <w:t>n</w:t>
      </w:r>
      <w:r>
        <w:t xml:space="preserve"> as the Digital Opportunity Data Collection, or DODC. </w:t>
      </w:r>
    </w:p>
  </w:footnote>
  <w:footnote w:id="18">
    <w:p w:rsidR="003D2C5D" w:rsidRPr="004E67CB" w14:paraId="7FEFBCF4" w14:textId="1C9FFEA3">
      <w:pPr>
        <w:pStyle w:val="FootnoteText"/>
      </w:pPr>
      <w:r>
        <w:rPr>
          <w:rStyle w:val="FootnoteReference"/>
        </w:rPr>
        <w:footnoteRef/>
      </w:r>
      <w:r>
        <w:t xml:space="preserve"> </w:t>
      </w:r>
      <w:r w:rsidRPr="00D437FC" w:rsidR="004E67CB">
        <w:rPr>
          <w:i/>
          <w:iCs/>
        </w:rPr>
        <w:t>Second Order and Third Further Notice</w:t>
      </w:r>
      <w:r w:rsidR="004E67CB">
        <w:t xml:space="preserve">, 35 FCC Rcd </w:t>
      </w:r>
      <w:r w:rsidR="00B2637B">
        <w:t>at</w:t>
      </w:r>
      <w:r w:rsidR="00FE1CC1">
        <w:t xml:space="preserve"> 7462, para. 3. </w:t>
      </w:r>
    </w:p>
  </w:footnote>
  <w:footnote w:id="19">
    <w:p w:rsidR="00A41514" w14:paraId="41AC876F" w14:textId="1359304D">
      <w:pPr>
        <w:pStyle w:val="FootnoteText"/>
      </w:pPr>
      <w:r>
        <w:rPr>
          <w:rStyle w:val="FootnoteReference"/>
        </w:rPr>
        <w:footnoteRef/>
      </w:r>
      <w:r>
        <w:t xml:space="preserve"> </w:t>
      </w:r>
      <w:r w:rsidR="00A11194">
        <w:rPr>
          <w:i/>
          <w:iCs/>
        </w:rPr>
        <w:t xml:space="preserve">Id. </w:t>
      </w:r>
      <w:r w:rsidR="00B2637B">
        <w:t>at</w:t>
      </w:r>
      <w:r w:rsidR="00BE46F1">
        <w:t xml:space="preserve"> 748</w:t>
      </w:r>
      <w:r w:rsidR="009C45F8">
        <w:t>4</w:t>
      </w:r>
      <w:r w:rsidR="00BE46F1">
        <w:t>, para.</w:t>
      </w:r>
      <w:r w:rsidR="009C45F8">
        <w:t xml:space="preserve"> 54.</w:t>
      </w:r>
      <w:r w:rsidR="00BE46F1">
        <w:t xml:space="preserve"> </w:t>
      </w:r>
    </w:p>
  </w:footnote>
  <w:footnote w:id="20">
    <w:p w:rsidR="0045241D" w14:paraId="06716735" w14:textId="48FF3947">
      <w:pPr>
        <w:pStyle w:val="FootnoteText"/>
      </w:pPr>
      <w:r>
        <w:rPr>
          <w:rStyle w:val="FootnoteReference"/>
        </w:rPr>
        <w:footnoteRef/>
      </w:r>
      <w:r>
        <w:t xml:space="preserve"> </w:t>
      </w:r>
      <w:r w:rsidR="00A11194">
        <w:rPr>
          <w:i/>
          <w:iCs/>
        </w:rPr>
        <w:t xml:space="preserve">Id. </w:t>
      </w:r>
      <w:r w:rsidR="00B2637B">
        <w:t>at</w:t>
      </w:r>
      <w:r>
        <w:t xml:space="preserve"> 7484, para. 55. </w:t>
      </w:r>
    </w:p>
  </w:footnote>
  <w:footnote w:id="21">
    <w:p w:rsidR="000F0BA0" w14:paraId="514D2B75" w14:textId="31E85737">
      <w:pPr>
        <w:pStyle w:val="FootnoteText"/>
      </w:pPr>
      <w:r>
        <w:rPr>
          <w:rStyle w:val="FootnoteReference"/>
        </w:rPr>
        <w:footnoteRef/>
      </w:r>
      <w:r>
        <w:t xml:space="preserve"> </w:t>
      </w:r>
      <w:r w:rsidR="00A11194">
        <w:rPr>
          <w:i/>
          <w:iCs/>
        </w:rPr>
        <w:t xml:space="preserve">Id. </w:t>
      </w:r>
      <w:r w:rsidR="00B2637B">
        <w:t>at</w:t>
      </w:r>
      <w:r>
        <w:t xml:space="preserve"> 7484, para. 56.  </w:t>
      </w:r>
    </w:p>
  </w:footnote>
  <w:footnote w:id="22">
    <w:p w:rsidR="00921A0A" w14:paraId="37227BF3" w14:textId="34E9BF53">
      <w:pPr>
        <w:pStyle w:val="FootnoteText"/>
      </w:pPr>
      <w:r>
        <w:rPr>
          <w:rStyle w:val="FootnoteReference"/>
        </w:rPr>
        <w:footnoteRef/>
      </w:r>
      <w:r>
        <w:t xml:space="preserve"> </w:t>
      </w:r>
      <w:r w:rsidR="00A11194">
        <w:rPr>
          <w:i/>
          <w:iCs/>
        </w:rPr>
        <w:t xml:space="preserve">Id. </w:t>
      </w:r>
      <w:r w:rsidR="00B2637B">
        <w:t>at</w:t>
      </w:r>
      <w:r w:rsidR="00CF0FFE">
        <w:t xml:space="preserve"> 7493, para</w:t>
      </w:r>
      <w:r w:rsidR="008431F0">
        <w:t>.</w:t>
      </w:r>
      <w:r w:rsidR="00CF0FFE">
        <w:t xml:space="preserve"> 77. </w:t>
      </w:r>
    </w:p>
  </w:footnote>
  <w:footnote w:id="23">
    <w:p w:rsidR="00F86E25" w14:paraId="71C4D478" w14:textId="533DF862">
      <w:pPr>
        <w:pStyle w:val="FootnoteText"/>
      </w:pPr>
      <w:r>
        <w:rPr>
          <w:rStyle w:val="FootnoteReference"/>
        </w:rPr>
        <w:footnoteRef/>
      </w:r>
      <w:r>
        <w:t xml:space="preserve"> </w:t>
      </w:r>
      <w:r w:rsidR="00A11194">
        <w:rPr>
          <w:i/>
          <w:iCs/>
        </w:rPr>
        <w:t xml:space="preserve">Id. </w:t>
      </w:r>
      <w:r w:rsidR="00B2637B">
        <w:t>at</w:t>
      </w:r>
      <w:r>
        <w:t xml:space="preserve"> 7493, paras. 79-80.</w:t>
      </w:r>
    </w:p>
  </w:footnote>
  <w:footnote w:id="24">
    <w:p w:rsidR="00492BE5" w14:paraId="7A571B81" w14:textId="30538548">
      <w:pPr>
        <w:pStyle w:val="FootnoteText"/>
      </w:pPr>
      <w:r>
        <w:rPr>
          <w:rStyle w:val="FootnoteReference"/>
        </w:rPr>
        <w:footnoteRef/>
      </w:r>
      <w:r>
        <w:t xml:space="preserve"> </w:t>
      </w:r>
      <w:r w:rsidR="00A11194">
        <w:rPr>
          <w:i/>
          <w:iCs/>
        </w:rPr>
        <w:t xml:space="preserve">Id. </w:t>
      </w:r>
      <w:r w:rsidR="00B2637B">
        <w:t>at</w:t>
      </w:r>
      <w:r>
        <w:t xml:space="preserve"> </w:t>
      </w:r>
      <w:r w:rsidR="0084094A">
        <w:t xml:space="preserve">7494, para. 82.  </w:t>
      </w:r>
    </w:p>
  </w:footnote>
  <w:footnote w:id="25">
    <w:p w:rsidR="00924A00" w14:paraId="3FD9D075" w14:textId="48F0E121">
      <w:pPr>
        <w:pStyle w:val="FootnoteText"/>
      </w:pPr>
      <w:r>
        <w:rPr>
          <w:rStyle w:val="FootnoteReference"/>
        </w:rPr>
        <w:footnoteRef/>
      </w:r>
      <w:r>
        <w:t xml:space="preserve"> </w:t>
      </w:r>
      <w:r w:rsidR="00A11194">
        <w:rPr>
          <w:i/>
          <w:iCs/>
        </w:rPr>
        <w:t xml:space="preserve">Id. </w:t>
      </w:r>
      <w:r w:rsidR="00B2637B">
        <w:t>at</w:t>
      </w:r>
      <w:r>
        <w:t xml:space="preserve"> </w:t>
      </w:r>
      <w:r w:rsidR="0002586B">
        <w:t>7495-96</w:t>
      </w:r>
      <w:r>
        <w:t>, para</w:t>
      </w:r>
      <w:r w:rsidR="0002586B">
        <w:t>s</w:t>
      </w:r>
      <w:r>
        <w:t xml:space="preserve">. </w:t>
      </w:r>
      <w:r w:rsidR="00C66F0E">
        <w:t>84-85</w:t>
      </w:r>
      <w:r>
        <w:t>.</w:t>
      </w:r>
    </w:p>
  </w:footnote>
  <w:footnote w:id="26">
    <w:p w:rsidR="005B31E1" w14:paraId="31FA6396" w14:textId="10A3CBF0">
      <w:pPr>
        <w:pStyle w:val="FootnoteText"/>
      </w:pPr>
      <w:r>
        <w:rPr>
          <w:rStyle w:val="FootnoteReference"/>
        </w:rPr>
        <w:footnoteRef/>
      </w:r>
      <w:r>
        <w:t xml:space="preserve"> </w:t>
      </w:r>
      <w:r w:rsidR="00A11194">
        <w:rPr>
          <w:i/>
          <w:iCs/>
        </w:rPr>
        <w:t xml:space="preserve">Id. </w:t>
      </w:r>
      <w:r w:rsidR="00B2637B">
        <w:t>at</w:t>
      </w:r>
      <w:r w:rsidR="0003053B">
        <w:t xml:space="preserve"> 7496, para. 86.</w:t>
      </w:r>
    </w:p>
  </w:footnote>
  <w:footnote w:id="27">
    <w:p w:rsidR="006E534A" w14:paraId="0F101069" w14:textId="25AD39E7">
      <w:pPr>
        <w:pStyle w:val="FootnoteText"/>
      </w:pPr>
      <w:r>
        <w:rPr>
          <w:rStyle w:val="FootnoteReference"/>
        </w:rPr>
        <w:footnoteRef/>
      </w:r>
      <w:r>
        <w:t xml:space="preserve"> </w:t>
      </w:r>
      <w:r w:rsidRPr="00EB61B5" w:rsidR="007A4B16">
        <w:rPr>
          <w:i/>
          <w:iCs/>
        </w:rPr>
        <w:t>Third Report and Order</w:t>
      </w:r>
      <w:r w:rsidR="007A4B16">
        <w:t xml:space="preserve">, 36 FCC Rcd </w:t>
      </w:r>
      <w:r w:rsidR="00B2637B">
        <w:t>at</w:t>
      </w:r>
      <w:r w:rsidR="007A4B16">
        <w:t xml:space="preserve"> 1130</w:t>
      </w:r>
      <w:r w:rsidR="00094484">
        <w:t>-31</w:t>
      </w:r>
      <w:r w:rsidR="007A4B16">
        <w:t xml:space="preserve">, </w:t>
      </w:r>
      <w:r w:rsidR="00113AFA">
        <w:t>33-34</w:t>
      </w:r>
      <w:r w:rsidR="007A4B16">
        <w:t>, para</w:t>
      </w:r>
      <w:r w:rsidR="00113AFA">
        <w:t>s</w:t>
      </w:r>
      <w:r w:rsidR="007A4B16">
        <w:t>. 10</w:t>
      </w:r>
      <w:r w:rsidR="00113AFA">
        <w:t>, 16-17</w:t>
      </w:r>
      <w:r w:rsidR="007A4B16">
        <w:t xml:space="preserve">. </w:t>
      </w:r>
    </w:p>
  </w:footnote>
  <w:footnote w:id="28">
    <w:p w:rsidR="001178F1" w14:paraId="27AD534C" w14:textId="29E7F525">
      <w:pPr>
        <w:pStyle w:val="FootnoteText"/>
      </w:pPr>
      <w:r>
        <w:rPr>
          <w:rStyle w:val="FootnoteReference"/>
        </w:rPr>
        <w:footnoteRef/>
      </w:r>
      <w:r>
        <w:t xml:space="preserve"> </w:t>
      </w:r>
      <w:r w:rsidR="00A11194">
        <w:rPr>
          <w:i/>
          <w:iCs/>
        </w:rPr>
        <w:t xml:space="preserve">Id. </w:t>
      </w:r>
      <w:r w:rsidR="00B2637B">
        <w:t>at</w:t>
      </w:r>
      <w:r w:rsidR="00991318">
        <w:t xml:space="preserve"> 1133-</w:t>
      </w:r>
      <w:r w:rsidR="00531C5F">
        <w:t>41</w:t>
      </w:r>
      <w:r w:rsidR="003B5127">
        <w:t>, paras. 16-</w:t>
      </w:r>
      <w:r w:rsidR="00531C5F">
        <w:t>35.</w:t>
      </w:r>
    </w:p>
  </w:footnote>
  <w:footnote w:id="29">
    <w:p w:rsidR="00CF7706" w14:paraId="7F0D1C7F" w14:textId="19E21694">
      <w:pPr>
        <w:pStyle w:val="FootnoteText"/>
      </w:pPr>
      <w:r>
        <w:rPr>
          <w:rStyle w:val="FootnoteReference"/>
        </w:rPr>
        <w:footnoteRef/>
      </w:r>
      <w:r>
        <w:t xml:space="preserve"> </w:t>
      </w:r>
      <w:r w:rsidR="00A11194">
        <w:rPr>
          <w:i/>
          <w:iCs/>
        </w:rPr>
        <w:t xml:space="preserve">Id. </w:t>
      </w:r>
      <w:r w:rsidR="00B2637B">
        <w:t>at</w:t>
      </w:r>
      <w:r w:rsidR="00E53BD7">
        <w:t xml:space="preserve"> 1141-44, paras. 36-41.</w:t>
      </w:r>
    </w:p>
  </w:footnote>
  <w:footnote w:id="30">
    <w:p w:rsidR="00EB171B" w14:paraId="45CCB825" w14:textId="4BCF14D9">
      <w:pPr>
        <w:pStyle w:val="FootnoteText"/>
      </w:pPr>
      <w:r>
        <w:rPr>
          <w:rStyle w:val="FootnoteReference"/>
        </w:rPr>
        <w:footnoteRef/>
      </w:r>
      <w:r>
        <w:t xml:space="preserve"> </w:t>
      </w:r>
      <w:r w:rsidR="00A11194">
        <w:rPr>
          <w:i/>
          <w:iCs/>
        </w:rPr>
        <w:t xml:space="preserve">Id. </w:t>
      </w:r>
      <w:r w:rsidR="00B2637B">
        <w:t>at</w:t>
      </w:r>
      <w:r>
        <w:t xml:space="preserve"> 1144</w:t>
      </w:r>
      <w:r w:rsidR="00056071">
        <w:t>-45</w:t>
      </w:r>
      <w:r>
        <w:t xml:space="preserve">, para. </w:t>
      </w:r>
      <w:r w:rsidR="00010C1D">
        <w:t>43</w:t>
      </w:r>
      <w:r>
        <w:t xml:space="preserve">. </w:t>
      </w:r>
    </w:p>
  </w:footnote>
  <w:footnote w:id="31">
    <w:p w:rsidR="006409F3" w14:paraId="3A21A8C3" w14:textId="0C351809">
      <w:pPr>
        <w:pStyle w:val="FootnoteText"/>
      </w:pPr>
      <w:r>
        <w:rPr>
          <w:rStyle w:val="FootnoteReference"/>
        </w:rPr>
        <w:footnoteRef/>
      </w:r>
      <w:r>
        <w:t xml:space="preserve"> </w:t>
      </w:r>
      <w:r w:rsidR="00A11194">
        <w:rPr>
          <w:i/>
          <w:iCs/>
        </w:rPr>
        <w:t xml:space="preserve">Id. </w:t>
      </w:r>
      <w:r w:rsidR="00B2637B">
        <w:t>at</w:t>
      </w:r>
      <w:r>
        <w:t xml:space="preserve"> 1146, paras</w:t>
      </w:r>
      <w:r w:rsidR="00277E4E">
        <w:t>.</w:t>
      </w:r>
      <w:r>
        <w:t xml:space="preserve"> 47-48.</w:t>
      </w:r>
    </w:p>
  </w:footnote>
  <w:footnote w:id="32">
    <w:p w:rsidR="003E2AE5" w14:paraId="508ABECE" w14:textId="371D11EB">
      <w:pPr>
        <w:pStyle w:val="FootnoteText"/>
      </w:pPr>
      <w:r>
        <w:rPr>
          <w:rStyle w:val="FootnoteReference"/>
        </w:rPr>
        <w:footnoteRef/>
      </w:r>
      <w:r>
        <w:t xml:space="preserve"> </w:t>
      </w:r>
      <w:r w:rsidR="00A11194">
        <w:rPr>
          <w:i/>
          <w:iCs/>
        </w:rPr>
        <w:t xml:space="preserve">Id. </w:t>
      </w:r>
      <w:r w:rsidR="00B2637B">
        <w:t>at</w:t>
      </w:r>
      <w:r>
        <w:t xml:space="preserve"> 1146, para. 49.</w:t>
      </w:r>
    </w:p>
  </w:footnote>
  <w:footnote w:id="33">
    <w:p w:rsidR="008E7C07" w14:paraId="3A37EE79" w14:textId="08FA6916">
      <w:pPr>
        <w:pStyle w:val="FootnoteText"/>
      </w:pPr>
      <w:r>
        <w:rPr>
          <w:rStyle w:val="FootnoteReference"/>
        </w:rPr>
        <w:footnoteRef/>
      </w:r>
      <w:r>
        <w:t xml:space="preserve"> </w:t>
      </w:r>
      <w:r w:rsidR="00A11194">
        <w:rPr>
          <w:i/>
          <w:iCs/>
        </w:rPr>
        <w:t xml:space="preserve">Id. </w:t>
      </w:r>
      <w:r w:rsidR="00B2637B">
        <w:t>at</w:t>
      </w:r>
      <w:r>
        <w:t xml:space="preserve"> 1154</w:t>
      </w:r>
      <w:r w:rsidR="00F509F7">
        <w:t>-64</w:t>
      </w:r>
      <w:r>
        <w:t>, para</w:t>
      </w:r>
      <w:r w:rsidR="00F509F7">
        <w:t>s</w:t>
      </w:r>
      <w:r>
        <w:t>. 70</w:t>
      </w:r>
      <w:r w:rsidR="00F509F7">
        <w:t>-96</w:t>
      </w:r>
      <w:r>
        <w:t>.</w:t>
      </w:r>
    </w:p>
  </w:footnote>
  <w:footnote w:id="34">
    <w:p w:rsidR="00F209EA" w14:paraId="36566B8F" w14:textId="11F86C22">
      <w:pPr>
        <w:pStyle w:val="FootnoteText"/>
      </w:pPr>
      <w:r>
        <w:rPr>
          <w:rStyle w:val="FootnoteReference"/>
        </w:rPr>
        <w:footnoteRef/>
      </w:r>
      <w:r>
        <w:t xml:space="preserve"> </w:t>
      </w:r>
      <w:r w:rsidR="00A11194">
        <w:rPr>
          <w:i/>
          <w:iCs/>
        </w:rPr>
        <w:t xml:space="preserve">Id. </w:t>
      </w:r>
      <w:r w:rsidR="00B2637B">
        <w:t>at</w:t>
      </w:r>
      <w:r>
        <w:t xml:space="preserve"> 1164</w:t>
      </w:r>
      <w:r w:rsidR="00F509F7">
        <w:t>-74</w:t>
      </w:r>
      <w:r>
        <w:t>, para</w:t>
      </w:r>
      <w:r w:rsidR="00431A3C">
        <w:t>s</w:t>
      </w:r>
      <w:r>
        <w:t>. 97</w:t>
      </w:r>
      <w:r w:rsidR="00431A3C">
        <w:t>-124</w:t>
      </w:r>
      <w:r>
        <w:t>.</w:t>
      </w:r>
    </w:p>
  </w:footnote>
  <w:footnote w:id="35">
    <w:p w:rsidR="0065706F" w14:paraId="0157073D" w14:textId="2C9F60EA">
      <w:pPr>
        <w:pStyle w:val="FootnoteText"/>
      </w:pPr>
      <w:r>
        <w:rPr>
          <w:rStyle w:val="FootnoteReference"/>
        </w:rPr>
        <w:footnoteRef/>
      </w:r>
      <w:r>
        <w:t xml:space="preserve"> </w:t>
      </w:r>
      <w:r w:rsidR="00A11194">
        <w:rPr>
          <w:i/>
          <w:iCs/>
        </w:rPr>
        <w:t xml:space="preserve">Id. </w:t>
      </w:r>
      <w:r w:rsidR="00B2637B">
        <w:t>at</w:t>
      </w:r>
      <w:r>
        <w:t xml:space="preserve"> 1175-</w:t>
      </w:r>
      <w:r w:rsidR="001E3B88">
        <w:t>77</w:t>
      </w:r>
      <w:r>
        <w:t>, paras.</w:t>
      </w:r>
      <w:r w:rsidR="00277E4E">
        <w:t xml:space="preserve"> </w:t>
      </w:r>
      <w:r>
        <w:t>126-</w:t>
      </w:r>
      <w:r w:rsidR="00A34640">
        <w:t>32</w:t>
      </w:r>
      <w:r w:rsidR="001E3B88">
        <w:t>.</w:t>
      </w:r>
    </w:p>
  </w:footnote>
  <w:footnote w:id="36">
    <w:p w:rsidR="00870E09" w14:paraId="521841AF" w14:textId="678DFAF5">
      <w:pPr>
        <w:pStyle w:val="FootnoteText"/>
      </w:pPr>
      <w:r>
        <w:rPr>
          <w:rStyle w:val="FootnoteReference"/>
        </w:rPr>
        <w:footnoteRef/>
      </w:r>
      <w:r>
        <w:t xml:space="preserve"> </w:t>
      </w:r>
      <w:r w:rsidR="00A11194">
        <w:rPr>
          <w:i/>
          <w:iCs/>
        </w:rPr>
        <w:t xml:space="preserve">Id. </w:t>
      </w:r>
      <w:r w:rsidR="00B2637B">
        <w:t>at</w:t>
      </w:r>
      <w:r w:rsidR="005D59DE">
        <w:t xml:space="preserve"> </w:t>
      </w:r>
      <w:r w:rsidR="00F00D47">
        <w:t>1178</w:t>
      </w:r>
      <w:r w:rsidR="005D59DE">
        <w:t>-84, paras. 133-47.</w:t>
      </w:r>
    </w:p>
  </w:footnote>
  <w:footnote w:id="37">
    <w:p w:rsidR="002B2ED4" w14:paraId="7939786D" w14:textId="02795204">
      <w:pPr>
        <w:pStyle w:val="FootnoteText"/>
      </w:pPr>
      <w:r>
        <w:rPr>
          <w:rStyle w:val="FootnoteReference"/>
        </w:rPr>
        <w:footnoteRef/>
      </w:r>
      <w:r>
        <w:t xml:space="preserve"> </w:t>
      </w:r>
      <w:r w:rsidR="00A11194">
        <w:rPr>
          <w:i/>
          <w:iCs/>
        </w:rPr>
        <w:t xml:space="preserve">Id. </w:t>
      </w:r>
      <w:r w:rsidR="00B2637B">
        <w:t>at</w:t>
      </w:r>
      <w:r w:rsidR="009376CF">
        <w:t xml:space="preserve"> 1184, para. 148.</w:t>
      </w:r>
    </w:p>
  </w:footnote>
  <w:footnote w:id="38">
    <w:p w:rsidR="00CD16C6" w14:paraId="54F43A0F" w14:textId="1B34E1D3">
      <w:pPr>
        <w:pStyle w:val="FootnoteText"/>
      </w:pPr>
      <w:r>
        <w:rPr>
          <w:rStyle w:val="FootnoteReference"/>
        </w:rPr>
        <w:footnoteRef/>
      </w:r>
      <w:r>
        <w:t xml:space="preserve"> </w:t>
      </w:r>
      <w:r w:rsidR="00A11194">
        <w:rPr>
          <w:i/>
          <w:iCs/>
        </w:rPr>
        <w:t xml:space="preserve">Id. </w:t>
      </w:r>
      <w:r w:rsidR="00B2637B">
        <w:t>at</w:t>
      </w:r>
      <w:r w:rsidR="00964114">
        <w:t xml:space="preserve"> 1184-86, paras. 149-55.</w:t>
      </w:r>
    </w:p>
  </w:footnote>
  <w:footnote w:id="39">
    <w:p w:rsidR="00DC187D" w14:paraId="41198D23" w14:textId="563ACEA9">
      <w:pPr>
        <w:pStyle w:val="FootnoteText"/>
      </w:pPr>
      <w:r>
        <w:rPr>
          <w:rStyle w:val="FootnoteReference"/>
        </w:rPr>
        <w:footnoteRef/>
      </w:r>
      <w:r>
        <w:t xml:space="preserve"> </w:t>
      </w:r>
      <w:r w:rsidR="00A11194">
        <w:rPr>
          <w:i/>
          <w:iCs/>
        </w:rPr>
        <w:t xml:space="preserve">Id. </w:t>
      </w:r>
      <w:r w:rsidR="00B2637B">
        <w:t>at</w:t>
      </w:r>
      <w:r>
        <w:t xml:space="preserve"> 1186</w:t>
      </w:r>
      <w:r w:rsidR="00B767B9">
        <w:t>-88</w:t>
      </w:r>
      <w:r>
        <w:t>, para</w:t>
      </w:r>
      <w:r w:rsidR="00B767B9">
        <w:t>s</w:t>
      </w:r>
      <w:r>
        <w:t xml:space="preserve">. </w:t>
      </w:r>
      <w:r w:rsidR="00A43C2A">
        <w:t>157</w:t>
      </w:r>
      <w:r w:rsidR="00B767B9">
        <w:t>-60</w:t>
      </w:r>
      <w:r w:rsidR="00A43C2A">
        <w:t xml:space="preserve">. </w:t>
      </w:r>
    </w:p>
  </w:footnote>
  <w:footnote w:id="40">
    <w:p w:rsidR="008F712C" w:rsidRPr="0037783D" w:rsidP="008F712C" w14:paraId="14A16A92" w14:textId="3BA22E56">
      <w:pPr>
        <w:pStyle w:val="FootnoteText"/>
      </w:pPr>
      <w:r>
        <w:rPr>
          <w:rStyle w:val="FootnoteReference"/>
        </w:rPr>
        <w:footnoteRef/>
      </w:r>
      <w:r>
        <w:t xml:space="preserve"> </w:t>
      </w:r>
      <w:r w:rsidR="00A11194">
        <w:rPr>
          <w:i/>
          <w:iCs/>
        </w:rPr>
        <w:t xml:space="preserve">Id. </w:t>
      </w:r>
      <w:r w:rsidR="00B2637B">
        <w:t>at</w:t>
      </w:r>
      <w:r>
        <w:t xml:space="preserve"> 1129, para. 6 (</w:t>
      </w:r>
      <w:r w:rsidR="0022384E">
        <w:t xml:space="preserve">footnote </w:t>
      </w:r>
      <w:r>
        <w:t>omitted)</w:t>
      </w:r>
      <w:r w:rsidRPr="008B35A0" w:rsidR="008B35A0">
        <w:t xml:space="preserve"> </w:t>
      </w:r>
      <w:r w:rsidR="008B35A0">
        <w:t>(</w:t>
      </w:r>
      <w:r w:rsidRPr="00425361" w:rsidR="008B35A0">
        <w:t>Congress “prohibit[ed] the Commission from delegating any responsibilities under the Act to USAC or from using funds collected through [its Universal Service Fund] to pay any costs associated with fulfilling them</w:t>
      </w:r>
      <w:r w:rsidR="00E66552">
        <w:t>.</w:t>
      </w:r>
      <w:r w:rsidRPr="00425361" w:rsidR="008B35A0">
        <w:t>”</w:t>
      </w:r>
      <w:r w:rsidR="00E66552">
        <w:t>)</w:t>
      </w:r>
      <w:r w:rsidR="0022384E">
        <w:t>;</w:t>
      </w:r>
      <w:r>
        <w:rPr>
          <w:i/>
          <w:iCs/>
        </w:rPr>
        <w:t xml:space="preserve"> </w:t>
      </w:r>
      <w:r w:rsidR="0022384E">
        <w:rPr>
          <w:i/>
          <w:iCs/>
        </w:rPr>
        <w:t xml:space="preserve">see </w:t>
      </w:r>
      <w:r>
        <w:rPr>
          <w:i/>
          <w:iCs/>
        </w:rPr>
        <w:t>also</w:t>
      </w:r>
      <w:r>
        <w:t xml:space="preserve"> 47 U.S.C. §§ 645(a), 646(c). </w:t>
      </w:r>
    </w:p>
  </w:footnote>
  <w:footnote w:id="41">
    <w:p w:rsidR="00AF4DD0" w:rsidP="00AF4DD0" w14:paraId="262E25EF" w14:textId="1A35AA64">
      <w:pPr>
        <w:pStyle w:val="FootnoteText"/>
      </w:pPr>
      <w:r>
        <w:rPr>
          <w:rStyle w:val="FootnoteReference"/>
        </w:rPr>
        <w:footnoteRef/>
      </w:r>
      <w:r>
        <w:t xml:space="preserve"> </w:t>
      </w:r>
      <w:r>
        <w:rPr>
          <w:i/>
          <w:iCs/>
        </w:rPr>
        <w:t xml:space="preserve">See </w:t>
      </w:r>
      <w:r w:rsidRPr="00F550D7">
        <w:t>Consolidated Appropriations Act, 2021, Pub. L. No. 116-260, H.R. 133, Div. E, Tit. V, Div. N, Tit. V, § 906(1) (Dec. 27, 2020) (Consolidated Appropriations Act of 202</w:t>
      </w:r>
      <w:r w:rsidRPr="00E54C04">
        <w:t>1</w:t>
      </w:r>
      <w:r w:rsidRPr="00BB672B">
        <w:t>).</w:t>
      </w:r>
    </w:p>
  </w:footnote>
  <w:footnote w:id="42">
    <w:p w:rsidR="00CD2CAA" w14:paraId="11803893" w14:textId="47E21BDD">
      <w:pPr>
        <w:pStyle w:val="FootnoteText"/>
      </w:pPr>
      <w:r>
        <w:rPr>
          <w:rStyle w:val="FootnoteReference"/>
        </w:rPr>
        <w:footnoteRef/>
      </w:r>
      <w:r>
        <w:t xml:space="preserve"> </w:t>
      </w:r>
      <w:r w:rsidRPr="00D437FC">
        <w:rPr>
          <w:i/>
          <w:iCs/>
        </w:rPr>
        <w:t xml:space="preserve">Third </w:t>
      </w:r>
      <w:r>
        <w:rPr>
          <w:i/>
          <w:iCs/>
        </w:rPr>
        <w:t xml:space="preserve">Report and </w:t>
      </w:r>
      <w:r w:rsidRPr="00D437FC">
        <w:rPr>
          <w:i/>
          <w:iCs/>
        </w:rPr>
        <w:t>Order</w:t>
      </w:r>
      <w:r>
        <w:t xml:space="preserve">, 36 FCC Rcd </w:t>
      </w:r>
      <w:r w:rsidR="00F4445F">
        <w:t>at</w:t>
      </w:r>
      <w:r>
        <w:t xml:space="preserve"> 1129, para. 6.</w:t>
      </w:r>
    </w:p>
  </w:footnote>
  <w:footnote w:id="43">
    <w:p w:rsidR="004D6C59" w:rsidRPr="00327EB2" w:rsidP="004D6C59" w14:paraId="2CA03573" w14:textId="10CCBE2D">
      <w:pPr>
        <w:pStyle w:val="FootnoteText"/>
      </w:pPr>
      <w:r>
        <w:rPr>
          <w:rStyle w:val="FootnoteReference"/>
        </w:rPr>
        <w:footnoteRef/>
      </w:r>
      <w:r>
        <w:t xml:space="preserve"> </w:t>
      </w:r>
      <w:r>
        <w:rPr>
          <w:i/>
          <w:iCs/>
        </w:rPr>
        <w:t xml:space="preserve">See </w:t>
      </w:r>
      <w:r w:rsidRPr="00BB672B">
        <w:t xml:space="preserve">FCC, </w:t>
      </w:r>
      <w:r w:rsidRPr="00BB672B">
        <w:rPr>
          <w:i/>
          <w:iCs/>
        </w:rPr>
        <w:t>Broadband Data Collection Resources</w:t>
      </w:r>
      <w:r w:rsidRPr="00BB672B">
        <w:t xml:space="preserve">, </w:t>
      </w:r>
      <w:hyperlink r:id="rId3" w:history="1">
        <w:r w:rsidRPr="00DB503A">
          <w:rPr>
            <w:rStyle w:val="Hyperlink"/>
          </w:rPr>
          <w:t>https://www.fcc.gov/BroadbandData/resources</w:t>
        </w:r>
      </w:hyperlink>
      <w:r>
        <w:t xml:space="preserve"> (last visited Jan</w:t>
      </w:r>
      <w:r w:rsidR="00F55070">
        <w:t>.</w:t>
      </w:r>
      <w:r>
        <w:t xml:space="preserve"> 21, 2022) (announcing the Data Architect and Design Services contract was awarded to Emprata, LLC on Feb. 23, 2021); </w:t>
      </w:r>
      <w:r w:rsidR="000260AA">
        <w:rPr>
          <w:i/>
          <w:iCs/>
        </w:rPr>
        <w:t xml:space="preserve">see also </w:t>
      </w:r>
      <w:r>
        <w:t>47 U.S.C. § 642(a)(1).</w:t>
      </w:r>
    </w:p>
  </w:footnote>
  <w:footnote w:id="44">
    <w:p w:rsidR="00D97222" w14:paraId="4420C4AB" w14:textId="64568C29">
      <w:pPr>
        <w:pStyle w:val="FootnoteText"/>
      </w:pPr>
      <w:r>
        <w:rPr>
          <w:rStyle w:val="FootnoteReference"/>
        </w:rPr>
        <w:footnoteRef/>
      </w:r>
      <w:r>
        <w:t xml:space="preserve"> The </w:t>
      </w:r>
      <w:r w:rsidR="00B46B82">
        <w:t xml:space="preserve">Broadband DATA Act </w:t>
      </w:r>
      <w:r w:rsidR="00F567A4">
        <w:t>states that the Fabric “</w:t>
      </w:r>
      <w:r w:rsidRPr="00F567A4" w:rsidR="00F567A4">
        <w:t xml:space="preserve">shall serve as the foundation upon which all data relating to the availability of fixed broadband internet access service </w:t>
      </w:r>
      <w:r w:rsidR="00E71CEE">
        <w:t>. . .</w:t>
      </w:r>
      <w:r w:rsidR="0004046E">
        <w:t xml:space="preserve"> </w:t>
      </w:r>
      <w:r w:rsidRPr="00F567A4" w:rsidR="00F567A4">
        <w:t>shall be reported and overlaid</w:t>
      </w:r>
      <w:r w:rsidR="00A93DDA">
        <w:t xml:space="preserve">.” </w:t>
      </w:r>
      <w:r w:rsidR="0004046E">
        <w:t xml:space="preserve"> </w:t>
      </w:r>
      <w:r w:rsidR="00A93DDA">
        <w:t>47 U.S.C. § 642</w:t>
      </w:r>
      <w:r w:rsidR="003451C4">
        <w:t>(b)(1)(B)(ii).</w:t>
      </w:r>
    </w:p>
  </w:footnote>
  <w:footnote w:id="45">
    <w:p w:rsidR="00AF4DD0" w:rsidRPr="00AC554D" w:rsidP="00AF4DD0" w14:paraId="48BD7AAF" w14:textId="6D755087">
      <w:pPr>
        <w:pStyle w:val="FootnoteText"/>
      </w:pPr>
      <w:r>
        <w:rPr>
          <w:rStyle w:val="FootnoteReference"/>
        </w:rPr>
        <w:footnoteRef/>
      </w:r>
      <w:r>
        <w:t xml:space="preserve"> </w:t>
      </w:r>
      <w:r w:rsidR="00AC554D">
        <w:rPr>
          <w:i/>
          <w:iCs/>
        </w:rPr>
        <w:t xml:space="preserve">See </w:t>
      </w:r>
      <w:r w:rsidR="00AC554D">
        <w:t>47 U.S.C. §</w:t>
      </w:r>
      <w:r w:rsidR="00506C3D">
        <w:t xml:space="preserve"> 642(b)(1)(A)(ii). </w:t>
      </w:r>
    </w:p>
  </w:footnote>
  <w:footnote w:id="46">
    <w:p w:rsidR="00212844" w:rsidRPr="00DF5472" w14:paraId="4B021F70" w14:textId="674BE871">
      <w:pPr>
        <w:pStyle w:val="FootnoteText"/>
      </w:pPr>
      <w:r>
        <w:rPr>
          <w:rStyle w:val="FootnoteReference"/>
        </w:rPr>
        <w:footnoteRef/>
      </w:r>
      <w:r>
        <w:t xml:space="preserve"> </w:t>
      </w:r>
      <w:r>
        <w:rPr>
          <w:i/>
          <w:iCs/>
        </w:rPr>
        <w:t>See</w:t>
      </w:r>
      <w:r w:rsidR="0016174F">
        <w:rPr>
          <w:i/>
          <w:iCs/>
        </w:rPr>
        <w:t xml:space="preserve"> </w:t>
      </w:r>
      <w:r w:rsidRPr="0016174F" w:rsidR="0016174F">
        <w:rPr>
          <w:i/>
          <w:iCs/>
        </w:rPr>
        <w:t>FCC RFI-Draft Statement of Objectives: Broadband Serviceable Location Fabric Database Project</w:t>
      </w:r>
      <w:r w:rsidR="0016174F">
        <w:t xml:space="preserve">, </w:t>
      </w:r>
      <w:r w:rsidR="00D607A3">
        <w:t xml:space="preserve">Special Notice, </w:t>
      </w:r>
      <w:r w:rsidR="0016174F">
        <w:t>FCC (Mar. 8, 2021)</w:t>
      </w:r>
      <w:r w:rsidR="00683157">
        <w:t>,</w:t>
      </w:r>
      <w:r w:rsidR="0016174F">
        <w:t xml:space="preserve"> </w:t>
      </w:r>
      <w:r w:rsidRPr="00A32E60" w:rsidR="0016174F">
        <w:rPr>
          <w:i/>
          <w:iCs/>
        </w:rPr>
        <w:t>available at</w:t>
      </w:r>
      <w:r w:rsidRPr="00DF01BD" w:rsidR="00DF01BD">
        <w:t xml:space="preserve"> </w:t>
      </w:r>
      <w:hyperlink r:id="rId4" w:history="1">
        <w:r w:rsidRPr="00F12371" w:rsidR="00DF01BD">
          <w:rPr>
            <w:rStyle w:val="Hyperlink"/>
          </w:rPr>
          <w:t>https://sam.gov/opp/6986698606b445b395d7ca0650c8cd3e/view</w:t>
        </w:r>
      </w:hyperlink>
      <w:r w:rsidR="00DF01BD">
        <w:t xml:space="preserve">. </w:t>
      </w:r>
    </w:p>
  </w:footnote>
  <w:footnote w:id="47">
    <w:p w:rsidR="00D954A2" w:rsidRPr="00DF5472" w14:paraId="059B517E" w14:textId="6621384D">
      <w:pPr>
        <w:pStyle w:val="FootnoteText"/>
      </w:pPr>
      <w:r>
        <w:rPr>
          <w:rStyle w:val="FootnoteReference"/>
        </w:rPr>
        <w:footnoteRef/>
      </w:r>
      <w:r>
        <w:t xml:space="preserve"> </w:t>
      </w:r>
      <w:r w:rsidR="00C9154B">
        <w:rPr>
          <w:i/>
          <w:iCs/>
        </w:rPr>
        <w:t xml:space="preserve">See </w:t>
      </w:r>
      <w:r w:rsidRPr="00683157" w:rsidR="00683157">
        <w:rPr>
          <w:i/>
          <w:iCs/>
        </w:rPr>
        <w:t>FCC Industry Feedback Sessions - Broadband Serviceable Location Fabric Database Project</w:t>
      </w:r>
      <w:r w:rsidR="00683157">
        <w:t>,</w:t>
      </w:r>
      <w:r w:rsidR="00D607A3">
        <w:t xml:space="preserve"> Special Notice,</w:t>
      </w:r>
      <w:r w:rsidR="00683157">
        <w:t xml:space="preserve"> FCC (Mar. 25, 2021), </w:t>
      </w:r>
      <w:r w:rsidRPr="00A32E60" w:rsidR="00683157">
        <w:rPr>
          <w:i/>
          <w:iCs/>
        </w:rPr>
        <w:t>available at</w:t>
      </w:r>
      <w:r w:rsidR="004A6A7E">
        <w:t xml:space="preserve"> </w:t>
      </w:r>
      <w:hyperlink r:id="rId5" w:history="1">
        <w:r w:rsidRPr="00F12371" w:rsidR="004A6A7E">
          <w:rPr>
            <w:rStyle w:val="Hyperlink"/>
          </w:rPr>
          <w:t>https://sam.gov/opp/1b02de09717c4f4d8d1c14e819c7f2de/view</w:t>
        </w:r>
      </w:hyperlink>
      <w:r w:rsidR="004A6A7E">
        <w:t xml:space="preserve">. </w:t>
      </w:r>
    </w:p>
  </w:footnote>
  <w:footnote w:id="48">
    <w:p w:rsidR="004A6A7E" w:rsidRPr="00DF5472" w14:paraId="6E95E5C5" w14:textId="120CB662">
      <w:pPr>
        <w:pStyle w:val="FootnoteText"/>
      </w:pPr>
      <w:r>
        <w:rPr>
          <w:rStyle w:val="FootnoteReference"/>
        </w:rPr>
        <w:footnoteRef/>
      </w:r>
      <w:r>
        <w:t xml:space="preserve"> </w:t>
      </w:r>
      <w:r>
        <w:rPr>
          <w:i/>
          <w:iCs/>
        </w:rPr>
        <w:t>See</w:t>
      </w:r>
      <w:r w:rsidR="001F7A50">
        <w:rPr>
          <w:i/>
          <w:iCs/>
        </w:rPr>
        <w:t xml:space="preserve"> FCC Broadband Serviceable Location Fabric</w:t>
      </w:r>
      <w:r w:rsidR="001F7A50">
        <w:t xml:space="preserve">, </w:t>
      </w:r>
      <w:r w:rsidR="00D441E4">
        <w:t xml:space="preserve">Solicitation, </w:t>
      </w:r>
      <w:r w:rsidR="001F7A50">
        <w:t>FCC (</w:t>
      </w:r>
      <w:r w:rsidR="00D0472E">
        <w:t>June</w:t>
      </w:r>
      <w:r w:rsidR="007D0B8F">
        <w:t xml:space="preserve"> 1, 2021), </w:t>
      </w:r>
      <w:r w:rsidRPr="00A32E60" w:rsidR="007D0B8F">
        <w:rPr>
          <w:i/>
          <w:iCs/>
        </w:rPr>
        <w:t>available at</w:t>
      </w:r>
      <w:r w:rsidR="007D0B8F">
        <w:t xml:space="preserve"> </w:t>
      </w:r>
      <w:hyperlink r:id="rId6" w:history="1">
        <w:r w:rsidRPr="00F12371" w:rsidR="00057AA6">
          <w:rPr>
            <w:rStyle w:val="Hyperlink"/>
          </w:rPr>
          <w:t>https://sam.gov/opp/a523db9a66a74fcf8b23eafa8751491c/view</w:t>
        </w:r>
      </w:hyperlink>
      <w:r w:rsidR="00057AA6">
        <w:t xml:space="preserve">. </w:t>
      </w:r>
    </w:p>
  </w:footnote>
  <w:footnote w:id="49">
    <w:p w:rsidR="00611AED" w:rsidRPr="00DF5472" w:rsidP="00611AED" w14:paraId="2314033C" w14:textId="537580DF">
      <w:pPr>
        <w:pStyle w:val="FootnoteText"/>
      </w:pPr>
      <w:r>
        <w:rPr>
          <w:rStyle w:val="FootnoteReference"/>
        </w:rPr>
        <w:footnoteRef/>
      </w:r>
      <w:r>
        <w:t xml:space="preserve"> </w:t>
      </w:r>
      <w:r>
        <w:rPr>
          <w:i/>
          <w:iCs/>
        </w:rPr>
        <w:t xml:space="preserve">See Limited Source Justification, </w:t>
      </w:r>
      <w:r w:rsidR="00CC1D13">
        <w:rPr>
          <w:i/>
          <w:iCs/>
        </w:rPr>
        <w:t>BDC</w:t>
      </w:r>
      <w:r>
        <w:rPr>
          <w:i/>
          <w:iCs/>
        </w:rPr>
        <w:t xml:space="preserve"> Systems Development and Implementation</w:t>
      </w:r>
      <w:r>
        <w:t xml:space="preserve">, </w:t>
      </w:r>
      <w:r w:rsidR="0086566D">
        <w:t xml:space="preserve">Special Notice, </w:t>
      </w:r>
      <w:r>
        <w:t>FCC (</w:t>
      </w:r>
      <w:r w:rsidR="00CC1D13">
        <w:t>July</w:t>
      </w:r>
      <w:r>
        <w:t xml:space="preserve"> 2, 2021), </w:t>
      </w:r>
      <w:r w:rsidRPr="00A32E60">
        <w:rPr>
          <w:i/>
          <w:iCs/>
        </w:rPr>
        <w:t>available at</w:t>
      </w:r>
      <w:r>
        <w:t xml:space="preserve"> </w:t>
      </w:r>
      <w:hyperlink r:id="rId7" w:history="1">
        <w:r w:rsidRPr="00F12371">
          <w:rPr>
            <w:rStyle w:val="Hyperlink"/>
          </w:rPr>
          <w:t>https://sam.gov/opp/e31406dd59b14ed68be1f08234b152f9/view</w:t>
        </w:r>
      </w:hyperlink>
      <w:r>
        <w:t xml:space="preserve">. </w:t>
      </w:r>
    </w:p>
  </w:footnote>
  <w:footnote w:id="50">
    <w:p w:rsidR="00291A2A" w:rsidRPr="004A62A0" w14:paraId="36332A94" w14:textId="3ED10BA4">
      <w:pPr>
        <w:pStyle w:val="FootnoteText"/>
      </w:pPr>
      <w:r>
        <w:rPr>
          <w:rStyle w:val="FootnoteReference"/>
        </w:rPr>
        <w:footnoteRef/>
      </w:r>
      <w:r>
        <w:t xml:space="preserve"> </w:t>
      </w:r>
      <w:r w:rsidR="003261E7">
        <w:rPr>
          <w:i/>
          <w:iCs/>
        </w:rPr>
        <w:t xml:space="preserve">See </w:t>
      </w:r>
      <w:r w:rsidRPr="00593E49" w:rsidR="00593E49">
        <w:rPr>
          <w:i/>
          <w:iCs/>
        </w:rPr>
        <w:t>Comment Sought on Technical Requirements for the Mobile Challenge, Verification, and Crowdsource Processes Required under the Broadband Data Act</w:t>
      </w:r>
      <w:r w:rsidRPr="002C3D6C" w:rsidR="00593E49">
        <w:t>, WC Docket No. 19-195, Public Notice, DA 21-853, 2021 WL 3057378 (WTB/OEA/OET July 16, 2021) (</w:t>
      </w:r>
      <w:r w:rsidRPr="00593E49" w:rsidR="00593E49">
        <w:rPr>
          <w:i/>
          <w:iCs/>
        </w:rPr>
        <w:t>BDC Mobile Technical Requirements Public Notice</w:t>
      </w:r>
      <w:r w:rsidRPr="002C3D6C" w:rsidR="00593E49">
        <w:t>)</w:t>
      </w:r>
      <w:r w:rsidR="00593E49">
        <w:t>.</w:t>
      </w:r>
    </w:p>
  </w:footnote>
  <w:footnote w:id="51">
    <w:p w:rsidR="00564C90" w:rsidRPr="004A62A0" w:rsidP="00564C90" w14:paraId="7D86E6B4" w14:textId="037F66D1">
      <w:pPr>
        <w:pStyle w:val="FootnoteText"/>
      </w:pPr>
      <w:r>
        <w:rPr>
          <w:rStyle w:val="FootnoteReference"/>
        </w:rPr>
        <w:footnoteRef/>
      </w:r>
      <w:r>
        <w:t xml:space="preserve"> </w:t>
      </w:r>
      <w:r w:rsidR="000A407C">
        <w:rPr>
          <w:i/>
          <w:iCs/>
        </w:rPr>
        <w:t xml:space="preserve">See </w:t>
      </w:r>
      <w:r w:rsidRPr="00593E49" w:rsidR="000A407C">
        <w:rPr>
          <w:i/>
          <w:iCs/>
        </w:rPr>
        <w:t>BDC Mobile Technical Requirements Public Notice</w:t>
      </w:r>
      <w:r w:rsidR="000A407C">
        <w:t xml:space="preserve">, </w:t>
      </w:r>
      <w:r w:rsidR="00480051">
        <w:t>at *</w:t>
      </w:r>
      <w:r w:rsidR="002D79CF">
        <w:t>4</w:t>
      </w:r>
      <w:r w:rsidR="004A3C48">
        <w:t>-*6, *29-*31</w:t>
      </w:r>
      <w:r w:rsidR="002D79CF">
        <w:t>, para</w:t>
      </w:r>
      <w:r w:rsidR="004A3C48">
        <w:t>s</w:t>
      </w:r>
      <w:r w:rsidR="002D79CF">
        <w:t>. 8</w:t>
      </w:r>
      <w:r w:rsidR="0096302E">
        <w:t>-14, Appx. A § 3.1</w:t>
      </w:r>
      <w:r w:rsidR="002D79CF">
        <w:t xml:space="preserve">. </w:t>
      </w:r>
      <w:r w:rsidR="004E2FEE">
        <w:t xml:space="preserve"> This </w:t>
      </w:r>
      <w:r w:rsidR="004E2FEE">
        <w:rPr>
          <w:i/>
          <w:iCs/>
        </w:rPr>
        <w:t>Public Notice</w:t>
      </w:r>
      <w:r w:rsidR="004E2FEE">
        <w:t xml:space="preserve"> uses Westlaw *pagination for the </w:t>
      </w:r>
      <w:r w:rsidRPr="005B5253" w:rsidR="004E2FEE">
        <w:rPr>
          <w:i/>
          <w:iCs/>
        </w:rPr>
        <w:t xml:space="preserve">BDC </w:t>
      </w:r>
      <w:r w:rsidR="004E2FEE">
        <w:rPr>
          <w:i/>
          <w:iCs/>
        </w:rPr>
        <w:t>Mobile</w:t>
      </w:r>
      <w:r w:rsidRPr="005B5253" w:rsidR="004E2FEE">
        <w:rPr>
          <w:i/>
          <w:iCs/>
        </w:rPr>
        <w:t xml:space="preserve"> Technical Requirements Public Notice</w:t>
      </w:r>
      <w:r w:rsidR="004E2FEE">
        <w:t>.</w:t>
      </w:r>
    </w:p>
  </w:footnote>
  <w:footnote w:id="52">
    <w:p w:rsidR="00564C90" w:rsidP="00564C90" w14:paraId="3B4D7FCD" w14:textId="3C92C055">
      <w:pPr>
        <w:pStyle w:val="FootnoteText"/>
      </w:pPr>
      <w:r>
        <w:rPr>
          <w:rStyle w:val="FootnoteReference"/>
        </w:rPr>
        <w:footnoteRef/>
      </w:r>
      <w:r>
        <w:t xml:space="preserve"> </w:t>
      </w:r>
      <w:r w:rsidR="00055FA9">
        <w:rPr>
          <w:i/>
          <w:iCs/>
        </w:rPr>
        <w:t xml:space="preserve">See </w:t>
      </w:r>
      <w:r w:rsidRPr="00593E49" w:rsidR="00055FA9">
        <w:rPr>
          <w:i/>
          <w:iCs/>
        </w:rPr>
        <w:t>BDC Mobile Technical Requirements Public Notice</w:t>
      </w:r>
      <w:r w:rsidR="00055FA9">
        <w:t>, at *</w:t>
      </w:r>
      <w:r w:rsidR="00690C79">
        <w:t>20</w:t>
      </w:r>
      <w:r w:rsidR="00055FA9">
        <w:t xml:space="preserve">, para. </w:t>
      </w:r>
      <w:r w:rsidR="00690C79">
        <w:t>54</w:t>
      </w:r>
      <w:r w:rsidR="00055FA9">
        <w:t xml:space="preserve">. </w:t>
      </w:r>
    </w:p>
  </w:footnote>
  <w:footnote w:id="53">
    <w:p w:rsidR="00564C90" w:rsidRPr="00D40DCB" w:rsidP="00564C90" w14:paraId="272CB16B" w14:textId="77777777">
      <w:pPr>
        <w:pStyle w:val="FootnoteText"/>
      </w:pPr>
      <w:r>
        <w:rPr>
          <w:rStyle w:val="FootnoteReference"/>
        </w:rPr>
        <w:footnoteRef/>
      </w:r>
      <w:r>
        <w:t xml:space="preserve"> </w:t>
      </w:r>
      <w:r>
        <w:rPr>
          <w:i/>
          <w:iCs/>
        </w:rPr>
        <w:t xml:space="preserve">See </w:t>
      </w:r>
      <w:r>
        <w:t xml:space="preserve">47 U.S.C. § 644(e).  </w:t>
      </w:r>
    </w:p>
  </w:footnote>
  <w:footnote w:id="54">
    <w:p w:rsidR="00A85723" w:rsidRPr="004A62A0" w14:paraId="1CA11E06" w14:textId="0B83A9F8">
      <w:pPr>
        <w:pStyle w:val="FootnoteText"/>
      </w:pPr>
      <w:r>
        <w:rPr>
          <w:rStyle w:val="FootnoteReference"/>
        </w:rPr>
        <w:footnoteRef/>
      </w:r>
      <w:r>
        <w:t xml:space="preserve"> </w:t>
      </w:r>
      <w:r w:rsidR="00F35790">
        <w:rPr>
          <w:i/>
          <w:iCs/>
        </w:rPr>
        <w:t xml:space="preserve">See </w:t>
      </w:r>
      <w:r w:rsidR="00714D74">
        <w:t xml:space="preserve">Broadband Data Task Force, </w:t>
      </w:r>
      <w:r w:rsidR="00E1251D">
        <w:t xml:space="preserve">OEA, ONAP, </w:t>
      </w:r>
      <w:r w:rsidR="00E1251D">
        <w:rPr>
          <w:i/>
          <w:iCs/>
        </w:rPr>
        <w:t>Broadband Data Collection Tribal Governments’ Technical Assistance Workshop</w:t>
      </w:r>
      <w:r w:rsidR="00E1251D">
        <w:t xml:space="preserve">, </w:t>
      </w:r>
      <w:r w:rsidR="00061D7D">
        <w:t>(Dec. 8, 2021)</w:t>
      </w:r>
      <w:r w:rsidR="00DA34E3">
        <w:t xml:space="preserve">, </w:t>
      </w:r>
      <w:hyperlink r:id="rId8" w:history="1">
        <w:r w:rsidRPr="00C90CF6" w:rsidR="00DA34E3">
          <w:rPr>
            <w:rStyle w:val="Hyperlink"/>
          </w:rPr>
          <w:t>https://www.fcc.gov/news-events/events/2021/12/broadband-data-collection-tribal-governments-technical-assistance</w:t>
        </w:r>
      </w:hyperlink>
      <w:r w:rsidR="00DA34E3">
        <w:t xml:space="preserve">. </w:t>
      </w:r>
    </w:p>
  </w:footnote>
  <w:footnote w:id="55">
    <w:p w:rsidR="003C1AD5" w:rsidRPr="004D2440" w:rsidP="003C1AD5" w14:paraId="28BC801B" w14:textId="06512CEA">
      <w:pPr>
        <w:pStyle w:val="FootnoteText"/>
      </w:pPr>
      <w:r>
        <w:rPr>
          <w:rStyle w:val="FootnoteReference"/>
        </w:rPr>
        <w:footnoteRef/>
      </w:r>
      <w:r>
        <w:t xml:space="preserve"> </w:t>
      </w:r>
      <w:r>
        <w:rPr>
          <w:i/>
          <w:iCs/>
        </w:rPr>
        <w:t>See FCC RFI – BDC Technical Assistance Tier 1 Services</w:t>
      </w:r>
      <w:r>
        <w:t xml:space="preserve">, Special Notice, FCC (Nov. 11 2021), </w:t>
      </w:r>
      <w:r w:rsidRPr="00A05992">
        <w:rPr>
          <w:i/>
          <w:iCs/>
        </w:rPr>
        <w:t>available at</w:t>
      </w:r>
      <w:r>
        <w:t xml:space="preserve"> </w:t>
      </w:r>
      <w:hyperlink r:id="rId9" w:history="1">
        <w:r w:rsidRPr="00F12371">
          <w:rPr>
            <w:rStyle w:val="Hyperlink"/>
          </w:rPr>
          <w:t>https://sam.gov/opp/67406e68a97e4d90b3f821a7883be2e0/view</w:t>
        </w:r>
      </w:hyperlink>
      <w:r>
        <w:t xml:space="preserve">. </w:t>
      </w:r>
    </w:p>
  </w:footnote>
  <w:footnote w:id="56">
    <w:p w:rsidR="00873077" w:rsidRPr="004A62A0" w14:paraId="6FA025A3" w14:textId="7334C5E0">
      <w:pPr>
        <w:pStyle w:val="FootnoteText"/>
      </w:pPr>
      <w:r>
        <w:rPr>
          <w:rStyle w:val="FootnoteReference"/>
        </w:rPr>
        <w:footnoteRef/>
      </w:r>
      <w:r>
        <w:t xml:space="preserve"> </w:t>
      </w:r>
      <w:r w:rsidR="00E139B5">
        <w:rPr>
          <w:i/>
          <w:iCs/>
        </w:rPr>
        <w:t xml:space="preserve">See </w:t>
      </w:r>
      <w:r w:rsidR="003A1283">
        <w:rPr>
          <w:i/>
          <w:iCs/>
        </w:rPr>
        <w:t>Broadband Data Collection Technical Assistance Tiers 0 and 2</w:t>
      </w:r>
      <w:r w:rsidR="008B2ADE">
        <w:t>, Definitive Contract PIID 273FCC22C0012</w:t>
      </w:r>
      <w:r w:rsidR="00AE49F8">
        <w:t xml:space="preserve">, </w:t>
      </w:r>
      <w:r w:rsidR="005A3B1B">
        <w:t xml:space="preserve">Contract Summary (Jan. 27, 2022), </w:t>
      </w:r>
      <w:r w:rsidRPr="00A05992" w:rsidR="005A3B1B">
        <w:rPr>
          <w:i/>
          <w:iCs/>
        </w:rPr>
        <w:t>available at</w:t>
      </w:r>
      <w:r w:rsidR="005A3B1B">
        <w:t xml:space="preserve"> </w:t>
      </w:r>
      <w:hyperlink r:id="rId10" w:history="1">
        <w:r w:rsidRPr="00C90CF6" w:rsidR="005A3B1B">
          <w:rPr>
            <w:rStyle w:val="Hyperlink"/>
          </w:rPr>
          <w:t>https://www.usaspending.gov/award/CONT_AWD_273FCC22C0012_2700_-NONE-_-NONE-</w:t>
        </w:r>
      </w:hyperlink>
      <w:r w:rsidR="005A3B1B">
        <w:t xml:space="preserve">. </w:t>
      </w:r>
    </w:p>
  </w:footnote>
  <w:footnote w:id="57">
    <w:p w:rsidR="003C1AD5" w:rsidP="003C1AD5" w14:paraId="628B56E3" w14:textId="377F5F35">
      <w:pPr>
        <w:pStyle w:val="FootnoteText"/>
      </w:pPr>
      <w:r>
        <w:rPr>
          <w:rStyle w:val="FootnoteReference"/>
        </w:rPr>
        <w:footnoteRef/>
      </w:r>
      <w:r>
        <w:t xml:space="preserve"> </w:t>
      </w:r>
      <w:r>
        <w:rPr>
          <w:i/>
          <w:iCs/>
        </w:rPr>
        <w:t>See FCC RFI – BDC Technical Assistance Tier 1 Services</w:t>
      </w:r>
      <w:r>
        <w:t xml:space="preserve">, Special Notice, FCC (Nov. 11 2021), </w:t>
      </w:r>
      <w:r w:rsidRPr="00991C48">
        <w:rPr>
          <w:i/>
          <w:iCs/>
        </w:rPr>
        <w:t>available at</w:t>
      </w:r>
      <w:r>
        <w:t xml:space="preserve"> </w:t>
      </w:r>
      <w:hyperlink r:id="rId9" w:history="1">
        <w:r w:rsidRPr="00F12371">
          <w:rPr>
            <w:rStyle w:val="Hyperlink"/>
          </w:rPr>
          <w:t>https://sam.gov/opp/67406e68a97e4d90b3f821a7883be2e0/view</w:t>
        </w:r>
      </w:hyperlink>
      <w:r>
        <w:t>.</w:t>
      </w:r>
    </w:p>
  </w:footnote>
  <w:footnote w:id="58">
    <w:p w:rsidR="001B3D15" w14:paraId="3099C755" w14:textId="59064507">
      <w:pPr>
        <w:pStyle w:val="FootnoteText"/>
      </w:pPr>
      <w:r>
        <w:rPr>
          <w:rStyle w:val="FootnoteReference"/>
        </w:rPr>
        <w:footnoteRef/>
      </w:r>
      <w:r>
        <w:t xml:space="preserve"> </w:t>
      </w:r>
      <w:r w:rsidR="00FE2C74">
        <w:t xml:space="preserve">Press Release, FCC, </w:t>
      </w:r>
      <w:r w:rsidR="0001031A">
        <w:t>FCC Releases First-of-its-Kind Mobile Broadband Map</w:t>
      </w:r>
      <w:r w:rsidR="00364E72">
        <w:t xml:space="preserve"> (Aug. 6, 2021), </w:t>
      </w:r>
      <w:hyperlink r:id="rId11" w:history="1">
        <w:r w:rsidRPr="00C90CF6" w:rsidR="00364E72">
          <w:rPr>
            <w:rStyle w:val="Hyperlink"/>
          </w:rPr>
          <w:t>https://www.fcc.gov/document/fcc-launches-new-mobile-broadband-map</w:t>
        </w:r>
      </w:hyperlink>
      <w:r w:rsidR="00364E72">
        <w:t xml:space="preserve">. </w:t>
      </w:r>
    </w:p>
  </w:footnote>
  <w:footnote w:id="59">
    <w:p w:rsidR="001B3D15" w:rsidRPr="004A62A0" w14:paraId="7B508B96" w14:textId="00F53DC3">
      <w:pPr>
        <w:pStyle w:val="FootnoteText"/>
      </w:pPr>
      <w:r>
        <w:rPr>
          <w:rStyle w:val="FootnoteReference"/>
        </w:rPr>
        <w:footnoteRef/>
      </w:r>
      <w:r>
        <w:t xml:space="preserve"> </w:t>
      </w:r>
      <w:r w:rsidR="004A62A0">
        <w:t xml:space="preserve">For example, </w:t>
      </w:r>
      <w:r w:rsidR="00D5067D">
        <w:t xml:space="preserve">members of the Broadband Data Task Force provided a CLE presentation to the Federal Communications Bar Association (FCBA) </w:t>
      </w:r>
      <w:r w:rsidR="002E7585">
        <w:t>on March 11, 2021</w:t>
      </w:r>
      <w:r w:rsidR="00FF0798">
        <w:t xml:space="preserve">.  The slide deck from that presentation is available at: </w:t>
      </w:r>
      <w:hyperlink r:id="rId12" w:history="1">
        <w:r w:rsidRPr="00C90CF6" w:rsidR="00FF0798">
          <w:rPr>
            <w:rStyle w:val="Hyperlink"/>
          </w:rPr>
          <w:t>https://www.fcc.gov/sites/default/files/fcc-cle-presentation-03112021.pdf</w:t>
        </w:r>
      </w:hyperlink>
      <w:r w:rsidR="00FF0798">
        <w:t xml:space="preserve">. </w:t>
      </w:r>
      <w:r w:rsidR="0061311E">
        <w:t xml:space="preserve"> </w:t>
      </w:r>
      <w:r w:rsidR="001A5A76">
        <w:t>As another example, o</w:t>
      </w:r>
      <w:r w:rsidR="0061311E">
        <w:t>n November 3, 2021, members of the Task Force provided a</w:t>
      </w:r>
      <w:r w:rsidR="00783C57">
        <w:t xml:space="preserve">n overview of the BDC, a status update on implementation, and took questions from members of NTIA’s State Broadband Leaders Network. </w:t>
      </w:r>
      <w:r w:rsidR="008C7236">
        <w:t xml:space="preserve"> The </w:t>
      </w:r>
      <w:r w:rsidR="0086167E">
        <w:t xml:space="preserve">Broadband Data </w:t>
      </w:r>
      <w:r w:rsidR="008C7236">
        <w:t>Task Force</w:t>
      </w:r>
      <w:r w:rsidR="0086167E">
        <w:t xml:space="preserve"> has also provided updates to the FCC’s Precision Ag Task Force, </w:t>
      </w:r>
      <w:r w:rsidR="000A1F60">
        <w:t xml:space="preserve">Intergovernmental Advisory Committee, </w:t>
      </w:r>
      <w:r w:rsidR="003F0E47">
        <w:t xml:space="preserve">Native Nations Communications Task Force, and a variety of other stakeholders on various occasions.  </w:t>
      </w:r>
      <w:r w:rsidR="000362AB">
        <w:t>This is not an exhaustive list</w:t>
      </w:r>
      <w:r w:rsidR="00967D31">
        <w:t xml:space="preserve"> of the robust and consistent stakeholder engagement </w:t>
      </w:r>
      <w:r w:rsidR="00D53AA8">
        <w:t>that is essential to the BDC, which</w:t>
      </w:r>
      <w:r w:rsidR="001A5A76">
        <w:t>,</w:t>
      </w:r>
      <w:r w:rsidR="00D53AA8">
        <w:t xml:space="preserve"> </w:t>
      </w:r>
      <w:r w:rsidR="001A5A76">
        <w:t xml:space="preserve">as explained above, </w:t>
      </w:r>
      <w:r w:rsidR="00D53AA8">
        <w:t xml:space="preserve">will require </w:t>
      </w:r>
      <w:r w:rsidR="0048635E">
        <w:t>direct input from providers, state, local, and Tribal governments, and consumers</w:t>
      </w:r>
      <w:r w:rsidR="001A5A76">
        <w:t>.</w:t>
      </w:r>
      <w:r w:rsidR="00967D31">
        <w:t xml:space="preserve"> </w:t>
      </w:r>
    </w:p>
  </w:footnote>
  <w:footnote w:id="60">
    <w:p w:rsidR="002F45D7" w14:paraId="799AFB0C" w14:textId="7352C449">
      <w:pPr>
        <w:pStyle w:val="FootnoteText"/>
      </w:pPr>
      <w:r>
        <w:rPr>
          <w:rStyle w:val="FootnoteReference"/>
        </w:rPr>
        <w:footnoteRef/>
      </w:r>
      <w:r>
        <w:t xml:space="preserve"> </w:t>
      </w:r>
      <w:r w:rsidR="00A4715D">
        <w:t xml:space="preserve">Press Release, FCC, FCC </w:t>
      </w:r>
      <w:r w:rsidR="00ED537C">
        <w:t>Announces New Outreach</w:t>
      </w:r>
      <w:r w:rsidR="00A4715D">
        <w:t xml:space="preserve"> to Collect Consumer Broadband Availability Experiences</w:t>
      </w:r>
      <w:r w:rsidR="00ED5BA8">
        <w:t xml:space="preserve"> (Mar. 22, 2021), </w:t>
      </w:r>
      <w:hyperlink r:id="rId13" w:history="1">
        <w:r w:rsidRPr="00C90CF6" w:rsidR="00ED5BA8">
          <w:rPr>
            <w:rStyle w:val="Hyperlink"/>
          </w:rPr>
          <w:t>https://www.fcc.gov/document/fcc-reaches-out-collect-consumer-broadband-availability-experiences</w:t>
        </w:r>
      </w:hyperlink>
      <w:r w:rsidR="00ED5BA8">
        <w:t xml:space="preserve">. </w:t>
      </w:r>
    </w:p>
  </w:footnote>
  <w:footnote w:id="61">
    <w:p w:rsidR="00544217" w14:paraId="6F5925D4" w14:textId="4CC9F6F9">
      <w:pPr>
        <w:pStyle w:val="FootnoteText"/>
      </w:pPr>
      <w:r>
        <w:rPr>
          <w:rStyle w:val="FootnoteReference"/>
        </w:rPr>
        <w:footnoteRef/>
      </w:r>
      <w:r>
        <w:t xml:space="preserve"> Press Release, FCC, FCC Encourages Public to Use Its Speed Test App</w:t>
      </w:r>
      <w:r w:rsidR="00403F33">
        <w:t xml:space="preserve"> </w:t>
      </w:r>
      <w:r w:rsidR="00274F35">
        <w:t xml:space="preserve">to Measure Their Broadband Speeds </w:t>
      </w:r>
      <w:r w:rsidR="00403F33">
        <w:t xml:space="preserve">(Apr. 12, 2021), </w:t>
      </w:r>
      <w:hyperlink r:id="rId14" w:history="1">
        <w:r w:rsidRPr="00C90CF6" w:rsidR="00403F33">
          <w:rPr>
            <w:rStyle w:val="Hyperlink"/>
          </w:rPr>
          <w:t>https://www.fcc.gov/document/fcc-encourages-public-use-its-speed-test-app</w:t>
        </w:r>
      </w:hyperlink>
      <w:r w:rsidR="00403F33">
        <w:t xml:space="preserve">. </w:t>
      </w:r>
    </w:p>
  </w:footnote>
  <w:footnote w:id="62">
    <w:p w:rsidR="6A536DE7" w:rsidP="004060DF" w14:paraId="70B812B5" w14:textId="467197B5">
      <w:pPr>
        <w:pStyle w:val="FootnoteText"/>
      </w:pPr>
      <w:r w:rsidRPr="6A536DE7">
        <w:rPr>
          <w:rStyle w:val="FootnoteReference"/>
        </w:rPr>
        <w:footnoteRef/>
      </w:r>
      <w:r>
        <w:t xml:space="preserve"> </w:t>
      </w:r>
      <w:r w:rsidRPr="00CE5D2A">
        <w:rPr>
          <w:i/>
          <w:iCs/>
        </w:rPr>
        <w:t>S</w:t>
      </w:r>
      <w:r w:rsidRPr="6A536DE7">
        <w:rPr>
          <w:i/>
          <w:iCs/>
        </w:rPr>
        <w:t>ee</w:t>
      </w:r>
      <w:r>
        <w:t xml:space="preserve"> 48 CFR § 33.104(c)(1) (”When the agency receives notice of a protest from the GAO within 10 days after contract award or within 5 days after a debriefing date offered to the protester for any debriefing that is required by 15.505 or 15.506, whichever is later, the contracting officer shall immediately suspend performance or terminate the contract award, except as provided in paragraphs (c)(2) and (3) of this section.”).</w:t>
      </w:r>
    </w:p>
  </w:footnote>
  <w:footnote w:id="63">
    <w:p w:rsidR="0042217B" w14:paraId="093ECA27" w14:textId="03634B8C">
      <w:pPr>
        <w:pStyle w:val="FootnoteText"/>
      </w:pPr>
      <w:r>
        <w:rPr>
          <w:rStyle w:val="FootnoteReference"/>
        </w:rPr>
        <w:footnoteRef/>
      </w:r>
      <w:r>
        <w:t xml:space="preserve"> 4 CFR § 21.9(a).  GAO’s regulations further provide that it, “</w:t>
      </w:r>
      <w:r w:rsidRPr="00671F3E">
        <w:t>to the maximum extent practicable, shall resolve a timely supplemental protest adding one or more new grounds to an existing protest, or a timely amended protest, within the time limit established in paragraph (a) of this section for decision on the initial protest.</w:t>
      </w:r>
      <w:r>
        <w:t>”  4 CFR § 21.9(c).</w:t>
      </w:r>
    </w:p>
  </w:footnote>
  <w:footnote w:id="64">
    <w:p w:rsidR="0006297D" w:rsidP="0006297D" w14:paraId="1A0FC8A6" w14:textId="085E434D">
      <w:pPr>
        <w:pStyle w:val="FootnoteText"/>
      </w:pPr>
      <w:r>
        <w:rPr>
          <w:rStyle w:val="FootnoteReference"/>
        </w:rPr>
        <w:footnoteRef/>
      </w:r>
      <w:r>
        <w:t xml:space="preserve"> </w:t>
      </w:r>
      <w:r w:rsidRPr="599536CB">
        <w:rPr>
          <w:i/>
          <w:iCs/>
        </w:rPr>
        <w:t>Third Report and Order</w:t>
      </w:r>
      <w:r>
        <w:t>, 36 FCC Rcd at 1177, para</w:t>
      </w:r>
      <w:r w:rsidR="002C45A9">
        <w:t>s</w:t>
      </w:r>
      <w:r>
        <w:t xml:space="preserve">. </w:t>
      </w:r>
      <w:r w:rsidR="009D5454">
        <w:t>126-</w:t>
      </w:r>
      <w:r>
        <w:t>132.</w:t>
      </w:r>
    </w:p>
  </w:footnote>
  <w:footnote w:id="65">
    <w:p w:rsidR="00D85A69" w14:paraId="2FD76AC7" w14:textId="39944AA5">
      <w:pPr>
        <w:pStyle w:val="FootnoteText"/>
      </w:pPr>
      <w:r>
        <w:rPr>
          <w:rStyle w:val="FootnoteReference"/>
        </w:rPr>
        <w:footnoteRef/>
      </w:r>
      <w:r>
        <w:t xml:space="preserve"> </w:t>
      </w:r>
      <w:r>
        <w:rPr>
          <w:i/>
          <w:iCs/>
        </w:rPr>
        <w:t>See FCC Broadband Serviceable Location Fabric</w:t>
      </w:r>
      <w:r>
        <w:t xml:space="preserve">, Statement of Objectives, FCC (June 1, 2021), </w:t>
      </w:r>
      <w:r w:rsidRPr="00A32E60">
        <w:rPr>
          <w:i/>
          <w:iCs/>
        </w:rPr>
        <w:t>available at</w:t>
      </w:r>
      <w:r>
        <w:t xml:space="preserve"> </w:t>
      </w:r>
      <w:hyperlink r:id="rId6" w:history="1">
        <w:r w:rsidRPr="00F12371">
          <w:rPr>
            <w:rStyle w:val="Hyperlink"/>
          </w:rPr>
          <w:t>https://sam.gov/opp/a523db9a66a74fcf8b23eafa8751491c/view</w:t>
        </w:r>
      </w:hyperlink>
      <w:r w:rsidR="4825C1A9">
        <w:t>.</w:t>
      </w:r>
      <w:r>
        <w:t xml:space="preserve"> </w:t>
      </w:r>
    </w:p>
  </w:footnote>
  <w:footnote w:id="66">
    <w:p w:rsidR="003448BC" w:rsidRPr="003448BC" w14:paraId="7CBFCD48" w14:textId="13E62C83">
      <w:pPr>
        <w:pStyle w:val="FootnoteText"/>
      </w:pPr>
      <w:r>
        <w:rPr>
          <w:rStyle w:val="FootnoteReference"/>
        </w:rPr>
        <w:footnoteRef/>
      </w:r>
      <w:r>
        <w:t xml:space="preserve"> </w:t>
      </w:r>
      <w:r>
        <w:rPr>
          <w:i/>
          <w:iCs/>
        </w:rPr>
        <w:t xml:space="preserve">See </w:t>
      </w:r>
      <w:r w:rsidR="00884623">
        <w:t>Authorization to Operate (ATO) – Glossary | CSRC,</w:t>
      </w:r>
      <w:r w:rsidR="00B41567">
        <w:t xml:space="preserve"> </w:t>
      </w:r>
      <w:hyperlink r:id="rId15" w:history="1">
        <w:r w:rsidRPr="00012D07" w:rsidR="00B41567">
          <w:rPr>
            <w:rStyle w:val="Hyperlink"/>
          </w:rPr>
          <w:t>https://csrc.nist.gov/glossary/term/authorization_to_operate</w:t>
        </w:r>
      </w:hyperlink>
      <w:r w:rsidR="00B41567">
        <w:t xml:space="preserve"> </w:t>
      </w:r>
      <w:r w:rsidR="0025513D">
        <w:t>(last visited Jan. 31, 2022) (defining</w:t>
      </w:r>
      <w:r w:rsidR="00F01A94">
        <w:t xml:space="preserve"> ATO as “[t]he official management decision given by a senior organizational official to authorize operation of an information system and to explicitly accept the risk to organizational operations </w:t>
      </w:r>
      <w:r w:rsidR="008922FD">
        <w:t>(including mission, functions, image, or reputation), o</w:t>
      </w:r>
      <w:r w:rsidR="00AB73F4">
        <w:t>rganizational assets, individuals, other organizations, and the Nation based on the implementation of an agreed-upon set of security controls.”).</w:t>
      </w:r>
      <w:r w:rsidR="00884623">
        <w:t xml:space="preserve"> </w:t>
      </w:r>
    </w:p>
  </w:footnote>
  <w:footnote w:id="67">
    <w:p w:rsidR="00F7096A" w14:paraId="6097079A" w14:textId="613500AA">
      <w:pPr>
        <w:pStyle w:val="FootnoteText"/>
      </w:pPr>
      <w:r>
        <w:rPr>
          <w:rStyle w:val="FootnoteReference"/>
        </w:rPr>
        <w:footnoteRef/>
      </w:r>
      <w:r>
        <w:t xml:space="preserve"> </w:t>
      </w:r>
      <w:r w:rsidR="00CA6171">
        <w:rPr>
          <w:i/>
          <w:iCs/>
        </w:rPr>
        <w:t>See</w:t>
      </w:r>
      <w:r>
        <w:rPr>
          <w:i/>
        </w:rPr>
        <w:t xml:space="preserve"> </w:t>
      </w:r>
      <w:r>
        <w:t xml:space="preserve">47 CFR </w:t>
      </w:r>
      <w:r w:rsidR="00CA6171">
        <w:t>§</w:t>
      </w:r>
      <w:r>
        <w:t xml:space="preserve"> 1.7004</w:t>
      </w:r>
      <w:r w:rsidR="004241F3">
        <w:t>(b)</w:t>
      </w:r>
      <w:r w:rsidR="00CA6171">
        <w:t>.</w:t>
      </w:r>
    </w:p>
  </w:footnote>
  <w:footnote w:id="68">
    <w:p w:rsidR="00D0051F" w:rsidP="00D0051F" w14:paraId="7E6FF6FE" w14:textId="57D878B3">
      <w:pPr>
        <w:pStyle w:val="FootnoteText"/>
      </w:pPr>
      <w:r w:rsidRPr="004241F3">
        <w:rPr>
          <w:rStyle w:val="FootnoteReference"/>
        </w:rPr>
        <w:footnoteRef/>
      </w:r>
      <w:r w:rsidRPr="004241F3">
        <w:t xml:space="preserve"> </w:t>
      </w:r>
      <w:r w:rsidRPr="004241F3">
        <w:rPr>
          <w:i/>
          <w:iCs/>
        </w:rPr>
        <w:t>See</w:t>
      </w:r>
      <w:r w:rsidRPr="004241F3">
        <w:t xml:space="preserve"> </w:t>
      </w:r>
      <w:r w:rsidR="00A11194">
        <w:rPr>
          <w:i/>
          <w:iCs/>
        </w:rPr>
        <w:t xml:space="preserve">id. </w:t>
      </w:r>
    </w:p>
  </w:footnote>
  <w:footnote w:id="69">
    <w:p w:rsidR="00655295" w:rsidRPr="00655295" w14:paraId="68C5CCAA" w14:textId="5AAACEAF">
      <w:pPr>
        <w:pStyle w:val="FootnoteText"/>
      </w:pPr>
      <w:r>
        <w:rPr>
          <w:rStyle w:val="FootnoteReference"/>
        </w:rPr>
        <w:footnoteRef/>
      </w:r>
      <w:r>
        <w:t xml:space="preserve"> </w:t>
      </w:r>
      <w:r>
        <w:rPr>
          <w:i/>
          <w:iCs/>
        </w:rPr>
        <w:t xml:space="preserve">See </w:t>
      </w:r>
      <w:r>
        <w:t xml:space="preserve">47 CFR </w:t>
      </w:r>
      <w:r w:rsidR="0095698B">
        <w:t xml:space="preserve">§ </w:t>
      </w:r>
      <w:r>
        <w:t>1.7008(d</w:t>
      </w:r>
      <w:r w:rsidR="0095698B">
        <w:t>)</w:t>
      </w:r>
      <w:r w:rsidR="0015488B">
        <w:t>(2</w:t>
      </w:r>
      <w:r w:rsidR="0095698B">
        <w:t xml:space="preserve">).  </w:t>
      </w:r>
      <w:r w:rsidR="001F2268">
        <w:t xml:space="preserve">This deadline applies only to submission of verified </w:t>
      </w:r>
      <w:r w:rsidR="004F2BF1">
        <w:t xml:space="preserve">broadband availability data, and not to the submission of data </w:t>
      </w:r>
      <w:r w:rsidR="00513CCF">
        <w:t>challenging</w:t>
      </w:r>
      <w:r w:rsidR="004F2BF1">
        <w:t xml:space="preserve"> </w:t>
      </w:r>
      <w:r w:rsidR="00B23A49">
        <w:t xml:space="preserve">the </w:t>
      </w:r>
      <w:r w:rsidR="00F815FB">
        <w:t>broadband availability data submi</w:t>
      </w:r>
      <w:r w:rsidR="00513CCF">
        <w:t>tt</w:t>
      </w:r>
      <w:r w:rsidR="00F815FB">
        <w:t xml:space="preserve">ed by </w:t>
      </w:r>
      <w:r w:rsidR="00853EA7">
        <w:t>providers</w:t>
      </w:r>
      <w:r w:rsidR="0060169D">
        <w:t xml:space="preserve"> or </w:t>
      </w:r>
      <w:r w:rsidR="009F4E31">
        <w:t>the submission of</w:t>
      </w:r>
      <w:r w:rsidR="00513CCF">
        <w:t xml:space="preserve"> crowdsource data.  </w:t>
      </w:r>
      <w:r w:rsidR="001B6533">
        <w:t xml:space="preserve">The Bureau and Offices will issue a </w:t>
      </w:r>
      <w:r w:rsidR="00B00C72">
        <w:t xml:space="preserve">future </w:t>
      </w:r>
      <w:r w:rsidR="001B6533">
        <w:t xml:space="preserve">public notice announcing procedures for authenticating </w:t>
      </w:r>
      <w:r w:rsidR="00AB28D9">
        <w:t>s</w:t>
      </w:r>
      <w:r w:rsidR="001B6533">
        <w:t xml:space="preserve">tate, local, and Tribal governmental entities seeking to submit verified availability data into the BDC system. </w:t>
      </w:r>
    </w:p>
  </w:footnote>
  <w:footnote w:id="70">
    <w:p w:rsidR="001F16CA" w:rsidRPr="001F16CA" w14:paraId="351E9F1E" w14:textId="010D9853">
      <w:pPr>
        <w:pStyle w:val="FootnoteText"/>
      </w:pPr>
      <w:r>
        <w:rPr>
          <w:rStyle w:val="FootnoteReference"/>
        </w:rPr>
        <w:footnoteRef/>
      </w:r>
      <w:r>
        <w:t xml:space="preserve"> </w:t>
      </w:r>
      <w:r>
        <w:rPr>
          <w:i/>
          <w:iCs/>
        </w:rPr>
        <w:t>Second Order</w:t>
      </w:r>
      <w:r w:rsidR="008671BE">
        <w:rPr>
          <w:i/>
          <w:iCs/>
        </w:rPr>
        <w:t xml:space="preserve"> and Third Further Notice</w:t>
      </w:r>
      <w:r>
        <w:t xml:space="preserve">, 35 FCC Rcd at 7484, para. 55. </w:t>
      </w:r>
    </w:p>
  </w:footnote>
  <w:footnote w:id="71">
    <w:p w:rsidR="00E739B8" w:rsidP="00E739B8" w14:paraId="121184C3" w14:textId="6714FBBD">
      <w:pPr>
        <w:pStyle w:val="FootnoteText"/>
      </w:pPr>
      <w:r>
        <w:rPr>
          <w:rStyle w:val="FootnoteReference"/>
        </w:rPr>
        <w:footnoteRef/>
      </w:r>
      <w:r>
        <w:t xml:space="preserve"> IIJA </w:t>
      </w:r>
      <w:r w:rsidR="003D0ED9">
        <w:t>§</w:t>
      </w:r>
      <w:r>
        <w:t xml:space="preserve"> 60103(c).</w:t>
      </w:r>
    </w:p>
  </w:footnote>
  <w:footnote w:id="72">
    <w:p w:rsidR="00B1003A" w:rsidRPr="00141F05" w:rsidP="00B1003A" w14:paraId="43AC1351" w14:textId="77777777">
      <w:pPr>
        <w:pStyle w:val="FootnoteText"/>
      </w:pPr>
      <w:r>
        <w:rPr>
          <w:rStyle w:val="FootnoteReference"/>
        </w:rPr>
        <w:footnoteRef/>
      </w:r>
      <w:r>
        <w:t xml:space="preserve"> As noted above, the Broadband DATA Act was enacted in March 2020, the </w:t>
      </w:r>
      <w:r>
        <w:rPr>
          <w:i/>
          <w:iCs/>
        </w:rPr>
        <w:t>Second Order and Third Further Notice</w:t>
      </w:r>
      <w:r>
        <w:t xml:space="preserve"> was adopted in July 2020, and the </w:t>
      </w:r>
      <w:r>
        <w:rPr>
          <w:i/>
          <w:iCs/>
        </w:rPr>
        <w:t>Third Order</w:t>
      </w:r>
      <w:r>
        <w:t xml:space="preserve"> was adopted in January 2021. </w:t>
      </w:r>
    </w:p>
  </w:footnote>
  <w:footnote w:id="73">
    <w:p w:rsidR="00E50C27" w:rsidP="00E50C27" w14:paraId="18342CC3" w14:textId="77777777">
      <w:pPr>
        <w:pStyle w:val="FootnoteText"/>
      </w:pPr>
      <w:r>
        <w:rPr>
          <w:rStyle w:val="FootnoteReference"/>
        </w:rPr>
        <w:footnoteRef/>
      </w:r>
      <w:r>
        <w:t xml:space="preserve"> </w:t>
      </w:r>
      <w:r w:rsidRPr="00670764">
        <w:rPr>
          <w:i/>
          <w:iCs/>
        </w:rPr>
        <w:t>WAIT Radio v. FCC</w:t>
      </w:r>
      <w:r>
        <w:t>, 418 F.2d 1153, 1157 (D.C. Cir. 1969).</w:t>
      </w:r>
    </w:p>
  </w:footnote>
  <w:footnote w:id="74">
    <w:p w:rsidR="00992255" w:rsidRPr="00B97AF1" w:rsidP="00992255" w14:paraId="6025C335" w14:textId="6851CD85">
      <w:pPr>
        <w:pStyle w:val="FootnoteText"/>
      </w:pPr>
      <w:r>
        <w:rPr>
          <w:rStyle w:val="FootnoteReference"/>
        </w:rPr>
        <w:footnoteRef/>
      </w:r>
      <w:r>
        <w:t xml:space="preserve"> </w:t>
      </w:r>
      <w:r>
        <w:rPr>
          <w:i/>
          <w:iCs/>
        </w:rPr>
        <w:t xml:space="preserve">See </w:t>
      </w:r>
      <w:r w:rsidRPr="003D0ED9" w:rsidR="003D0ED9">
        <w:rPr>
          <w:i/>
          <w:iCs/>
        </w:rPr>
        <w:t>Third Report and Order</w:t>
      </w:r>
      <w:r w:rsidRPr="003D0ED9" w:rsidR="003D0ED9">
        <w:t>, 36 FCC Rcd at 1182, para. 144</w:t>
      </w:r>
      <w:r w:rsidR="00556B44">
        <w:t>;</w:t>
      </w:r>
      <w:r w:rsidR="00B97AF1">
        <w:t xml:space="preserve"> </w:t>
      </w:r>
      <w:r w:rsidR="005564B5">
        <w:rPr>
          <w:i/>
          <w:iCs/>
        </w:rPr>
        <w:t>see</w:t>
      </w:r>
      <w:r w:rsidR="00B97AF1">
        <w:rPr>
          <w:i/>
          <w:iCs/>
        </w:rPr>
        <w:t xml:space="preserve"> also </w:t>
      </w:r>
      <w:r w:rsidR="00B97AF1">
        <w:t>47</w:t>
      </w:r>
      <w:r w:rsidR="00B94E73">
        <w:t xml:space="preserve"> U.S.C. § 643 (prov</w:t>
      </w:r>
      <w:r w:rsidR="004E06BF">
        <w:t>iding that “[i]</w:t>
      </w:r>
      <w:r w:rsidRPr="004E06BF" w:rsidR="004E06BF">
        <w:t>t shall be unlawful for an entity or individual to willfully and knowingly, or recklessly, submit information or data under this subchapter that is materially inaccurate or incomplete with respect to the availability of broadband internet access service or the quality of service with respect to broadband internet access service</w:t>
      </w:r>
      <w:r w:rsidR="00BB3D1B">
        <w:t>”)</w:t>
      </w:r>
      <w:r w:rsidR="005564B5">
        <w:t>.</w:t>
      </w:r>
    </w:p>
  </w:footnote>
  <w:footnote w:id="75">
    <w:p w:rsidR="00167198" w:rsidRPr="00167198" w14:paraId="5210FE81" w14:textId="1983D6DA">
      <w:pPr>
        <w:pStyle w:val="FootnoteText"/>
      </w:pPr>
      <w:r>
        <w:rPr>
          <w:rStyle w:val="FootnoteReference"/>
        </w:rPr>
        <w:footnoteRef/>
      </w:r>
      <w:r>
        <w:t xml:space="preserve"> </w:t>
      </w:r>
      <w:r>
        <w:rPr>
          <w:i/>
          <w:iCs/>
        </w:rPr>
        <w:t xml:space="preserve">See </w:t>
      </w:r>
      <w:r>
        <w:t>47 CFR 1.7004(a)</w:t>
      </w:r>
      <w:r w:rsidR="00AA6AD4">
        <w:t>.</w:t>
      </w:r>
    </w:p>
  </w:footnote>
  <w:footnote w:id="76">
    <w:p w:rsidR="00BA1501" w:rsidP="00BA1501" w14:paraId="4BE0D8F5" w14:textId="14FBF929">
      <w:pPr>
        <w:pStyle w:val="FootnoteText"/>
      </w:pPr>
      <w:r>
        <w:rPr>
          <w:rStyle w:val="FootnoteReference"/>
        </w:rPr>
        <w:footnoteRef/>
      </w:r>
      <w:r>
        <w:t xml:space="preserve"> </w:t>
      </w:r>
      <w:r w:rsidR="009F5A83">
        <w:t>IIJA</w:t>
      </w:r>
      <w:r>
        <w:t xml:space="preserve"> </w:t>
      </w:r>
      <w:r w:rsidR="00D53C11">
        <w:t>§</w:t>
      </w:r>
      <w:r>
        <w:t xml:space="preserve"> 60102(c)(1), (c)(3)</w:t>
      </w:r>
      <w:r w:rsidRPr="009127E6">
        <w:t>.</w:t>
      </w:r>
    </w:p>
  </w:footnote>
  <w:footnote w:id="77">
    <w:p w:rsidR="00AF61C4" w14:paraId="78BD5173" w14:textId="21925A56">
      <w:pPr>
        <w:pStyle w:val="FootnoteText"/>
      </w:pPr>
      <w:r>
        <w:rPr>
          <w:rStyle w:val="FootnoteReference"/>
        </w:rPr>
        <w:footnoteRef/>
      </w:r>
      <w:r>
        <w:t xml:space="preserve"> </w:t>
      </w:r>
      <w:r w:rsidR="00250B21">
        <w:t>As noted below,</w:t>
      </w:r>
      <w:r>
        <w:t xml:space="preserve"> </w:t>
      </w:r>
      <w:r w:rsidR="00751D69">
        <w:t xml:space="preserve">the Broadband Data Task Force and </w:t>
      </w:r>
      <w:r w:rsidRPr="00AF61C4">
        <w:t xml:space="preserve">OEA will release information about the new filing system well in advance of the filing window to allow reporting entities </w:t>
      </w:r>
      <w:r>
        <w:t>t</w:t>
      </w:r>
      <w:r w:rsidRPr="00AF61C4">
        <w:t xml:space="preserve">o familiarize themselves with the new system’s operations.  We particularly </w:t>
      </w:r>
      <w:r w:rsidR="007A2FE8">
        <w:t xml:space="preserve">urge </w:t>
      </w:r>
      <w:r w:rsidRPr="00AF61C4">
        <w:t>entities required to file to take advantage of these materials as they become available</w:t>
      </w:r>
      <w:r w:rsidR="00693EE2">
        <w:t xml:space="preserve"> </w:t>
      </w:r>
      <w:r w:rsidR="006C3D68">
        <w:t xml:space="preserve">so that they are </w:t>
      </w:r>
      <w:r w:rsidR="00037C5C">
        <w:t xml:space="preserve">ready and able </w:t>
      </w:r>
      <w:r w:rsidR="006C3D68">
        <w:t>to file their data as required</w:t>
      </w:r>
      <w:r w:rsidRPr="00AF61C4">
        <w:t>.</w:t>
      </w:r>
    </w:p>
  </w:footnote>
  <w:footnote w:id="78">
    <w:p w:rsidR="009C5993" w:rsidRPr="009C5993" w14:paraId="516E8493" w14:textId="269B549A">
      <w:pPr>
        <w:pStyle w:val="FootnoteText"/>
      </w:pPr>
      <w:r>
        <w:rPr>
          <w:rStyle w:val="FootnoteReference"/>
        </w:rPr>
        <w:footnoteRef/>
      </w:r>
      <w:r>
        <w:t xml:space="preserve"> </w:t>
      </w:r>
      <w:r w:rsidR="00A60BC1">
        <w:rPr>
          <w:i/>
          <w:iCs/>
        </w:rPr>
        <w:t>Third Report and Order</w:t>
      </w:r>
      <w:r w:rsidR="00A60BC1">
        <w:t xml:space="preserve">, 36 FCC Rcd </w:t>
      </w:r>
      <w:r w:rsidR="00780D38">
        <w:t>at</w:t>
      </w:r>
      <w:r w:rsidR="00A60BC1">
        <w:t xml:space="preserve"> </w:t>
      </w:r>
      <w:r w:rsidR="00BC6502">
        <w:t>1187-88</w:t>
      </w:r>
      <w:r w:rsidR="00A60BC1">
        <w:t>, para. 160.</w:t>
      </w:r>
      <w:r w:rsidR="0078723C">
        <w:t xml:space="preserve">  </w:t>
      </w:r>
    </w:p>
  </w:footnote>
  <w:footnote w:id="79">
    <w:p w:rsidR="00C07ACB" w:rsidP="00C07ACB" w14:paraId="391DB57D" w14:textId="74FA6237">
      <w:pPr>
        <w:pStyle w:val="FootnoteText"/>
      </w:pPr>
      <w:r w:rsidRPr="006E0A42">
        <w:rPr>
          <w:rStyle w:val="FootnoteReference"/>
        </w:rPr>
        <w:footnoteRef/>
      </w:r>
      <w:r w:rsidRPr="006E0A42">
        <w:t xml:space="preserve"> In the </w:t>
      </w:r>
      <w:r w:rsidRPr="006E0A42">
        <w:rPr>
          <w:i/>
          <w:iCs/>
        </w:rPr>
        <w:t>Third Report and Order</w:t>
      </w:r>
      <w:r w:rsidRPr="006E0A42">
        <w:t xml:space="preserve">, the Commission also indicated that it would require mobile service providers to report both voice and broadband subscription data under the rules in effect on July 1, 2019 for all future Form 477 submissions.  </w:t>
      </w:r>
      <w:r w:rsidR="00A11194">
        <w:rPr>
          <w:i/>
          <w:iCs/>
        </w:rPr>
        <w:t>Id.</w:t>
      </w:r>
      <w:r w:rsidRPr="006E0A42">
        <w:t xml:space="preserve"> at 1187, para. 158</w:t>
      </w:r>
      <w:r w:rsidR="00463DE5">
        <w:t xml:space="preserve">; </w:t>
      </w:r>
      <w:r w:rsidR="00463DE5">
        <w:rPr>
          <w:i/>
          <w:iCs/>
        </w:rPr>
        <w:t xml:space="preserve">see also </w:t>
      </w:r>
      <w:r w:rsidR="00463DE5">
        <w:t>47 U.S.C. § 642(b)(6)(B).</w:t>
      </w:r>
      <w:r w:rsidR="00211593">
        <w:t xml:space="preserve">  When the current Form 477 filing interface is decommissioned, the sole platform for collecting subscription data will be the BDC system.</w:t>
      </w:r>
    </w:p>
  </w:footnote>
  <w:footnote w:id="80">
    <w:p w:rsidR="0063463F" w:rsidRPr="00697892" w14:paraId="7C9BA4A8" w14:textId="327A60A0">
      <w:pPr>
        <w:pStyle w:val="FootnoteText"/>
      </w:pPr>
      <w:r>
        <w:rPr>
          <w:rStyle w:val="FootnoteReference"/>
        </w:rPr>
        <w:footnoteRef/>
      </w:r>
      <w:r>
        <w:t xml:space="preserve"> </w:t>
      </w:r>
      <w:r w:rsidRPr="00EB61B5" w:rsidR="00780D38">
        <w:rPr>
          <w:i/>
          <w:iCs/>
        </w:rPr>
        <w:t>Third Report and Order</w:t>
      </w:r>
      <w:r w:rsidR="00780D38">
        <w:t xml:space="preserve">, 36 FCC Rcd at </w:t>
      </w:r>
      <w:r w:rsidR="00A85C96">
        <w:t>1187-88, para. 160.</w:t>
      </w:r>
    </w:p>
  </w:footnote>
  <w:footnote w:id="81">
    <w:p w:rsidR="00FE62C5" w:rsidRPr="00445F4A" w14:paraId="194397E4" w14:textId="0561CFE1">
      <w:pPr>
        <w:pStyle w:val="FootnoteText"/>
      </w:pPr>
      <w:r>
        <w:rPr>
          <w:rStyle w:val="FootnoteReference"/>
        </w:rPr>
        <w:footnoteRef/>
      </w:r>
      <w:r w:rsidR="00E54363">
        <w:t xml:space="preserve"> </w:t>
      </w:r>
      <w:r w:rsidR="00780D38">
        <w:rPr>
          <w:i/>
          <w:iCs/>
        </w:rPr>
        <w:t xml:space="preserve">Id. </w:t>
      </w:r>
      <w:r w:rsidR="00780D38">
        <w:t>at</w:t>
      </w:r>
      <w:r w:rsidR="00445F4A">
        <w:t xml:space="preserve"> 1187, para. 158. </w:t>
      </w:r>
    </w:p>
  </w:footnote>
  <w:footnote w:id="82">
    <w:p w:rsidR="00006760" w14:paraId="7BA5A58D" w14:textId="19454371">
      <w:pPr>
        <w:pStyle w:val="FootnoteText"/>
      </w:pPr>
      <w:r>
        <w:rPr>
          <w:rStyle w:val="FootnoteReference"/>
        </w:rPr>
        <w:footnoteRef/>
      </w:r>
      <w:r>
        <w:t xml:space="preserve"> </w:t>
      </w:r>
      <w:r w:rsidR="00D34696">
        <w:t>If</w:t>
      </w:r>
      <w:r w:rsidR="00B13A2E">
        <w:t xml:space="preserve"> </w:t>
      </w:r>
      <w:r w:rsidR="00D82ABD">
        <w:t xml:space="preserve">the </w:t>
      </w:r>
      <w:r w:rsidR="00D34696">
        <w:t xml:space="preserve">Commission sunsets the collection of </w:t>
      </w:r>
      <w:r w:rsidR="00D82ABD">
        <w:t>broadband deployment</w:t>
      </w:r>
      <w:r w:rsidR="00B13A2E">
        <w:t xml:space="preserve"> </w:t>
      </w:r>
      <w:r w:rsidR="00D34696">
        <w:t xml:space="preserve">data through </w:t>
      </w:r>
      <w:r w:rsidR="00B13A2E">
        <w:t xml:space="preserve">Form 477, </w:t>
      </w:r>
      <w:r w:rsidR="00FB5767">
        <w:t>providers that offer only</w:t>
      </w:r>
      <w:r w:rsidR="00B13A2E">
        <w:t xml:space="preserve"> voice </w:t>
      </w:r>
      <w:r w:rsidR="00220762">
        <w:t>service</w:t>
      </w:r>
      <w:r w:rsidR="0065074C">
        <w:t xml:space="preserve"> will be required to submit</w:t>
      </w:r>
      <w:r w:rsidR="00B13A2E">
        <w:t xml:space="preserve"> </w:t>
      </w:r>
      <w:r w:rsidR="00D34696">
        <w:t xml:space="preserve">voice </w:t>
      </w:r>
      <w:r w:rsidR="00B13A2E">
        <w:t xml:space="preserve">subscribership data </w:t>
      </w:r>
      <w:r w:rsidR="0065074C">
        <w:t>in the subscribership module of the BDC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471" w14:paraId="37DB3C25" w14:textId="31C9E309">
    <w:pPr>
      <w:tabs>
        <w:tab w:val="center" w:pos="4680"/>
        <w:tab w:val="right" w:pos="9360"/>
      </w:tabs>
    </w:pPr>
    <w:r>
      <w:rPr>
        <w:b/>
      </w:rPr>
      <w:tab/>
    </w:r>
    <w:r>
      <w:rPr>
        <w:b/>
      </w:rPr>
      <w:t>Federal Communications Commission</w:t>
    </w:r>
    <w:r>
      <w:rPr>
        <w:b/>
      </w:rPr>
      <w:tab/>
    </w:r>
    <w:r w:rsidR="001B1A56">
      <w:rPr>
        <w:b/>
      </w:rPr>
      <w:t>DA 22-182</w:t>
    </w:r>
  </w:p>
  <w:p w:rsidR="00B31471" w14:paraId="709F17BA" w14:textId="19AE613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31471" w14:paraId="225E34E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471" w14:paraId="5D317312" w14:textId="223F72E6">
    <w:pPr>
      <w:pStyle w:val="Header"/>
    </w:pPr>
    <w:r>
      <w:rPr>
        <w:noProof/>
        <w:snapToGrid/>
      </w:rPr>
      <w:drawing>
        <wp:inline distT="0" distB="0" distL="0" distR="0">
          <wp:extent cx="5953125"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3125"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89218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8CC607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7504F9"/>
    <w:multiLevelType w:val="hybridMultilevel"/>
    <w:tmpl w:val="C812F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62186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C34CF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EC24C6E"/>
    <w:multiLevelType w:val="hybridMultilevel"/>
    <w:tmpl w:val="B7C47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86D4B8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4"/>
  </w:num>
  <w:num w:numId="4">
    <w:abstractNumId w:val="8"/>
  </w:num>
  <w:num w:numId="5">
    <w:abstractNumId w:val="3"/>
  </w:num>
  <w:num w:numId="6">
    <w:abstractNumId w:val="0"/>
  </w:num>
  <w:num w:numId="7">
    <w:abstractNumId w:val="9"/>
    <w:lvlOverride w:ilvl="0">
      <w:startOverride w:val="1"/>
    </w:lvlOverride>
  </w:num>
  <w:num w:numId="8">
    <w:abstractNumId w:val="1"/>
  </w:num>
  <w:num w:numId="9">
    <w:abstractNumId w:val="11"/>
  </w:num>
  <w:num w:numId="10">
    <w:abstractNumId w:val="5"/>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D6"/>
    <w:rsid w:val="0000030F"/>
    <w:rsid w:val="0000057E"/>
    <w:rsid w:val="00000A35"/>
    <w:rsid w:val="000019A0"/>
    <w:rsid w:val="00001C07"/>
    <w:rsid w:val="000023B1"/>
    <w:rsid w:val="000027C0"/>
    <w:rsid w:val="000029C4"/>
    <w:rsid w:val="00002FF0"/>
    <w:rsid w:val="00003384"/>
    <w:rsid w:val="000045CC"/>
    <w:rsid w:val="00004A2E"/>
    <w:rsid w:val="00004B47"/>
    <w:rsid w:val="00006760"/>
    <w:rsid w:val="00006A2B"/>
    <w:rsid w:val="0000717E"/>
    <w:rsid w:val="00007473"/>
    <w:rsid w:val="00007D96"/>
    <w:rsid w:val="0001031A"/>
    <w:rsid w:val="00010C04"/>
    <w:rsid w:val="00010C1D"/>
    <w:rsid w:val="000114EA"/>
    <w:rsid w:val="0001181F"/>
    <w:rsid w:val="00012D07"/>
    <w:rsid w:val="00013D35"/>
    <w:rsid w:val="00014E02"/>
    <w:rsid w:val="000150BD"/>
    <w:rsid w:val="000154BA"/>
    <w:rsid w:val="00015FFB"/>
    <w:rsid w:val="00017010"/>
    <w:rsid w:val="0001763E"/>
    <w:rsid w:val="00017D46"/>
    <w:rsid w:val="00021198"/>
    <w:rsid w:val="000223F8"/>
    <w:rsid w:val="00022F96"/>
    <w:rsid w:val="000236DC"/>
    <w:rsid w:val="00023BE2"/>
    <w:rsid w:val="0002403A"/>
    <w:rsid w:val="00024C0F"/>
    <w:rsid w:val="00024D3E"/>
    <w:rsid w:val="0002586B"/>
    <w:rsid w:val="00025966"/>
    <w:rsid w:val="00025A91"/>
    <w:rsid w:val="000260AA"/>
    <w:rsid w:val="000274FD"/>
    <w:rsid w:val="000279DA"/>
    <w:rsid w:val="00027ABF"/>
    <w:rsid w:val="0003053B"/>
    <w:rsid w:val="00030B8E"/>
    <w:rsid w:val="0003126B"/>
    <w:rsid w:val="0003245E"/>
    <w:rsid w:val="0003247F"/>
    <w:rsid w:val="00032543"/>
    <w:rsid w:val="00032CB9"/>
    <w:rsid w:val="000362AB"/>
    <w:rsid w:val="000366D6"/>
    <w:rsid w:val="00037C5C"/>
    <w:rsid w:val="00040321"/>
    <w:rsid w:val="0004046E"/>
    <w:rsid w:val="00041B90"/>
    <w:rsid w:val="00041CF9"/>
    <w:rsid w:val="00042A53"/>
    <w:rsid w:val="0004406B"/>
    <w:rsid w:val="00044352"/>
    <w:rsid w:val="00044A36"/>
    <w:rsid w:val="0004548F"/>
    <w:rsid w:val="000467AE"/>
    <w:rsid w:val="000503BA"/>
    <w:rsid w:val="000504C8"/>
    <w:rsid w:val="00050F95"/>
    <w:rsid w:val="0005235E"/>
    <w:rsid w:val="0005284D"/>
    <w:rsid w:val="00052C3D"/>
    <w:rsid w:val="00053B85"/>
    <w:rsid w:val="00053E8A"/>
    <w:rsid w:val="000540C1"/>
    <w:rsid w:val="00054854"/>
    <w:rsid w:val="00055870"/>
    <w:rsid w:val="00055EFE"/>
    <w:rsid w:val="00055FA9"/>
    <w:rsid w:val="00056071"/>
    <w:rsid w:val="000570AA"/>
    <w:rsid w:val="000571BD"/>
    <w:rsid w:val="00057AA6"/>
    <w:rsid w:val="00060780"/>
    <w:rsid w:val="0006094A"/>
    <w:rsid w:val="00060B6F"/>
    <w:rsid w:val="00061D7D"/>
    <w:rsid w:val="0006297D"/>
    <w:rsid w:val="000634F3"/>
    <w:rsid w:val="00063516"/>
    <w:rsid w:val="00063C9E"/>
    <w:rsid w:val="000646FE"/>
    <w:rsid w:val="00064B36"/>
    <w:rsid w:val="00065421"/>
    <w:rsid w:val="00065651"/>
    <w:rsid w:val="000660FB"/>
    <w:rsid w:val="00066259"/>
    <w:rsid w:val="00066732"/>
    <w:rsid w:val="00066BCE"/>
    <w:rsid w:val="00066D88"/>
    <w:rsid w:val="00066E5F"/>
    <w:rsid w:val="00066F63"/>
    <w:rsid w:val="0006742A"/>
    <w:rsid w:val="000709F2"/>
    <w:rsid w:val="00070E13"/>
    <w:rsid w:val="00071B14"/>
    <w:rsid w:val="00071BB5"/>
    <w:rsid w:val="00072EF9"/>
    <w:rsid w:val="00073106"/>
    <w:rsid w:val="000732D3"/>
    <w:rsid w:val="00073315"/>
    <w:rsid w:val="00073ED0"/>
    <w:rsid w:val="00074248"/>
    <w:rsid w:val="0007533C"/>
    <w:rsid w:val="0007552E"/>
    <w:rsid w:val="00076114"/>
    <w:rsid w:val="0007636C"/>
    <w:rsid w:val="0007637F"/>
    <w:rsid w:val="000765AD"/>
    <w:rsid w:val="0007791F"/>
    <w:rsid w:val="00080851"/>
    <w:rsid w:val="0008189A"/>
    <w:rsid w:val="000822CC"/>
    <w:rsid w:val="000827CA"/>
    <w:rsid w:val="00082A3F"/>
    <w:rsid w:val="0008302A"/>
    <w:rsid w:val="00083C7E"/>
    <w:rsid w:val="0008503B"/>
    <w:rsid w:val="0008508F"/>
    <w:rsid w:val="000850FD"/>
    <w:rsid w:val="0008514D"/>
    <w:rsid w:val="00086DDE"/>
    <w:rsid w:val="00087302"/>
    <w:rsid w:val="00087A7F"/>
    <w:rsid w:val="00087E22"/>
    <w:rsid w:val="000912EE"/>
    <w:rsid w:val="00092C8A"/>
    <w:rsid w:val="00092F15"/>
    <w:rsid w:val="00093687"/>
    <w:rsid w:val="00093D5B"/>
    <w:rsid w:val="00094484"/>
    <w:rsid w:val="00094EB9"/>
    <w:rsid w:val="000952BE"/>
    <w:rsid w:val="00095CC1"/>
    <w:rsid w:val="00095FA1"/>
    <w:rsid w:val="00096CB0"/>
    <w:rsid w:val="0009746E"/>
    <w:rsid w:val="00097BC8"/>
    <w:rsid w:val="000A0B45"/>
    <w:rsid w:val="000A0CA0"/>
    <w:rsid w:val="000A14D6"/>
    <w:rsid w:val="000A1935"/>
    <w:rsid w:val="000A1979"/>
    <w:rsid w:val="000A1F60"/>
    <w:rsid w:val="000A26E3"/>
    <w:rsid w:val="000A2ED3"/>
    <w:rsid w:val="000A334A"/>
    <w:rsid w:val="000A354A"/>
    <w:rsid w:val="000A407C"/>
    <w:rsid w:val="000A4FC6"/>
    <w:rsid w:val="000A5903"/>
    <w:rsid w:val="000A63BF"/>
    <w:rsid w:val="000A7237"/>
    <w:rsid w:val="000A7594"/>
    <w:rsid w:val="000A76BB"/>
    <w:rsid w:val="000A7E0F"/>
    <w:rsid w:val="000A7F48"/>
    <w:rsid w:val="000B06F6"/>
    <w:rsid w:val="000B0C21"/>
    <w:rsid w:val="000B18B3"/>
    <w:rsid w:val="000B1A60"/>
    <w:rsid w:val="000B26E0"/>
    <w:rsid w:val="000B2E2C"/>
    <w:rsid w:val="000B367A"/>
    <w:rsid w:val="000B3FC7"/>
    <w:rsid w:val="000B4CDF"/>
    <w:rsid w:val="000B54AA"/>
    <w:rsid w:val="000B5E65"/>
    <w:rsid w:val="000B7930"/>
    <w:rsid w:val="000C0688"/>
    <w:rsid w:val="000C09E6"/>
    <w:rsid w:val="000C0E98"/>
    <w:rsid w:val="000C144E"/>
    <w:rsid w:val="000C1959"/>
    <w:rsid w:val="000C1C68"/>
    <w:rsid w:val="000C21FF"/>
    <w:rsid w:val="000C2C52"/>
    <w:rsid w:val="000C2EA5"/>
    <w:rsid w:val="000C438F"/>
    <w:rsid w:val="000C5313"/>
    <w:rsid w:val="000C5D6F"/>
    <w:rsid w:val="000C5E05"/>
    <w:rsid w:val="000C6261"/>
    <w:rsid w:val="000C768E"/>
    <w:rsid w:val="000C7826"/>
    <w:rsid w:val="000D084E"/>
    <w:rsid w:val="000D0A08"/>
    <w:rsid w:val="000D0F86"/>
    <w:rsid w:val="000D11EF"/>
    <w:rsid w:val="000D1268"/>
    <w:rsid w:val="000D1DD5"/>
    <w:rsid w:val="000D207C"/>
    <w:rsid w:val="000D229E"/>
    <w:rsid w:val="000D2630"/>
    <w:rsid w:val="000D434D"/>
    <w:rsid w:val="000D47BB"/>
    <w:rsid w:val="000D4909"/>
    <w:rsid w:val="000D5246"/>
    <w:rsid w:val="000D5459"/>
    <w:rsid w:val="000D54BC"/>
    <w:rsid w:val="000D6557"/>
    <w:rsid w:val="000E038C"/>
    <w:rsid w:val="000E09FA"/>
    <w:rsid w:val="000E0AA6"/>
    <w:rsid w:val="000E1B48"/>
    <w:rsid w:val="000E1BE9"/>
    <w:rsid w:val="000E1D8D"/>
    <w:rsid w:val="000E2224"/>
    <w:rsid w:val="000E2CBE"/>
    <w:rsid w:val="000E3B09"/>
    <w:rsid w:val="000E4C52"/>
    <w:rsid w:val="000E4DC1"/>
    <w:rsid w:val="000E5AF8"/>
    <w:rsid w:val="000E6A50"/>
    <w:rsid w:val="000E6EED"/>
    <w:rsid w:val="000F0BA0"/>
    <w:rsid w:val="000F11F3"/>
    <w:rsid w:val="000F37E1"/>
    <w:rsid w:val="000F38C8"/>
    <w:rsid w:val="000F38E8"/>
    <w:rsid w:val="000F3C05"/>
    <w:rsid w:val="000F4786"/>
    <w:rsid w:val="000F4B4A"/>
    <w:rsid w:val="000F4C02"/>
    <w:rsid w:val="000F55D1"/>
    <w:rsid w:val="000F7078"/>
    <w:rsid w:val="000F7234"/>
    <w:rsid w:val="000F7705"/>
    <w:rsid w:val="000F7729"/>
    <w:rsid w:val="000F7CB2"/>
    <w:rsid w:val="000F7FEC"/>
    <w:rsid w:val="00100CDB"/>
    <w:rsid w:val="001017E6"/>
    <w:rsid w:val="0010182C"/>
    <w:rsid w:val="00101A91"/>
    <w:rsid w:val="00101BCF"/>
    <w:rsid w:val="00102048"/>
    <w:rsid w:val="00104265"/>
    <w:rsid w:val="001051F1"/>
    <w:rsid w:val="00105D33"/>
    <w:rsid w:val="00107185"/>
    <w:rsid w:val="001072BF"/>
    <w:rsid w:val="001074C4"/>
    <w:rsid w:val="00107986"/>
    <w:rsid w:val="00107C57"/>
    <w:rsid w:val="001109B3"/>
    <w:rsid w:val="0011129D"/>
    <w:rsid w:val="00111B5A"/>
    <w:rsid w:val="00111EB8"/>
    <w:rsid w:val="00112B51"/>
    <w:rsid w:val="001134AF"/>
    <w:rsid w:val="00113AFA"/>
    <w:rsid w:val="001145C4"/>
    <w:rsid w:val="0011471C"/>
    <w:rsid w:val="00114763"/>
    <w:rsid w:val="00114CEB"/>
    <w:rsid w:val="00115F64"/>
    <w:rsid w:val="00116845"/>
    <w:rsid w:val="001169AE"/>
    <w:rsid w:val="00116CF7"/>
    <w:rsid w:val="0011782F"/>
    <w:rsid w:val="001178CF"/>
    <w:rsid w:val="001178F1"/>
    <w:rsid w:val="001202E0"/>
    <w:rsid w:val="0012206E"/>
    <w:rsid w:val="00122A93"/>
    <w:rsid w:val="00123498"/>
    <w:rsid w:val="001243A2"/>
    <w:rsid w:val="00124522"/>
    <w:rsid w:val="00124B44"/>
    <w:rsid w:val="00124F06"/>
    <w:rsid w:val="00125B7C"/>
    <w:rsid w:val="0012693C"/>
    <w:rsid w:val="00126ECE"/>
    <w:rsid w:val="001273E2"/>
    <w:rsid w:val="00128E1C"/>
    <w:rsid w:val="00130AD8"/>
    <w:rsid w:val="00131662"/>
    <w:rsid w:val="00132132"/>
    <w:rsid w:val="0013409D"/>
    <w:rsid w:val="001343BD"/>
    <w:rsid w:val="0013706E"/>
    <w:rsid w:val="0013770F"/>
    <w:rsid w:val="001409D8"/>
    <w:rsid w:val="00140AEC"/>
    <w:rsid w:val="00140EE5"/>
    <w:rsid w:val="00141BE9"/>
    <w:rsid w:val="00141C98"/>
    <w:rsid w:val="00141F05"/>
    <w:rsid w:val="001422F6"/>
    <w:rsid w:val="00142BCB"/>
    <w:rsid w:val="00142E02"/>
    <w:rsid w:val="001444AE"/>
    <w:rsid w:val="00144512"/>
    <w:rsid w:val="00144AF0"/>
    <w:rsid w:val="00144B1D"/>
    <w:rsid w:val="00144CEE"/>
    <w:rsid w:val="0014538C"/>
    <w:rsid w:val="001460D6"/>
    <w:rsid w:val="00146AF0"/>
    <w:rsid w:val="001476CF"/>
    <w:rsid w:val="001511CA"/>
    <w:rsid w:val="0015171D"/>
    <w:rsid w:val="001519F4"/>
    <w:rsid w:val="0015488B"/>
    <w:rsid w:val="00154B68"/>
    <w:rsid w:val="001554CD"/>
    <w:rsid w:val="00155616"/>
    <w:rsid w:val="0015590D"/>
    <w:rsid w:val="00155C7B"/>
    <w:rsid w:val="00156288"/>
    <w:rsid w:val="00157F3C"/>
    <w:rsid w:val="00160322"/>
    <w:rsid w:val="0016091B"/>
    <w:rsid w:val="0016139B"/>
    <w:rsid w:val="001616A6"/>
    <w:rsid w:val="0016174F"/>
    <w:rsid w:val="00162506"/>
    <w:rsid w:val="0016296D"/>
    <w:rsid w:val="001636B5"/>
    <w:rsid w:val="00163817"/>
    <w:rsid w:val="00164729"/>
    <w:rsid w:val="0016474C"/>
    <w:rsid w:val="00164A5F"/>
    <w:rsid w:val="00165284"/>
    <w:rsid w:val="00166C3B"/>
    <w:rsid w:val="00167198"/>
    <w:rsid w:val="0016738F"/>
    <w:rsid w:val="00167B31"/>
    <w:rsid w:val="0017219D"/>
    <w:rsid w:val="0017292D"/>
    <w:rsid w:val="00172AB6"/>
    <w:rsid w:val="00172FC2"/>
    <w:rsid w:val="00173F21"/>
    <w:rsid w:val="00173F56"/>
    <w:rsid w:val="0017540F"/>
    <w:rsid w:val="00175453"/>
    <w:rsid w:val="001756E7"/>
    <w:rsid w:val="0017792C"/>
    <w:rsid w:val="0018080E"/>
    <w:rsid w:val="00181295"/>
    <w:rsid w:val="00182325"/>
    <w:rsid w:val="001835DB"/>
    <w:rsid w:val="00183784"/>
    <w:rsid w:val="00183C9A"/>
    <w:rsid w:val="001840B2"/>
    <w:rsid w:val="0018436A"/>
    <w:rsid w:val="00184EE7"/>
    <w:rsid w:val="001850CE"/>
    <w:rsid w:val="0018518C"/>
    <w:rsid w:val="0018594E"/>
    <w:rsid w:val="00186588"/>
    <w:rsid w:val="0018755E"/>
    <w:rsid w:val="00187ADD"/>
    <w:rsid w:val="0019014D"/>
    <w:rsid w:val="001914CD"/>
    <w:rsid w:val="00191ABE"/>
    <w:rsid w:val="00192B23"/>
    <w:rsid w:val="00192CC2"/>
    <w:rsid w:val="00197A2F"/>
    <w:rsid w:val="00197F64"/>
    <w:rsid w:val="001A11D5"/>
    <w:rsid w:val="001A167D"/>
    <w:rsid w:val="001A193C"/>
    <w:rsid w:val="001A288A"/>
    <w:rsid w:val="001A3754"/>
    <w:rsid w:val="001A375C"/>
    <w:rsid w:val="001A40CC"/>
    <w:rsid w:val="001A40E6"/>
    <w:rsid w:val="001A5A76"/>
    <w:rsid w:val="001A6055"/>
    <w:rsid w:val="001A691C"/>
    <w:rsid w:val="001B04FB"/>
    <w:rsid w:val="001B0AF4"/>
    <w:rsid w:val="001B1518"/>
    <w:rsid w:val="001B1A56"/>
    <w:rsid w:val="001B3139"/>
    <w:rsid w:val="001B329F"/>
    <w:rsid w:val="001B3D15"/>
    <w:rsid w:val="001B3D4F"/>
    <w:rsid w:val="001B486E"/>
    <w:rsid w:val="001B5E78"/>
    <w:rsid w:val="001B63E3"/>
    <w:rsid w:val="001B6533"/>
    <w:rsid w:val="001B6817"/>
    <w:rsid w:val="001B749E"/>
    <w:rsid w:val="001B77AB"/>
    <w:rsid w:val="001B7AE5"/>
    <w:rsid w:val="001B7E73"/>
    <w:rsid w:val="001C067D"/>
    <w:rsid w:val="001C0DD9"/>
    <w:rsid w:val="001C17F4"/>
    <w:rsid w:val="001C22F5"/>
    <w:rsid w:val="001C2BBB"/>
    <w:rsid w:val="001C3415"/>
    <w:rsid w:val="001C4C9E"/>
    <w:rsid w:val="001C53CE"/>
    <w:rsid w:val="001C5575"/>
    <w:rsid w:val="001C65FE"/>
    <w:rsid w:val="001C6934"/>
    <w:rsid w:val="001C7632"/>
    <w:rsid w:val="001C78DA"/>
    <w:rsid w:val="001C7A21"/>
    <w:rsid w:val="001D006D"/>
    <w:rsid w:val="001D03E2"/>
    <w:rsid w:val="001D0C39"/>
    <w:rsid w:val="001D0EF1"/>
    <w:rsid w:val="001D15AA"/>
    <w:rsid w:val="001D4153"/>
    <w:rsid w:val="001D43DD"/>
    <w:rsid w:val="001D500B"/>
    <w:rsid w:val="001D54BC"/>
    <w:rsid w:val="001D62EF"/>
    <w:rsid w:val="001D6733"/>
    <w:rsid w:val="001D6837"/>
    <w:rsid w:val="001D68C9"/>
    <w:rsid w:val="001D6A4B"/>
    <w:rsid w:val="001D73DE"/>
    <w:rsid w:val="001D7E09"/>
    <w:rsid w:val="001E05F5"/>
    <w:rsid w:val="001E0AEF"/>
    <w:rsid w:val="001E1CF0"/>
    <w:rsid w:val="001E2EE4"/>
    <w:rsid w:val="001E3053"/>
    <w:rsid w:val="001E30F2"/>
    <w:rsid w:val="001E337A"/>
    <w:rsid w:val="001E3ABB"/>
    <w:rsid w:val="001E3B88"/>
    <w:rsid w:val="001E495A"/>
    <w:rsid w:val="001E4B84"/>
    <w:rsid w:val="001E5202"/>
    <w:rsid w:val="001E544F"/>
    <w:rsid w:val="001E659C"/>
    <w:rsid w:val="001E6819"/>
    <w:rsid w:val="001E6A4B"/>
    <w:rsid w:val="001E7FD4"/>
    <w:rsid w:val="001F0274"/>
    <w:rsid w:val="001F067D"/>
    <w:rsid w:val="001F157B"/>
    <w:rsid w:val="001F16CA"/>
    <w:rsid w:val="001F1C4A"/>
    <w:rsid w:val="001F215E"/>
    <w:rsid w:val="001F2268"/>
    <w:rsid w:val="001F25B2"/>
    <w:rsid w:val="001F2E83"/>
    <w:rsid w:val="001F413A"/>
    <w:rsid w:val="001F4293"/>
    <w:rsid w:val="001F56A4"/>
    <w:rsid w:val="001F5A19"/>
    <w:rsid w:val="001F5C1D"/>
    <w:rsid w:val="001F5E22"/>
    <w:rsid w:val="001F66A5"/>
    <w:rsid w:val="001F688D"/>
    <w:rsid w:val="001F6F65"/>
    <w:rsid w:val="001F7734"/>
    <w:rsid w:val="001F7A50"/>
    <w:rsid w:val="0020060E"/>
    <w:rsid w:val="00200BE6"/>
    <w:rsid w:val="00202073"/>
    <w:rsid w:val="00202748"/>
    <w:rsid w:val="00202BAB"/>
    <w:rsid w:val="002030F5"/>
    <w:rsid w:val="00203A50"/>
    <w:rsid w:val="002042D8"/>
    <w:rsid w:val="00204412"/>
    <w:rsid w:val="00204B7B"/>
    <w:rsid w:val="00205216"/>
    <w:rsid w:val="00206053"/>
    <w:rsid w:val="002076FA"/>
    <w:rsid w:val="00210969"/>
    <w:rsid w:val="00210F2B"/>
    <w:rsid w:val="00211593"/>
    <w:rsid w:val="002119C3"/>
    <w:rsid w:val="00212844"/>
    <w:rsid w:val="002135C1"/>
    <w:rsid w:val="0021395A"/>
    <w:rsid w:val="00213CE3"/>
    <w:rsid w:val="002144ED"/>
    <w:rsid w:val="00214548"/>
    <w:rsid w:val="00214733"/>
    <w:rsid w:val="0021493A"/>
    <w:rsid w:val="002157CF"/>
    <w:rsid w:val="00216AC6"/>
    <w:rsid w:val="00216C10"/>
    <w:rsid w:val="00216CA6"/>
    <w:rsid w:val="002178EB"/>
    <w:rsid w:val="00217E7E"/>
    <w:rsid w:val="00220762"/>
    <w:rsid w:val="00220A93"/>
    <w:rsid w:val="00221D78"/>
    <w:rsid w:val="0022243D"/>
    <w:rsid w:val="00222518"/>
    <w:rsid w:val="00223340"/>
    <w:rsid w:val="0022339F"/>
    <w:rsid w:val="0022384E"/>
    <w:rsid w:val="00224D2E"/>
    <w:rsid w:val="00224E00"/>
    <w:rsid w:val="00224F78"/>
    <w:rsid w:val="0022509F"/>
    <w:rsid w:val="00225152"/>
    <w:rsid w:val="0022575D"/>
    <w:rsid w:val="002264EC"/>
    <w:rsid w:val="002268FF"/>
    <w:rsid w:val="002272D7"/>
    <w:rsid w:val="00227818"/>
    <w:rsid w:val="00227B95"/>
    <w:rsid w:val="00230199"/>
    <w:rsid w:val="002302D7"/>
    <w:rsid w:val="0023034B"/>
    <w:rsid w:val="0023073B"/>
    <w:rsid w:val="00230B04"/>
    <w:rsid w:val="00231D81"/>
    <w:rsid w:val="00232348"/>
    <w:rsid w:val="00232826"/>
    <w:rsid w:val="00232F61"/>
    <w:rsid w:val="0023373A"/>
    <w:rsid w:val="002337B0"/>
    <w:rsid w:val="00233F23"/>
    <w:rsid w:val="00233F26"/>
    <w:rsid w:val="00234668"/>
    <w:rsid w:val="00234F8A"/>
    <w:rsid w:val="002357BA"/>
    <w:rsid w:val="00235CD6"/>
    <w:rsid w:val="00235EB7"/>
    <w:rsid w:val="0023608C"/>
    <w:rsid w:val="00236D6C"/>
    <w:rsid w:val="002377CF"/>
    <w:rsid w:val="00237C6C"/>
    <w:rsid w:val="00240018"/>
    <w:rsid w:val="0024092E"/>
    <w:rsid w:val="00241493"/>
    <w:rsid w:val="00241786"/>
    <w:rsid w:val="00241861"/>
    <w:rsid w:val="002419D4"/>
    <w:rsid w:val="002419F6"/>
    <w:rsid w:val="00243752"/>
    <w:rsid w:val="00244B04"/>
    <w:rsid w:val="0024510E"/>
    <w:rsid w:val="00245EC9"/>
    <w:rsid w:val="0024653F"/>
    <w:rsid w:val="00246807"/>
    <w:rsid w:val="00250B21"/>
    <w:rsid w:val="0025132D"/>
    <w:rsid w:val="002514A8"/>
    <w:rsid w:val="002522EE"/>
    <w:rsid w:val="00252708"/>
    <w:rsid w:val="00252C49"/>
    <w:rsid w:val="0025323E"/>
    <w:rsid w:val="00253A46"/>
    <w:rsid w:val="00254703"/>
    <w:rsid w:val="00255077"/>
    <w:rsid w:val="0025513D"/>
    <w:rsid w:val="00255A9A"/>
    <w:rsid w:val="002569C8"/>
    <w:rsid w:val="00256D23"/>
    <w:rsid w:val="00257BD4"/>
    <w:rsid w:val="0026199B"/>
    <w:rsid w:val="002627F6"/>
    <w:rsid w:val="00262ECD"/>
    <w:rsid w:val="0026341D"/>
    <w:rsid w:val="00264470"/>
    <w:rsid w:val="002648D5"/>
    <w:rsid w:val="00266484"/>
    <w:rsid w:val="002667EA"/>
    <w:rsid w:val="00266E0D"/>
    <w:rsid w:val="002676D2"/>
    <w:rsid w:val="00267B32"/>
    <w:rsid w:val="00270503"/>
    <w:rsid w:val="00270599"/>
    <w:rsid w:val="0027132E"/>
    <w:rsid w:val="00271415"/>
    <w:rsid w:val="00271722"/>
    <w:rsid w:val="00271FEB"/>
    <w:rsid w:val="00272617"/>
    <w:rsid w:val="00272F28"/>
    <w:rsid w:val="00274BD2"/>
    <w:rsid w:val="00274F35"/>
    <w:rsid w:val="002753F1"/>
    <w:rsid w:val="00275FD3"/>
    <w:rsid w:val="002765FF"/>
    <w:rsid w:val="00276E1F"/>
    <w:rsid w:val="00277DEB"/>
    <w:rsid w:val="00277E4E"/>
    <w:rsid w:val="00280020"/>
    <w:rsid w:val="0028021F"/>
    <w:rsid w:val="00281980"/>
    <w:rsid w:val="0028198D"/>
    <w:rsid w:val="00281F6D"/>
    <w:rsid w:val="00281F95"/>
    <w:rsid w:val="002824AA"/>
    <w:rsid w:val="002843F4"/>
    <w:rsid w:val="00284D36"/>
    <w:rsid w:val="002852A5"/>
    <w:rsid w:val="002860C5"/>
    <w:rsid w:val="00286275"/>
    <w:rsid w:val="002863D5"/>
    <w:rsid w:val="002864A8"/>
    <w:rsid w:val="00290259"/>
    <w:rsid w:val="00290A05"/>
    <w:rsid w:val="00291A2A"/>
    <w:rsid w:val="00292425"/>
    <w:rsid w:val="00292864"/>
    <w:rsid w:val="00294431"/>
    <w:rsid w:val="00295E12"/>
    <w:rsid w:val="0029689F"/>
    <w:rsid w:val="002979F2"/>
    <w:rsid w:val="002A0BDA"/>
    <w:rsid w:val="002A108A"/>
    <w:rsid w:val="002A1C0B"/>
    <w:rsid w:val="002A3976"/>
    <w:rsid w:val="002A3C17"/>
    <w:rsid w:val="002A42FE"/>
    <w:rsid w:val="002A4536"/>
    <w:rsid w:val="002A509C"/>
    <w:rsid w:val="002A625F"/>
    <w:rsid w:val="002A67CC"/>
    <w:rsid w:val="002A6801"/>
    <w:rsid w:val="002A68D1"/>
    <w:rsid w:val="002A73E4"/>
    <w:rsid w:val="002A7B2E"/>
    <w:rsid w:val="002B0A96"/>
    <w:rsid w:val="002B2401"/>
    <w:rsid w:val="002B2E13"/>
    <w:rsid w:val="002B2ED4"/>
    <w:rsid w:val="002B354E"/>
    <w:rsid w:val="002B3DB9"/>
    <w:rsid w:val="002B3E31"/>
    <w:rsid w:val="002B4FC5"/>
    <w:rsid w:val="002B7472"/>
    <w:rsid w:val="002C1734"/>
    <w:rsid w:val="002C2D5C"/>
    <w:rsid w:val="002C3D6C"/>
    <w:rsid w:val="002C406A"/>
    <w:rsid w:val="002C427F"/>
    <w:rsid w:val="002C45A9"/>
    <w:rsid w:val="002C4654"/>
    <w:rsid w:val="002C574E"/>
    <w:rsid w:val="002C6985"/>
    <w:rsid w:val="002C7F75"/>
    <w:rsid w:val="002D002A"/>
    <w:rsid w:val="002D06E2"/>
    <w:rsid w:val="002D0AEA"/>
    <w:rsid w:val="002D10F7"/>
    <w:rsid w:val="002D184C"/>
    <w:rsid w:val="002D51A4"/>
    <w:rsid w:val="002D66F5"/>
    <w:rsid w:val="002D72AC"/>
    <w:rsid w:val="002D79CF"/>
    <w:rsid w:val="002D7C42"/>
    <w:rsid w:val="002D7E6B"/>
    <w:rsid w:val="002E0066"/>
    <w:rsid w:val="002E01EF"/>
    <w:rsid w:val="002E09FF"/>
    <w:rsid w:val="002E1959"/>
    <w:rsid w:val="002E37FD"/>
    <w:rsid w:val="002E5549"/>
    <w:rsid w:val="002E555F"/>
    <w:rsid w:val="002E55C1"/>
    <w:rsid w:val="002E6EF2"/>
    <w:rsid w:val="002E7585"/>
    <w:rsid w:val="002F05C5"/>
    <w:rsid w:val="002F0892"/>
    <w:rsid w:val="002F0B5B"/>
    <w:rsid w:val="002F0D1B"/>
    <w:rsid w:val="002F0D89"/>
    <w:rsid w:val="002F1C6C"/>
    <w:rsid w:val="002F2ADC"/>
    <w:rsid w:val="002F30E6"/>
    <w:rsid w:val="002F4417"/>
    <w:rsid w:val="002F45D7"/>
    <w:rsid w:val="002F4AC0"/>
    <w:rsid w:val="002F5C4C"/>
    <w:rsid w:val="002F5CD1"/>
    <w:rsid w:val="002F64F0"/>
    <w:rsid w:val="002F6B26"/>
    <w:rsid w:val="002F722B"/>
    <w:rsid w:val="002F73D2"/>
    <w:rsid w:val="002F7F96"/>
    <w:rsid w:val="00300DE0"/>
    <w:rsid w:val="003011A7"/>
    <w:rsid w:val="00301A77"/>
    <w:rsid w:val="0030261A"/>
    <w:rsid w:val="00302A97"/>
    <w:rsid w:val="00302E28"/>
    <w:rsid w:val="00303E5B"/>
    <w:rsid w:val="0030446F"/>
    <w:rsid w:val="00304AD0"/>
    <w:rsid w:val="003051C8"/>
    <w:rsid w:val="00306093"/>
    <w:rsid w:val="00306132"/>
    <w:rsid w:val="00307BD9"/>
    <w:rsid w:val="003102B4"/>
    <w:rsid w:val="00310337"/>
    <w:rsid w:val="00311A42"/>
    <w:rsid w:val="00312205"/>
    <w:rsid w:val="00313043"/>
    <w:rsid w:val="00313519"/>
    <w:rsid w:val="003149FD"/>
    <w:rsid w:val="00316929"/>
    <w:rsid w:val="003169E9"/>
    <w:rsid w:val="00316A7F"/>
    <w:rsid w:val="00316F6B"/>
    <w:rsid w:val="003200D0"/>
    <w:rsid w:val="003202F1"/>
    <w:rsid w:val="00320AFE"/>
    <w:rsid w:val="00320D39"/>
    <w:rsid w:val="003213F6"/>
    <w:rsid w:val="00323598"/>
    <w:rsid w:val="0032363A"/>
    <w:rsid w:val="00324B73"/>
    <w:rsid w:val="003261E7"/>
    <w:rsid w:val="003267FD"/>
    <w:rsid w:val="00326D83"/>
    <w:rsid w:val="00327961"/>
    <w:rsid w:val="00327EB2"/>
    <w:rsid w:val="0033102A"/>
    <w:rsid w:val="003318C5"/>
    <w:rsid w:val="00331F08"/>
    <w:rsid w:val="0033245F"/>
    <w:rsid w:val="0033285F"/>
    <w:rsid w:val="003328C4"/>
    <w:rsid w:val="00333629"/>
    <w:rsid w:val="00333E88"/>
    <w:rsid w:val="00334E77"/>
    <w:rsid w:val="003366C5"/>
    <w:rsid w:val="0033684C"/>
    <w:rsid w:val="003378DA"/>
    <w:rsid w:val="00340591"/>
    <w:rsid w:val="0034210D"/>
    <w:rsid w:val="003423F8"/>
    <w:rsid w:val="003448BC"/>
    <w:rsid w:val="003451C4"/>
    <w:rsid w:val="00345369"/>
    <w:rsid w:val="00345782"/>
    <w:rsid w:val="003459D7"/>
    <w:rsid w:val="00347DCB"/>
    <w:rsid w:val="00347F09"/>
    <w:rsid w:val="003504E0"/>
    <w:rsid w:val="00350D16"/>
    <w:rsid w:val="003510C2"/>
    <w:rsid w:val="0035200C"/>
    <w:rsid w:val="0035278B"/>
    <w:rsid w:val="00354F5E"/>
    <w:rsid w:val="00355716"/>
    <w:rsid w:val="00355D55"/>
    <w:rsid w:val="00356679"/>
    <w:rsid w:val="003567D3"/>
    <w:rsid w:val="00357C43"/>
    <w:rsid w:val="003600C8"/>
    <w:rsid w:val="0036052C"/>
    <w:rsid w:val="00360939"/>
    <w:rsid w:val="003610F7"/>
    <w:rsid w:val="00361140"/>
    <w:rsid w:val="0036169C"/>
    <w:rsid w:val="0036363A"/>
    <w:rsid w:val="00364E35"/>
    <w:rsid w:val="00364E72"/>
    <w:rsid w:val="003656E3"/>
    <w:rsid w:val="00366473"/>
    <w:rsid w:val="00366956"/>
    <w:rsid w:val="00367813"/>
    <w:rsid w:val="0037041D"/>
    <w:rsid w:val="00370D54"/>
    <w:rsid w:val="00370E8F"/>
    <w:rsid w:val="00371729"/>
    <w:rsid w:val="00371955"/>
    <w:rsid w:val="00371FE1"/>
    <w:rsid w:val="00372EA0"/>
    <w:rsid w:val="00373E01"/>
    <w:rsid w:val="00373F41"/>
    <w:rsid w:val="003748FF"/>
    <w:rsid w:val="00375222"/>
    <w:rsid w:val="0037530A"/>
    <w:rsid w:val="00375DF8"/>
    <w:rsid w:val="00376060"/>
    <w:rsid w:val="00376062"/>
    <w:rsid w:val="003770B5"/>
    <w:rsid w:val="0037783D"/>
    <w:rsid w:val="00377896"/>
    <w:rsid w:val="0038074D"/>
    <w:rsid w:val="00380769"/>
    <w:rsid w:val="0038089D"/>
    <w:rsid w:val="00380D76"/>
    <w:rsid w:val="003818D2"/>
    <w:rsid w:val="00382EAE"/>
    <w:rsid w:val="00383066"/>
    <w:rsid w:val="003847CF"/>
    <w:rsid w:val="00384AB3"/>
    <w:rsid w:val="00384CB4"/>
    <w:rsid w:val="0038687A"/>
    <w:rsid w:val="003904BC"/>
    <w:rsid w:val="003911B1"/>
    <w:rsid w:val="003923BA"/>
    <w:rsid w:val="00392847"/>
    <w:rsid w:val="00392CA9"/>
    <w:rsid w:val="003930E4"/>
    <w:rsid w:val="003934A8"/>
    <w:rsid w:val="003935BA"/>
    <w:rsid w:val="003936B1"/>
    <w:rsid w:val="003939F6"/>
    <w:rsid w:val="00394016"/>
    <w:rsid w:val="00395624"/>
    <w:rsid w:val="00395946"/>
    <w:rsid w:val="00396904"/>
    <w:rsid w:val="00396B67"/>
    <w:rsid w:val="00396BFD"/>
    <w:rsid w:val="003972F0"/>
    <w:rsid w:val="00397B69"/>
    <w:rsid w:val="003A086D"/>
    <w:rsid w:val="003A1283"/>
    <w:rsid w:val="003A13C7"/>
    <w:rsid w:val="003A2442"/>
    <w:rsid w:val="003A2FF4"/>
    <w:rsid w:val="003A3262"/>
    <w:rsid w:val="003A3D4A"/>
    <w:rsid w:val="003A3EEF"/>
    <w:rsid w:val="003A62F9"/>
    <w:rsid w:val="003A6C16"/>
    <w:rsid w:val="003B02B9"/>
    <w:rsid w:val="003B0E55"/>
    <w:rsid w:val="003B181B"/>
    <w:rsid w:val="003B27A4"/>
    <w:rsid w:val="003B282C"/>
    <w:rsid w:val="003B2A5C"/>
    <w:rsid w:val="003B2EF3"/>
    <w:rsid w:val="003B37B8"/>
    <w:rsid w:val="003B3D30"/>
    <w:rsid w:val="003B495B"/>
    <w:rsid w:val="003B4BCE"/>
    <w:rsid w:val="003B4FF4"/>
    <w:rsid w:val="003B508F"/>
    <w:rsid w:val="003B5127"/>
    <w:rsid w:val="003B57C2"/>
    <w:rsid w:val="003B5A75"/>
    <w:rsid w:val="003B62F6"/>
    <w:rsid w:val="003B635E"/>
    <w:rsid w:val="003C04F6"/>
    <w:rsid w:val="003C0703"/>
    <w:rsid w:val="003C0C2D"/>
    <w:rsid w:val="003C10E7"/>
    <w:rsid w:val="003C1541"/>
    <w:rsid w:val="003C158D"/>
    <w:rsid w:val="003C15CD"/>
    <w:rsid w:val="003C16F3"/>
    <w:rsid w:val="003C1AD5"/>
    <w:rsid w:val="003C2556"/>
    <w:rsid w:val="003C296E"/>
    <w:rsid w:val="003C37D8"/>
    <w:rsid w:val="003C3943"/>
    <w:rsid w:val="003C3BB9"/>
    <w:rsid w:val="003C3E2E"/>
    <w:rsid w:val="003C496E"/>
    <w:rsid w:val="003C4999"/>
    <w:rsid w:val="003C5E0F"/>
    <w:rsid w:val="003C6949"/>
    <w:rsid w:val="003C6DB9"/>
    <w:rsid w:val="003C7956"/>
    <w:rsid w:val="003D03A9"/>
    <w:rsid w:val="003D0482"/>
    <w:rsid w:val="003D06F9"/>
    <w:rsid w:val="003D097E"/>
    <w:rsid w:val="003D0ED9"/>
    <w:rsid w:val="003D0FCA"/>
    <w:rsid w:val="003D1B9B"/>
    <w:rsid w:val="003D2C5D"/>
    <w:rsid w:val="003D36B2"/>
    <w:rsid w:val="003D4439"/>
    <w:rsid w:val="003D4DDB"/>
    <w:rsid w:val="003D5380"/>
    <w:rsid w:val="003D561D"/>
    <w:rsid w:val="003D5681"/>
    <w:rsid w:val="003D77E2"/>
    <w:rsid w:val="003E044B"/>
    <w:rsid w:val="003E0497"/>
    <w:rsid w:val="003E0D33"/>
    <w:rsid w:val="003E244F"/>
    <w:rsid w:val="003E2AE5"/>
    <w:rsid w:val="003E348A"/>
    <w:rsid w:val="003E34DF"/>
    <w:rsid w:val="003E3E7E"/>
    <w:rsid w:val="003E45CE"/>
    <w:rsid w:val="003E4CD0"/>
    <w:rsid w:val="003E4EE3"/>
    <w:rsid w:val="003E5D7E"/>
    <w:rsid w:val="003E6051"/>
    <w:rsid w:val="003E6877"/>
    <w:rsid w:val="003E69D9"/>
    <w:rsid w:val="003E6D34"/>
    <w:rsid w:val="003E7E9E"/>
    <w:rsid w:val="003F04D9"/>
    <w:rsid w:val="003F065B"/>
    <w:rsid w:val="003F0916"/>
    <w:rsid w:val="003F0E47"/>
    <w:rsid w:val="003F10E7"/>
    <w:rsid w:val="003F114B"/>
    <w:rsid w:val="003F1C11"/>
    <w:rsid w:val="003F1C7F"/>
    <w:rsid w:val="003F2483"/>
    <w:rsid w:val="003F28BF"/>
    <w:rsid w:val="003F29EF"/>
    <w:rsid w:val="003F3BF3"/>
    <w:rsid w:val="003F44A6"/>
    <w:rsid w:val="003F4682"/>
    <w:rsid w:val="003F63F2"/>
    <w:rsid w:val="003F64C5"/>
    <w:rsid w:val="003F6710"/>
    <w:rsid w:val="003F755A"/>
    <w:rsid w:val="003F7B81"/>
    <w:rsid w:val="004021A9"/>
    <w:rsid w:val="004023A0"/>
    <w:rsid w:val="00402556"/>
    <w:rsid w:val="0040361A"/>
    <w:rsid w:val="00403F33"/>
    <w:rsid w:val="00404191"/>
    <w:rsid w:val="00404B53"/>
    <w:rsid w:val="0040589C"/>
    <w:rsid w:val="004060DF"/>
    <w:rsid w:val="00406B17"/>
    <w:rsid w:val="00407121"/>
    <w:rsid w:val="00407E9B"/>
    <w:rsid w:val="00411438"/>
    <w:rsid w:val="0041156E"/>
    <w:rsid w:val="004122FD"/>
    <w:rsid w:val="00412558"/>
    <w:rsid w:val="00412D32"/>
    <w:rsid w:val="00413183"/>
    <w:rsid w:val="004134EA"/>
    <w:rsid w:val="00413AF4"/>
    <w:rsid w:val="00414F65"/>
    <w:rsid w:val="00415061"/>
    <w:rsid w:val="0041526F"/>
    <w:rsid w:val="00415506"/>
    <w:rsid w:val="00415CF3"/>
    <w:rsid w:val="004160C6"/>
    <w:rsid w:val="00417162"/>
    <w:rsid w:val="0042081B"/>
    <w:rsid w:val="00420C1E"/>
    <w:rsid w:val="00421129"/>
    <w:rsid w:val="0042182F"/>
    <w:rsid w:val="00421AC0"/>
    <w:rsid w:val="00421BC1"/>
    <w:rsid w:val="00421FCC"/>
    <w:rsid w:val="004220A6"/>
    <w:rsid w:val="0042217B"/>
    <w:rsid w:val="004226FD"/>
    <w:rsid w:val="004229BC"/>
    <w:rsid w:val="004241F3"/>
    <w:rsid w:val="00425361"/>
    <w:rsid w:val="00425C0B"/>
    <w:rsid w:val="004265B9"/>
    <w:rsid w:val="004275F5"/>
    <w:rsid w:val="004276B3"/>
    <w:rsid w:val="00430BAB"/>
    <w:rsid w:val="00430C4F"/>
    <w:rsid w:val="00431231"/>
    <w:rsid w:val="0043129C"/>
    <w:rsid w:val="00431A3C"/>
    <w:rsid w:val="0043231E"/>
    <w:rsid w:val="00432566"/>
    <w:rsid w:val="00432980"/>
    <w:rsid w:val="00434B36"/>
    <w:rsid w:val="0043558D"/>
    <w:rsid w:val="0043569D"/>
    <w:rsid w:val="00436042"/>
    <w:rsid w:val="004375A1"/>
    <w:rsid w:val="00437DE6"/>
    <w:rsid w:val="00440312"/>
    <w:rsid w:val="0044180E"/>
    <w:rsid w:val="00442A29"/>
    <w:rsid w:val="00444717"/>
    <w:rsid w:val="00444D18"/>
    <w:rsid w:val="00445F4A"/>
    <w:rsid w:val="00446772"/>
    <w:rsid w:val="00447B87"/>
    <w:rsid w:val="00447C17"/>
    <w:rsid w:val="00451782"/>
    <w:rsid w:val="0045241D"/>
    <w:rsid w:val="00452C3B"/>
    <w:rsid w:val="00452C50"/>
    <w:rsid w:val="004530AC"/>
    <w:rsid w:val="00453D5C"/>
    <w:rsid w:val="00454430"/>
    <w:rsid w:val="00454C57"/>
    <w:rsid w:val="00456238"/>
    <w:rsid w:val="004566E4"/>
    <w:rsid w:val="0045677E"/>
    <w:rsid w:val="00456C15"/>
    <w:rsid w:val="0045713F"/>
    <w:rsid w:val="0045783A"/>
    <w:rsid w:val="00460096"/>
    <w:rsid w:val="00460379"/>
    <w:rsid w:val="00460EB8"/>
    <w:rsid w:val="0046114D"/>
    <w:rsid w:val="00461B12"/>
    <w:rsid w:val="00462A12"/>
    <w:rsid w:val="00463646"/>
    <w:rsid w:val="00463DE5"/>
    <w:rsid w:val="00463FF2"/>
    <w:rsid w:val="004648AD"/>
    <w:rsid w:val="00464FFA"/>
    <w:rsid w:val="00465692"/>
    <w:rsid w:val="00465799"/>
    <w:rsid w:val="0046609D"/>
    <w:rsid w:val="004669F9"/>
    <w:rsid w:val="00466B0A"/>
    <w:rsid w:val="00467154"/>
    <w:rsid w:val="00467604"/>
    <w:rsid w:val="00467741"/>
    <w:rsid w:val="004679E9"/>
    <w:rsid w:val="00467AB7"/>
    <w:rsid w:val="00467EE0"/>
    <w:rsid w:val="00467F66"/>
    <w:rsid w:val="00470155"/>
    <w:rsid w:val="00470655"/>
    <w:rsid w:val="00471921"/>
    <w:rsid w:val="00472990"/>
    <w:rsid w:val="00472ADB"/>
    <w:rsid w:val="00473066"/>
    <w:rsid w:val="00473477"/>
    <w:rsid w:val="00473538"/>
    <w:rsid w:val="004736CD"/>
    <w:rsid w:val="00473A62"/>
    <w:rsid w:val="00473E44"/>
    <w:rsid w:val="004750E5"/>
    <w:rsid w:val="004750EE"/>
    <w:rsid w:val="00475662"/>
    <w:rsid w:val="0047739E"/>
    <w:rsid w:val="00477871"/>
    <w:rsid w:val="00477993"/>
    <w:rsid w:val="00480051"/>
    <w:rsid w:val="00480750"/>
    <w:rsid w:val="00480F86"/>
    <w:rsid w:val="004810A1"/>
    <w:rsid w:val="004816F2"/>
    <w:rsid w:val="00481B3B"/>
    <w:rsid w:val="00481EF9"/>
    <w:rsid w:val="0048201D"/>
    <w:rsid w:val="004820BF"/>
    <w:rsid w:val="004826BD"/>
    <w:rsid w:val="00482823"/>
    <w:rsid w:val="00482B83"/>
    <w:rsid w:val="00482C40"/>
    <w:rsid w:val="00482D6C"/>
    <w:rsid w:val="0048386E"/>
    <w:rsid w:val="004843F1"/>
    <w:rsid w:val="00484442"/>
    <w:rsid w:val="0048566F"/>
    <w:rsid w:val="00485BD6"/>
    <w:rsid w:val="0048635E"/>
    <w:rsid w:val="004906DF"/>
    <w:rsid w:val="00490C79"/>
    <w:rsid w:val="00490D48"/>
    <w:rsid w:val="0049141D"/>
    <w:rsid w:val="00491BE7"/>
    <w:rsid w:val="0049229D"/>
    <w:rsid w:val="004924AD"/>
    <w:rsid w:val="00492BE5"/>
    <w:rsid w:val="00493321"/>
    <w:rsid w:val="00493E8D"/>
    <w:rsid w:val="0049468F"/>
    <w:rsid w:val="00494EF5"/>
    <w:rsid w:val="00495667"/>
    <w:rsid w:val="0049629B"/>
    <w:rsid w:val="00496CE1"/>
    <w:rsid w:val="00497074"/>
    <w:rsid w:val="0049750C"/>
    <w:rsid w:val="004A0425"/>
    <w:rsid w:val="004A08C0"/>
    <w:rsid w:val="004A11FD"/>
    <w:rsid w:val="004A1A1B"/>
    <w:rsid w:val="004A269E"/>
    <w:rsid w:val="004A3423"/>
    <w:rsid w:val="004A3C48"/>
    <w:rsid w:val="004A3D09"/>
    <w:rsid w:val="004A459A"/>
    <w:rsid w:val="004A4D84"/>
    <w:rsid w:val="004A5203"/>
    <w:rsid w:val="004A5A9C"/>
    <w:rsid w:val="004A5F21"/>
    <w:rsid w:val="004A62A0"/>
    <w:rsid w:val="004A69AC"/>
    <w:rsid w:val="004A6A7E"/>
    <w:rsid w:val="004B0245"/>
    <w:rsid w:val="004B0294"/>
    <w:rsid w:val="004B09B3"/>
    <w:rsid w:val="004B0DD0"/>
    <w:rsid w:val="004B0E49"/>
    <w:rsid w:val="004B1229"/>
    <w:rsid w:val="004B1366"/>
    <w:rsid w:val="004B180C"/>
    <w:rsid w:val="004B18AE"/>
    <w:rsid w:val="004B28A0"/>
    <w:rsid w:val="004B3D93"/>
    <w:rsid w:val="004B3DBE"/>
    <w:rsid w:val="004B45C8"/>
    <w:rsid w:val="004B49A0"/>
    <w:rsid w:val="004B5709"/>
    <w:rsid w:val="004B57BE"/>
    <w:rsid w:val="004B5B02"/>
    <w:rsid w:val="004B7544"/>
    <w:rsid w:val="004B75E9"/>
    <w:rsid w:val="004B7777"/>
    <w:rsid w:val="004B7A1A"/>
    <w:rsid w:val="004B7AB3"/>
    <w:rsid w:val="004C0DD8"/>
    <w:rsid w:val="004C1BE0"/>
    <w:rsid w:val="004C220D"/>
    <w:rsid w:val="004C2770"/>
    <w:rsid w:val="004C2A60"/>
    <w:rsid w:val="004C311D"/>
    <w:rsid w:val="004C3E32"/>
    <w:rsid w:val="004C4600"/>
    <w:rsid w:val="004C4756"/>
    <w:rsid w:val="004C4ADC"/>
    <w:rsid w:val="004C4DF2"/>
    <w:rsid w:val="004C51F7"/>
    <w:rsid w:val="004C773E"/>
    <w:rsid w:val="004C7ADB"/>
    <w:rsid w:val="004D05E8"/>
    <w:rsid w:val="004D0BF8"/>
    <w:rsid w:val="004D1DE6"/>
    <w:rsid w:val="004D2440"/>
    <w:rsid w:val="004D2C10"/>
    <w:rsid w:val="004D3714"/>
    <w:rsid w:val="004D4159"/>
    <w:rsid w:val="004D4647"/>
    <w:rsid w:val="004D4F40"/>
    <w:rsid w:val="004D57A6"/>
    <w:rsid w:val="004D58A8"/>
    <w:rsid w:val="004D6045"/>
    <w:rsid w:val="004D63FE"/>
    <w:rsid w:val="004D650E"/>
    <w:rsid w:val="004D6BC3"/>
    <w:rsid w:val="004D6C59"/>
    <w:rsid w:val="004D70A5"/>
    <w:rsid w:val="004D7254"/>
    <w:rsid w:val="004D7E38"/>
    <w:rsid w:val="004E0185"/>
    <w:rsid w:val="004E06BF"/>
    <w:rsid w:val="004E0BAD"/>
    <w:rsid w:val="004E0E10"/>
    <w:rsid w:val="004E0FE2"/>
    <w:rsid w:val="004E1485"/>
    <w:rsid w:val="004E181B"/>
    <w:rsid w:val="004E1C8E"/>
    <w:rsid w:val="004E20DC"/>
    <w:rsid w:val="004E2FEE"/>
    <w:rsid w:val="004E5ABB"/>
    <w:rsid w:val="004E623D"/>
    <w:rsid w:val="004E67CB"/>
    <w:rsid w:val="004E74E7"/>
    <w:rsid w:val="004E7C5F"/>
    <w:rsid w:val="004F1A6A"/>
    <w:rsid w:val="004F2190"/>
    <w:rsid w:val="004F2BF1"/>
    <w:rsid w:val="004F2C40"/>
    <w:rsid w:val="004F2D1C"/>
    <w:rsid w:val="004F309E"/>
    <w:rsid w:val="004F3F62"/>
    <w:rsid w:val="004F4713"/>
    <w:rsid w:val="004F4950"/>
    <w:rsid w:val="004F4E9B"/>
    <w:rsid w:val="004F539C"/>
    <w:rsid w:val="004F5ACA"/>
    <w:rsid w:val="004F5DD3"/>
    <w:rsid w:val="004F66C9"/>
    <w:rsid w:val="004F67FE"/>
    <w:rsid w:val="004F6989"/>
    <w:rsid w:val="004F6C52"/>
    <w:rsid w:val="004F73EC"/>
    <w:rsid w:val="004F7FBC"/>
    <w:rsid w:val="00500218"/>
    <w:rsid w:val="00500CE7"/>
    <w:rsid w:val="005016EE"/>
    <w:rsid w:val="00501858"/>
    <w:rsid w:val="00501BA2"/>
    <w:rsid w:val="005031CD"/>
    <w:rsid w:val="00506C3D"/>
    <w:rsid w:val="005070B7"/>
    <w:rsid w:val="00507784"/>
    <w:rsid w:val="00507951"/>
    <w:rsid w:val="00507F18"/>
    <w:rsid w:val="0051046B"/>
    <w:rsid w:val="00510674"/>
    <w:rsid w:val="005106F1"/>
    <w:rsid w:val="00511183"/>
    <w:rsid w:val="005115D8"/>
    <w:rsid w:val="00512629"/>
    <w:rsid w:val="00512C2D"/>
    <w:rsid w:val="00512C9C"/>
    <w:rsid w:val="00513CCF"/>
    <w:rsid w:val="005147FA"/>
    <w:rsid w:val="00514D99"/>
    <w:rsid w:val="00514E84"/>
    <w:rsid w:val="0051565D"/>
    <w:rsid w:val="005171A1"/>
    <w:rsid w:val="005178B0"/>
    <w:rsid w:val="0052011B"/>
    <w:rsid w:val="00520997"/>
    <w:rsid w:val="005209D9"/>
    <w:rsid w:val="00522C3C"/>
    <w:rsid w:val="00522EDB"/>
    <w:rsid w:val="00522FCA"/>
    <w:rsid w:val="00523A26"/>
    <w:rsid w:val="00523C6B"/>
    <w:rsid w:val="00523E8E"/>
    <w:rsid w:val="00524D77"/>
    <w:rsid w:val="005251E0"/>
    <w:rsid w:val="00525B3C"/>
    <w:rsid w:val="005266C7"/>
    <w:rsid w:val="00526776"/>
    <w:rsid w:val="00526C37"/>
    <w:rsid w:val="005300CF"/>
    <w:rsid w:val="00530EF7"/>
    <w:rsid w:val="00531250"/>
    <w:rsid w:val="00531893"/>
    <w:rsid w:val="00531C5F"/>
    <w:rsid w:val="0053346D"/>
    <w:rsid w:val="0053476E"/>
    <w:rsid w:val="005349B5"/>
    <w:rsid w:val="00534A15"/>
    <w:rsid w:val="0053515A"/>
    <w:rsid w:val="00535196"/>
    <w:rsid w:val="005352D0"/>
    <w:rsid w:val="00535A51"/>
    <w:rsid w:val="00536C51"/>
    <w:rsid w:val="00537B02"/>
    <w:rsid w:val="00540206"/>
    <w:rsid w:val="00540945"/>
    <w:rsid w:val="00540B7F"/>
    <w:rsid w:val="00540FE9"/>
    <w:rsid w:val="005410D2"/>
    <w:rsid w:val="005413A1"/>
    <w:rsid w:val="00543695"/>
    <w:rsid w:val="005441AE"/>
    <w:rsid w:val="00544217"/>
    <w:rsid w:val="00544862"/>
    <w:rsid w:val="00544990"/>
    <w:rsid w:val="00545CE6"/>
    <w:rsid w:val="00546566"/>
    <w:rsid w:val="00546683"/>
    <w:rsid w:val="00546A65"/>
    <w:rsid w:val="005474F5"/>
    <w:rsid w:val="00547874"/>
    <w:rsid w:val="00547BF9"/>
    <w:rsid w:val="00547FE8"/>
    <w:rsid w:val="00550AE7"/>
    <w:rsid w:val="00550BCD"/>
    <w:rsid w:val="005528AB"/>
    <w:rsid w:val="00552A44"/>
    <w:rsid w:val="00552D55"/>
    <w:rsid w:val="0055491C"/>
    <w:rsid w:val="0055535B"/>
    <w:rsid w:val="005555A9"/>
    <w:rsid w:val="0055564A"/>
    <w:rsid w:val="00555A72"/>
    <w:rsid w:val="00555C29"/>
    <w:rsid w:val="005564B5"/>
    <w:rsid w:val="005564CF"/>
    <w:rsid w:val="00556B44"/>
    <w:rsid w:val="00560D14"/>
    <w:rsid w:val="00560D5F"/>
    <w:rsid w:val="00560F3C"/>
    <w:rsid w:val="0056147F"/>
    <w:rsid w:val="005618C8"/>
    <w:rsid w:val="00561D03"/>
    <w:rsid w:val="00561F5C"/>
    <w:rsid w:val="005625DF"/>
    <w:rsid w:val="00562AC6"/>
    <w:rsid w:val="00562B3D"/>
    <w:rsid w:val="00562F90"/>
    <w:rsid w:val="005638CA"/>
    <w:rsid w:val="00563C6F"/>
    <w:rsid w:val="00563CE9"/>
    <w:rsid w:val="00564C90"/>
    <w:rsid w:val="005653FF"/>
    <w:rsid w:val="005658AD"/>
    <w:rsid w:val="00565AF6"/>
    <w:rsid w:val="005676FA"/>
    <w:rsid w:val="0057001C"/>
    <w:rsid w:val="00570972"/>
    <w:rsid w:val="005717D6"/>
    <w:rsid w:val="00571B20"/>
    <w:rsid w:val="00571D28"/>
    <w:rsid w:val="00573F85"/>
    <w:rsid w:val="005752BD"/>
    <w:rsid w:val="0057566D"/>
    <w:rsid w:val="0057567A"/>
    <w:rsid w:val="00575817"/>
    <w:rsid w:val="0057616A"/>
    <w:rsid w:val="005767A5"/>
    <w:rsid w:val="0057691D"/>
    <w:rsid w:val="00576C35"/>
    <w:rsid w:val="00577961"/>
    <w:rsid w:val="00577DB4"/>
    <w:rsid w:val="00580706"/>
    <w:rsid w:val="00581234"/>
    <w:rsid w:val="0058165D"/>
    <w:rsid w:val="005826E8"/>
    <w:rsid w:val="00582EBF"/>
    <w:rsid w:val="005831AB"/>
    <w:rsid w:val="00583AEC"/>
    <w:rsid w:val="00583CE1"/>
    <w:rsid w:val="00584203"/>
    <w:rsid w:val="005858DB"/>
    <w:rsid w:val="0058646C"/>
    <w:rsid w:val="00586A4A"/>
    <w:rsid w:val="00586D78"/>
    <w:rsid w:val="0058729D"/>
    <w:rsid w:val="0058759F"/>
    <w:rsid w:val="00587AD4"/>
    <w:rsid w:val="00589575"/>
    <w:rsid w:val="005906D4"/>
    <w:rsid w:val="00590846"/>
    <w:rsid w:val="00591132"/>
    <w:rsid w:val="00592FFD"/>
    <w:rsid w:val="0059364C"/>
    <w:rsid w:val="00593E49"/>
    <w:rsid w:val="0059423B"/>
    <w:rsid w:val="005942DC"/>
    <w:rsid w:val="0059476E"/>
    <w:rsid w:val="00595AA9"/>
    <w:rsid w:val="0059705F"/>
    <w:rsid w:val="005A0228"/>
    <w:rsid w:val="005A0453"/>
    <w:rsid w:val="005A0953"/>
    <w:rsid w:val="005A0B47"/>
    <w:rsid w:val="005A2F5B"/>
    <w:rsid w:val="005A371A"/>
    <w:rsid w:val="005A3B1B"/>
    <w:rsid w:val="005A40E2"/>
    <w:rsid w:val="005A45DB"/>
    <w:rsid w:val="005A5095"/>
    <w:rsid w:val="005A6401"/>
    <w:rsid w:val="005A640B"/>
    <w:rsid w:val="005A64D8"/>
    <w:rsid w:val="005A6D54"/>
    <w:rsid w:val="005A7420"/>
    <w:rsid w:val="005B059D"/>
    <w:rsid w:val="005B0BEF"/>
    <w:rsid w:val="005B15F1"/>
    <w:rsid w:val="005B1751"/>
    <w:rsid w:val="005B19DD"/>
    <w:rsid w:val="005B26A1"/>
    <w:rsid w:val="005B2870"/>
    <w:rsid w:val="005B2982"/>
    <w:rsid w:val="005B31E1"/>
    <w:rsid w:val="005B5239"/>
    <w:rsid w:val="005B5253"/>
    <w:rsid w:val="005B642E"/>
    <w:rsid w:val="005B6AAB"/>
    <w:rsid w:val="005B7A15"/>
    <w:rsid w:val="005B7A74"/>
    <w:rsid w:val="005B7E63"/>
    <w:rsid w:val="005C0095"/>
    <w:rsid w:val="005C03A5"/>
    <w:rsid w:val="005C1B98"/>
    <w:rsid w:val="005C1E7D"/>
    <w:rsid w:val="005C1F7D"/>
    <w:rsid w:val="005C228F"/>
    <w:rsid w:val="005C3350"/>
    <w:rsid w:val="005C4017"/>
    <w:rsid w:val="005C41BB"/>
    <w:rsid w:val="005C49C2"/>
    <w:rsid w:val="005C5760"/>
    <w:rsid w:val="005C657F"/>
    <w:rsid w:val="005C675C"/>
    <w:rsid w:val="005C775B"/>
    <w:rsid w:val="005C7916"/>
    <w:rsid w:val="005D082D"/>
    <w:rsid w:val="005D0D36"/>
    <w:rsid w:val="005D0D79"/>
    <w:rsid w:val="005D0F5B"/>
    <w:rsid w:val="005D10CF"/>
    <w:rsid w:val="005D195A"/>
    <w:rsid w:val="005D19D4"/>
    <w:rsid w:val="005D1E7E"/>
    <w:rsid w:val="005D2596"/>
    <w:rsid w:val="005D2F1C"/>
    <w:rsid w:val="005D3CC3"/>
    <w:rsid w:val="005D3EFD"/>
    <w:rsid w:val="005D432D"/>
    <w:rsid w:val="005D4F45"/>
    <w:rsid w:val="005D59DE"/>
    <w:rsid w:val="005D5E08"/>
    <w:rsid w:val="005D68DC"/>
    <w:rsid w:val="005D700C"/>
    <w:rsid w:val="005E0B48"/>
    <w:rsid w:val="005E0C8F"/>
    <w:rsid w:val="005E1365"/>
    <w:rsid w:val="005E167E"/>
    <w:rsid w:val="005E213C"/>
    <w:rsid w:val="005E2C8E"/>
    <w:rsid w:val="005E2D90"/>
    <w:rsid w:val="005E4E2C"/>
    <w:rsid w:val="005E4F9D"/>
    <w:rsid w:val="005E566B"/>
    <w:rsid w:val="005E64B2"/>
    <w:rsid w:val="005E6892"/>
    <w:rsid w:val="005E7643"/>
    <w:rsid w:val="005E7D53"/>
    <w:rsid w:val="005F07FF"/>
    <w:rsid w:val="005F0DCA"/>
    <w:rsid w:val="005F14D9"/>
    <w:rsid w:val="005F1BC3"/>
    <w:rsid w:val="005F1F45"/>
    <w:rsid w:val="005F2848"/>
    <w:rsid w:val="005F2EBD"/>
    <w:rsid w:val="005F3255"/>
    <w:rsid w:val="005F3D23"/>
    <w:rsid w:val="005F47B6"/>
    <w:rsid w:val="005F4907"/>
    <w:rsid w:val="005F4D0D"/>
    <w:rsid w:val="005F503B"/>
    <w:rsid w:val="005F66E7"/>
    <w:rsid w:val="005F6DF0"/>
    <w:rsid w:val="005F7C8D"/>
    <w:rsid w:val="005F7FB8"/>
    <w:rsid w:val="00601298"/>
    <w:rsid w:val="00601393"/>
    <w:rsid w:val="0060169D"/>
    <w:rsid w:val="00604143"/>
    <w:rsid w:val="00604179"/>
    <w:rsid w:val="00604B42"/>
    <w:rsid w:val="00607103"/>
    <w:rsid w:val="00607276"/>
    <w:rsid w:val="006079FD"/>
    <w:rsid w:val="00607D07"/>
    <w:rsid w:val="00607F44"/>
    <w:rsid w:val="006102F4"/>
    <w:rsid w:val="006104AB"/>
    <w:rsid w:val="00610C54"/>
    <w:rsid w:val="0061178A"/>
    <w:rsid w:val="00611AED"/>
    <w:rsid w:val="00612E4B"/>
    <w:rsid w:val="0061311E"/>
    <w:rsid w:val="0061323F"/>
    <w:rsid w:val="00614879"/>
    <w:rsid w:val="00614E3D"/>
    <w:rsid w:val="00614EF5"/>
    <w:rsid w:val="00615A1B"/>
    <w:rsid w:val="00616B6D"/>
    <w:rsid w:val="0061750A"/>
    <w:rsid w:val="0061765B"/>
    <w:rsid w:val="00620C6D"/>
    <w:rsid w:val="00620DB7"/>
    <w:rsid w:val="00620E08"/>
    <w:rsid w:val="006217F6"/>
    <w:rsid w:val="00621E63"/>
    <w:rsid w:val="006226B7"/>
    <w:rsid w:val="00622B09"/>
    <w:rsid w:val="00622CEB"/>
    <w:rsid w:val="00622F3D"/>
    <w:rsid w:val="00623028"/>
    <w:rsid w:val="006233CE"/>
    <w:rsid w:val="006235DC"/>
    <w:rsid w:val="00623B76"/>
    <w:rsid w:val="0062436B"/>
    <w:rsid w:val="00624A5D"/>
    <w:rsid w:val="00624E66"/>
    <w:rsid w:val="00624FA3"/>
    <w:rsid w:val="00625691"/>
    <w:rsid w:val="00626F4D"/>
    <w:rsid w:val="00627B9E"/>
    <w:rsid w:val="00630922"/>
    <w:rsid w:val="00630F3D"/>
    <w:rsid w:val="0063142A"/>
    <w:rsid w:val="00632B4B"/>
    <w:rsid w:val="00632BDB"/>
    <w:rsid w:val="00633197"/>
    <w:rsid w:val="00634484"/>
    <w:rsid w:val="0063463F"/>
    <w:rsid w:val="00634692"/>
    <w:rsid w:val="00635056"/>
    <w:rsid w:val="00635AE4"/>
    <w:rsid w:val="00636001"/>
    <w:rsid w:val="006400FB"/>
    <w:rsid w:val="0064018C"/>
    <w:rsid w:val="00640295"/>
    <w:rsid w:val="006409F3"/>
    <w:rsid w:val="00641462"/>
    <w:rsid w:val="006428C8"/>
    <w:rsid w:val="00642B7E"/>
    <w:rsid w:val="0064416C"/>
    <w:rsid w:val="0064481D"/>
    <w:rsid w:val="00644910"/>
    <w:rsid w:val="006456E2"/>
    <w:rsid w:val="00645969"/>
    <w:rsid w:val="00645F30"/>
    <w:rsid w:val="00646C5B"/>
    <w:rsid w:val="0064740F"/>
    <w:rsid w:val="00647423"/>
    <w:rsid w:val="006474D0"/>
    <w:rsid w:val="0065074C"/>
    <w:rsid w:val="006518A3"/>
    <w:rsid w:val="00651F13"/>
    <w:rsid w:val="006525F2"/>
    <w:rsid w:val="00653272"/>
    <w:rsid w:val="006539E0"/>
    <w:rsid w:val="00654483"/>
    <w:rsid w:val="00654615"/>
    <w:rsid w:val="00654DAA"/>
    <w:rsid w:val="00655003"/>
    <w:rsid w:val="00655295"/>
    <w:rsid w:val="00655484"/>
    <w:rsid w:val="00655B76"/>
    <w:rsid w:val="00655C7F"/>
    <w:rsid w:val="00656976"/>
    <w:rsid w:val="0065706F"/>
    <w:rsid w:val="00657D11"/>
    <w:rsid w:val="006609A3"/>
    <w:rsid w:val="00660AC6"/>
    <w:rsid w:val="00660FC5"/>
    <w:rsid w:val="00661193"/>
    <w:rsid w:val="006611A7"/>
    <w:rsid w:val="00662662"/>
    <w:rsid w:val="006629E4"/>
    <w:rsid w:val="00662AA7"/>
    <w:rsid w:val="006635C1"/>
    <w:rsid w:val="00664031"/>
    <w:rsid w:val="0066408B"/>
    <w:rsid w:val="00664183"/>
    <w:rsid w:val="006651BE"/>
    <w:rsid w:val="00665564"/>
    <w:rsid w:val="00665AF8"/>
    <w:rsid w:val="00665F66"/>
    <w:rsid w:val="006662AC"/>
    <w:rsid w:val="00666581"/>
    <w:rsid w:val="00667EDC"/>
    <w:rsid w:val="0067001F"/>
    <w:rsid w:val="00670764"/>
    <w:rsid w:val="00671830"/>
    <w:rsid w:val="00671F3E"/>
    <w:rsid w:val="00673380"/>
    <w:rsid w:val="00673D17"/>
    <w:rsid w:val="00674AB9"/>
    <w:rsid w:val="00675294"/>
    <w:rsid w:val="006754A0"/>
    <w:rsid w:val="0067557F"/>
    <w:rsid w:val="0067562E"/>
    <w:rsid w:val="00675E25"/>
    <w:rsid w:val="00676406"/>
    <w:rsid w:val="00677B17"/>
    <w:rsid w:val="006818EA"/>
    <w:rsid w:val="00683157"/>
    <w:rsid w:val="0068364C"/>
    <w:rsid w:val="00683BB3"/>
    <w:rsid w:val="00684973"/>
    <w:rsid w:val="00684C03"/>
    <w:rsid w:val="00685D82"/>
    <w:rsid w:val="00686258"/>
    <w:rsid w:val="00687FAD"/>
    <w:rsid w:val="0069023C"/>
    <w:rsid w:val="00690C79"/>
    <w:rsid w:val="00690DC7"/>
    <w:rsid w:val="006914E1"/>
    <w:rsid w:val="006918FF"/>
    <w:rsid w:val="00691D1D"/>
    <w:rsid w:val="00692CEA"/>
    <w:rsid w:val="00693EE2"/>
    <w:rsid w:val="00693F58"/>
    <w:rsid w:val="00693FFB"/>
    <w:rsid w:val="00694893"/>
    <w:rsid w:val="00695511"/>
    <w:rsid w:val="00695A81"/>
    <w:rsid w:val="00696260"/>
    <w:rsid w:val="006972E0"/>
    <w:rsid w:val="00697634"/>
    <w:rsid w:val="00697892"/>
    <w:rsid w:val="00697EFE"/>
    <w:rsid w:val="00697F3B"/>
    <w:rsid w:val="006A2359"/>
    <w:rsid w:val="006A2CD6"/>
    <w:rsid w:val="006A30DE"/>
    <w:rsid w:val="006A33C3"/>
    <w:rsid w:val="006A4DD9"/>
    <w:rsid w:val="006A52D3"/>
    <w:rsid w:val="006A5920"/>
    <w:rsid w:val="006A5EE3"/>
    <w:rsid w:val="006A621D"/>
    <w:rsid w:val="006A6A59"/>
    <w:rsid w:val="006A6FEA"/>
    <w:rsid w:val="006B06CD"/>
    <w:rsid w:val="006B0843"/>
    <w:rsid w:val="006B0B45"/>
    <w:rsid w:val="006B0F8C"/>
    <w:rsid w:val="006B1EE1"/>
    <w:rsid w:val="006B2062"/>
    <w:rsid w:val="006B3407"/>
    <w:rsid w:val="006B375A"/>
    <w:rsid w:val="006B3E16"/>
    <w:rsid w:val="006B439C"/>
    <w:rsid w:val="006B4BDC"/>
    <w:rsid w:val="006B5329"/>
    <w:rsid w:val="006B62F6"/>
    <w:rsid w:val="006B6956"/>
    <w:rsid w:val="006B6ED7"/>
    <w:rsid w:val="006B7689"/>
    <w:rsid w:val="006B792B"/>
    <w:rsid w:val="006B7C5D"/>
    <w:rsid w:val="006C1913"/>
    <w:rsid w:val="006C1A62"/>
    <w:rsid w:val="006C23E3"/>
    <w:rsid w:val="006C313D"/>
    <w:rsid w:val="006C31DD"/>
    <w:rsid w:val="006C322A"/>
    <w:rsid w:val="006C364F"/>
    <w:rsid w:val="006C3D68"/>
    <w:rsid w:val="006C53AE"/>
    <w:rsid w:val="006C676F"/>
    <w:rsid w:val="006C75A1"/>
    <w:rsid w:val="006C7C61"/>
    <w:rsid w:val="006D40EE"/>
    <w:rsid w:val="006D478D"/>
    <w:rsid w:val="006D4E5C"/>
    <w:rsid w:val="006D4EF8"/>
    <w:rsid w:val="006D4FD7"/>
    <w:rsid w:val="006D67C5"/>
    <w:rsid w:val="006D6C25"/>
    <w:rsid w:val="006D6F3B"/>
    <w:rsid w:val="006D7843"/>
    <w:rsid w:val="006E02DA"/>
    <w:rsid w:val="006E0A42"/>
    <w:rsid w:val="006E0D9B"/>
    <w:rsid w:val="006E2395"/>
    <w:rsid w:val="006E2784"/>
    <w:rsid w:val="006E3604"/>
    <w:rsid w:val="006E38CD"/>
    <w:rsid w:val="006E534A"/>
    <w:rsid w:val="006E5887"/>
    <w:rsid w:val="006E5DA5"/>
    <w:rsid w:val="006E659B"/>
    <w:rsid w:val="006E665A"/>
    <w:rsid w:val="006E6BAB"/>
    <w:rsid w:val="006E6D5D"/>
    <w:rsid w:val="006E7A5C"/>
    <w:rsid w:val="006F1638"/>
    <w:rsid w:val="006F303A"/>
    <w:rsid w:val="006F3045"/>
    <w:rsid w:val="006F38EA"/>
    <w:rsid w:val="006F4955"/>
    <w:rsid w:val="006F5B98"/>
    <w:rsid w:val="006F6978"/>
    <w:rsid w:val="006F6FA8"/>
    <w:rsid w:val="006F7BD4"/>
    <w:rsid w:val="006F7D7D"/>
    <w:rsid w:val="00702863"/>
    <w:rsid w:val="007034D5"/>
    <w:rsid w:val="007036BC"/>
    <w:rsid w:val="0070404C"/>
    <w:rsid w:val="007040E0"/>
    <w:rsid w:val="007062BF"/>
    <w:rsid w:val="007066DD"/>
    <w:rsid w:val="007069E6"/>
    <w:rsid w:val="00706C8C"/>
    <w:rsid w:val="007075DB"/>
    <w:rsid w:val="0071027D"/>
    <w:rsid w:val="007105AC"/>
    <w:rsid w:val="007107BA"/>
    <w:rsid w:val="007107D8"/>
    <w:rsid w:val="00711163"/>
    <w:rsid w:val="007111CB"/>
    <w:rsid w:val="007117B0"/>
    <w:rsid w:val="00712B55"/>
    <w:rsid w:val="007146F2"/>
    <w:rsid w:val="00714D74"/>
    <w:rsid w:val="0071507F"/>
    <w:rsid w:val="007151DF"/>
    <w:rsid w:val="00715D6A"/>
    <w:rsid w:val="00715EE4"/>
    <w:rsid w:val="00716A73"/>
    <w:rsid w:val="007175B2"/>
    <w:rsid w:val="007208A1"/>
    <w:rsid w:val="00720996"/>
    <w:rsid w:val="0072155F"/>
    <w:rsid w:val="00721E4E"/>
    <w:rsid w:val="00723046"/>
    <w:rsid w:val="00723A6E"/>
    <w:rsid w:val="00724084"/>
    <w:rsid w:val="00724595"/>
    <w:rsid w:val="0072542D"/>
    <w:rsid w:val="00725B61"/>
    <w:rsid w:val="00725C4B"/>
    <w:rsid w:val="00727CB1"/>
    <w:rsid w:val="00731BD3"/>
    <w:rsid w:val="00731C29"/>
    <w:rsid w:val="00732B99"/>
    <w:rsid w:val="00732FD4"/>
    <w:rsid w:val="0073426E"/>
    <w:rsid w:val="00735332"/>
    <w:rsid w:val="00735496"/>
    <w:rsid w:val="00736C42"/>
    <w:rsid w:val="00736EE9"/>
    <w:rsid w:val="00737A77"/>
    <w:rsid w:val="00737B81"/>
    <w:rsid w:val="00741744"/>
    <w:rsid w:val="00741B4F"/>
    <w:rsid w:val="00742688"/>
    <w:rsid w:val="007426A6"/>
    <w:rsid w:val="00743768"/>
    <w:rsid w:val="007437E0"/>
    <w:rsid w:val="00743AF6"/>
    <w:rsid w:val="00745AB4"/>
    <w:rsid w:val="0074644B"/>
    <w:rsid w:val="00746C26"/>
    <w:rsid w:val="00750B63"/>
    <w:rsid w:val="00750F0B"/>
    <w:rsid w:val="007515BF"/>
    <w:rsid w:val="00751D69"/>
    <w:rsid w:val="007520C7"/>
    <w:rsid w:val="007529AF"/>
    <w:rsid w:val="00752A1A"/>
    <w:rsid w:val="00752CB1"/>
    <w:rsid w:val="00752CCD"/>
    <w:rsid w:val="00753072"/>
    <w:rsid w:val="0075355B"/>
    <w:rsid w:val="007540E9"/>
    <w:rsid w:val="00755717"/>
    <w:rsid w:val="00756075"/>
    <w:rsid w:val="0075658F"/>
    <w:rsid w:val="00756EF3"/>
    <w:rsid w:val="0075765F"/>
    <w:rsid w:val="00757856"/>
    <w:rsid w:val="0076030A"/>
    <w:rsid w:val="0076034E"/>
    <w:rsid w:val="00760522"/>
    <w:rsid w:val="0076073E"/>
    <w:rsid w:val="007617F4"/>
    <w:rsid w:val="00761C98"/>
    <w:rsid w:val="00761CD2"/>
    <w:rsid w:val="00761D47"/>
    <w:rsid w:val="00761D91"/>
    <w:rsid w:val="007629F1"/>
    <w:rsid w:val="00762B33"/>
    <w:rsid w:val="00763458"/>
    <w:rsid w:val="0076366F"/>
    <w:rsid w:val="00763974"/>
    <w:rsid w:val="00763E74"/>
    <w:rsid w:val="00765BDF"/>
    <w:rsid w:val="00766368"/>
    <w:rsid w:val="007665E7"/>
    <w:rsid w:val="0077048D"/>
    <w:rsid w:val="00771370"/>
    <w:rsid w:val="0077196A"/>
    <w:rsid w:val="00772304"/>
    <w:rsid w:val="007725A0"/>
    <w:rsid w:val="00774271"/>
    <w:rsid w:val="00774619"/>
    <w:rsid w:val="0077482D"/>
    <w:rsid w:val="00774D05"/>
    <w:rsid w:val="007756D6"/>
    <w:rsid w:val="00775F0C"/>
    <w:rsid w:val="00776746"/>
    <w:rsid w:val="00776BED"/>
    <w:rsid w:val="0077726C"/>
    <w:rsid w:val="00777B49"/>
    <w:rsid w:val="00780D38"/>
    <w:rsid w:val="007818FE"/>
    <w:rsid w:val="007819E0"/>
    <w:rsid w:val="00782A46"/>
    <w:rsid w:val="00783C57"/>
    <w:rsid w:val="00783FD4"/>
    <w:rsid w:val="0078723C"/>
    <w:rsid w:val="0078DCB2"/>
    <w:rsid w:val="0079071B"/>
    <w:rsid w:val="00790ADA"/>
    <w:rsid w:val="007917AC"/>
    <w:rsid w:val="00791D8A"/>
    <w:rsid w:val="00791DBF"/>
    <w:rsid w:val="0079283B"/>
    <w:rsid w:val="00792ECA"/>
    <w:rsid w:val="007931F9"/>
    <w:rsid w:val="007932D8"/>
    <w:rsid w:val="0079343E"/>
    <w:rsid w:val="00793685"/>
    <w:rsid w:val="0079394A"/>
    <w:rsid w:val="00793CCC"/>
    <w:rsid w:val="00793EE1"/>
    <w:rsid w:val="00794097"/>
    <w:rsid w:val="00794407"/>
    <w:rsid w:val="00794D61"/>
    <w:rsid w:val="00795191"/>
    <w:rsid w:val="00795FB9"/>
    <w:rsid w:val="007A0552"/>
    <w:rsid w:val="007A0565"/>
    <w:rsid w:val="007A0B5F"/>
    <w:rsid w:val="007A180B"/>
    <w:rsid w:val="007A2FE8"/>
    <w:rsid w:val="007A393F"/>
    <w:rsid w:val="007A41B2"/>
    <w:rsid w:val="007A4A3E"/>
    <w:rsid w:val="007A4B16"/>
    <w:rsid w:val="007A5382"/>
    <w:rsid w:val="007A60EE"/>
    <w:rsid w:val="007A636B"/>
    <w:rsid w:val="007A6453"/>
    <w:rsid w:val="007A720D"/>
    <w:rsid w:val="007A748D"/>
    <w:rsid w:val="007A759E"/>
    <w:rsid w:val="007A7DF6"/>
    <w:rsid w:val="007B04FC"/>
    <w:rsid w:val="007B08A4"/>
    <w:rsid w:val="007B278B"/>
    <w:rsid w:val="007B2E80"/>
    <w:rsid w:val="007B3414"/>
    <w:rsid w:val="007B3782"/>
    <w:rsid w:val="007B4BF6"/>
    <w:rsid w:val="007B5064"/>
    <w:rsid w:val="007B5213"/>
    <w:rsid w:val="007B57AC"/>
    <w:rsid w:val="007B5807"/>
    <w:rsid w:val="007B5CAA"/>
    <w:rsid w:val="007B6A36"/>
    <w:rsid w:val="007C0A96"/>
    <w:rsid w:val="007C1168"/>
    <w:rsid w:val="007C141D"/>
    <w:rsid w:val="007C14FE"/>
    <w:rsid w:val="007C19A5"/>
    <w:rsid w:val="007C51B8"/>
    <w:rsid w:val="007C6517"/>
    <w:rsid w:val="007C697C"/>
    <w:rsid w:val="007C7F38"/>
    <w:rsid w:val="007D0593"/>
    <w:rsid w:val="007D0B8F"/>
    <w:rsid w:val="007D2009"/>
    <w:rsid w:val="007D2C9D"/>
    <w:rsid w:val="007D37E2"/>
    <w:rsid w:val="007D55FB"/>
    <w:rsid w:val="007D57E3"/>
    <w:rsid w:val="007D5E77"/>
    <w:rsid w:val="007D62B7"/>
    <w:rsid w:val="007D6B21"/>
    <w:rsid w:val="007D6B4B"/>
    <w:rsid w:val="007D73C5"/>
    <w:rsid w:val="007E1B05"/>
    <w:rsid w:val="007E1D16"/>
    <w:rsid w:val="007E20DB"/>
    <w:rsid w:val="007E28BB"/>
    <w:rsid w:val="007E36B2"/>
    <w:rsid w:val="007E49BE"/>
    <w:rsid w:val="007E4E55"/>
    <w:rsid w:val="007E511E"/>
    <w:rsid w:val="007E5300"/>
    <w:rsid w:val="007F06E5"/>
    <w:rsid w:val="007F15B9"/>
    <w:rsid w:val="007F1789"/>
    <w:rsid w:val="007F17F5"/>
    <w:rsid w:val="007F1E57"/>
    <w:rsid w:val="007F25D7"/>
    <w:rsid w:val="007F2868"/>
    <w:rsid w:val="007F3CA0"/>
    <w:rsid w:val="007F3CCE"/>
    <w:rsid w:val="007F4189"/>
    <w:rsid w:val="007F4AE4"/>
    <w:rsid w:val="007F504E"/>
    <w:rsid w:val="007F544C"/>
    <w:rsid w:val="007F5504"/>
    <w:rsid w:val="007F5AC1"/>
    <w:rsid w:val="007F5BDA"/>
    <w:rsid w:val="007F65B4"/>
    <w:rsid w:val="007F7420"/>
    <w:rsid w:val="008000C1"/>
    <w:rsid w:val="0080126A"/>
    <w:rsid w:val="00801AE2"/>
    <w:rsid w:val="00801AEF"/>
    <w:rsid w:val="00802648"/>
    <w:rsid w:val="0080293A"/>
    <w:rsid w:val="00803549"/>
    <w:rsid w:val="00803B8D"/>
    <w:rsid w:val="008044F4"/>
    <w:rsid w:val="00804989"/>
    <w:rsid w:val="0080522B"/>
    <w:rsid w:val="008053C8"/>
    <w:rsid w:val="0080629F"/>
    <w:rsid w:val="008062BC"/>
    <w:rsid w:val="0080634E"/>
    <w:rsid w:val="008065D5"/>
    <w:rsid w:val="00806A56"/>
    <w:rsid w:val="00806D33"/>
    <w:rsid w:val="00807736"/>
    <w:rsid w:val="00807BA5"/>
    <w:rsid w:val="00807E53"/>
    <w:rsid w:val="00807FAA"/>
    <w:rsid w:val="0081057E"/>
    <w:rsid w:val="00810AB1"/>
    <w:rsid w:val="008125EC"/>
    <w:rsid w:val="008128E8"/>
    <w:rsid w:val="008131D2"/>
    <w:rsid w:val="00813D43"/>
    <w:rsid w:val="00814522"/>
    <w:rsid w:val="00815546"/>
    <w:rsid w:val="0081670C"/>
    <w:rsid w:val="008167D8"/>
    <w:rsid w:val="00817208"/>
    <w:rsid w:val="00817921"/>
    <w:rsid w:val="00817BD5"/>
    <w:rsid w:val="0082129F"/>
    <w:rsid w:val="00821868"/>
    <w:rsid w:val="008223B4"/>
    <w:rsid w:val="00822501"/>
    <w:rsid w:val="00822903"/>
    <w:rsid w:val="00822D4A"/>
    <w:rsid w:val="00823A3F"/>
    <w:rsid w:val="00824247"/>
    <w:rsid w:val="00824A3D"/>
    <w:rsid w:val="008250E5"/>
    <w:rsid w:val="0082511D"/>
    <w:rsid w:val="00825261"/>
    <w:rsid w:val="008258E5"/>
    <w:rsid w:val="00827369"/>
    <w:rsid w:val="008302B0"/>
    <w:rsid w:val="00830402"/>
    <w:rsid w:val="00831635"/>
    <w:rsid w:val="0083227D"/>
    <w:rsid w:val="008325EB"/>
    <w:rsid w:val="00832C49"/>
    <w:rsid w:val="00834012"/>
    <w:rsid w:val="008343ED"/>
    <w:rsid w:val="00834AFF"/>
    <w:rsid w:val="00834D3F"/>
    <w:rsid w:val="00836AC7"/>
    <w:rsid w:val="00837BFC"/>
    <w:rsid w:val="0084094A"/>
    <w:rsid w:val="00840E36"/>
    <w:rsid w:val="008413F1"/>
    <w:rsid w:val="008414E5"/>
    <w:rsid w:val="008431F0"/>
    <w:rsid w:val="00843704"/>
    <w:rsid w:val="00843970"/>
    <w:rsid w:val="00844A57"/>
    <w:rsid w:val="00844E89"/>
    <w:rsid w:val="00845901"/>
    <w:rsid w:val="0084591B"/>
    <w:rsid w:val="00845BD7"/>
    <w:rsid w:val="008461C8"/>
    <w:rsid w:val="00846331"/>
    <w:rsid w:val="00850495"/>
    <w:rsid w:val="00850533"/>
    <w:rsid w:val="00851C53"/>
    <w:rsid w:val="00851F94"/>
    <w:rsid w:val="00852311"/>
    <w:rsid w:val="0085269E"/>
    <w:rsid w:val="00852C72"/>
    <w:rsid w:val="008537BE"/>
    <w:rsid w:val="00853EA7"/>
    <w:rsid w:val="00853EB8"/>
    <w:rsid w:val="00853EED"/>
    <w:rsid w:val="00854AF2"/>
    <w:rsid w:val="00854D3A"/>
    <w:rsid w:val="00855926"/>
    <w:rsid w:val="00856061"/>
    <w:rsid w:val="00856682"/>
    <w:rsid w:val="00860708"/>
    <w:rsid w:val="008607F7"/>
    <w:rsid w:val="00860D99"/>
    <w:rsid w:val="00860F80"/>
    <w:rsid w:val="0086167E"/>
    <w:rsid w:val="00861CBB"/>
    <w:rsid w:val="0086259F"/>
    <w:rsid w:val="0086294F"/>
    <w:rsid w:val="00862FF3"/>
    <w:rsid w:val="008636CD"/>
    <w:rsid w:val="008642BD"/>
    <w:rsid w:val="00864C28"/>
    <w:rsid w:val="00864EF3"/>
    <w:rsid w:val="0086566D"/>
    <w:rsid w:val="008661A9"/>
    <w:rsid w:val="0086656E"/>
    <w:rsid w:val="008671BE"/>
    <w:rsid w:val="008674E4"/>
    <w:rsid w:val="00867696"/>
    <w:rsid w:val="00870E09"/>
    <w:rsid w:val="00872248"/>
    <w:rsid w:val="00872656"/>
    <w:rsid w:val="00872D3B"/>
    <w:rsid w:val="00873077"/>
    <w:rsid w:val="00873096"/>
    <w:rsid w:val="00873EB4"/>
    <w:rsid w:val="00873FFB"/>
    <w:rsid w:val="0087502E"/>
    <w:rsid w:val="008761E6"/>
    <w:rsid w:val="008773B3"/>
    <w:rsid w:val="00877817"/>
    <w:rsid w:val="00877C41"/>
    <w:rsid w:val="0088016B"/>
    <w:rsid w:val="00880594"/>
    <w:rsid w:val="00880CB0"/>
    <w:rsid w:val="00881789"/>
    <w:rsid w:val="008817B8"/>
    <w:rsid w:val="008819B4"/>
    <w:rsid w:val="00881CA4"/>
    <w:rsid w:val="00882271"/>
    <w:rsid w:val="00882EFE"/>
    <w:rsid w:val="00882F12"/>
    <w:rsid w:val="008832E2"/>
    <w:rsid w:val="008840D9"/>
    <w:rsid w:val="00884623"/>
    <w:rsid w:val="00884948"/>
    <w:rsid w:val="00884977"/>
    <w:rsid w:val="00885C95"/>
    <w:rsid w:val="00887219"/>
    <w:rsid w:val="008910AD"/>
    <w:rsid w:val="00891855"/>
    <w:rsid w:val="0089186F"/>
    <w:rsid w:val="008919C1"/>
    <w:rsid w:val="00891D87"/>
    <w:rsid w:val="008922FD"/>
    <w:rsid w:val="0089242A"/>
    <w:rsid w:val="008929AF"/>
    <w:rsid w:val="0089322C"/>
    <w:rsid w:val="00894AE4"/>
    <w:rsid w:val="00895FA2"/>
    <w:rsid w:val="008964F6"/>
    <w:rsid w:val="008A111E"/>
    <w:rsid w:val="008A1CBF"/>
    <w:rsid w:val="008A1DD3"/>
    <w:rsid w:val="008A2A5B"/>
    <w:rsid w:val="008A2D20"/>
    <w:rsid w:val="008A3E10"/>
    <w:rsid w:val="008A4357"/>
    <w:rsid w:val="008A4AC6"/>
    <w:rsid w:val="008A509E"/>
    <w:rsid w:val="008A50CB"/>
    <w:rsid w:val="008A51D0"/>
    <w:rsid w:val="008A5383"/>
    <w:rsid w:val="008A5749"/>
    <w:rsid w:val="008A609F"/>
    <w:rsid w:val="008A702B"/>
    <w:rsid w:val="008A7C09"/>
    <w:rsid w:val="008B0335"/>
    <w:rsid w:val="008B05E4"/>
    <w:rsid w:val="008B0D2E"/>
    <w:rsid w:val="008B11A7"/>
    <w:rsid w:val="008B2ADE"/>
    <w:rsid w:val="008B35A0"/>
    <w:rsid w:val="008B386E"/>
    <w:rsid w:val="008B38AD"/>
    <w:rsid w:val="008B4796"/>
    <w:rsid w:val="008B4AF3"/>
    <w:rsid w:val="008B4B86"/>
    <w:rsid w:val="008B4CC1"/>
    <w:rsid w:val="008B564C"/>
    <w:rsid w:val="008B5AE4"/>
    <w:rsid w:val="008B62BB"/>
    <w:rsid w:val="008B70C9"/>
    <w:rsid w:val="008C183A"/>
    <w:rsid w:val="008C2488"/>
    <w:rsid w:val="008C2688"/>
    <w:rsid w:val="008C2D8F"/>
    <w:rsid w:val="008C36F4"/>
    <w:rsid w:val="008C375D"/>
    <w:rsid w:val="008C3795"/>
    <w:rsid w:val="008C4382"/>
    <w:rsid w:val="008C5E41"/>
    <w:rsid w:val="008C7236"/>
    <w:rsid w:val="008C7D6B"/>
    <w:rsid w:val="008D06A6"/>
    <w:rsid w:val="008D1291"/>
    <w:rsid w:val="008D2E4F"/>
    <w:rsid w:val="008D5822"/>
    <w:rsid w:val="008D6378"/>
    <w:rsid w:val="008D7379"/>
    <w:rsid w:val="008D73D3"/>
    <w:rsid w:val="008D7437"/>
    <w:rsid w:val="008D7B68"/>
    <w:rsid w:val="008E09E8"/>
    <w:rsid w:val="008E1237"/>
    <w:rsid w:val="008E2764"/>
    <w:rsid w:val="008E33C1"/>
    <w:rsid w:val="008E3860"/>
    <w:rsid w:val="008E6ED2"/>
    <w:rsid w:val="008E7138"/>
    <w:rsid w:val="008E7175"/>
    <w:rsid w:val="008E78D8"/>
    <w:rsid w:val="008E7C07"/>
    <w:rsid w:val="008F2031"/>
    <w:rsid w:val="008F2C74"/>
    <w:rsid w:val="008F2C84"/>
    <w:rsid w:val="008F367F"/>
    <w:rsid w:val="008F3897"/>
    <w:rsid w:val="008F38ED"/>
    <w:rsid w:val="008F5086"/>
    <w:rsid w:val="008F69E8"/>
    <w:rsid w:val="008F712C"/>
    <w:rsid w:val="008F7FC3"/>
    <w:rsid w:val="00900447"/>
    <w:rsid w:val="00901098"/>
    <w:rsid w:val="00901B6D"/>
    <w:rsid w:val="00901CB3"/>
    <w:rsid w:val="0090232E"/>
    <w:rsid w:val="00902E6F"/>
    <w:rsid w:val="00903746"/>
    <w:rsid w:val="00904AFB"/>
    <w:rsid w:val="009067BB"/>
    <w:rsid w:val="00907ECB"/>
    <w:rsid w:val="00910D8E"/>
    <w:rsid w:val="0091119D"/>
    <w:rsid w:val="0091140E"/>
    <w:rsid w:val="00911923"/>
    <w:rsid w:val="00912510"/>
    <w:rsid w:val="009127E6"/>
    <w:rsid w:val="00914440"/>
    <w:rsid w:val="00914ACF"/>
    <w:rsid w:val="009159DC"/>
    <w:rsid w:val="0091630E"/>
    <w:rsid w:val="0091673A"/>
    <w:rsid w:val="0091673C"/>
    <w:rsid w:val="00916CAD"/>
    <w:rsid w:val="009172AE"/>
    <w:rsid w:val="0091754D"/>
    <w:rsid w:val="00917C0B"/>
    <w:rsid w:val="009201A8"/>
    <w:rsid w:val="0092025A"/>
    <w:rsid w:val="0092057E"/>
    <w:rsid w:val="009205C1"/>
    <w:rsid w:val="00920B95"/>
    <w:rsid w:val="009218F0"/>
    <w:rsid w:val="009219E9"/>
    <w:rsid w:val="00921A0A"/>
    <w:rsid w:val="00921FFA"/>
    <w:rsid w:val="00922397"/>
    <w:rsid w:val="0092248E"/>
    <w:rsid w:val="00922A92"/>
    <w:rsid w:val="009230FC"/>
    <w:rsid w:val="00923D8E"/>
    <w:rsid w:val="00923EC5"/>
    <w:rsid w:val="00923FF1"/>
    <w:rsid w:val="0092497E"/>
    <w:rsid w:val="009249A9"/>
    <w:rsid w:val="00924A00"/>
    <w:rsid w:val="00924B0C"/>
    <w:rsid w:val="009267C8"/>
    <w:rsid w:val="00926DDD"/>
    <w:rsid w:val="0092704A"/>
    <w:rsid w:val="009279D1"/>
    <w:rsid w:val="009302CF"/>
    <w:rsid w:val="00930695"/>
    <w:rsid w:val="00930F0B"/>
    <w:rsid w:val="00930F49"/>
    <w:rsid w:val="0093124C"/>
    <w:rsid w:val="0093127E"/>
    <w:rsid w:val="00931722"/>
    <w:rsid w:val="009320F1"/>
    <w:rsid w:val="00932962"/>
    <w:rsid w:val="00933A2D"/>
    <w:rsid w:val="00933D38"/>
    <w:rsid w:val="00934009"/>
    <w:rsid w:val="009345EF"/>
    <w:rsid w:val="0093482E"/>
    <w:rsid w:val="00935B59"/>
    <w:rsid w:val="00936700"/>
    <w:rsid w:val="009376BD"/>
    <w:rsid w:val="009376CF"/>
    <w:rsid w:val="00937B40"/>
    <w:rsid w:val="00937C95"/>
    <w:rsid w:val="00940431"/>
    <w:rsid w:val="009423F9"/>
    <w:rsid w:val="0094246F"/>
    <w:rsid w:val="0094296A"/>
    <w:rsid w:val="009431E4"/>
    <w:rsid w:val="00943243"/>
    <w:rsid w:val="009437A3"/>
    <w:rsid w:val="009437C5"/>
    <w:rsid w:val="00943EE3"/>
    <w:rsid w:val="00944ADF"/>
    <w:rsid w:val="00946713"/>
    <w:rsid w:val="0094731D"/>
    <w:rsid w:val="00951490"/>
    <w:rsid w:val="00952F90"/>
    <w:rsid w:val="0095301B"/>
    <w:rsid w:val="00953DC4"/>
    <w:rsid w:val="00953F45"/>
    <w:rsid w:val="009545B9"/>
    <w:rsid w:val="00954D7E"/>
    <w:rsid w:val="009550FB"/>
    <w:rsid w:val="0095656F"/>
    <w:rsid w:val="0095698B"/>
    <w:rsid w:val="009570CA"/>
    <w:rsid w:val="0096045D"/>
    <w:rsid w:val="009605A2"/>
    <w:rsid w:val="009607A3"/>
    <w:rsid w:val="009611BB"/>
    <w:rsid w:val="0096302E"/>
    <w:rsid w:val="00963B8C"/>
    <w:rsid w:val="00964114"/>
    <w:rsid w:val="00965E04"/>
    <w:rsid w:val="009660F1"/>
    <w:rsid w:val="0096650F"/>
    <w:rsid w:val="00966C51"/>
    <w:rsid w:val="00967CD4"/>
    <w:rsid w:val="00967D31"/>
    <w:rsid w:val="00970E97"/>
    <w:rsid w:val="00970F3A"/>
    <w:rsid w:val="00971F27"/>
    <w:rsid w:val="00971F68"/>
    <w:rsid w:val="009726B0"/>
    <w:rsid w:val="009726ED"/>
    <w:rsid w:val="00973919"/>
    <w:rsid w:val="009739E6"/>
    <w:rsid w:val="00973F29"/>
    <w:rsid w:val="00973F64"/>
    <w:rsid w:val="0097494D"/>
    <w:rsid w:val="00975B4C"/>
    <w:rsid w:val="00975FB5"/>
    <w:rsid w:val="00976106"/>
    <w:rsid w:val="0097686D"/>
    <w:rsid w:val="0097794E"/>
    <w:rsid w:val="00980775"/>
    <w:rsid w:val="00981841"/>
    <w:rsid w:val="00982EB6"/>
    <w:rsid w:val="00982FA5"/>
    <w:rsid w:val="0098329A"/>
    <w:rsid w:val="00985721"/>
    <w:rsid w:val="0098637C"/>
    <w:rsid w:val="0099013F"/>
    <w:rsid w:val="009901CC"/>
    <w:rsid w:val="00990A7F"/>
    <w:rsid w:val="009910ED"/>
    <w:rsid w:val="00991318"/>
    <w:rsid w:val="009913F6"/>
    <w:rsid w:val="00991C48"/>
    <w:rsid w:val="0099210D"/>
    <w:rsid w:val="009921B9"/>
    <w:rsid w:val="00992255"/>
    <w:rsid w:val="009926D0"/>
    <w:rsid w:val="00992AA5"/>
    <w:rsid w:val="009932BC"/>
    <w:rsid w:val="009943A0"/>
    <w:rsid w:val="0099440B"/>
    <w:rsid w:val="009947CC"/>
    <w:rsid w:val="0099488A"/>
    <w:rsid w:val="00994A84"/>
    <w:rsid w:val="00995271"/>
    <w:rsid w:val="00995B8F"/>
    <w:rsid w:val="00995F67"/>
    <w:rsid w:val="0099610F"/>
    <w:rsid w:val="00997473"/>
    <w:rsid w:val="00997503"/>
    <w:rsid w:val="009A0AFE"/>
    <w:rsid w:val="009A1B23"/>
    <w:rsid w:val="009A23E4"/>
    <w:rsid w:val="009A2924"/>
    <w:rsid w:val="009A2EFA"/>
    <w:rsid w:val="009A36B9"/>
    <w:rsid w:val="009A40C4"/>
    <w:rsid w:val="009A431E"/>
    <w:rsid w:val="009A4DF6"/>
    <w:rsid w:val="009A56F1"/>
    <w:rsid w:val="009A5968"/>
    <w:rsid w:val="009A5DB4"/>
    <w:rsid w:val="009A5F54"/>
    <w:rsid w:val="009A6D1B"/>
    <w:rsid w:val="009B0E0D"/>
    <w:rsid w:val="009B0FB7"/>
    <w:rsid w:val="009B22E9"/>
    <w:rsid w:val="009B281A"/>
    <w:rsid w:val="009B3A6B"/>
    <w:rsid w:val="009B53AB"/>
    <w:rsid w:val="009B5630"/>
    <w:rsid w:val="009B5DBB"/>
    <w:rsid w:val="009B5F4F"/>
    <w:rsid w:val="009B628F"/>
    <w:rsid w:val="009B6519"/>
    <w:rsid w:val="009B6A24"/>
    <w:rsid w:val="009B7ED8"/>
    <w:rsid w:val="009B7FCE"/>
    <w:rsid w:val="009C0867"/>
    <w:rsid w:val="009C0B1C"/>
    <w:rsid w:val="009C0BCC"/>
    <w:rsid w:val="009C0D24"/>
    <w:rsid w:val="009C1108"/>
    <w:rsid w:val="009C1C1B"/>
    <w:rsid w:val="009C1D39"/>
    <w:rsid w:val="009C2986"/>
    <w:rsid w:val="009C2AD7"/>
    <w:rsid w:val="009C456F"/>
    <w:rsid w:val="009C45F8"/>
    <w:rsid w:val="009C5093"/>
    <w:rsid w:val="009C5352"/>
    <w:rsid w:val="009C546D"/>
    <w:rsid w:val="009C5993"/>
    <w:rsid w:val="009C7159"/>
    <w:rsid w:val="009D00CD"/>
    <w:rsid w:val="009D02B5"/>
    <w:rsid w:val="009D0B19"/>
    <w:rsid w:val="009D0E1F"/>
    <w:rsid w:val="009D1A96"/>
    <w:rsid w:val="009D1F03"/>
    <w:rsid w:val="009D231B"/>
    <w:rsid w:val="009D2591"/>
    <w:rsid w:val="009D2D10"/>
    <w:rsid w:val="009D34CA"/>
    <w:rsid w:val="009D42ED"/>
    <w:rsid w:val="009D5169"/>
    <w:rsid w:val="009D5454"/>
    <w:rsid w:val="009D5FDB"/>
    <w:rsid w:val="009D6309"/>
    <w:rsid w:val="009D7103"/>
    <w:rsid w:val="009E0E46"/>
    <w:rsid w:val="009E1732"/>
    <w:rsid w:val="009E2359"/>
    <w:rsid w:val="009E258E"/>
    <w:rsid w:val="009E29A3"/>
    <w:rsid w:val="009E300B"/>
    <w:rsid w:val="009E3403"/>
    <w:rsid w:val="009E3674"/>
    <w:rsid w:val="009E42F8"/>
    <w:rsid w:val="009E5915"/>
    <w:rsid w:val="009E5DC4"/>
    <w:rsid w:val="009E72F5"/>
    <w:rsid w:val="009E7AEC"/>
    <w:rsid w:val="009F07A0"/>
    <w:rsid w:val="009F0F49"/>
    <w:rsid w:val="009F128B"/>
    <w:rsid w:val="009F1418"/>
    <w:rsid w:val="009F142B"/>
    <w:rsid w:val="009F1A23"/>
    <w:rsid w:val="009F2139"/>
    <w:rsid w:val="009F2708"/>
    <w:rsid w:val="009F28E1"/>
    <w:rsid w:val="009F4E31"/>
    <w:rsid w:val="009F5488"/>
    <w:rsid w:val="009F5A83"/>
    <w:rsid w:val="009F5D27"/>
    <w:rsid w:val="009F6481"/>
    <w:rsid w:val="009F698E"/>
    <w:rsid w:val="009F6CC7"/>
    <w:rsid w:val="009F7657"/>
    <w:rsid w:val="00A001B5"/>
    <w:rsid w:val="00A00394"/>
    <w:rsid w:val="00A01917"/>
    <w:rsid w:val="00A0194F"/>
    <w:rsid w:val="00A01A9F"/>
    <w:rsid w:val="00A0218A"/>
    <w:rsid w:val="00A033BE"/>
    <w:rsid w:val="00A03522"/>
    <w:rsid w:val="00A03A1C"/>
    <w:rsid w:val="00A05856"/>
    <w:rsid w:val="00A05992"/>
    <w:rsid w:val="00A06394"/>
    <w:rsid w:val="00A073DB"/>
    <w:rsid w:val="00A07E27"/>
    <w:rsid w:val="00A10421"/>
    <w:rsid w:val="00A10FBA"/>
    <w:rsid w:val="00A11194"/>
    <w:rsid w:val="00A11874"/>
    <w:rsid w:val="00A118AC"/>
    <w:rsid w:val="00A127AF"/>
    <w:rsid w:val="00A147C0"/>
    <w:rsid w:val="00A14CBA"/>
    <w:rsid w:val="00A14FAB"/>
    <w:rsid w:val="00A15CC0"/>
    <w:rsid w:val="00A15D2E"/>
    <w:rsid w:val="00A15E08"/>
    <w:rsid w:val="00A16F87"/>
    <w:rsid w:val="00A176F0"/>
    <w:rsid w:val="00A17708"/>
    <w:rsid w:val="00A17B8C"/>
    <w:rsid w:val="00A206C8"/>
    <w:rsid w:val="00A208C7"/>
    <w:rsid w:val="00A20A8E"/>
    <w:rsid w:val="00A20DAB"/>
    <w:rsid w:val="00A21599"/>
    <w:rsid w:val="00A21F6D"/>
    <w:rsid w:val="00A22058"/>
    <w:rsid w:val="00A2296A"/>
    <w:rsid w:val="00A22B84"/>
    <w:rsid w:val="00A22BF2"/>
    <w:rsid w:val="00A22C78"/>
    <w:rsid w:val="00A232ED"/>
    <w:rsid w:val="00A23974"/>
    <w:rsid w:val="00A23A27"/>
    <w:rsid w:val="00A23CDB"/>
    <w:rsid w:val="00A256FE"/>
    <w:rsid w:val="00A25A89"/>
    <w:rsid w:val="00A25AB7"/>
    <w:rsid w:val="00A2640B"/>
    <w:rsid w:val="00A2690E"/>
    <w:rsid w:val="00A279DD"/>
    <w:rsid w:val="00A27AA2"/>
    <w:rsid w:val="00A30217"/>
    <w:rsid w:val="00A30323"/>
    <w:rsid w:val="00A307B8"/>
    <w:rsid w:val="00A31D57"/>
    <w:rsid w:val="00A320C6"/>
    <w:rsid w:val="00A32E60"/>
    <w:rsid w:val="00A33149"/>
    <w:rsid w:val="00A33986"/>
    <w:rsid w:val="00A33DB9"/>
    <w:rsid w:val="00A34012"/>
    <w:rsid w:val="00A34336"/>
    <w:rsid w:val="00A343ED"/>
    <w:rsid w:val="00A345CF"/>
    <w:rsid w:val="00A34640"/>
    <w:rsid w:val="00A34716"/>
    <w:rsid w:val="00A34F7C"/>
    <w:rsid w:val="00A37337"/>
    <w:rsid w:val="00A37AB3"/>
    <w:rsid w:val="00A41514"/>
    <w:rsid w:val="00A41DBF"/>
    <w:rsid w:val="00A42DD3"/>
    <w:rsid w:val="00A43C2A"/>
    <w:rsid w:val="00A4412A"/>
    <w:rsid w:val="00A44DA5"/>
    <w:rsid w:val="00A45FD1"/>
    <w:rsid w:val="00A4715D"/>
    <w:rsid w:val="00A47802"/>
    <w:rsid w:val="00A518AF"/>
    <w:rsid w:val="00A54A91"/>
    <w:rsid w:val="00A55150"/>
    <w:rsid w:val="00A556F3"/>
    <w:rsid w:val="00A55AA1"/>
    <w:rsid w:val="00A56023"/>
    <w:rsid w:val="00A56061"/>
    <w:rsid w:val="00A56621"/>
    <w:rsid w:val="00A56672"/>
    <w:rsid w:val="00A56F98"/>
    <w:rsid w:val="00A57DDC"/>
    <w:rsid w:val="00A609A9"/>
    <w:rsid w:val="00A60BC1"/>
    <w:rsid w:val="00A60BE1"/>
    <w:rsid w:val="00A61892"/>
    <w:rsid w:val="00A62198"/>
    <w:rsid w:val="00A62562"/>
    <w:rsid w:val="00A62767"/>
    <w:rsid w:val="00A63120"/>
    <w:rsid w:val="00A63D32"/>
    <w:rsid w:val="00A63EEC"/>
    <w:rsid w:val="00A63F4B"/>
    <w:rsid w:val="00A64D62"/>
    <w:rsid w:val="00A64FD9"/>
    <w:rsid w:val="00A67379"/>
    <w:rsid w:val="00A67CE6"/>
    <w:rsid w:val="00A70837"/>
    <w:rsid w:val="00A70FDE"/>
    <w:rsid w:val="00A71CE5"/>
    <w:rsid w:val="00A71F91"/>
    <w:rsid w:val="00A7212E"/>
    <w:rsid w:val="00A728C6"/>
    <w:rsid w:val="00A733BD"/>
    <w:rsid w:val="00A73F03"/>
    <w:rsid w:val="00A7677D"/>
    <w:rsid w:val="00A775BC"/>
    <w:rsid w:val="00A77A9D"/>
    <w:rsid w:val="00A815C7"/>
    <w:rsid w:val="00A81E37"/>
    <w:rsid w:val="00A82D52"/>
    <w:rsid w:val="00A8302D"/>
    <w:rsid w:val="00A831EE"/>
    <w:rsid w:val="00A84CDC"/>
    <w:rsid w:val="00A85418"/>
    <w:rsid w:val="00A85723"/>
    <w:rsid w:val="00A85C96"/>
    <w:rsid w:val="00A861DF"/>
    <w:rsid w:val="00A86310"/>
    <w:rsid w:val="00A864D3"/>
    <w:rsid w:val="00A8655D"/>
    <w:rsid w:val="00A874C6"/>
    <w:rsid w:val="00A91010"/>
    <w:rsid w:val="00A9207A"/>
    <w:rsid w:val="00A931AC"/>
    <w:rsid w:val="00A9397A"/>
    <w:rsid w:val="00A93C50"/>
    <w:rsid w:val="00A93D69"/>
    <w:rsid w:val="00A93DDA"/>
    <w:rsid w:val="00A943D8"/>
    <w:rsid w:val="00A95ADC"/>
    <w:rsid w:val="00A95E53"/>
    <w:rsid w:val="00A961D9"/>
    <w:rsid w:val="00A96569"/>
    <w:rsid w:val="00A96689"/>
    <w:rsid w:val="00AA0707"/>
    <w:rsid w:val="00AA10BB"/>
    <w:rsid w:val="00AA188D"/>
    <w:rsid w:val="00AA23E9"/>
    <w:rsid w:val="00AA2705"/>
    <w:rsid w:val="00AA45D8"/>
    <w:rsid w:val="00AA4665"/>
    <w:rsid w:val="00AA4F81"/>
    <w:rsid w:val="00AA6AD4"/>
    <w:rsid w:val="00AA7004"/>
    <w:rsid w:val="00AB00CC"/>
    <w:rsid w:val="00AB0A8B"/>
    <w:rsid w:val="00AB0D39"/>
    <w:rsid w:val="00AB0E37"/>
    <w:rsid w:val="00AB1322"/>
    <w:rsid w:val="00AB1825"/>
    <w:rsid w:val="00AB1A16"/>
    <w:rsid w:val="00AB21BF"/>
    <w:rsid w:val="00AB28D9"/>
    <w:rsid w:val="00AB3023"/>
    <w:rsid w:val="00AB3DFE"/>
    <w:rsid w:val="00AB4030"/>
    <w:rsid w:val="00AB47A2"/>
    <w:rsid w:val="00AB4B84"/>
    <w:rsid w:val="00AB5B32"/>
    <w:rsid w:val="00AB651C"/>
    <w:rsid w:val="00AB6A98"/>
    <w:rsid w:val="00AB73F4"/>
    <w:rsid w:val="00AB79B8"/>
    <w:rsid w:val="00AB7C8A"/>
    <w:rsid w:val="00AC14C5"/>
    <w:rsid w:val="00AC1567"/>
    <w:rsid w:val="00AC1717"/>
    <w:rsid w:val="00AC183D"/>
    <w:rsid w:val="00AC241B"/>
    <w:rsid w:val="00AC346B"/>
    <w:rsid w:val="00AC4CC8"/>
    <w:rsid w:val="00AC513E"/>
    <w:rsid w:val="00AC5275"/>
    <w:rsid w:val="00AC554D"/>
    <w:rsid w:val="00AC5C9E"/>
    <w:rsid w:val="00AC698B"/>
    <w:rsid w:val="00AC6ED2"/>
    <w:rsid w:val="00AC7D1A"/>
    <w:rsid w:val="00AD0555"/>
    <w:rsid w:val="00AD0711"/>
    <w:rsid w:val="00AD188F"/>
    <w:rsid w:val="00AD2B36"/>
    <w:rsid w:val="00AD34E5"/>
    <w:rsid w:val="00AD3AAA"/>
    <w:rsid w:val="00AD3E02"/>
    <w:rsid w:val="00AD4551"/>
    <w:rsid w:val="00AD45DE"/>
    <w:rsid w:val="00AD692A"/>
    <w:rsid w:val="00AE136D"/>
    <w:rsid w:val="00AE175A"/>
    <w:rsid w:val="00AE18F3"/>
    <w:rsid w:val="00AE200E"/>
    <w:rsid w:val="00AE20F4"/>
    <w:rsid w:val="00AE302A"/>
    <w:rsid w:val="00AE3ABD"/>
    <w:rsid w:val="00AE4955"/>
    <w:rsid w:val="00AE49F8"/>
    <w:rsid w:val="00AE5176"/>
    <w:rsid w:val="00AE55B9"/>
    <w:rsid w:val="00AE5F7C"/>
    <w:rsid w:val="00AE70F5"/>
    <w:rsid w:val="00AE7BF8"/>
    <w:rsid w:val="00AF0895"/>
    <w:rsid w:val="00AF096B"/>
    <w:rsid w:val="00AF0BD0"/>
    <w:rsid w:val="00AF201C"/>
    <w:rsid w:val="00AF4DD0"/>
    <w:rsid w:val="00AF57D7"/>
    <w:rsid w:val="00AF61C4"/>
    <w:rsid w:val="00AF638F"/>
    <w:rsid w:val="00AF7D58"/>
    <w:rsid w:val="00B00C05"/>
    <w:rsid w:val="00B00C72"/>
    <w:rsid w:val="00B01334"/>
    <w:rsid w:val="00B014E5"/>
    <w:rsid w:val="00B01F40"/>
    <w:rsid w:val="00B03A80"/>
    <w:rsid w:val="00B03E94"/>
    <w:rsid w:val="00B040E6"/>
    <w:rsid w:val="00B04A46"/>
    <w:rsid w:val="00B057E9"/>
    <w:rsid w:val="00B05DE1"/>
    <w:rsid w:val="00B05FAF"/>
    <w:rsid w:val="00B063AF"/>
    <w:rsid w:val="00B06C36"/>
    <w:rsid w:val="00B07E22"/>
    <w:rsid w:val="00B1003A"/>
    <w:rsid w:val="00B108B8"/>
    <w:rsid w:val="00B11E70"/>
    <w:rsid w:val="00B13772"/>
    <w:rsid w:val="00B13A2E"/>
    <w:rsid w:val="00B13C39"/>
    <w:rsid w:val="00B13EB4"/>
    <w:rsid w:val="00B1498D"/>
    <w:rsid w:val="00B15141"/>
    <w:rsid w:val="00B15494"/>
    <w:rsid w:val="00B162DC"/>
    <w:rsid w:val="00B1668F"/>
    <w:rsid w:val="00B167CD"/>
    <w:rsid w:val="00B1732F"/>
    <w:rsid w:val="00B1757F"/>
    <w:rsid w:val="00B177CD"/>
    <w:rsid w:val="00B17A00"/>
    <w:rsid w:val="00B20B74"/>
    <w:rsid w:val="00B212F7"/>
    <w:rsid w:val="00B22597"/>
    <w:rsid w:val="00B22F70"/>
    <w:rsid w:val="00B2345F"/>
    <w:rsid w:val="00B23A49"/>
    <w:rsid w:val="00B23E34"/>
    <w:rsid w:val="00B24384"/>
    <w:rsid w:val="00B2637B"/>
    <w:rsid w:val="00B271B8"/>
    <w:rsid w:val="00B27D49"/>
    <w:rsid w:val="00B3000F"/>
    <w:rsid w:val="00B3144B"/>
    <w:rsid w:val="00B31471"/>
    <w:rsid w:val="00B319C6"/>
    <w:rsid w:val="00B31BB3"/>
    <w:rsid w:val="00B32183"/>
    <w:rsid w:val="00B325AF"/>
    <w:rsid w:val="00B33C9B"/>
    <w:rsid w:val="00B34786"/>
    <w:rsid w:val="00B358C2"/>
    <w:rsid w:val="00B35BA6"/>
    <w:rsid w:val="00B35C36"/>
    <w:rsid w:val="00B35C8D"/>
    <w:rsid w:val="00B35EFA"/>
    <w:rsid w:val="00B36060"/>
    <w:rsid w:val="00B40AF8"/>
    <w:rsid w:val="00B40F8D"/>
    <w:rsid w:val="00B41567"/>
    <w:rsid w:val="00B4184A"/>
    <w:rsid w:val="00B41F03"/>
    <w:rsid w:val="00B4388A"/>
    <w:rsid w:val="00B44D2E"/>
    <w:rsid w:val="00B4511A"/>
    <w:rsid w:val="00B45703"/>
    <w:rsid w:val="00B4575D"/>
    <w:rsid w:val="00B46182"/>
    <w:rsid w:val="00B464E9"/>
    <w:rsid w:val="00B46B82"/>
    <w:rsid w:val="00B46FB8"/>
    <w:rsid w:val="00B46FE9"/>
    <w:rsid w:val="00B47057"/>
    <w:rsid w:val="00B474BB"/>
    <w:rsid w:val="00B47B74"/>
    <w:rsid w:val="00B47BA2"/>
    <w:rsid w:val="00B47F53"/>
    <w:rsid w:val="00B502E7"/>
    <w:rsid w:val="00B505A1"/>
    <w:rsid w:val="00B50700"/>
    <w:rsid w:val="00B5088A"/>
    <w:rsid w:val="00B50A55"/>
    <w:rsid w:val="00B50A67"/>
    <w:rsid w:val="00B50B36"/>
    <w:rsid w:val="00B50D96"/>
    <w:rsid w:val="00B50FB2"/>
    <w:rsid w:val="00B5120B"/>
    <w:rsid w:val="00B519B4"/>
    <w:rsid w:val="00B52ACB"/>
    <w:rsid w:val="00B530C6"/>
    <w:rsid w:val="00B53D8F"/>
    <w:rsid w:val="00B543B8"/>
    <w:rsid w:val="00B54A80"/>
    <w:rsid w:val="00B55F28"/>
    <w:rsid w:val="00B56696"/>
    <w:rsid w:val="00B567BB"/>
    <w:rsid w:val="00B5690A"/>
    <w:rsid w:val="00B56A14"/>
    <w:rsid w:val="00B56B7A"/>
    <w:rsid w:val="00B60B90"/>
    <w:rsid w:val="00B60DB4"/>
    <w:rsid w:val="00B61D5E"/>
    <w:rsid w:val="00B61D9D"/>
    <w:rsid w:val="00B62282"/>
    <w:rsid w:val="00B6236B"/>
    <w:rsid w:val="00B62E24"/>
    <w:rsid w:val="00B62F6C"/>
    <w:rsid w:val="00B63181"/>
    <w:rsid w:val="00B636DD"/>
    <w:rsid w:val="00B6547B"/>
    <w:rsid w:val="00B656C2"/>
    <w:rsid w:val="00B661CA"/>
    <w:rsid w:val="00B66E27"/>
    <w:rsid w:val="00B70027"/>
    <w:rsid w:val="00B70ECD"/>
    <w:rsid w:val="00B711E1"/>
    <w:rsid w:val="00B731A3"/>
    <w:rsid w:val="00B733F2"/>
    <w:rsid w:val="00B73F3A"/>
    <w:rsid w:val="00B74376"/>
    <w:rsid w:val="00B748BE"/>
    <w:rsid w:val="00B74931"/>
    <w:rsid w:val="00B760E4"/>
    <w:rsid w:val="00B761AD"/>
    <w:rsid w:val="00B767B9"/>
    <w:rsid w:val="00B77023"/>
    <w:rsid w:val="00B774E0"/>
    <w:rsid w:val="00B777BA"/>
    <w:rsid w:val="00B77AA4"/>
    <w:rsid w:val="00B803DE"/>
    <w:rsid w:val="00B82577"/>
    <w:rsid w:val="00B82AEC"/>
    <w:rsid w:val="00B82B6A"/>
    <w:rsid w:val="00B82FA8"/>
    <w:rsid w:val="00B83584"/>
    <w:rsid w:val="00B83E79"/>
    <w:rsid w:val="00B84358"/>
    <w:rsid w:val="00B84534"/>
    <w:rsid w:val="00B8505F"/>
    <w:rsid w:val="00B855B3"/>
    <w:rsid w:val="00B85C6B"/>
    <w:rsid w:val="00B8707E"/>
    <w:rsid w:val="00B8741B"/>
    <w:rsid w:val="00B90759"/>
    <w:rsid w:val="00B90F3F"/>
    <w:rsid w:val="00B91B4C"/>
    <w:rsid w:val="00B920BD"/>
    <w:rsid w:val="00B930EB"/>
    <w:rsid w:val="00B93223"/>
    <w:rsid w:val="00B93A79"/>
    <w:rsid w:val="00B93ABF"/>
    <w:rsid w:val="00B93E1F"/>
    <w:rsid w:val="00B944C7"/>
    <w:rsid w:val="00B94C8C"/>
    <w:rsid w:val="00B94E36"/>
    <w:rsid w:val="00B94E73"/>
    <w:rsid w:val="00B94EAC"/>
    <w:rsid w:val="00B953E0"/>
    <w:rsid w:val="00B96C51"/>
    <w:rsid w:val="00B96C78"/>
    <w:rsid w:val="00B96F33"/>
    <w:rsid w:val="00B9730F"/>
    <w:rsid w:val="00B97392"/>
    <w:rsid w:val="00B97A1C"/>
    <w:rsid w:val="00B97AF1"/>
    <w:rsid w:val="00B97D24"/>
    <w:rsid w:val="00BA02DB"/>
    <w:rsid w:val="00BA0DBB"/>
    <w:rsid w:val="00BA103D"/>
    <w:rsid w:val="00BA1501"/>
    <w:rsid w:val="00BA1670"/>
    <w:rsid w:val="00BA16E0"/>
    <w:rsid w:val="00BA1D35"/>
    <w:rsid w:val="00BA2215"/>
    <w:rsid w:val="00BA24CB"/>
    <w:rsid w:val="00BA253D"/>
    <w:rsid w:val="00BA2548"/>
    <w:rsid w:val="00BA27E9"/>
    <w:rsid w:val="00BA290E"/>
    <w:rsid w:val="00BA2B1A"/>
    <w:rsid w:val="00BA3329"/>
    <w:rsid w:val="00BA3435"/>
    <w:rsid w:val="00BA3868"/>
    <w:rsid w:val="00BA397C"/>
    <w:rsid w:val="00BA58AD"/>
    <w:rsid w:val="00BA7315"/>
    <w:rsid w:val="00BA7494"/>
    <w:rsid w:val="00BA7745"/>
    <w:rsid w:val="00BA7B96"/>
    <w:rsid w:val="00BB1412"/>
    <w:rsid w:val="00BB1DB8"/>
    <w:rsid w:val="00BB24FF"/>
    <w:rsid w:val="00BB2B4C"/>
    <w:rsid w:val="00BB33FF"/>
    <w:rsid w:val="00BB347E"/>
    <w:rsid w:val="00BB3843"/>
    <w:rsid w:val="00BB3BC3"/>
    <w:rsid w:val="00BB3D1B"/>
    <w:rsid w:val="00BB5393"/>
    <w:rsid w:val="00BB5D37"/>
    <w:rsid w:val="00BB61DE"/>
    <w:rsid w:val="00BB6468"/>
    <w:rsid w:val="00BB667D"/>
    <w:rsid w:val="00BB672B"/>
    <w:rsid w:val="00BB6A70"/>
    <w:rsid w:val="00BB7189"/>
    <w:rsid w:val="00BB7295"/>
    <w:rsid w:val="00BB73D2"/>
    <w:rsid w:val="00BC0C22"/>
    <w:rsid w:val="00BC150A"/>
    <w:rsid w:val="00BC1802"/>
    <w:rsid w:val="00BC1953"/>
    <w:rsid w:val="00BC2A32"/>
    <w:rsid w:val="00BC2C25"/>
    <w:rsid w:val="00BC2C7E"/>
    <w:rsid w:val="00BC388E"/>
    <w:rsid w:val="00BC4A83"/>
    <w:rsid w:val="00BC5363"/>
    <w:rsid w:val="00BC541C"/>
    <w:rsid w:val="00BC5A05"/>
    <w:rsid w:val="00BC5CD0"/>
    <w:rsid w:val="00BC6502"/>
    <w:rsid w:val="00BC67D8"/>
    <w:rsid w:val="00BC6D6A"/>
    <w:rsid w:val="00BC6D9D"/>
    <w:rsid w:val="00BD0DAD"/>
    <w:rsid w:val="00BD1100"/>
    <w:rsid w:val="00BD1477"/>
    <w:rsid w:val="00BD1909"/>
    <w:rsid w:val="00BD1F5E"/>
    <w:rsid w:val="00BD2E03"/>
    <w:rsid w:val="00BD3570"/>
    <w:rsid w:val="00BD3626"/>
    <w:rsid w:val="00BD3B35"/>
    <w:rsid w:val="00BD508F"/>
    <w:rsid w:val="00BD6CDE"/>
    <w:rsid w:val="00BD795E"/>
    <w:rsid w:val="00BE2436"/>
    <w:rsid w:val="00BE3307"/>
    <w:rsid w:val="00BE3E97"/>
    <w:rsid w:val="00BE41C9"/>
    <w:rsid w:val="00BE46F1"/>
    <w:rsid w:val="00BE4A86"/>
    <w:rsid w:val="00BE4D33"/>
    <w:rsid w:val="00BE54D8"/>
    <w:rsid w:val="00BE56DD"/>
    <w:rsid w:val="00BE5D0E"/>
    <w:rsid w:val="00BE63D2"/>
    <w:rsid w:val="00BE6B04"/>
    <w:rsid w:val="00BF0032"/>
    <w:rsid w:val="00BF02C7"/>
    <w:rsid w:val="00BF04F4"/>
    <w:rsid w:val="00BF089C"/>
    <w:rsid w:val="00BF0EFC"/>
    <w:rsid w:val="00BF1378"/>
    <w:rsid w:val="00BF158F"/>
    <w:rsid w:val="00BF274B"/>
    <w:rsid w:val="00BF2D3F"/>
    <w:rsid w:val="00BF3822"/>
    <w:rsid w:val="00BF3DC7"/>
    <w:rsid w:val="00BF418D"/>
    <w:rsid w:val="00BF4ABE"/>
    <w:rsid w:val="00BF503B"/>
    <w:rsid w:val="00BF56A2"/>
    <w:rsid w:val="00BF5FE0"/>
    <w:rsid w:val="00BF6639"/>
    <w:rsid w:val="00BF6B9A"/>
    <w:rsid w:val="00C008D4"/>
    <w:rsid w:val="00C00F8E"/>
    <w:rsid w:val="00C01280"/>
    <w:rsid w:val="00C0144D"/>
    <w:rsid w:val="00C0177C"/>
    <w:rsid w:val="00C018F0"/>
    <w:rsid w:val="00C02CFB"/>
    <w:rsid w:val="00C0463E"/>
    <w:rsid w:val="00C04FE8"/>
    <w:rsid w:val="00C052E5"/>
    <w:rsid w:val="00C05DDD"/>
    <w:rsid w:val="00C06B45"/>
    <w:rsid w:val="00C06D65"/>
    <w:rsid w:val="00C070E9"/>
    <w:rsid w:val="00C07ACB"/>
    <w:rsid w:val="00C10838"/>
    <w:rsid w:val="00C10B73"/>
    <w:rsid w:val="00C114A2"/>
    <w:rsid w:val="00C11AA3"/>
    <w:rsid w:val="00C11E52"/>
    <w:rsid w:val="00C12288"/>
    <w:rsid w:val="00C126FB"/>
    <w:rsid w:val="00C1280E"/>
    <w:rsid w:val="00C13145"/>
    <w:rsid w:val="00C133AE"/>
    <w:rsid w:val="00C13FA4"/>
    <w:rsid w:val="00C14BD4"/>
    <w:rsid w:val="00C14FEF"/>
    <w:rsid w:val="00C151FB"/>
    <w:rsid w:val="00C1789C"/>
    <w:rsid w:val="00C2013B"/>
    <w:rsid w:val="00C202A1"/>
    <w:rsid w:val="00C20502"/>
    <w:rsid w:val="00C20D98"/>
    <w:rsid w:val="00C222A4"/>
    <w:rsid w:val="00C23929"/>
    <w:rsid w:val="00C27015"/>
    <w:rsid w:val="00C2738F"/>
    <w:rsid w:val="00C30C55"/>
    <w:rsid w:val="00C31278"/>
    <w:rsid w:val="00C31845"/>
    <w:rsid w:val="00C326A6"/>
    <w:rsid w:val="00C32A63"/>
    <w:rsid w:val="00C3321E"/>
    <w:rsid w:val="00C335F7"/>
    <w:rsid w:val="00C3368E"/>
    <w:rsid w:val="00C33CA9"/>
    <w:rsid w:val="00C347D6"/>
    <w:rsid w:val="00C36D13"/>
    <w:rsid w:val="00C4017E"/>
    <w:rsid w:val="00C401FE"/>
    <w:rsid w:val="00C40B99"/>
    <w:rsid w:val="00C40BA9"/>
    <w:rsid w:val="00C417B2"/>
    <w:rsid w:val="00C42F21"/>
    <w:rsid w:val="00C43F41"/>
    <w:rsid w:val="00C451C7"/>
    <w:rsid w:val="00C45936"/>
    <w:rsid w:val="00C45B25"/>
    <w:rsid w:val="00C46F5D"/>
    <w:rsid w:val="00C47572"/>
    <w:rsid w:val="00C47F90"/>
    <w:rsid w:val="00C50342"/>
    <w:rsid w:val="00C50EDF"/>
    <w:rsid w:val="00C51015"/>
    <w:rsid w:val="00C51251"/>
    <w:rsid w:val="00C51E08"/>
    <w:rsid w:val="00C51E0F"/>
    <w:rsid w:val="00C5230C"/>
    <w:rsid w:val="00C523DF"/>
    <w:rsid w:val="00C541CC"/>
    <w:rsid w:val="00C549EE"/>
    <w:rsid w:val="00C551EC"/>
    <w:rsid w:val="00C55527"/>
    <w:rsid w:val="00C570DE"/>
    <w:rsid w:val="00C5785E"/>
    <w:rsid w:val="00C60D96"/>
    <w:rsid w:val="00C6128C"/>
    <w:rsid w:val="00C612E9"/>
    <w:rsid w:val="00C61CD6"/>
    <w:rsid w:val="00C61D92"/>
    <w:rsid w:val="00C624BA"/>
    <w:rsid w:val="00C633A7"/>
    <w:rsid w:val="00C63A29"/>
    <w:rsid w:val="00C63E25"/>
    <w:rsid w:val="00C63E29"/>
    <w:rsid w:val="00C65838"/>
    <w:rsid w:val="00C65D5B"/>
    <w:rsid w:val="00C6634F"/>
    <w:rsid w:val="00C66373"/>
    <w:rsid w:val="00C66F0E"/>
    <w:rsid w:val="00C67997"/>
    <w:rsid w:val="00C702EB"/>
    <w:rsid w:val="00C7068C"/>
    <w:rsid w:val="00C7139D"/>
    <w:rsid w:val="00C7156D"/>
    <w:rsid w:val="00C71759"/>
    <w:rsid w:val="00C71995"/>
    <w:rsid w:val="00C71E29"/>
    <w:rsid w:val="00C720BC"/>
    <w:rsid w:val="00C7272B"/>
    <w:rsid w:val="00C72AB6"/>
    <w:rsid w:val="00C74328"/>
    <w:rsid w:val="00C75023"/>
    <w:rsid w:val="00C75183"/>
    <w:rsid w:val="00C75AEF"/>
    <w:rsid w:val="00C76548"/>
    <w:rsid w:val="00C7690E"/>
    <w:rsid w:val="00C7716D"/>
    <w:rsid w:val="00C7745E"/>
    <w:rsid w:val="00C778B4"/>
    <w:rsid w:val="00C77CBC"/>
    <w:rsid w:val="00C81653"/>
    <w:rsid w:val="00C81F7D"/>
    <w:rsid w:val="00C826F3"/>
    <w:rsid w:val="00C82CAD"/>
    <w:rsid w:val="00C83337"/>
    <w:rsid w:val="00C83371"/>
    <w:rsid w:val="00C838AB"/>
    <w:rsid w:val="00C838E8"/>
    <w:rsid w:val="00C83F53"/>
    <w:rsid w:val="00C8434D"/>
    <w:rsid w:val="00C8476D"/>
    <w:rsid w:val="00C849FD"/>
    <w:rsid w:val="00C8616A"/>
    <w:rsid w:val="00C86B8B"/>
    <w:rsid w:val="00C87A3C"/>
    <w:rsid w:val="00C87E2A"/>
    <w:rsid w:val="00C90563"/>
    <w:rsid w:val="00C90CD9"/>
    <w:rsid w:val="00C90CF6"/>
    <w:rsid w:val="00C9154B"/>
    <w:rsid w:val="00C9254A"/>
    <w:rsid w:val="00C931EE"/>
    <w:rsid w:val="00C93596"/>
    <w:rsid w:val="00C95438"/>
    <w:rsid w:val="00C956F1"/>
    <w:rsid w:val="00C95983"/>
    <w:rsid w:val="00C95B48"/>
    <w:rsid w:val="00C9623A"/>
    <w:rsid w:val="00C96843"/>
    <w:rsid w:val="00C96A12"/>
    <w:rsid w:val="00C96C5E"/>
    <w:rsid w:val="00C9756F"/>
    <w:rsid w:val="00C97972"/>
    <w:rsid w:val="00C9F7B1"/>
    <w:rsid w:val="00CA0C01"/>
    <w:rsid w:val="00CA1908"/>
    <w:rsid w:val="00CA190B"/>
    <w:rsid w:val="00CA2808"/>
    <w:rsid w:val="00CA2AE7"/>
    <w:rsid w:val="00CA36A3"/>
    <w:rsid w:val="00CA3CA8"/>
    <w:rsid w:val="00CA4034"/>
    <w:rsid w:val="00CA458C"/>
    <w:rsid w:val="00CA4706"/>
    <w:rsid w:val="00CA5661"/>
    <w:rsid w:val="00CA5791"/>
    <w:rsid w:val="00CA6171"/>
    <w:rsid w:val="00CA63E8"/>
    <w:rsid w:val="00CA6405"/>
    <w:rsid w:val="00CA737F"/>
    <w:rsid w:val="00CB0B39"/>
    <w:rsid w:val="00CB0D60"/>
    <w:rsid w:val="00CB15B3"/>
    <w:rsid w:val="00CB164B"/>
    <w:rsid w:val="00CB1D27"/>
    <w:rsid w:val="00CB24D3"/>
    <w:rsid w:val="00CB27CB"/>
    <w:rsid w:val="00CB2BFD"/>
    <w:rsid w:val="00CB3311"/>
    <w:rsid w:val="00CB3583"/>
    <w:rsid w:val="00CB3BA8"/>
    <w:rsid w:val="00CB3D86"/>
    <w:rsid w:val="00CB50B1"/>
    <w:rsid w:val="00CB5392"/>
    <w:rsid w:val="00CB546A"/>
    <w:rsid w:val="00CB574B"/>
    <w:rsid w:val="00CB669A"/>
    <w:rsid w:val="00CB68D2"/>
    <w:rsid w:val="00CB6C1E"/>
    <w:rsid w:val="00CB6EB2"/>
    <w:rsid w:val="00CC02E3"/>
    <w:rsid w:val="00CC058C"/>
    <w:rsid w:val="00CC1D13"/>
    <w:rsid w:val="00CC1D81"/>
    <w:rsid w:val="00CC4248"/>
    <w:rsid w:val="00CC4574"/>
    <w:rsid w:val="00CC49E9"/>
    <w:rsid w:val="00CC51D4"/>
    <w:rsid w:val="00CC5273"/>
    <w:rsid w:val="00CC5A03"/>
    <w:rsid w:val="00CC5B13"/>
    <w:rsid w:val="00CC678D"/>
    <w:rsid w:val="00CC6A29"/>
    <w:rsid w:val="00CC73AE"/>
    <w:rsid w:val="00CC751B"/>
    <w:rsid w:val="00CC7D10"/>
    <w:rsid w:val="00CC7EB7"/>
    <w:rsid w:val="00CD03A0"/>
    <w:rsid w:val="00CD16C6"/>
    <w:rsid w:val="00CD183C"/>
    <w:rsid w:val="00CD24A0"/>
    <w:rsid w:val="00CD2CAA"/>
    <w:rsid w:val="00CD34DD"/>
    <w:rsid w:val="00CD350F"/>
    <w:rsid w:val="00CD5206"/>
    <w:rsid w:val="00CD58EE"/>
    <w:rsid w:val="00CD5CDF"/>
    <w:rsid w:val="00CD6024"/>
    <w:rsid w:val="00CD667B"/>
    <w:rsid w:val="00CD69E9"/>
    <w:rsid w:val="00CD6D64"/>
    <w:rsid w:val="00CD76E0"/>
    <w:rsid w:val="00CD7773"/>
    <w:rsid w:val="00CE00B4"/>
    <w:rsid w:val="00CE0C34"/>
    <w:rsid w:val="00CE117C"/>
    <w:rsid w:val="00CE3C87"/>
    <w:rsid w:val="00CE48B6"/>
    <w:rsid w:val="00CE56BF"/>
    <w:rsid w:val="00CE56DA"/>
    <w:rsid w:val="00CE5D2A"/>
    <w:rsid w:val="00CE6269"/>
    <w:rsid w:val="00CE7F65"/>
    <w:rsid w:val="00CF0FFE"/>
    <w:rsid w:val="00CF141D"/>
    <w:rsid w:val="00CF2A70"/>
    <w:rsid w:val="00CF2B50"/>
    <w:rsid w:val="00CF36E1"/>
    <w:rsid w:val="00CF37F1"/>
    <w:rsid w:val="00CF3CB2"/>
    <w:rsid w:val="00CF44E7"/>
    <w:rsid w:val="00CF46B6"/>
    <w:rsid w:val="00CF5E54"/>
    <w:rsid w:val="00CF62B5"/>
    <w:rsid w:val="00CF6523"/>
    <w:rsid w:val="00CF7706"/>
    <w:rsid w:val="00D0051F"/>
    <w:rsid w:val="00D00807"/>
    <w:rsid w:val="00D01CEC"/>
    <w:rsid w:val="00D02836"/>
    <w:rsid w:val="00D02A3A"/>
    <w:rsid w:val="00D03497"/>
    <w:rsid w:val="00D03771"/>
    <w:rsid w:val="00D03BD3"/>
    <w:rsid w:val="00D0472E"/>
    <w:rsid w:val="00D04F43"/>
    <w:rsid w:val="00D05C67"/>
    <w:rsid w:val="00D05F76"/>
    <w:rsid w:val="00D06434"/>
    <w:rsid w:val="00D07462"/>
    <w:rsid w:val="00D075F1"/>
    <w:rsid w:val="00D07C61"/>
    <w:rsid w:val="00D07E94"/>
    <w:rsid w:val="00D10728"/>
    <w:rsid w:val="00D10F62"/>
    <w:rsid w:val="00D11E80"/>
    <w:rsid w:val="00D12F7F"/>
    <w:rsid w:val="00D13619"/>
    <w:rsid w:val="00D13A33"/>
    <w:rsid w:val="00D13BE5"/>
    <w:rsid w:val="00D14700"/>
    <w:rsid w:val="00D16418"/>
    <w:rsid w:val="00D16806"/>
    <w:rsid w:val="00D16881"/>
    <w:rsid w:val="00D170EC"/>
    <w:rsid w:val="00D176BE"/>
    <w:rsid w:val="00D2061D"/>
    <w:rsid w:val="00D209C8"/>
    <w:rsid w:val="00D214FD"/>
    <w:rsid w:val="00D21712"/>
    <w:rsid w:val="00D22C42"/>
    <w:rsid w:val="00D22D34"/>
    <w:rsid w:val="00D2778E"/>
    <w:rsid w:val="00D27B0F"/>
    <w:rsid w:val="00D27E68"/>
    <w:rsid w:val="00D30480"/>
    <w:rsid w:val="00D3060D"/>
    <w:rsid w:val="00D30F9D"/>
    <w:rsid w:val="00D31CE1"/>
    <w:rsid w:val="00D323AE"/>
    <w:rsid w:val="00D32F7A"/>
    <w:rsid w:val="00D32FCA"/>
    <w:rsid w:val="00D33504"/>
    <w:rsid w:val="00D33B02"/>
    <w:rsid w:val="00D34271"/>
    <w:rsid w:val="00D34696"/>
    <w:rsid w:val="00D34C10"/>
    <w:rsid w:val="00D35DD4"/>
    <w:rsid w:val="00D35DDD"/>
    <w:rsid w:val="00D35F09"/>
    <w:rsid w:val="00D36523"/>
    <w:rsid w:val="00D365AB"/>
    <w:rsid w:val="00D36881"/>
    <w:rsid w:val="00D36918"/>
    <w:rsid w:val="00D37C90"/>
    <w:rsid w:val="00D402EE"/>
    <w:rsid w:val="00D40DCB"/>
    <w:rsid w:val="00D416EE"/>
    <w:rsid w:val="00D41A22"/>
    <w:rsid w:val="00D431BD"/>
    <w:rsid w:val="00D4323E"/>
    <w:rsid w:val="00D437FC"/>
    <w:rsid w:val="00D441E4"/>
    <w:rsid w:val="00D457E4"/>
    <w:rsid w:val="00D45C60"/>
    <w:rsid w:val="00D473EE"/>
    <w:rsid w:val="00D5067D"/>
    <w:rsid w:val="00D507B7"/>
    <w:rsid w:val="00D50E1E"/>
    <w:rsid w:val="00D51A70"/>
    <w:rsid w:val="00D51DE9"/>
    <w:rsid w:val="00D52E5D"/>
    <w:rsid w:val="00D53337"/>
    <w:rsid w:val="00D53AA8"/>
    <w:rsid w:val="00D53C11"/>
    <w:rsid w:val="00D53C45"/>
    <w:rsid w:val="00D55C94"/>
    <w:rsid w:val="00D56219"/>
    <w:rsid w:val="00D60320"/>
    <w:rsid w:val="00D607A3"/>
    <w:rsid w:val="00D61375"/>
    <w:rsid w:val="00D62840"/>
    <w:rsid w:val="00D632DC"/>
    <w:rsid w:val="00D64E28"/>
    <w:rsid w:val="00D651B7"/>
    <w:rsid w:val="00D6529A"/>
    <w:rsid w:val="00D6570A"/>
    <w:rsid w:val="00D65A37"/>
    <w:rsid w:val="00D65B3F"/>
    <w:rsid w:val="00D674C3"/>
    <w:rsid w:val="00D710BB"/>
    <w:rsid w:val="00D7127C"/>
    <w:rsid w:val="00D715E9"/>
    <w:rsid w:val="00D71962"/>
    <w:rsid w:val="00D71F65"/>
    <w:rsid w:val="00D7257C"/>
    <w:rsid w:val="00D7289D"/>
    <w:rsid w:val="00D734BF"/>
    <w:rsid w:val="00D73A60"/>
    <w:rsid w:val="00D73D7C"/>
    <w:rsid w:val="00D743A1"/>
    <w:rsid w:val="00D75297"/>
    <w:rsid w:val="00D7733B"/>
    <w:rsid w:val="00D8061A"/>
    <w:rsid w:val="00D8193C"/>
    <w:rsid w:val="00D8276E"/>
    <w:rsid w:val="00D82ABD"/>
    <w:rsid w:val="00D834EE"/>
    <w:rsid w:val="00D85A69"/>
    <w:rsid w:val="00D8660B"/>
    <w:rsid w:val="00D8667F"/>
    <w:rsid w:val="00D8734D"/>
    <w:rsid w:val="00D8771F"/>
    <w:rsid w:val="00D87CEF"/>
    <w:rsid w:val="00D87E3C"/>
    <w:rsid w:val="00D9194D"/>
    <w:rsid w:val="00D91F6A"/>
    <w:rsid w:val="00D93032"/>
    <w:rsid w:val="00D932E1"/>
    <w:rsid w:val="00D937E5"/>
    <w:rsid w:val="00D954A2"/>
    <w:rsid w:val="00D95B6F"/>
    <w:rsid w:val="00D96325"/>
    <w:rsid w:val="00D96545"/>
    <w:rsid w:val="00D96EBE"/>
    <w:rsid w:val="00D97222"/>
    <w:rsid w:val="00D973EB"/>
    <w:rsid w:val="00DA070B"/>
    <w:rsid w:val="00DA34E3"/>
    <w:rsid w:val="00DA4124"/>
    <w:rsid w:val="00DA4885"/>
    <w:rsid w:val="00DA6887"/>
    <w:rsid w:val="00DA6B04"/>
    <w:rsid w:val="00DA6C72"/>
    <w:rsid w:val="00DB067C"/>
    <w:rsid w:val="00DB0BF6"/>
    <w:rsid w:val="00DB0CA9"/>
    <w:rsid w:val="00DB0CDC"/>
    <w:rsid w:val="00DB1067"/>
    <w:rsid w:val="00DB15B7"/>
    <w:rsid w:val="00DB176D"/>
    <w:rsid w:val="00DB1B6A"/>
    <w:rsid w:val="00DB375A"/>
    <w:rsid w:val="00DB503A"/>
    <w:rsid w:val="00DB5153"/>
    <w:rsid w:val="00DB56E7"/>
    <w:rsid w:val="00DB5BBA"/>
    <w:rsid w:val="00DB5BF5"/>
    <w:rsid w:val="00DB68A7"/>
    <w:rsid w:val="00DB6DF2"/>
    <w:rsid w:val="00DC0111"/>
    <w:rsid w:val="00DC05F0"/>
    <w:rsid w:val="00DC082D"/>
    <w:rsid w:val="00DC187D"/>
    <w:rsid w:val="00DC2BB7"/>
    <w:rsid w:val="00DC2C28"/>
    <w:rsid w:val="00DC30B7"/>
    <w:rsid w:val="00DC334A"/>
    <w:rsid w:val="00DC3C8D"/>
    <w:rsid w:val="00DC3DED"/>
    <w:rsid w:val="00DC41B5"/>
    <w:rsid w:val="00DC57E6"/>
    <w:rsid w:val="00DC6C46"/>
    <w:rsid w:val="00DC731F"/>
    <w:rsid w:val="00DC7868"/>
    <w:rsid w:val="00DC98C4"/>
    <w:rsid w:val="00DD01F6"/>
    <w:rsid w:val="00DD1288"/>
    <w:rsid w:val="00DD1ACC"/>
    <w:rsid w:val="00DD1F9B"/>
    <w:rsid w:val="00DD271F"/>
    <w:rsid w:val="00DD3080"/>
    <w:rsid w:val="00DD3113"/>
    <w:rsid w:val="00DD370A"/>
    <w:rsid w:val="00DD38BF"/>
    <w:rsid w:val="00DD3A4E"/>
    <w:rsid w:val="00DD40E8"/>
    <w:rsid w:val="00DD442E"/>
    <w:rsid w:val="00DD49AA"/>
    <w:rsid w:val="00DD4FB5"/>
    <w:rsid w:val="00DD759C"/>
    <w:rsid w:val="00DD7789"/>
    <w:rsid w:val="00DE00CF"/>
    <w:rsid w:val="00DE0172"/>
    <w:rsid w:val="00DE07FA"/>
    <w:rsid w:val="00DE11D3"/>
    <w:rsid w:val="00DE1354"/>
    <w:rsid w:val="00DE185F"/>
    <w:rsid w:val="00DE1D65"/>
    <w:rsid w:val="00DE248F"/>
    <w:rsid w:val="00DE2A6B"/>
    <w:rsid w:val="00DE2ECC"/>
    <w:rsid w:val="00DE2F9A"/>
    <w:rsid w:val="00DE3378"/>
    <w:rsid w:val="00DE3BC0"/>
    <w:rsid w:val="00DE3EFC"/>
    <w:rsid w:val="00DE43C2"/>
    <w:rsid w:val="00DE5100"/>
    <w:rsid w:val="00DE5B47"/>
    <w:rsid w:val="00DE6B6D"/>
    <w:rsid w:val="00DE6EEF"/>
    <w:rsid w:val="00DE70DE"/>
    <w:rsid w:val="00DE710B"/>
    <w:rsid w:val="00DF01BD"/>
    <w:rsid w:val="00DF1A84"/>
    <w:rsid w:val="00DF1EE9"/>
    <w:rsid w:val="00DF24C1"/>
    <w:rsid w:val="00DF371E"/>
    <w:rsid w:val="00DF39CD"/>
    <w:rsid w:val="00DF454F"/>
    <w:rsid w:val="00DF4A53"/>
    <w:rsid w:val="00DF4A97"/>
    <w:rsid w:val="00DF5472"/>
    <w:rsid w:val="00DF5AC3"/>
    <w:rsid w:val="00DF5D06"/>
    <w:rsid w:val="00DF685D"/>
    <w:rsid w:val="00DF6B5C"/>
    <w:rsid w:val="00E00581"/>
    <w:rsid w:val="00E008F9"/>
    <w:rsid w:val="00E011D4"/>
    <w:rsid w:val="00E02922"/>
    <w:rsid w:val="00E02E6B"/>
    <w:rsid w:val="00E032E2"/>
    <w:rsid w:val="00E045EB"/>
    <w:rsid w:val="00E0562C"/>
    <w:rsid w:val="00E05746"/>
    <w:rsid w:val="00E05C94"/>
    <w:rsid w:val="00E063EA"/>
    <w:rsid w:val="00E0669C"/>
    <w:rsid w:val="00E06790"/>
    <w:rsid w:val="00E07A0F"/>
    <w:rsid w:val="00E10A77"/>
    <w:rsid w:val="00E10DA3"/>
    <w:rsid w:val="00E10DDD"/>
    <w:rsid w:val="00E119C9"/>
    <w:rsid w:val="00E1251D"/>
    <w:rsid w:val="00E12B37"/>
    <w:rsid w:val="00E133D4"/>
    <w:rsid w:val="00E13590"/>
    <w:rsid w:val="00E139B5"/>
    <w:rsid w:val="00E15337"/>
    <w:rsid w:val="00E1683A"/>
    <w:rsid w:val="00E16FB6"/>
    <w:rsid w:val="00E1736E"/>
    <w:rsid w:val="00E174A4"/>
    <w:rsid w:val="00E20B95"/>
    <w:rsid w:val="00E20F1E"/>
    <w:rsid w:val="00E20FF3"/>
    <w:rsid w:val="00E223C7"/>
    <w:rsid w:val="00E23EBB"/>
    <w:rsid w:val="00E23EEC"/>
    <w:rsid w:val="00E24E44"/>
    <w:rsid w:val="00E2504A"/>
    <w:rsid w:val="00E2520E"/>
    <w:rsid w:val="00E256DD"/>
    <w:rsid w:val="00E256E4"/>
    <w:rsid w:val="00E26FD2"/>
    <w:rsid w:val="00E272B2"/>
    <w:rsid w:val="00E27532"/>
    <w:rsid w:val="00E278BC"/>
    <w:rsid w:val="00E30871"/>
    <w:rsid w:val="00E30FB1"/>
    <w:rsid w:val="00E3298E"/>
    <w:rsid w:val="00E32FF0"/>
    <w:rsid w:val="00E33993"/>
    <w:rsid w:val="00E33D76"/>
    <w:rsid w:val="00E3416B"/>
    <w:rsid w:val="00E34FB8"/>
    <w:rsid w:val="00E371EB"/>
    <w:rsid w:val="00E3752F"/>
    <w:rsid w:val="00E37EC4"/>
    <w:rsid w:val="00E41823"/>
    <w:rsid w:val="00E42C2E"/>
    <w:rsid w:val="00E42DF0"/>
    <w:rsid w:val="00E42FF1"/>
    <w:rsid w:val="00E4408E"/>
    <w:rsid w:val="00E44964"/>
    <w:rsid w:val="00E449AE"/>
    <w:rsid w:val="00E4583D"/>
    <w:rsid w:val="00E46E65"/>
    <w:rsid w:val="00E47546"/>
    <w:rsid w:val="00E47CBC"/>
    <w:rsid w:val="00E47E4D"/>
    <w:rsid w:val="00E50C27"/>
    <w:rsid w:val="00E52DC7"/>
    <w:rsid w:val="00E52F07"/>
    <w:rsid w:val="00E53A27"/>
    <w:rsid w:val="00E53BD7"/>
    <w:rsid w:val="00E5424A"/>
    <w:rsid w:val="00E54363"/>
    <w:rsid w:val="00E54664"/>
    <w:rsid w:val="00E54C04"/>
    <w:rsid w:val="00E5571D"/>
    <w:rsid w:val="00E5699B"/>
    <w:rsid w:val="00E56E73"/>
    <w:rsid w:val="00E578E9"/>
    <w:rsid w:val="00E600D5"/>
    <w:rsid w:val="00E6081C"/>
    <w:rsid w:val="00E60D66"/>
    <w:rsid w:val="00E6116B"/>
    <w:rsid w:val="00E61636"/>
    <w:rsid w:val="00E61DC2"/>
    <w:rsid w:val="00E62208"/>
    <w:rsid w:val="00E62671"/>
    <w:rsid w:val="00E636F0"/>
    <w:rsid w:val="00E64F89"/>
    <w:rsid w:val="00E651E0"/>
    <w:rsid w:val="00E65941"/>
    <w:rsid w:val="00E65BC5"/>
    <w:rsid w:val="00E66552"/>
    <w:rsid w:val="00E6661F"/>
    <w:rsid w:val="00E669A1"/>
    <w:rsid w:val="00E67D55"/>
    <w:rsid w:val="00E67D78"/>
    <w:rsid w:val="00E7024D"/>
    <w:rsid w:val="00E71CEE"/>
    <w:rsid w:val="00E723A8"/>
    <w:rsid w:val="00E7282C"/>
    <w:rsid w:val="00E7285B"/>
    <w:rsid w:val="00E72B7F"/>
    <w:rsid w:val="00E72BBD"/>
    <w:rsid w:val="00E72D1D"/>
    <w:rsid w:val="00E72E28"/>
    <w:rsid w:val="00E739B8"/>
    <w:rsid w:val="00E76C6F"/>
    <w:rsid w:val="00E770ED"/>
    <w:rsid w:val="00E8036C"/>
    <w:rsid w:val="00E805EC"/>
    <w:rsid w:val="00E80D19"/>
    <w:rsid w:val="00E810BA"/>
    <w:rsid w:val="00E81638"/>
    <w:rsid w:val="00E81A73"/>
    <w:rsid w:val="00E81ED4"/>
    <w:rsid w:val="00E81ED7"/>
    <w:rsid w:val="00E82B07"/>
    <w:rsid w:val="00E82DA9"/>
    <w:rsid w:val="00E82FB6"/>
    <w:rsid w:val="00E836D4"/>
    <w:rsid w:val="00E83705"/>
    <w:rsid w:val="00E83A83"/>
    <w:rsid w:val="00E845DE"/>
    <w:rsid w:val="00E86033"/>
    <w:rsid w:val="00E87C1D"/>
    <w:rsid w:val="00E90776"/>
    <w:rsid w:val="00E90D67"/>
    <w:rsid w:val="00E90F0C"/>
    <w:rsid w:val="00E919D6"/>
    <w:rsid w:val="00E91A80"/>
    <w:rsid w:val="00E91AFB"/>
    <w:rsid w:val="00E93DD3"/>
    <w:rsid w:val="00E946A8"/>
    <w:rsid w:val="00E94D18"/>
    <w:rsid w:val="00E9527D"/>
    <w:rsid w:val="00E9584E"/>
    <w:rsid w:val="00E95993"/>
    <w:rsid w:val="00E96CB7"/>
    <w:rsid w:val="00E96D3E"/>
    <w:rsid w:val="00E97591"/>
    <w:rsid w:val="00E975F3"/>
    <w:rsid w:val="00E97C1B"/>
    <w:rsid w:val="00EA022C"/>
    <w:rsid w:val="00EA0A06"/>
    <w:rsid w:val="00EA0D89"/>
    <w:rsid w:val="00EA2F12"/>
    <w:rsid w:val="00EA3054"/>
    <w:rsid w:val="00EA4318"/>
    <w:rsid w:val="00EA47F2"/>
    <w:rsid w:val="00EA54D6"/>
    <w:rsid w:val="00EA5622"/>
    <w:rsid w:val="00EA6AFE"/>
    <w:rsid w:val="00EA71B9"/>
    <w:rsid w:val="00EB0246"/>
    <w:rsid w:val="00EB0505"/>
    <w:rsid w:val="00EB0E20"/>
    <w:rsid w:val="00EB1649"/>
    <w:rsid w:val="00EB171B"/>
    <w:rsid w:val="00EB1982"/>
    <w:rsid w:val="00EB2F78"/>
    <w:rsid w:val="00EB2FF4"/>
    <w:rsid w:val="00EB3391"/>
    <w:rsid w:val="00EB3395"/>
    <w:rsid w:val="00EB387C"/>
    <w:rsid w:val="00EB5636"/>
    <w:rsid w:val="00EB5751"/>
    <w:rsid w:val="00EB5F16"/>
    <w:rsid w:val="00EB61B5"/>
    <w:rsid w:val="00EB7EB8"/>
    <w:rsid w:val="00EC0275"/>
    <w:rsid w:val="00EC0547"/>
    <w:rsid w:val="00EC20AF"/>
    <w:rsid w:val="00EC22BB"/>
    <w:rsid w:val="00EC2A63"/>
    <w:rsid w:val="00EC3A51"/>
    <w:rsid w:val="00EC4F1E"/>
    <w:rsid w:val="00EC591C"/>
    <w:rsid w:val="00EC60C7"/>
    <w:rsid w:val="00EC6236"/>
    <w:rsid w:val="00EC6596"/>
    <w:rsid w:val="00EC67C4"/>
    <w:rsid w:val="00EC6B94"/>
    <w:rsid w:val="00ED0C47"/>
    <w:rsid w:val="00ED14D6"/>
    <w:rsid w:val="00ED167E"/>
    <w:rsid w:val="00ED25A4"/>
    <w:rsid w:val="00ED2981"/>
    <w:rsid w:val="00ED338C"/>
    <w:rsid w:val="00ED33A7"/>
    <w:rsid w:val="00ED37B4"/>
    <w:rsid w:val="00ED3D51"/>
    <w:rsid w:val="00ED4C78"/>
    <w:rsid w:val="00ED4DB7"/>
    <w:rsid w:val="00ED537C"/>
    <w:rsid w:val="00ED55D3"/>
    <w:rsid w:val="00ED563C"/>
    <w:rsid w:val="00ED5BA8"/>
    <w:rsid w:val="00ED5D37"/>
    <w:rsid w:val="00ED752E"/>
    <w:rsid w:val="00ED754D"/>
    <w:rsid w:val="00ED795D"/>
    <w:rsid w:val="00EE377A"/>
    <w:rsid w:val="00EE4E5D"/>
    <w:rsid w:val="00EE565A"/>
    <w:rsid w:val="00EE64B7"/>
    <w:rsid w:val="00EE6F11"/>
    <w:rsid w:val="00EE7693"/>
    <w:rsid w:val="00EE7F56"/>
    <w:rsid w:val="00EF0AD3"/>
    <w:rsid w:val="00EF0E1D"/>
    <w:rsid w:val="00EF14AB"/>
    <w:rsid w:val="00EF1CE2"/>
    <w:rsid w:val="00EF1D97"/>
    <w:rsid w:val="00EF2301"/>
    <w:rsid w:val="00EF25A6"/>
    <w:rsid w:val="00EF30C1"/>
    <w:rsid w:val="00EF4DAA"/>
    <w:rsid w:val="00EF5D3E"/>
    <w:rsid w:val="00EF6FB8"/>
    <w:rsid w:val="00EF765E"/>
    <w:rsid w:val="00EF7AA5"/>
    <w:rsid w:val="00F00265"/>
    <w:rsid w:val="00F003C4"/>
    <w:rsid w:val="00F00D47"/>
    <w:rsid w:val="00F013AD"/>
    <w:rsid w:val="00F01A94"/>
    <w:rsid w:val="00F02B19"/>
    <w:rsid w:val="00F02D64"/>
    <w:rsid w:val="00F03918"/>
    <w:rsid w:val="00F03BAA"/>
    <w:rsid w:val="00F03DEB"/>
    <w:rsid w:val="00F047AB"/>
    <w:rsid w:val="00F04BB1"/>
    <w:rsid w:val="00F051E8"/>
    <w:rsid w:val="00F05D7D"/>
    <w:rsid w:val="00F06823"/>
    <w:rsid w:val="00F06950"/>
    <w:rsid w:val="00F06B69"/>
    <w:rsid w:val="00F07FEE"/>
    <w:rsid w:val="00F10396"/>
    <w:rsid w:val="00F111F6"/>
    <w:rsid w:val="00F11A87"/>
    <w:rsid w:val="00F11AF3"/>
    <w:rsid w:val="00F12371"/>
    <w:rsid w:val="00F12826"/>
    <w:rsid w:val="00F1296E"/>
    <w:rsid w:val="00F13071"/>
    <w:rsid w:val="00F13168"/>
    <w:rsid w:val="00F131B8"/>
    <w:rsid w:val="00F1366D"/>
    <w:rsid w:val="00F13A8D"/>
    <w:rsid w:val="00F145AB"/>
    <w:rsid w:val="00F15F92"/>
    <w:rsid w:val="00F17247"/>
    <w:rsid w:val="00F1724E"/>
    <w:rsid w:val="00F17E02"/>
    <w:rsid w:val="00F209EA"/>
    <w:rsid w:val="00F20C0C"/>
    <w:rsid w:val="00F20E81"/>
    <w:rsid w:val="00F20FC0"/>
    <w:rsid w:val="00F21B58"/>
    <w:rsid w:val="00F21D83"/>
    <w:rsid w:val="00F220A5"/>
    <w:rsid w:val="00F22118"/>
    <w:rsid w:val="00F232A1"/>
    <w:rsid w:val="00F23433"/>
    <w:rsid w:val="00F23B52"/>
    <w:rsid w:val="00F23DC2"/>
    <w:rsid w:val="00F2527F"/>
    <w:rsid w:val="00F25BA7"/>
    <w:rsid w:val="00F25F44"/>
    <w:rsid w:val="00F262B6"/>
    <w:rsid w:val="00F266C4"/>
    <w:rsid w:val="00F27137"/>
    <w:rsid w:val="00F27B2A"/>
    <w:rsid w:val="00F30348"/>
    <w:rsid w:val="00F30B7E"/>
    <w:rsid w:val="00F30FFF"/>
    <w:rsid w:val="00F31AB0"/>
    <w:rsid w:val="00F31BC2"/>
    <w:rsid w:val="00F31D61"/>
    <w:rsid w:val="00F32A3A"/>
    <w:rsid w:val="00F3304D"/>
    <w:rsid w:val="00F33377"/>
    <w:rsid w:val="00F33723"/>
    <w:rsid w:val="00F33A7D"/>
    <w:rsid w:val="00F33B4B"/>
    <w:rsid w:val="00F3486E"/>
    <w:rsid w:val="00F35790"/>
    <w:rsid w:val="00F361F9"/>
    <w:rsid w:val="00F365A3"/>
    <w:rsid w:val="00F372F6"/>
    <w:rsid w:val="00F410A5"/>
    <w:rsid w:val="00F42DCC"/>
    <w:rsid w:val="00F435C5"/>
    <w:rsid w:val="00F43628"/>
    <w:rsid w:val="00F440AD"/>
    <w:rsid w:val="00F442E1"/>
    <w:rsid w:val="00F443D4"/>
    <w:rsid w:val="00F4445F"/>
    <w:rsid w:val="00F45D70"/>
    <w:rsid w:val="00F46725"/>
    <w:rsid w:val="00F47BE0"/>
    <w:rsid w:val="00F5048A"/>
    <w:rsid w:val="00F509F7"/>
    <w:rsid w:val="00F50FCC"/>
    <w:rsid w:val="00F51D5E"/>
    <w:rsid w:val="00F5255A"/>
    <w:rsid w:val="00F53641"/>
    <w:rsid w:val="00F53646"/>
    <w:rsid w:val="00F538E8"/>
    <w:rsid w:val="00F5411F"/>
    <w:rsid w:val="00F55070"/>
    <w:rsid w:val="00F550D7"/>
    <w:rsid w:val="00F552C5"/>
    <w:rsid w:val="00F5568F"/>
    <w:rsid w:val="00F5580A"/>
    <w:rsid w:val="00F5654B"/>
    <w:rsid w:val="00F567A4"/>
    <w:rsid w:val="00F57590"/>
    <w:rsid w:val="00F57716"/>
    <w:rsid w:val="00F5771A"/>
    <w:rsid w:val="00F577F9"/>
    <w:rsid w:val="00F62069"/>
    <w:rsid w:val="00F623AC"/>
    <w:rsid w:val="00F6312D"/>
    <w:rsid w:val="00F632EA"/>
    <w:rsid w:val="00F64BA4"/>
    <w:rsid w:val="00F64FA0"/>
    <w:rsid w:val="00F6508F"/>
    <w:rsid w:val="00F6593F"/>
    <w:rsid w:val="00F66EBC"/>
    <w:rsid w:val="00F67597"/>
    <w:rsid w:val="00F67AC8"/>
    <w:rsid w:val="00F70101"/>
    <w:rsid w:val="00F7096A"/>
    <w:rsid w:val="00F715B8"/>
    <w:rsid w:val="00F71A25"/>
    <w:rsid w:val="00F71BD2"/>
    <w:rsid w:val="00F72494"/>
    <w:rsid w:val="00F72877"/>
    <w:rsid w:val="00F729C3"/>
    <w:rsid w:val="00F72AA2"/>
    <w:rsid w:val="00F73F10"/>
    <w:rsid w:val="00F74ACA"/>
    <w:rsid w:val="00F763F3"/>
    <w:rsid w:val="00F76ABC"/>
    <w:rsid w:val="00F77396"/>
    <w:rsid w:val="00F778DA"/>
    <w:rsid w:val="00F80330"/>
    <w:rsid w:val="00F8068F"/>
    <w:rsid w:val="00F812A7"/>
    <w:rsid w:val="00F815FB"/>
    <w:rsid w:val="00F81C1F"/>
    <w:rsid w:val="00F83F75"/>
    <w:rsid w:val="00F8455E"/>
    <w:rsid w:val="00F84732"/>
    <w:rsid w:val="00F84BD2"/>
    <w:rsid w:val="00F85078"/>
    <w:rsid w:val="00F85375"/>
    <w:rsid w:val="00F853D2"/>
    <w:rsid w:val="00F85910"/>
    <w:rsid w:val="00F85CE9"/>
    <w:rsid w:val="00F86DE4"/>
    <w:rsid w:val="00F86E25"/>
    <w:rsid w:val="00F86E44"/>
    <w:rsid w:val="00F872FA"/>
    <w:rsid w:val="00F87412"/>
    <w:rsid w:val="00F87430"/>
    <w:rsid w:val="00F87874"/>
    <w:rsid w:val="00F87B6B"/>
    <w:rsid w:val="00F90405"/>
    <w:rsid w:val="00F904E7"/>
    <w:rsid w:val="00F90B1B"/>
    <w:rsid w:val="00F9123B"/>
    <w:rsid w:val="00F91441"/>
    <w:rsid w:val="00F91AD7"/>
    <w:rsid w:val="00F92C6A"/>
    <w:rsid w:val="00F957FE"/>
    <w:rsid w:val="00F95E31"/>
    <w:rsid w:val="00F96B8C"/>
    <w:rsid w:val="00F978FD"/>
    <w:rsid w:val="00F97BFB"/>
    <w:rsid w:val="00FA1D71"/>
    <w:rsid w:val="00FA1F06"/>
    <w:rsid w:val="00FA2A20"/>
    <w:rsid w:val="00FA2E08"/>
    <w:rsid w:val="00FA3EDF"/>
    <w:rsid w:val="00FA4EE6"/>
    <w:rsid w:val="00FA59B2"/>
    <w:rsid w:val="00FA6402"/>
    <w:rsid w:val="00FA6BBD"/>
    <w:rsid w:val="00FA6DA2"/>
    <w:rsid w:val="00FA7C92"/>
    <w:rsid w:val="00FA7EB2"/>
    <w:rsid w:val="00FA7F8B"/>
    <w:rsid w:val="00FA8CDE"/>
    <w:rsid w:val="00FB0520"/>
    <w:rsid w:val="00FB1B61"/>
    <w:rsid w:val="00FB1CF4"/>
    <w:rsid w:val="00FB1DFF"/>
    <w:rsid w:val="00FB356C"/>
    <w:rsid w:val="00FB4CB9"/>
    <w:rsid w:val="00FB4F8F"/>
    <w:rsid w:val="00FB5767"/>
    <w:rsid w:val="00FC0080"/>
    <w:rsid w:val="00FC081A"/>
    <w:rsid w:val="00FC1D03"/>
    <w:rsid w:val="00FC1E2F"/>
    <w:rsid w:val="00FC1EE2"/>
    <w:rsid w:val="00FC270A"/>
    <w:rsid w:val="00FC2C0E"/>
    <w:rsid w:val="00FC3662"/>
    <w:rsid w:val="00FC3802"/>
    <w:rsid w:val="00FC57C7"/>
    <w:rsid w:val="00FC628E"/>
    <w:rsid w:val="00FC6D35"/>
    <w:rsid w:val="00FC70EB"/>
    <w:rsid w:val="00FC7462"/>
    <w:rsid w:val="00FD17F0"/>
    <w:rsid w:val="00FD30CB"/>
    <w:rsid w:val="00FD335F"/>
    <w:rsid w:val="00FD3EBA"/>
    <w:rsid w:val="00FD41EC"/>
    <w:rsid w:val="00FD4E72"/>
    <w:rsid w:val="00FD5046"/>
    <w:rsid w:val="00FD525D"/>
    <w:rsid w:val="00FD6A03"/>
    <w:rsid w:val="00FD6D28"/>
    <w:rsid w:val="00FD6FCB"/>
    <w:rsid w:val="00FD7C8F"/>
    <w:rsid w:val="00FE0942"/>
    <w:rsid w:val="00FE1A13"/>
    <w:rsid w:val="00FE1CC1"/>
    <w:rsid w:val="00FE2C74"/>
    <w:rsid w:val="00FE36FE"/>
    <w:rsid w:val="00FE44E9"/>
    <w:rsid w:val="00FE5847"/>
    <w:rsid w:val="00FE59D7"/>
    <w:rsid w:val="00FE5B06"/>
    <w:rsid w:val="00FE62C5"/>
    <w:rsid w:val="00FE66A8"/>
    <w:rsid w:val="00FE6EFE"/>
    <w:rsid w:val="00FE6FDA"/>
    <w:rsid w:val="00FE79CA"/>
    <w:rsid w:val="00FE7A16"/>
    <w:rsid w:val="00FE7B8C"/>
    <w:rsid w:val="00FE7F2E"/>
    <w:rsid w:val="00FF0798"/>
    <w:rsid w:val="00FF124F"/>
    <w:rsid w:val="00FF29C8"/>
    <w:rsid w:val="00FF2A6A"/>
    <w:rsid w:val="00FF3091"/>
    <w:rsid w:val="00FF3F79"/>
    <w:rsid w:val="00FF45D2"/>
    <w:rsid w:val="00FF4C0E"/>
    <w:rsid w:val="00FF550A"/>
    <w:rsid w:val="00FF7051"/>
    <w:rsid w:val="00FF7319"/>
    <w:rsid w:val="01029269"/>
    <w:rsid w:val="0117B1A7"/>
    <w:rsid w:val="01194FCB"/>
    <w:rsid w:val="0143D3BF"/>
    <w:rsid w:val="01472FF5"/>
    <w:rsid w:val="014AD0C2"/>
    <w:rsid w:val="014F07B1"/>
    <w:rsid w:val="014FD994"/>
    <w:rsid w:val="01586D7A"/>
    <w:rsid w:val="015F9511"/>
    <w:rsid w:val="016340D3"/>
    <w:rsid w:val="016F6A20"/>
    <w:rsid w:val="017E224C"/>
    <w:rsid w:val="018726BB"/>
    <w:rsid w:val="018744B6"/>
    <w:rsid w:val="01A209A6"/>
    <w:rsid w:val="01B6AD5A"/>
    <w:rsid w:val="01B9BD3B"/>
    <w:rsid w:val="01C732C3"/>
    <w:rsid w:val="01C7BFF4"/>
    <w:rsid w:val="01D6DAF1"/>
    <w:rsid w:val="01ED5D7E"/>
    <w:rsid w:val="01F24144"/>
    <w:rsid w:val="01F37BAC"/>
    <w:rsid w:val="01FA4B59"/>
    <w:rsid w:val="020ED29E"/>
    <w:rsid w:val="02172C6C"/>
    <w:rsid w:val="0217C818"/>
    <w:rsid w:val="021B68D8"/>
    <w:rsid w:val="021FEBDD"/>
    <w:rsid w:val="022350ED"/>
    <w:rsid w:val="0227076E"/>
    <w:rsid w:val="02311F37"/>
    <w:rsid w:val="02343494"/>
    <w:rsid w:val="023783DB"/>
    <w:rsid w:val="0238D0F2"/>
    <w:rsid w:val="023E3C6C"/>
    <w:rsid w:val="02408426"/>
    <w:rsid w:val="0249F3E7"/>
    <w:rsid w:val="0258CD17"/>
    <w:rsid w:val="026A73E1"/>
    <w:rsid w:val="02A9602E"/>
    <w:rsid w:val="02B7851B"/>
    <w:rsid w:val="02CBEDBC"/>
    <w:rsid w:val="02D612B6"/>
    <w:rsid w:val="02DBC2AB"/>
    <w:rsid w:val="02DD3453"/>
    <w:rsid w:val="02F364AA"/>
    <w:rsid w:val="0310B05B"/>
    <w:rsid w:val="0311B70B"/>
    <w:rsid w:val="0314A8B4"/>
    <w:rsid w:val="031761EF"/>
    <w:rsid w:val="031817F3"/>
    <w:rsid w:val="035C8B6C"/>
    <w:rsid w:val="0377DF1B"/>
    <w:rsid w:val="037827F8"/>
    <w:rsid w:val="039ADD68"/>
    <w:rsid w:val="03AC4D9E"/>
    <w:rsid w:val="03B0C115"/>
    <w:rsid w:val="03B9FFCA"/>
    <w:rsid w:val="03BCC70C"/>
    <w:rsid w:val="03ECADA1"/>
    <w:rsid w:val="03F31577"/>
    <w:rsid w:val="0405015D"/>
    <w:rsid w:val="04271DF5"/>
    <w:rsid w:val="043D2E62"/>
    <w:rsid w:val="04402113"/>
    <w:rsid w:val="0455E804"/>
    <w:rsid w:val="045CF09D"/>
    <w:rsid w:val="04634092"/>
    <w:rsid w:val="04724FE3"/>
    <w:rsid w:val="04840690"/>
    <w:rsid w:val="0486A1E1"/>
    <w:rsid w:val="04A7340C"/>
    <w:rsid w:val="04B449BA"/>
    <w:rsid w:val="04BB7286"/>
    <w:rsid w:val="04BC4BA2"/>
    <w:rsid w:val="04C2AF2B"/>
    <w:rsid w:val="04EF4F2B"/>
    <w:rsid w:val="050CAF37"/>
    <w:rsid w:val="0510744B"/>
    <w:rsid w:val="051E4072"/>
    <w:rsid w:val="052CBDB1"/>
    <w:rsid w:val="05340877"/>
    <w:rsid w:val="054D58E0"/>
    <w:rsid w:val="054F7E4A"/>
    <w:rsid w:val="055AF3C4"/>
    <w:rsid w:val="0563B280"/>
    <w:rsid w:val="05645438"/>
    <w:rsid w:val="0569B2ED"/>
    <w:rsid w:val="057253A4"/>
    <w:rsid w:val="05AB44A4"/>
    <w:rsid w:val="05B16798"/>
    <w:rsid w:val="05BB356E"/>
    <w:rsid w:val="05EE06EB"/>
    <w:rsid w:val="05EF86EE"/>
    <w:rsid w:val="05FAC602"/>
    <w:rsid w:val="0603C966"/>
    <w:rsid w:val="060C8C8C"/>
    <w:rsid w:val="06133B92"/>
    <w:rsid w:val="0623580D"/>
    <w:rsid w:val="062EC2DA"/>
    <w:rsid w:val="06302496"/>
    <w:rsid w:val="0638EF32"/>
    <w:rsid w:val="0646CB41"/>
    <w:rsid w:val="064B83D2"/>
    <w:rsid w:val="064D4F68"/>
    <w:rsid w:val="06502C06"/>
    <w:rsid w:val="0666EE9A"/>
    <w:rsid w:val="066819DF"/>
    <w:rsid w:val="0675B069"/>
    <w:rsid w:val="067DE149"/>
    <w:rsid w:val="0692BEEA"/>
    <w:rsid w:val="06AED6B3"/>
    <w:rsid w:val="06BCB19F"/>
    <w:rsid w:val="06CD52D4"/>
    <w:rsid w:val="06D3060C"/>
    <w:rsid w:val="06D307B3"/>
    <w:rsid w:val="06D8D647"/>
    <w:rsid w:val="06E0219A"/>
    <w:rsid w:val="06E76893"/>
    <w:rsid w:val="06EF99CE"/>
    <w:rsid w:val="06FD4F55"/>
    <w:rsid w:val="070EFFC3"/>
    <w:rsid w:val="07276CCF"/>
    <w:rsid w:val="072AC4D2"/>
    <w:rsid w:val="072F9C9C"/>
    <w:rsid w:val="0738A478"/>
    <w:rsid w:val="0744176F"/>
    <w:rsid w:val="0760392B"/>
    <w:rsid w:val="076423F5"/>
    <w:rsid w:val="0765EB6D"/>
    <w:rsid w:val="0773A7B7"/>
    <w:rsid w:val="0776B3C0"/>
    <w:rsid w:val="077784B9"/>
    <w:rsid w:val="077E6946"/>
    <w:rsid w:val="07926BFC"/>
    <w:rsid w:val="07C00CC0"/>
    <w:rsid w:val="07C0B414"/>
    <w:rsid w:val="07C44B5C"/>
    <w:rsid w:val="07C51838"/>
    <w:rsid w:val="07CD727E"/>
    <w:rsid w:val="07D3FB88"/>
    <w:rsid w:val="07E2441C"/>
    <w:rsid w:val="07E2AC65"/>
    <w:rsid w:val="07F2718E"/>
    <w:rsid w:val="0800C665"/>
    <w:rsid w:val="080F5072"/>
    <w:rsid w:val="0815DF9D"/>
    <w:rsid w:val="0820ABD5"/>
    <w:rsid w:val="082BAA33"/>
    <w:rsid w:val="0835143A"/>
    <w:rsid w:val="083EB6E3"/>
    <w:rsid w:val="084B5F51"/>
    <w:rsid w:val="086D7D33"/>
    <w:rsid w:val="0875015F"/>
    <w:rsid w:val="08892BE1"/>
    <w:rsid w:val="0899A68A"/>
    <w:rsid w:val="08C0C843"/>
    <w:rsid w:val="08C3656A"/>
    <w:rsid w:val="08C91110"/>
    <w:rsid w:val="08CB60BC"/>
    <w:rsid w:val="08CBA50C"/>
    <w:rsid w:val="08E086F8"/>
    <w:rsid w:val="08E90F42"/>
    <w:rsid w:val="08F3A770"/>
    <w:rsid w:val="08F5E66C"/>
    <w:rsid w:val="0917E78E"/>
    <w:rsid w:val="0925DD37"/>
    <w:rsid w:val="093556E7"/>
    <w:rsid w:val="093C47C2"/>
    <w:rsid w:val="0940B022"/>
    <w:rsid w:val="094761C1"/>
    <w:rsid w:val="095258D5"/>
    <w:rsid w:val="0959E575"/>
    <w:rsid w:val="096BDD9E"/>
    <w:rsid w:val="0988719D"/>
    <w:rsid w:val="099D1CB3"/>
    <w:rsid w:val="09A1C2C7"/>
    <w:rsid w:val="09B7E088"/>
    <w:rsid w:val="09CB6B6F"/>
    <w:rsid w:val="09CFFCEF"/>
    <w:rsid w:val="09D0AF20"/>
    <w:rsid w:val="09F81703"/>
    <w:rsid w:val="09FDE071"/>
    <w:rsid w:val="0A1DBB40"/>
    <w:rsid w:val="0A1F03F4"/>
    <w:rsid w:val="0A1F1B4B"/>
    <w:rsid w:val="0A258C5A"/>
    <w:rsid w:val="0A29F4E3"/>
    <w:rsid w:val="0A351EB0"/>
    <w:rsid w:val="0A382675"/>
    <w:rsid w:val="0A46F74D"/>
    <w:rsid w:val="0A5342E9"/>
    <w:rsid w:val="0A5C13C2"/>
    <w:rsid w:val="0A73B377"/>
    <w:rsid w:val="0AAB6EFE"/>
    <w:rsid w:val="0AABC781"/>
    <w:rsid w:val="0AB46963"/>
    <w:rsid w:val="0AC8452F"/>
    <w:rsid w:val="0ACFF7E7"/>
    <w:rsid w:val="0AD2E352"/>
    <w:rsid w:val="0AD3D263"/>
    <w:rsid w:val="0AE47268"/>
    <w:rsid w:val="0AE646B3"/>
    <w:rsid w:val="0B0BA630"/>
    <w:rsid w:val="0B49A45C"/>
    <w:rsid w:val="0B4DF173"/>
    <w:rsid w:val="0B555E30"/>
    <w:rsid w:val="0B68F392"/>
    <w:rsid w:val="0B77524D"/>
    <w:rsid w:val="0B7E9B76"/>
    <w:rsid w:val="0BA61F56"/>
    <w:rsid w:val="0BAA3E14"/>
    <w:rsid w:val="0BB675D7"/>
    <w:rsid w:val="0BCA1974"/>
    <w:rsid w:val="0BD1B648"/>
    <w:rsid w:val="0BD848CD"/>
    <w:rsid w:val="0BDF6C0A"/>
    <w:rsid w:val="0BE25106"/>
    <w:rsid w:val="0BEAAD5E"/>
    <w:rsid w:val="0BEF436E"/>
    <w:rsid w:val="0BEF8118"/>
    <w:rsid w:val="0BF09AFD"/>
    <w:rsid w:val="0BFDBDAA"/>
    <w:rsid w:val="0C22F6A0"/>
    <w:rsid w:val="0C2DFFBC"/>
    <w:rsid w:val="0C3F4081"/>
    <w:rsid w:val="0C5227A2"/>
    <w:rsid w:val="0C578D5C"/>
    <w:rsid w:val="0C5A58E3"/>
    <w:rsid w:val="0C71B760"/>
    <w:rsid w:val="0C925F72"/>
    <w:rsid w:val="0CC6BAFD"/>
    <w:rsid w:val="0CCF1AD7"/>
    <w:rsid w:val="0CD40125"/>
    <w:rsid w:val="0CD6870B"/>
    <w:rsid w:val="0CEF7865"/>
    <w:rsid w:val="0CFAE7C9"/>
    <w:rsid w:val="0D017089"/>
    <w:rsid w:val="0D07425D"/>
    <w:rsid w:val="0D0D66F0"/>
    <w:rsid w:val="0D0D8817"/>
    <w:rsid w:val="0D268D00"/>
    <w:rsid w:val="0D37D3B0"/>
    <w:rsid w:val="0D381C8D"/>
    <w:rsid w:val="0D3CEBD0"/>
    <w:rsid w:val="0D4616E0"/>
    <w:rsid w:val="0D46FFFC"/>
    <w:rsid w:val="0D48F0FB"/>
    <w:rsid w:val="0D4CD217"/>
    <w:rsid w:val="0D5DF755"/>
    <w:rsid w:val="0D99F659"/>
    <w:rsid w:val="0D9F279F"/>
    <w:rsid w:val="0DA58A0C"/>
    <w:rsid w:val="0DBEC0ED"/>
    <w:rsid w:val="0DCA3A7D"/>
    <w:rsid w:val="0DD7E50F"/>
    <w:rsid w:val="0DD828FE"/>
    <w:rsid w:val="0DE3B182"/>
    <w:rsid w:val="0DE9D9B0"/>
    <w:rsid w:val="0DEB04D0"/>
    <w:rsid w:val="0E177B20"/>
    <w:rsid w:val="0E4502E5"/>
    <w:rsid w:val="0E4FD2F9"/>
    <w:rsid w:val="0E562830"/>
    <w:rsid w:val="0E67065F"/>
    <w:rsid w:val="0E6840C8"/>
    <w:rsid w:val="0E6B5CEE"/>
    <w:rsid w:val="0E86E025"/>
    <w:rsid w:val="0EAEB1F2"/>
    <w:rsid w:val="0ECED387"/>
    <w:rsid w:val="0EE38885"/>
    <w:rsid w:val="0EF9E76A"/>
    <w:rsid w:val="0F0122BE"/>
    <w:rsid w:val="0F1614FB"/>
    <w:rsid w:val="0F17872D"/>
    <w:rsid w:val="0F179996"/>
    <w:rsid w:val="0F1E972F"/>
    <w:rsid w:val="0F28C8F1"/>
    <w:rsid w:val="0F39BF13"/>
    <w:rsid w:val="0F404681"/>
    <w:rsid w:val="0F6D138A"/>
    <w:rsid w:val="0F7EB3CA"/>
    <w:rsid w:val="0F80EF64"/>
    <w:rsid w:val="0F8BB20B"/>
    <w:rsid w:val="0F9FAE75"/>
    <w:rsid w:val="0FA89189"/>
    <w:rsid w:val="0FB09FF9"/>
    <w:rsid w:val="0FBA134F"/>
    <w:rsid w:val="0FC28D81"/>
    <w:rsid w:val="0FC4D12F"/>
    <w:rsid w:val="0FDA433E"/>
    <w:rsid w:val="0FF634B6"/>
    <w:rsid w:val="10246E00"/>
    <w:rsid w:val="1028679D"/>
    <w:rsid w:val="102F3FAD"/>
    <w:rsid w:val="103EE2F5"/>
    <w:rsid w:val="1047C2CE"/>
    <w:rsid w:val="10564420"/>
    <w:rsid w:val="105B9C41"/>
    <w:rsid w:val="105CCD95"/>
    <w:rsid w:val="10689FAF"/>
    <w:rsid w:val="1074D3C1"/>
    <w:rsid w:val="1089153F"/>
    <w:rsid w:val="108B447B"/>
    <w:rsid w:val="10939B63"/>
    <w:rsid w:val="10ADEF41"/>
    <w:rsid w:val="10C090B0"/>
    <w:rsid w:val="10E82090"/>
    <w:rsid w:val="10E9F5EE"/>
    <w:rsid w:val="10EF24FC"/>
    <w:rsid w:val="10F186B6"/>
    <w:rsid w:val="10F39309"/>
    <w:rsid w:val="110BAD1D"/>
    <w:rsid w:val="11139483"/>
    <w:rsid w:val="1114752F"/>
    <w:rsid w:val="11511993"/>
    <w:rsid w:val="1165A055"/>
    <w:rsid w:val="1168DDE9"/>
    <w:rsid w:val="11724A9F"/>
    <w:rsid w:val="11749827"/>
    <w:rsid w:val="11764EE3"/>
    <w:rsid w:val="117D3269"/>
    <w:rsid w:val="118C0E5E"/>
    <w:rsid w:val="118F5741"/>
    <w:rsid w:val="1191D24A"/>
    <w:rsid w:val="119C46AC"/>
    <w:rsid w:val="11B51C24"/>
    <w:rsid w:val="11BB9D4A"/>
    <w:rsid w:val="11E78909"/>
    <w:rsid w:val="11F8D32A"/>
    <w:rsid w:val="1229DCF3"/>
    <w:rsid w:val="122C4533"/>
    <w:rsid w:val="12400D8C"/>
    <w:rsid w:val="1245F52C"/>
    <w:rsid w:val="12567980"/>
    <w:rsid w:val="126C4381"/>
    <w:rsid w:val="12772483"/>
    <w:rsid w:val="127C129A"/>
    <w:rsid w:val="129976F8"/>
    <w:rsid w:val="12CC127E"/>
    <w:rsid w:val="12D67216"/>
    <w:rsid w:val="12DC8804"/>
    <w:rsid w:val="12E3D3CB"/>
    <w:rsid w:val="12FA4FEC"/>
    <w:rsid w:val="130B40A2"/>
    <w:rsid w:val="13149422"/>
    <w:rsid w:val="131DD98D"/>
    <w:rsid w:val="1344CEED"/>
    <w:rsid w:val="135BDFD2"/>
    <w:rsid w:val="13741F5F"/>
    <w:rsid w:val="13A1BBFE"/>
    <w:rsid w:val="13A52294"/>
    <w:rsid w:val="13B4434D"/>
    <w:rsid w:val="13B51290"/>
    <w:rsid w:val="13C52867"/>
    <w:rsid w:val="13D49E24"/>
    <w:rsid w:val="13E9CA41"/>
    <w:rsid w:val="13EFF860"/>
    <w:rsid w:val="14034EA5"/>
    <w:rsid w:val="14066DFE"/>
    <w:rsid w:val="14162673"/>
    <w:rsid w:val="141DA20B"/>
    <w:rsid w:val="1423FF09"/>
    <w:rsid w:val="14290E3E"/>
    <w:rsid w:val="1429D51B"/>
    <w:rsid w:val="1433525B"/>
    <w:rsid w:val="143EA65F"/>
    <w:rsid w:val="1441834A"/>
    <w:rsid w:val="1445FAD1"/>
    <w:rsid w:val="14538254"/>
    <w:rsid w:val="14542180"/>
    <w:rsid w:val="145DF919"/>
    <w:rsid w:val="147DFF60"/>
    <w:rsid w:val="14A4E4E8"/>
    <w:rsid w:val="14AD2246"/>
    <w:rsid w:val="14D5D32B"/>
    <w:rsid w:val="14D9D173"/>
    <w:rsid w:val="14F3B5CC"/>
    <w:rsid w:val="14FD19A3"/>
    <w:rsid w:val="15031723"/>
    <w:rsid w:val="150A3509"/>
    <w:rsid w:val="150DFEFA"/>
    <w:rsid w:val="153263D1"/>
    <w:rsid w:val="15379EA3"/>
    <w:rsid w:val="15555B90"/>
    <w:rsid w:val="156C0B6B"/>
    <w:rsid w:val="1576F8EE"/>
    <w:rsid w:val="157B4D24"/>
    <w:rsid w:val="15800B4F"/>
    <w:rsid w:val="1598F421"/>
    <w:rsid w:val="15A7E8C7"/>
    <w:rsid w:val="15AA1817"/>
    <w:rsid w:val="15AFF129"/>
    <w:rsid w:val="15BB8CE7"/>
    <w:rsid w:val="15C397BC"/>
    <w:rsid w:val="15CB8847"/>
    <w:rsid w:val="15CE668D"/>
    <w:rsid w:val="15F6085D"/>
    <w:rsid w:val="15F96B0C"/>
    <w:rsid w:val="161B8200"/>
    <w:rsid w:val="162A8EAA"/>
    <w:rsid w:val="163E33DE"/>
    <w:rsid w:val="163FEB3C"/>
    <w:rsid w:val="165A2ADF"/>
    <w:rsid w:val="166B3160"/>
    <w:rsid w:val="166E0BA6"/>
    <w:rsid w:val="1680CD5D"/>
    <w:rsid w:val="16811D92"/>
    <w:rsid w:val="1687B6E8"/>
    <w:rsid w:val="16FFE279"/>
    <w:rsid w:val="17139DC1"/>
    <w:rsid w:val="17142F34"/>
    <w:rsid w:val="171B3D40"/>
    <w:rsid w:val="172770EE"/>
    <w:rsid w:val="1729A4A4"/>
    <w:rsid w:val="172EED6D"/>
    <w:rsid w:val="17354FDB"/>
    <w:rsid w:val="1739B3DA"/>
    <w:rsid w:val="174590F4"/>
    <w:rsid w:val="17753407"/>
    <w:rsid w:val="17761C5C"/>
    <w:rsid w:val="177D919C"/>
    <w:rsid w:val="17857554"/>
    <w:rsid w:val="1792F66A"/>
    <w:rsid w:val="17954645"/>
    <w:rsid w:val="17A2D9F9"/>
    <w:rsid w:val="17A8829E"/>
    <w:rsid w:val="17AD7A4D"/>
    <w:rsid w:val="17AFBA8E"/>
    <w:rsid w:val="17AFCDDF"/>
    <w:rsid w:val="17D3004F"/>
    <w:rsid w:val="17DB938F"/>
    <w:rsid w:val="17E0F5BC"/>
    <w:rsid w:val="1829F7D8"/>
    <w:rsid w:val="182E2067"/>
    <w:rsid w:val="1856314A"/>
    <w:rsid w:val="185EF68C"/>
    <w:rsid w:val="186C2A8B"/>
    <w:rsid w:val="18757564"/>
    <w:rsid w:val="187CE950"/>
    <w:rsid w:val="187E951E"/>
    <w:rsid w:val="189D20D0"/>
    <w:rsid w:val="18AC2920"/>
    <w:rsid w:val="18B3A116"/>
    <w:rsid w:val="18D69987"/>
    <w:rsid w:val="18DD7576"/>
    <w:rsid w:val="18FCA8D3"/>
    <w:rsid w:val="190D7E15"/>
    <w:rsid w:val="190EA3B5"/>
    <w:rsid w:val="1910607C"/>
    <w:rsid w:val="191481F4"/>
    <w:rsid w:val="19177055"/>
    <w:rsid w:val="192216F0"/>
    <w:rsid w:val="19282012"/>
    <w:rsid w:val="193E9FD0"/>
    <w:rsid w:val="195AE99C"/>
    <w:rsid w:val="19674962"/>
    <w:rsid w:val="197490ED"/>
    <w:rsid w:val="19858811"/>
    <w:rsid w:val="198820CE"/>
    <w:rsid w:val="1995241B"/>
    <w:rsid w:val="19986803"/>
    <w:rsid w:val="19BA77D4"/>
    <w:rsid w:val="19BDBFC7"/>
    <w:rsid w:val="19BE1EFD"/>
    <w:rsid w:val="19C01189"/>
    <w:rsid w:val="19CFF9F1"/>
    <w:rsid w:val="19DFB1C7"/>
    <w:rsid w:val="19EC579C"/>
    <w:rsid w:val="19F12006"/>
    <w:rsid w:val="1A04A446"/>
    <w:rsid w:val="1A1443C6"/>
    <w:rsid w:val="1A18EDAD"/>
    <w:rsid w:val="1A299FF1"/>
    <w:rsid w:val="1A2E2BC8"/>
    <w:rsid w:val="1A38F300"/>
    <w:rsid w:val="1A4CEBD1"/>
    <w:rsid w:val="1A5467C7"/>
    <w:rsid w:val="1A72B6BB"/>
    <w:rsid w:val="1A7EEF97"/>
    <w:rsid w:val="1A83ABE4"/>
    <w:rsid w:val="1A877626"/>
    <w:rsid w:val="1A8DD67A"/>
    <w:rsid w:val="1A8E41E2"/>
    <w:rsid w:val="1AA790B4"/>
    <w:rsid w:val="1AB4AA31"/>
    <w:rsid w:val="1AB63C9B"/>
    <w:rsid w:val="1AE3F968"/>
    <w:rsid w:val="1AE6AA50"/>
    <w:rsid w:val="1AF03839"/>
    <w:rsid w:val="1B104B5C"/>
    <w:rsid w:val="1B3F4DB3"/>
    <w:rsid w:val="1B50A1DA"/>
    <w:rsid w:val="1B5D5950"/>
    <w:rsid w:val="1B5DBBDB"/>
    <w:rsid w:val="1B641821"/>
    <w:rsid w:val="1B66A8EA"/>
    <w:rsid w:val="1B8ABB60"/>
    <w:rsid w:val="1B95B86A"/>
    <w:rsid w:val="1B99E86D"/>
    <w:rsid w:val="1BB6D153"/>
    <w:rsid w:val="1BB9A20C"/>
    <w:rsid w:val="1BC837A0"/>
    <w:rsid w:val="1BCA4962"/>
    <w:rsid w:val="1BEA40A3"/>
    <w:rsid w:val="1BED84D2"/>
    <w:rsid w:val="1BEFB2A8"/>
    <w:rsid w:val="1BF407C1"/>
    <w:rsid w:val="1BFB0365"/>
    <w:rsid w:val="1C1660E7"/>
    <w:rsid w:val="1C17D71E"/>
    <w:rsid w:val="1C1AC437"/>
    <w:rsid w:val="1C1D7645"/>
    <w:rsid w:val="1C251C2A"/>
    <w:rsid w:val="1C2FBB8D"/>
    <w:rsid w:val="1C48EA8B"/>
    <w:rsid w:val="1C54E175"/>
    <w:rsid w:val="1C5A804D"/>
    <w:rsid w:val="1C5CFE99"/>
    <w:rsid w:val="1CA4B6B4"/>
    <w:rsid w:val="1CA643F9"/>
    <w:rsid w:val="1CB223E4"/>
    <w:rsid w:val="1CBF2A18"/>
    <w:rsid w:val="1CC1FF16"/>
    <w:rsid w:val="1CC86A84"/>
    <w:rsid w:val="1CDA4127"/>
    <w:rsid w:val="1CEB3AE8"/>
    <w:rsid w:val="1CF5CAA7"/>
    <w:rsid w:val="1CFB5296"/>
    <w:rsid w:val="1CFC6553"/>
    <w:rsid w:val="1D1B850C"/>
    <w:rsid w:val="1D1F4224"/>
    <w:rsid w:val="1D30C4AA"/>
    <w:rsid w:val="1D4C219C"/>
    <w:rsid w:val="1D62C9B8"/>
    <w:rsid w:val="1D6C9930"/>
    <w:rsid w:val="1D7B2607"/>
    <w:rsid w:val="1D8EFC9D"/>
    <w:rsid w:val="1D905571"/>
    <w:rsid w:val="1D97FD56"/>
    <w:rsid w:val="1D9F4D0B"/>
    <w:rsid w:val="1DA3D30B"/>
    <w:rsid w:val="1DA9AE2C"/>
    <w:rsid w:val="1DACEBBF"/>
    <w:rsid w:val="1DC09C37"/>
    <w:rsid w:val="1DD4A1E8"/>
    <w:rsid w:val="1DD5A745"/>
    <w:rsid w:val="1DD91682"/>
    <w:rsid w:val="1DE37E53"/>
    <w:rsid w:val="1DEF2F39"/>
    <w:rsid w:val="1E058134"/>
    <w:rsid w:val="1E2F05FA"/>
    <w:rsid w:val="1E31ACB6"/>
    <w:rsid w:val="1E47EEA2"/>
    <w:rsid w:val="1E6E56BA"/>
    <w:rsid w:val="1E835950"/>
    <w:rsid w:val="1E893224"/>
    <w:rsid w:val="1E89F563"/>
    <w:rsid w:val="1E90B90D"/>
    <w:rsid w:val="1E930CE3"/>
    <w:rsid w:val="1EACACC8"/>
    <w:rsid w:val="1EB651EB"/>
    <w:rsid w:val="1ECF9F6A"/>
    <w:rsid w:val="1ED2CEFA"/>
    <w:rsid w:val="1EE396AB"/>
    <w:rsid w:val="1EE90DC9"/>
    <w:rsid w:val="1EFA0070"/>
    <w:rsid w:val="1F0F2AAC"/>
    <w:rsid w:val="1F24E703"/>
    <w:rsid w:val="1F313961"/>
    <w:rsid w:val="1F34A75F"/>
    <w:rsid w:val="1F410A48"/>
    <w:rsid w:val="1F45F225"/>
    <w:rsid w:val="1F490E54"/>
    <w:rsid w:val="1F4E77DF"/>
    <w:rsid w:val="1F7628A1"/>
    <w:rsid w:val="1FAB2AD3"/>
    <w:rsid w:val="1FB5670F"/>
    <w:rsid w:val="1FBAFE5D"/>
    <w:rsid w:val="1FED6FE5"/>
    <w:rsid w:val="2004D255"/>
    <w:rsid w:val="2006D0E6"/>
    <w:rsid w:val="201AAA3B"/>
    <w:rsid w:val="20226C8F"/>
    <w:rsid w:val="202A2625"/>
    <w:rsid w:val="202BA383"/>
    <w:rsid w:val="20459E55"/>
    <w:rsid w:val="205125CA"/>
    <w:rsid w:val="207A049C"/>
    <w:rsid w:val="207AA2F0"/>
    <w:rsid w:val="2090AFCE"/>
    <w:rsid w:val="20953B3D"/>
    <w:rsid w:val="20A6EE46"/>
    <w:rsid w:val="20B47DBA"/>
    <w:rsid w:val="20C5A813"/>
    <w:rsid w:val="20C6CA17"/>
    <w:rsid w:val="20CEB256"/>
    <w:rsid w:val="20EE10F3"/>
    <w:rsid w:val="20EF37A4"/>
    <w:rsid w:val="20FA3177"/>
    <w:rsid w:val="20FDB211"/>
    <w:rsid w:val="21113A30"/>
    <w:rsid w:val="21182AD2"/>
    <w:rsid w:val="211831E0"/>
    <w:rsid w:val="211B7226"/>
    <w:rsid w:val="212D6EC5"/>
    <w:rsid w:val="2131C6CA"/>
    <w:rsid w:val="21635E6D"/>
    <w:rsid w:val="2166AEDB"/>
    <w:rsid w:val="21676152"/>
    <w:rsid w:val="216AE50D"/>
    <w:rsid w:val="217E0D23"/>
    <w:rsid w:val="2190174B"/>
    <w:rsid w:val="21975DD9"/>
    <w:rsid w:val="21C82A61"/>
    <w:rsid w:val="21F51E72"/>
    <w:rsid w:val="22171D18"/>
    <w:rsid w:val="2229E861"/>
    <w:rsid w:val="222BCAE2"/>
    <w:rsid w:val="2230A07C"/>
    <w:rsid w:val="2237E7F2"/>
    <w:rsid w:val="2239AA7A"/>
    <w:rsid w:val="22416C9E"/>
    <w:rsid w:val="22794299"/>
    <w:rsid w:val="228C6E8D"/>
    <w:rsid w:val="229C5D1D"/>
    <w:rsid w:val="22A76102"/>
    <w:rsid w:val="22AC267B"/>
    <w:rsid w:val="22D178D1"/>
    <w:rsid w:val="22E5FC53"/>
    <w:rsid w:val="22F02F44"/>
    <w:rsid w:val="22F20C4B"/>
    <w:rsid w:val="23013352"/>
    <w:rsid w:val="23068992"/>
    <w:rsid w:val="23075C6E"/>
    <w:rsid w:val="231F8D79"/>
    <w:rsid w:val="233392D6"/>
    <w:rsid w:val="234C9C82"/>
    <w:rsid w:val="235435D4"/>
    <w:rsid w:val="2373BDF2"/>
    <w:rsid w:val="2391A60D"/>
    <w:rsid w:val="23926D8A"/>
    <w:rsid w:val="23A4AFCC"/>
    <w:rsid w:val="23B1AE22"/>
    <w:rsid w:val="23B1F818"/>
    <w:rsid w:val="23B25263"/>
    <w:rsid w:val="23CD8A31"/>
    <w:rsid w:val="23E6463B"/>
    <w:rsid w:val="23F17D48"/>
    <w:rsid w:val="23F74946"/>
    <w:rsid w:val="23FB4DA7"/>
    <w:rsid w:val="241EE044"/>
    <w:rsid w:val="242E9B5A"/>
    <w:rsid w:val="2471FCC1"/>
    <w:rsid w:val="24786C18"/>
    <w:rsid w:val="247F2F54"/>
    <w:rsid w:val="24862104"/>
    <w:rsid w:val="249EA712"/>
    <w:rsid w:val="24A01CAE"/>
    <w:rsid w:val="24CFB172"/>
    <w:rsid w:val="24D3D207"/>
    <w:rsid w:val="24D5F227"/>
    <w:rsid w:val="24F66264"/>
    <w:rsid w:val="24F9DCA1"/>
    <w:rsid w:val="24FAC5E4"/>
    <w:rsid w:val="251F14CE"/>
    <w:rsid w:val="2548E65B"/>
    <w:rsid w:val="2565D14A"/>
    <w:rsid w:val="256F5A16"/>
    <w:rsid w:val="259C566A"/>
    <w:rsid w:val="25A32FB5"/>
    <w:rsid w:val="25A33402"/>
    <w:rsid w:val="25B4BE0D"/>
    <w:rsid w:val="25BA6424"/>
    <w:rsid w:val="25BB71A6"/>
    <w:rsid w:val="25D5BBC8"/>
    <w:rsid w:val="25D9A94B"/>
    <w:rsid w:val="25DE67FC"/>
    <w:rsid w:val="25DEB056"/>
    <w:rsid w:val="25E14D59"/>
    <w:rsid w:val="25EFFC3D"/>
    <w:rsid w:val="25F61813"/>
    <w:rsid w:val="25F9BB12"/>
    <w:rsid w:val="2619FAAC"/>
    <w:rsid w:val="263C8BB6"/>
    <w:rsid w:val="26559FC5"/>
    <w:rsid w:val="2656EDAF"/>
    <w:rsid w:val="2666C297"/>
    <w:rsid w:val="266BED18"/>
    <w:rsid w:val="266CB04F"/>
    <w:rsid w:val="266F4DCF"/>
    <w:rsid w:val="26737E8E"/>
    <w:rsid w:val="2685E069"/>
    <w:rsid w:val="268B2FD0"/>
    <w:rsid w:val="26981139"/>
    <w:rsid w:val="269FC09D"/>
    <w:rsid w:val="26A66134"/>
    <w:rsid w:val="26B78389"/>
    <w:rsid w:val="26E7E469"/>
    <w:rsid w:val="26EA0CC3"/>
    <w:rsid w:val="26F15F2E"/>
    <w:rsid w:val="26F308B0"/>
    <w:rsid w:val="26F7F27E"/>
    <w:rsid w:val="26FDDFF4"/>
    <w:rsid w:val="270089E1"/>
    <w:rsid w:val="27010CC6"/>
    <w:rsid w:val="270210C8"/>
    <w:rsid w:val="27066E97"/>
    <w:rsid w:val="271D487E"/>
    <w:rsid w:val="2722CF22"/>
    <w:rsid w:val="272C98DB"/>
    <w:rsid w:val="275C99DC"/>
    <w:rsid w:val="2767BCAA"/>
    <w:rsid w:val="27716E82"/>
    <w:rsid w:val="2771ADF6"/>
    <w:rsid w:val="27821D81"/>
    <w:rsid w:val="278E6531"/>
    <w:rsid w:val="279919B1"/>
    <w:rsid w:val="27AA5920"/>
    <w:rsid w:val="27B3C7D6"/>
    <w:rsid w:val="27B7AFA3"/>
    <w:rsid w:val="27C57898"/>
    <w:rsid w:val="27C932FD"/>
    <w:rsid w:val="27E16B92"/>
    <w:rsid w:val="28008C82"/>
    <w:rsid w:val="2801B1F2"/>
    <w:rsid w:val="28058914"/>
    <w:rsid w:val="281659AC"/>
    <w:rsid w:val="28191839"/>
    <w:rsid w:val="281CA725"/>
    <w:rsid w:val="2838C8B2"/>
    <w:rsid w:val="2847E610"/>
    <w:rsid w:val="28515600"/>
    <w:rsid w:val="285CE053"/>
    <w:rsid w:val="2866133D"/>
    <w:rsid w:val="286FDE99"/>
    <w:rsid w:val="28710F61"/>
    <w:rsid w:val="287FA58D"/>
    <w:rsid w:val="2892AD16"/>
    <w:rsid w:val="28A3989C"/>
    <w:rsid w:val="28AB4E7C"/>
    <w:rsid w:val="28B43258"/>
    <w:rsid w:val="28C72258"/>
    <w:rsid w:val="28D8FC63"/>
    <w:rsid w:val="28F38CA7"/>
    <w:rsid w:val="28F9ED98"/>
    <w:rsid w:val="29120D86"/>
    <w:rsid w:val="29193E66"/>
    <w:rsid w:val="2920D155"/>
    <w:rsid w:val="293201C9"/>
    <w:rsid w:val="2932C783"/>
    <w:rsid w:val="293E9710"/>
    <w:rsid w:val="294B002F"/>
    <w:rsid w:val="294CDC09"/>
    <w:rsid w:val="2958C9AB"/>
    <w:rsid w:val="296683DC"/>
    <w:rsid w:val="2990716F"/>
    <w:rsid w:val="2991D2F8"/>
    <w:rsid w:val="2992E46C"/>
    <w:rsid w:val="29939C95"/>
    <w:rsid w:val="29C81002"/>
    <w:rsid w:val="29EACB2E"/>
    <w:rsid w:val="29F794DD"/>
    <w:rsid w:val="29FBF97A"/>
    <w:rsid w:val="2A087E98"/>
    <w:rsid w:val="2A219AB4"/>
    <w:rsid w:val="2A2318E4"/>
    <w:rsid w:val="2A304595"/>
    <w:rsid w:val="2A3B74F8"/>
    <w:rsid w:val="2A473581"/>
    <w:rsid w:val="2A50463C"/>
    <w:rsid w:val="2A888FF5"/>
    <w:rsid w:val="2A88DE1A"/>
    <w:rsid w:val="2A8D9889"/>
    <w:rsid w:val="2A953D2B"/>
    <w:rsid w:val="2AB65673"/>
    <w:rsid w:val="2AB8EF45"/>
    <w:rsid w:val="2ABAEA7E"/>
    <w:rsid w:val="2ABCFC68"/>
    <w:rsid w:val="2AD1001A"/>
    <w:rsid w:val="2AF4CA88"/>
    <w:rsid w:val="2B06D78D"/>
    <w:rsid w:val="2B16E5C5"/>
    <w:rsid w:val="2B40CED4"/>
    <w:rsid w:val="2B486F7E"/>
    <w:rsid w:val="2B4FD647"/>
    <w:rsid w:val="2B92EF6A"/>
    <w:rsid w:val="2BA2C4F8"/>
    <w:rsid w:val="2BA916B2"/>
    <w:rsid w:val="2BB856D5"/>
    <w:rsid w:val="2BC6A27A"/>
    <w:rsid w:val="2BCD2CC4"/>
    <w:rsid w:val="2BD0FBCE"/>
    <w:rsid w:val="2BD9B812"/>
    <w:rsid w:val="2BE635D7"/>
    <w:rsid w:val="2BE6B9C8"/>
    <w:rsid w:val="2BF50CFD"/>
    <w:rsid w:val="2BFE16AF"/>
    <w:rsid w:val="2C0830C1"/>
    <w:rsid w:val="2C18CAAD"/>
    <w:rsid w:val="2C334521"/>
    <w:rsid w:val="2C362522"/>
    <w:rsid w:val="2C3741D7"/>
    <w:rsid w:val="2C498A98"/>
    <w:rsid w:val="2C4FAE06"/>
    <w:rsid w:val="2C57DF07"/>
    <w:rsid w:val="2C6DD554"/>
    <w:rsid w:val="2C6E6A24"/>
    <w:rsid w:val="2C7FDC7E"/>
    <w:rsid w:val="2C814268"/>
    <w:rsid w:val="2C8F2B97"/>
    <w:rsid w:val="2C92C629"/>
    <w:rsid w:val="2C95DA6B"/>
    <w:rsid w:val="2CA5F627"/>
    <w:rsid w:val="2CC3C2F3"/>
    <w:rsid w:val="2CC62F33"/>
    <w:rsid w:val="2CC9C355"/>
    <w:rsid w:val="2CDD5558"/>
    <w:rsid w:val="2CE44CF0"/>
    <w:rsid w:val="2CF1755C"/>
    <w:rsid w:val="2CF4B76D"/>
    <w:rsid w:val="2CF6545D"/>
    <w:rsid w:val="2CF68F33"/>
    <w:rsid w:val="2D07481B"/>
    <w:rsid w:val="2D1250ED"/>
    <w:rsid w:val="2D210258"/>
    <w:rsid w:val="2D295D29"/>
    <w:rsid w:val="2D33628E"/>
    <w:rsid w:val="2D4FAA11"/>
    <w:rsid w:val="2D53D2C4"/>
    <w:rsid w:val="2D54DAF5"/>
    <w:rsid w:val="2D5571DC"/>
    <w:rsid w:val="2D565095"/>
    <w:rsid w:val="2D5725ED"/>
    <w:rsid w:val="2D58ECE9"/>
    <w:rsid w:val="2D6112ED"/>
    <w:rsid w:val="2D728FE9"/>
    <w:rsid w:val="2D772A17"/>
    <w:rsid w:val="2D80A927"/>
    <w:rsid w:val="2D866E60"/>
    <w:rsid w:val="2D89E232"/>
    <w:rsid w:val="2D9F48F3"/>
    <w:rsid w:val="2D9FC683"/>
    <w:rsid w:val="2DA0EFBB"/>
    <w:rsid w:val="2DA7653B"/>
    <w:rsid w:val="2DBA9EED"/>
    <w:rsid w:val="2DD2E144"/>
    <w:rsid w:val="2DE9BB68"/>
    <w:rsid w:val="2DF9710F"/>
    <w:rsid w:val="2E024313"/>
    <w:rsid w:val="2E0FE193"/>
    <w:rsid w:val="2E30F186"/>
    <w:rsid w:val="2E33CB66"/>
    <w:rsid w:val="2E3B34F4"/>
    <w:rsid w:val="2E43B507"/>
    <w:rsid w:val="2E45B4E6"/>
    <w:rsid w:val="2E53764A"/>
    <w:rsid w:val="2E574A9B"/>
    <w:rsid w:val="2E5AD1C3"/>
    <w:rsid w:val="2E5DBC37"/>
    <w:rsid w:val="2EA05FCD"/>
    <w:rsid w:val="2EA925B4"/>
    <w:rsid w:val="2EAABC27"/>
    <w:rsid w:val="2EC230C7"/>
    <w:rsid w:val="2ED66C4E"/>
    <w:rsid w:val="2EDFC7A8"/>
    <w:rsid w:val="2EE0DC85"/>
    <w:rsid w:val="2EE3B1DB"/>
    <w:rsid w:val="2EE6E0D9"/>
    <w:rsid w:val="2F4C37B2"/>
    <w:rsid w:val="2F5BCB01"/>
    <w:rsid w:val="2F5E6C4A"/>
    <w:rsid w:val="2F61266A"/>
    <w:rsid w:val="2F69594E"/>
    <w:rsid w:val="2F8C20C6"/>
    <w:rsid w:val="2F8E23EC"/>
    <w:rsid w:val="2F9AC85C"/>
    <w:rsid w:val="2FC2597F"/>
    <w:rsid w:val="2FE44D34"/>
    <w:rsid w:val="3002F7AF"/>
    <w:rsid w:val="301DEEF6"/>
    <w:rsid w:val="3028FACD"/>
    <w:rsid w:val="3037931B"/>
    <w:rsid w:val="303AC0CE"/>
    <w:rsid w:val="305ACBDF"/>
    <w:rsid w:val="305D8C55"/>
    <w:rsid w:val="307878F7"/>
    <w:rsid w:val="308120DB"/>
    <w:rsid w:val="30864501"/>
    <w:rsid w:val="308C5261"/>
    <w:rsid w:val="308D94F3"/>
    <w:rsid w:val="30A03C24"/>
    <w:rsid w:val="30B8D7FA"/>
    <w:rsid w:val="30C754C6"/>
    <w:rsid w:val="30CB8936"/>
    <w:rsid w:val="30D0C40F"/>
    <w:rsid w:val="30D10E45"/>
    <w:rsid w:val="30D58222"/>
    <w:rsid w:val="30F192E8"/>
    <w:rsid w:val="30F7F16B"/>
    <w:rsid w:val="30F80075"/>
    <w:rsid w:val="31092CC1"/>
    <w:rsid w:val="31172F47"/>
    <w:rsid w:val="3120A3F3"/>
    <w:rsid w:val="3158D1F6"/>
    <w:rsid w:val="315AEB5D"/>
    <w:rsid w:val="315C0DB2"/>
    <w:rsid w:val="316B00AF"/>
    <w:rsid w:val="3172745C"/>
    <w:rsid w:val="3182FC09"/>
    <w:rsid w:val="31842ED1"/>
    <w:rsid w:val="3199C6DC"/>
    <w:rsid w:val="319F9EF8"/>
    <w:rsid w:val="31A167D0"/>
    <w:rsid w:val="31A50728"/>
    <w:rsid w:val="31B2AABF"/>
    <w:rsid w:val="31C6F281"/>
    <w:rsid w:val="31D9273A"/>
    <w:rsid w:val="31DF61B2"/>
    <w:rsid w:val="31F0849D"/>
    <w:rsid w:val="31F0AA28"/>
    <w:rsid w:val="3209B896"/>
    <w:rsid w:val="320F2329"/>
    <w:rsid w:val="3211D917"/>
    <w:rsid w:val="321D22AC"/>
    <w:rsid w:val="322E3A7A"/>
    <w:rsid w:val="3245B8E4"/>
    <w:rsid w:val="324E035D"/>
    <w:rsid w:val="325338C5"/>
    <w:rsid w:val="325A3A8D"/>
    <w:rsid w:val="325D5451"/>
    <w:rsid w:val="3266C668"/>
    <w:rsid w:val="32685F28"/>
    <w:rsid w:val="326B0E00"/>
    <w:rsid w:val="32786356"/>
    <w:rsid w:val="3293FD12"/>
    <w:rsid w:val="329C8EB4"/>
    <w:rsid w:val="32A0A0AA"/>
    <w:rsid w:val="32A4970C"/>
    <w:rsid w:val="32AE883B"/>
    <w:rsid w:val="32CAD38B"/>
    <w:rsid w:val="32CCD668"/>
    <w:rsid w:val="32DA8522"/>
    <w:rsid w:val="32EF7BC7"/>
    <w:rsid w:val="32F13701"/>
    <w:rsid w:val="32F40ED9"/>
    <w:rsid w:val="330D3D24"/>
    <w:rsid w:val="330EEDE8"/>
    <w:rsid w:val="331D50E5"/>
    <w:rsid w:val="3344E257"/>
    <w:rsid w:val="335D6812"/>
    <w:rsid w:val="336A4C86"/>
    <w:rsid w:val="33804D6B"/>
    <w:rsid w:val="338A4CE4"/>
    <w:rsid w:val="338D4951"/>
    <w:rsid w:val="33923D18"/>
    <w:rsid w:val="339468AC"/>
    <w:rsid w:val="33B0B9AC"/>
    <w:rsid w:val="33B665C3"/>
    <w:rsid w:val="33BA54F1"/>
    <w:rsid w:val="33E2022D"/>
    <w:rsid w:val="33EDEC03"/>
    <w:rsid w:val="33F17DB2"/>
    <w:rsid w:val="33F79BC5"/>
    <w:rsid w:val="341CF8EE"/>
    <w:rsid w:val="34359376"/>
    <w:rsid w:val="344354AC"/>
    <w:rsid w:val="3454A208"/>
    <w:rsid w:val="3455C51B"/>
    <w:rsid w:val="3471192B"/>
    <w:rsid w:val="34754D94"/>
    <w:rsid w:val="347814A4"/>
    <w:rsid w:val="3494E797"/>
    <w:rsid w:val="349DE1B9"/>
    <w:rsid w:val="349E2C8F"/>
    <w:rsid w:val="34A50104"/>
    <w:rsid w:val="34AB8B9A"/>
    <w:rsid w:val="34B6432B"/>
    <w:rsid w:val="34C460A6"/>
    <w:rsid w:val="34C81ECD"/>
    <w:rsid w:val="34CCC9C6"/>
    <w:rsid w:val="34CE846D"/>
    <w:rsid w:val="34F48651"/>
    <w:rsid w:val="35047DEA"/>
    <w:rsid w:val="350ECB4A"/>
    <w:rsid w:val="3515D96B"/>
    <w:rsid w:val="351704A9"/>
    <w:rsid w:val="351BB56B"/>
    <w:rsid w:val="351CE313"/>
    <w:rsid w:val="3534C39E"/>
    <w:rsid w:val="355813AE"/>
    <w:rsid w:val="355A6AE5"/>
    <w:rsid w:val="355D68AE"/>
    <w:rsid w:val="3584FFD5"/>
    <w:rsid w:val="358BF0D4"/>
    <w:rsid w:val="35980F79"/>
    <w:rsid w:val="359A7E19"/>
    <w:rsid w:val="35A493CE"/>
    <w:rsid w:val="35A4BDC1"/>
    <w:rsid w:val="35A69B9C"/>
    <w:rsid w:val="35BFE781"/>
    <w:rsid w:val="35D978FE"/>
    <w:rsid w:val="35DADC47"/>
    <w:rsid w:val="35E99027"/>
    <w:rsid w:val="35F8FB61"/>
    <w:rsid w:val="35FA8EFB"/>
    <w:rsid w:val="360B4FF1"/>
    <w:rsid w:val="3614C26F"/>
    <w:rsid w:val="3633F322"/>
    <w:rsid w:val="3649353D"/>
    <w:rsid w:val="36608782"/>
    <w:rsid w:val="3666E591"/>
    <w:rsid w:val="36843D45"/>
    <w:rsid w:val="368BC3EE"/>
    <w:rsid w:val="36950D1E"/>
    <w:rsid w:val="36A05431"/>
    <w:rsid w:val="36AE252C"/>
    <w:rsid w:val="36B38A6E"/>
    <w:rsid w:val="36C482A2"/>
    <w:rsid w:val="36C559D1"/>
    <w:rsid w:val="36C56F7E"/>
    <w:rsid w:val="36E1C15A"/>
    <w:rsid w:val="36E32E79"/>
    <w:rsid w:val="36F520E8"/>
    <w:rsid w:val="36FB76CD"/>
    <w:rsid w:val="370A02DE"/>
    <w:rsid w:val="3717AC2E"/>
    <w:rsid w:val="371D7450"/>
    <w:rsid w:val="372A0E82"/>
    <w:rsid w:val="372C87F3"/>
    <w:rsid w:val="373DBBF2"/>
    <w:rsid w:val="37624266"/>
    <w:rsid w:val="377BEB22"/>
    <w:rsid w:val="37B4D94D"/>
    <w:rsid w:val="37BF9D0B"/>
    <w:rsid w:val="37C8D574"/>
    <w:rsid w:val="37E9F3D2"/>
    <w:rsid w:val="37F0FBB5"/>
    <w:rsid w:val="37FA4063"/>
    <w:rsid w:val="380A9D83"/>
    <w:rsid w:val="380B6C35"/>
    <w:rsid w:val="382BA8FC"/>
    <w:rsid w:val="3847EBF6"/>
    <w:rsid w:val="384D7739"/>
    <w:rsid w:val="3851B68A"/>
    <w:rsid w:val="385D47F5"/>
    <w:rsid w:val="3862F8BC"/>
    <w:rsid w:val="38702BA1"/>
    <w:rsid w:val="3892C5F7"/>
    <w:rsid w:val="389A7B7E"/>
    <w:rsid w:val="389FD033"/>
    <w:rsid w:val="38A82371"/>
    <w:rsid w:val="38AE0D73"/>
    <w:rsid w:val="38AFC59F"/>
    <w:rsid w:val="38B1FCBE"/>
    <w:rsid w:val="38BEC57C"/>
    <w:rsid w:val="38C1F913"/>
    <w:rsid w:val="38DB359A"/>
    <w:rsid w:val="38EC5660"/>
    <w:rsid w:val="39015CEB"/>
    <w:rsid w:val="390BCB06"/>
    <w:rsid w:val="39169415"/>
    <w:rsid w:val="39214EC5"/>
    <w:rsid w:val="3924C6E7"/>
    <w:rsid w:val="392AB2C4"/>
    <w:rsid w:val="393D914E"/>
    <w:rsid w:val="3944A37D"/>
    <w:rsid w:val="39480382"/>
    <w:rsid w:val="394AF7C2"/>
    <w:rsid w:val="394E34DB"/>
    <w:rsid w:val="395299DD"/>
    <w:rsid w:val="39695E51"/>
    <w:rsid w:val="396C6657"/>
    <w:rsid w:val="39750A42"/>
    <w:rsid w:val="398089AD"/>
    <w:rsid w:val="398260F6"/>
    <w:rsid w:val="39839153"/>
    <w:rsid w:val="39857A43"/>
    <w:rsid w:val="398F5124"/>
    <w:rsid w:val="399A4B53"/>
    <w:rsid w:val="399E7B8A"/>
    <w:rsid w:val="39A5C77E"/>
    <w:rsid w:val="39AF486E"/>
    <w:rsid w:val="39B24F79"/>
    <w:rsid w:val="39B96C41"/>
    <w:rsid w:val="39BDEDE3"/>
    <w:rsid w:val="39BE4771"/>
    <w:rsid w:val="39D8DDE2"/>
    <w:rsid w:val="39D97E56"/>
    <w:rsid w:val="39EAD6B6"/>
    <w:rsid w:val="3A00976D"/>
    <w:rsid w:val="3A0E44F9"/>
    <w:rsid w:val="3A1A37C3"/>
    <w:rsid w:val="3A2217BB"/>
    <w:rsid w:val="3A33CF28"/>
    <w:rsid w:val="3A37586E"/>
    <w:rsid w:val="3A380EA2"/>
    <w:rsid w:val="3A5DE603"/>
    <w:rsid w:val="3A6616F4"/>
    <w:rsid w:val="3A681E46"/>
    <w:rsid w:val="3A8193B6"/>
    <w:rsid w:val="3A832341"/>
    <w:rsid w:val="3A89AF3E"/>
    <w:rsid w:val="3A93B418"/>
    <w:rsid w:val="3A9D014F"/>
    <w:rsid w:val="3A9E55D6"/>
    <w:rsid w:val="3A9FD079"/>
    <w:rsid w:val="3AA48B3E"/>
    <w:rsid w:val="3AB7EB63"/>
    <w:rsid w:val="3ABF8DCC"/>
    <w:rsid w:val="3AE08CF7"/>
    <w:rsid w:val="3AE38DE0"/>
    <w:rsid w:val="3AE8FFD1"/>
    <w:rsid w:val="3AEA79EB"/>
    <w:rsid w:val="3AF884C1"/>
    <w:rsid w:val="3AF9F3B6"/>
    <w:rsid w:val="3AFECA27"/>
    <w:rsid w:val="3B02C943"/>
    <w:rsid w:val="3B058F25"/>
    <w:rsid w:val="3B0C6371"/>
    <w:rsid w:val="3B17082B"/>
    <w:rsid w:val="3B1788F8"/>
    <w:rsid w:val="3B2A9E17"/>
    <w:rsid w:val="3B34E557"/>
    <w:rsid w:val="3B3A5CB6"/>
    <w:rsid w:val="3B50FC45"/>
    <w:rsid w:val="3B654FE1"/>
    <w:rsid w:val="3B6C99A7"/>
    <w:rsid w:val="3B7CBBC3"/>
    <w:rsid w:val="3B7F7D5D"/>
    <w:rsid w:val="3B82C0DF"/>
    <w:rsid w:val="3B8EF05B"/>
    <w:rsid w:val="3B9E8DA7"/>
    <w:rsid w:val="3BA61454"/>
    <w:rsid w:val="3BA701F2"/>
    <w:rsid w:val="3BACBBC9"/>
    <w:rsid w:val="3BB4EE22"/>
    <w:rsid w:val="3BB6268A"/>
    <w:rsid w:val="3BB9B25C"/>
    <w:rsid w:val="3BBCEB76"/>
    <w:rsid w:val="3BC7C56B"/>
    <w:rsid w:val="3BF9532B"/>
    <w:rsid w:val="3C08DFEB"/>
    <w:rsid w:val="3C1CFDB4"/>
    <w:rsid w:val="3C282C15"/>
    <w:rsid w:val="3C2C93A4"/>
    <w:rsid w:val="3C582A55"/>
    <w:rsid w:val="3C5AC084"/>
    <w:rsid w:val="3C6D89B7"/>
    <w:rsid w:val="3C7CB3D6"/>
    <w:rsid w:val="3C9AD798"/>
    <w:rsid w:val="3C9BCB1B"/>
    <w:rsid w:val="3CA0C2E1"/>
    <w:rsid w:val="3CA97E87"/>
    <w:rsid w:val="3CC3CD83"/>
    <w:rsid w:val="3CC53C49"/>
    <w:rsid w:val="3CCEAAE5"/>
    <w:rsid w:val="3CD41A19"/>
    <w:rsid w:val="3CE83605"/>
    <w:rsid w:val="3CE9C530"/>
    <w:rsid w:val="3D03B913"/>
    <w:rsid w:val="3D08DABC"/>
    <w:rsid w:val="3D099EE6"/>
    <w:rsid w:val="3D121E91"/>
    <w:rsid w:val="3D240381"/>
    <w:rsid w:val="3D2A20FD"/>
    <w:rsid w:val="3D2AD4E0"/>
    <w:rsid w:val="3D3846E0"/>
    <w:rsid w:val="3D712736"/>
    <w:rsid w:val="3D816CC0"/>
    <w:rsid w:val="3D8BA3E5"/>
    <w:rsid w:val="3D9273CC"/>
    <w:rsid w:val="3DA0A0D8"/>
    <w:rsid w:val="3DA0DFC6"/>
    <w:rsid w:val="3DB171CD"/>
    <w:rsid w:val="3DBBBB9E"/>
    <w:rsid w:val="3DC08958"/>
    <w:rsid w:val="3DD12F0F"/>
    <w:rsid w:val="3DF2724C"/>
    <w:rsid w:val="3DF2F119"/>
    <w:rsid w:val="3DF382A5"/>
    <w:rsid w:val="3E08E328"/>
    <w:rsid w:val="3E22A406"/>
    <w:rsid w:val="3E238648"/>
    <w:rsid w:val="3E29C418"/>
    <w:rsid w:val="3E43A430"/>
    <w:rsid w:val="3E52B3F8"/>
    <w:rsid w:val="3E5A2556"/>
    <w:rsid w:val="3E76FAA6"/>
    <w:rsid w:val="3E8E6F44"/>
    <w:rsid w:val="3EA445AB"/>
    <w:rsid w:val="3EB052ED"/>
    <w:rsid w:val="3EBFD3E2"/>
    <w:rsid w:val="3ECBF8BA"/>
    <w:rsid w:val="3ECD130E"/>
    <w:rsid w:val="3ED28F47"/>
    <w:rsid w:val="3ED3BFF6"/>
    <w:rsid w:val="3ED96EBA"/>
    <w:rsid w:val="3EE62D8D"/>
    <w:rsid w:val="3EF1DC89"/>
    <w:rsid w:val="3F1C3D7E"/>
    <w:rsid w:val="3F30F563"/>
    <w:rsid w:val="3F51A763"/>
    <w:rsid w:val="3F5699F3"/>
    <w:rsid w:val="3F6D1B79"/>
    <w:rsid w:val="3F797E3D"/>
    <w:rsid w:val="3FA40471"/>
    <w:rsid w:val="3FC295F2"/>
    <w:rsid w:val="3FC39303"/>
    <w:rsid w:val="3FCCA2F7"/>
    <w:rsid w:val="3FE6352F"/>
    <w:rsid w:val="3FF46E0E"/>
    <w:rsid w:val="3FF591EC"/>
    <w:rsid w:val="400439EB"/>
    <w:rsid w:val="4012460F"/>
    <w:rsid w:val="401C2B8B"/>
    <w:rsid w:val="401F7C90"/>
    <w:rsid w:val="4028B0B1"/>
    <w:rsid w:val="403592A7"/>
    <w:rsid w:val="403F5F6E"/>
    <w:rsid w:val="4040EA35"/>
    <w:rsid w:val="405950B1"/>
    <w:rsid w:val="405D89ED"/>
    <w:rsid w:val="405EC136"/>
    <w:rsid w:val="4071FD93"/>
    <w:rsid w:val="408D7ADA"/>
    <w:rsid w:val="4098D459"/>
    <w:rsid w:val="40B85740"/>
    <w:rsid w:val="40C867E9"/>
    <w:rsid w:val="40CD195F"/>
    <w:rsid w:val="40CE7D5C"/>
    <w:rsid w:val="40D07583"/>
    <w:rsid w:val="40D839B6"/>
    <w:rsid w:val="40DEA107"/>
    <w:rsid w:val="40E217F1"/>
    <w:rsid w:val="40FA9F65"/>
    <w:rsid w:val="40FBC433"/>
    <w:rsid w:val="40FBEB71"/>
    <w:rsid w:val="410A5483"/>
    <w:rsid w:val="411B5EC6"/>
    <w:rsid w:val="413956C9"/>
    <w:rsid w:val="4149BA4A"/>
    <w:rsid w:val="414B7467"/>
    <w:rsid w:val="414FDB24"/>
    <w:rsid w:val="4164A2C2"/>
    <w:rsid w:val="41698645"/>
    <w:rsid w:val="4180B09B"/>
    <w:rsid w:val="4183B96F"/>
    <w:rsid w:val="419BEBF1"/>
    <w:rsid w:val="419F922A"/>
    <w:rsid w:val="41A8693F"/>
    <w:rsid w:val="41B7B676"/>
    <w:rsid w:val="41BAC3DD"/>
    <w:rsid w:val="41C4E865"/>
    <w:rsid w:val="41CBBCCE"/>
    <w:rsid w:val="41CE44F2"/>
    <w:rsid w:val="41E1E84C"/>
    <w:rsid w:val="41F0BCFB"/>
    <w:rsid w:val="41F657D0"/>
    <w:rsid w:val="41F69471"/>
    <w:rsid w:val="41FEC2CF"/>
    <w:rsid w:val="4205EE73"/>
    <w:rsid w:val="4213C547"/>
    <w:rsid w:val="421698A2"/>
    <w:rsid w:val="421BDF33"/>
    <w:rsid w:val="4221F985"/>
    <w:rsid w:val="4243B9BE"/>
    <w:rsid w:val="42516D71"/>
    <w:rsid w:val="42523890"/>
    <w:rsid w:val="42585077"/>
    <w:rsid w:val="427B81F2"/>
    <w:rsid w:val="428A7CF0"/>
    <w:rsid w:val="42A59CAA"/>
    <w:rsid w:val="42CA1140"/>
    <w:rsid w:val="42CC80CA"/>
    <w:rsid w:val="42CDAD0C"/>
    <w:rsid w:val="42DA0349"/>
    <w:rsid w:val="431A797B"/>
    <w:rsid w:val="432D6FC0"/>
    <w:rsid w:val="43367A6F"/>
    <w:rsid w:val="435D735A"/>
    <w:rsid w:val="43640FEE"/>
    <w:rsid w:val="4365254C"/>
    <w:rsid w:val="4369CAA6"/>
    <w:rsid w:val="4372D525"/>
    <w:rsid w:val="437B0742"/>
    <w:rsid w:val="437BA631"/>
    <w:rsid w:val="4390B65F"/>
    <w:rsid w:val="43A50EB5"/>
    <w:rsid w:val="43B20FF1"/>
    <w:rsid w:val="43BEC4E7"/>
    <w:rsid w:val="43C0ACAD"/>
    <w:rsid w:val="43D48879"/>
    <w:rsid w:val="43EE43F5"/>
    <w:rsid w:val="43F2BD9C"/>
    <w:rsid w:val="440D5392"/>
    <w:rsid w:val="44138D29"/>
    <w:rsid w:val="441E5385"/>
    <w:rsid w:val="44262F17"/>
    <w:rsid w:val="442C2982"/>
    <w:rsid w:val="442E2C95"/>
    <w:rsid w:val="4440AED9"/>
    <w:rsid w:val="44585256"/>
    <w:rsid w:val="44643815"/>
    <w:rsid w:val="4465DBFD"/>
    <w:rsid w:val="44677A21"/>
    <w:rsid w:val="446E9C04"/>
    <w:rsid w:val="447BC93E"/>
    <w:rsid w:val="448444B3"/>
    <w:rsid w:val="448A7568"/>
    <w:rsid w:val="448B0E0B"/>
    <w:rsid w:val="448B2C3B"/>
    <w:rsid w:val="4497199C"/>
    <w:rsid w:val="44973D82"/>
    <w:rsid w:val="449A7D55"/>
    <w:rsid w:val="44A18735"/>
    <w:rsid w:val="44B2DF7C"/>
    <w:rsid w:val="44B725D1"/>
    <w:rsid w:val="44C0FB60"/>
    <w:rsid w:val="44DD3679"/>
    <w:rsid w:val="45000D2C"/>
    <w:rsid w:val="4501F347"/>
    <w:rsid w:val="4523372A"/>
    <w:rsid w:val="4526CD98"/>
    <w:rsid w:val="4528D68B"/>
    <w:rsid w:val="455BEE4B"/>
    <w:rsid w:val="455C5B3F"/>
    <w:rsid w:val="455EC68F"/>
    <w:rsid w:val="457B348B"/>
    <w:rsid w:val="45A27F78"/>
    <w:rsid w:val="45A42E7B"/>
    <w:rsid w:val="45AADF3B"/>
    <w:rsid w:val="45B3C717"/>
    <w:rsid w:val="45B74FF8"/>
    <w:rsid w:val="45B787DB"/>
    <w:rsid w:val="45C56FB4"/>
    <w:rsid w:val="45C778BF"/>
    <w:rsid w:val="45D02208"/>
    <w:rsid w:val="45F59D1F"/>
    <w:rsid w:val="45F929E4"/>
    <w:rsid w:val="46055D7A"/>
    <w:rsid w:val="460F8327"/>
    <w:rsid w:val="462CF4B5"/>
    <w:rsid w:val="46403DC5"/>
    <w:rsid w:val="46538E5B"/>
    <w:rsid w:val="465508EE"/>
    <w:rsid w:val="4678F820"/>
    <w:rsid w:val="46967669"/>
    <w:rsid w:val="46BC5F01"/>
    <w:rsid w:val="46BFCB7E"/>
    <w:rsid w:val="46FB70C1"/>
    <w:rsid w:val="47142274"/>
    <w:rsid w:val="4715D1CB"/>
    <w:rsid w:val="4723C89B"/>
    <w:rsid w:val="472E487B"/>
    <w:rsid w:val="475038D6"/>
    <w:rsid w:val="475DCFD9"/>
    <w:rsid w:val="47628FE0"/>
    <w:rsid w:val="476A1729"/>
    <w:rsid w:val="47902327"/>
    <w:rsid w:val="4793B792"/>
    <w:rsid w:val="47B6612F"/>
    <w:rsid w:val="47BB9726"/>
    <w:rsid w:val="47BC679B"/>
    <w:rsid w:val="47C59708"/>
    <w:rsid w:val="47D6D381"/>
    <w:rsid w:val="47F527D5"/>
    <w:rsid w:val="480320FD"/>
    <w:rsid w:val="480909B7"/>
    <w:rsid w:val="4809F05C"/>
    <w:rsid w:val="480AB777"/>
    <w:rsid w:val="4812D529"/>
    <w:rsid w:val="48135F1D"/>
    <w:rsid w:val="4825C1A9"/>
    <w:rsid w:val="4827301B"/>
    <w:rsid w:val="48302C7E"/>
    <w:rsid w:val="4840742C"/>
    <w:rsid w:val="484126AE"/>
    <w:rsid w:val="4841C2FC"/>
    <w:rsid w:val="4868BC0A"/>
    <w:rsid w:val="48791FD5"/>
    <w:rsid w:val="48797F38"/>
    <w:rsid w:val="488820C5"/>
    <w:rsid w:val="4889512D"/>
    <w:rsid w:val="4898A236"/>
    <w:rsid w:val="489976F8"/>
    <w:rsid w:val="48A1893E"/>
    <w:rsid w:val="48B8AEDE"/>
    <w:rsid w:val="48C2109A"/>
    <w:rsid w:val="48D957EC"/>
    <w:rsid w:val="48DFA939"/>
    <w:rsid w:val="48E36227"/>
    <w:rsid w:val="48F9A03A"/>
    <w:rsid w:val="48FED911"/>
    <w:rsid w:val="4928F059"/>
    <w:rsid w:val="496144BC"/>
    <w:rsid w:val="4974E005"/>
    <w:rsid w:val="49801504"/>
    <w:rsid w:val="49836146"/>
    <w:rsid w:val="49ABE733"/>
    <w:rsid w:val="49B2A57C"/>
    <w:rsid w:val="49B7A5C7"/>
    <w:rsid w:val="49DC9297"/>
    <w:rsid w:val="49DF207B"/>
    <w:rsid w:val="49E2E09B"/>
    <w:rsid w:val="49EA379F"/>
    <w:rsid w:val="49EC622D"/>
    <w:rsid w:val="49FA9B15"/>
    <w:rsid w:val="4A02886F"/>
    <w:rsid w:val="4A1ED426"/>
    <w:rsid w:val="4A261E48"/>
    <w:rsid w:val="4A2EBFF0"/>
    <w:rsid w:val="4A36806A"/>
    <w:rsid w:val="4A369397"/>
    <w:rsid w:val="4A383BD0"/>
    <w:rsid w:val="4A38D560"/>
    <w:rsid w:val="4A456EC6"/>
    <w:rsid w:val="4A4AE7E0"/>
    <w:rsid w:val="4A63BE12"/>
    <w:rsid w:val="4A6CD648"/>
    <w:rsid w:val="4AA512F9"/>
    <w:rsid w:val="4AC1D024"/>
    <w:rsid w:val="4AC2998A"/>
    <w:rsid w:val="4AC4C507"/>
    <w:rsid w:val="4ACE763B"/>
    <w:rsid w:val="4ACEE3E4"/>
    <w:rsid w:val="4B0354EF"/>
    <w:rsid w:val="4B1989B7"/>
    <w:rsid w:val="4B48D679"/>
    <w:rsid w:val="4B4F427E"/>
    <w:rsid w:val="4B513E97"/>
    <w:rsid w:val="4B521434"/>
    <w:rsid w:val="4B523133"/>
    <w:rsid w:val="4B5298C5"/>
    <w:rsid w:val="4B549C97"/>
    <w:rsid w:val="4B56607E"/>
    <w:rsid w:val="4B66DB39"/>
    <w:rsid w:val="4B768F38"/>
    <w:rsid w:val="4B93CCD1"/>
    <w:rsid w:val="4B96D765"/>
    <w:rsid w:val="4BA17C33"/>
    <w:rsid w:val="4BAC3F11"/>
    <w:rsid w:val="4BBD6159"/>
    <w:rsid w:val="4BC00EAF"/>
    <w:rsid w:val="4BC1E374"/>
    <w:rsid w:val="4BC6B638"/>
    <w:rsid w:val="4BC79A58"/>
    <w:rsid w:val="4BCBAD88"/>
    <w:rsid w:val="4BCBF98F"/>
    <w:rsid w:val="4BDFC5D2"/>
    <w:rsid w:val="4BE98230"/>
    <w:rsid w:val="4BEC012A"/>
    <w:rsid w:val="4BEDFB0C"/>
    <w:rsid w:val="4BF847F9"/>
    <w:rsid w:val="4C154A65"/>
    <w:rsid w:val="4C1DEA27"/>
    <w:rsid w:val="4C268CBE"/>
    <w:rsid w:val="4C270C65"/>
    <w:rsid w:val="4C349AA9"/>
    <w:rsid w:val="4C392BF1"/>
    <w:rsid w:val="4C4567EF"/>
    <w:rsid w:val="4C4C22A9"/>
    <w:rsid w:val="4C4EEB1C"/>
    <w:rsid w:val="4C521C0F"/>
    <w:rsid w:val="4C6D3391"/>
    <w:rsid w:val="4C70B5C5"/>
    <w:rsid w:val="4C785724"/>
    <w:rsid w:val="4C7C27CE"/>
    <w:rsid w:val="4C7DBC3C"/>
    <w:rsid w:val="4C9888A8"/>
    <w:rsid w:val="4CCF17BB"/>
    <w:rsid w:val="4CDDA240"/>
    <w:rsid w:val="4CDF0E46"/>
    <w:rsid w:val="4CEC0836"/>
    <w:rsid w:val="4CF45326"/>
    <w:rsid w:val="4CF9AEBF"/>
    <w:rsid w:val="4D0215C6"/>
    <w:rsid w:val="4D1095E2"/>
    <w:rsid w:val="4D18AE52"/>
    <w:rsid w:val="4D1B52C4"/>
    <w:rsid w:val="4D1DBF21"/>
    <w:rsid w:val="4D254E34"/>
    <w:rsid w:val="4D2A9CD7"/>
    <w:rsid w:val="4D31D7E7"/>
    <w:rsid w:val="4D3EEE0F"/>
    <w:rsid w:val="4D58FFB6"/>
    <w:rsid w:val="4D5E5972"/>
    <w:rsid w:val="4D622ED3"/>
    <w:rsid w:val="4D8A5DED"/>
    <w:rsid w:val="4D904EEB"/>
    <w:rsid w:val="4D93682B"/>
    <w:rsid w:val="4D96732C"/>
    <w:rsid w:val="4DA93527"/>
    <w:rsid w:val="4DA98264"/>
    <w:rsid w:val="4DC6BEA1"/>
    <w:rsid w:val="4DD20716"/>
    <w:rsid w:val="4DD778C2"/>
    <w:rsid w:val="4DE05C4B"/>
    <w:rsid w:val="4E03FADB"/>
    <w:rsid w:val="4E0CB3C1"/>
    <w:rsid w:val="4E0DB9BC"/>
    <w:rsid w:val="4E33FD8F"/>
    <w:rsid w:val="4E35FADF"/>
    <w:rsid w:val="4E4252C4"/>
    <w:rsid w:val="4E4D6540"/>
    <w:rsid w:val="4E511510"/>
    <w:rsid w:val="4E58DC2A"/>
    <w:rsid w:val="4E5F33AE"/>
    <w:rsid w:val="4E6A8E15"/>
    <w:rsid w:val="4E7626EE"/>
    <w:rsid w:val="4E7D7B3F"/>
    <w:rsid w:val="4E7FF777"/>
    <w:rsid w:val="4E835C37"/>
    <w:rsid w:val="4EA0A4D2"/>
    <w:rsid w:val="4EA0EC74"/>
    <w:rsid w:val="4EAEC9DA"/>
    <w:rsid w:val="4EB02B7C"/>
    <w:rsid w:val="4EB8FEE6"/>
    <w:rsid w:val="4EBAE771"/>
    <w:rsid w:val="4F2202B8"/>
    <w:rsid w:val="4F2339F1"/>
    <w:rsid w:val="4F44EBD8"/>
    <w:rsid w:val="4F48EEF0"/>
    <w:rsid w:val="4F4EFE13"/>
    <w:rsid w:val="4F593D58"/>
    <w:rsid w:val="4F5E6E5B"/>
    <w:rsid w:val="4F64ABA1"/>
    <w:rsid w:val="4F69DBAC"/>
    <w:rsid w:val="4F6B478A"/>
    <w:rsid w:val="4F6E7540"/>
    <w:rsid w:val="4F7F463F"/>
    <w:rsid w:val="4F9D1FD7"/>
    <w:rsid w:val="4FA2FDB3"/>
    <w:rsid w:val="4FBA71D6"/>
    <w:rsid w:val="4FDC63C1"/>
    <w:rsid w:val="4FE533CF"/>
    <w:rsid w:val="4FEB0CA4"/>
    <w:rsid w:val="5007811E"/>
    <w:rsid w:val="5031298D"/>
    <w:rsid w:val="50396379"/>
    <w:rsid w:val="5042F3C3"/>
    <w:rsid w:val="5043A9CF"/>
    <w:rsid w:val="504415D7"/>
    <w:rsid w:val="504BF0A2"/>
    <w:rsid w:val="50518AA7"/>
    <w:rsid w:val="505ACD55"/>
    <w:rsid w:val="5062BAD0"/>
    <w:rsid w:val="506EB047"/>
    <w:rsid w:val="5075F983"/>
    <w:rsid w:val="5085D6FB"/>
    <w:rsid w:val="5096B360"/>
    <w:rsid w:val="509E4C62"/>
    <w:rsid w:val="509F464D"/>
    <w:rsid w:val="50B6CD2A"/>
    <w:rsid w:val="50B88E04"/>
    <w:rsid w:val="50BC2AFB"/>
    <w:rsid w:val="50CBE5AC"/>
    <w:rsid w:val="50DF87C1"/>
    <w:rsid w:val="50E59516"/>
    <w:rsid w:val="50EF785A"/>
    <w:rsid w:val="50F0C299"/>
    <w:rsid w:val="511B9B4D"/>
    <w:rsid w:val="51331113"/>
    <w:rsid w:val="513BF435"/>
    <w:rsid w:val="5140DC0F"/>
    <w:rsid w:val="51458295"/>
    <w:rsid w:val="51525A45"/>
    <w:rsid w:val="5156DD12"/>
    <w:rsid w:val="5164CF1B"/>
    <w:rsid w:val="516703DA"/>
    <w:rsid w:val="5176D814"/>
    <w:rsid w:val="51783A27"/>
    <w:rsid w:val="51877D4A"/>
    <w:rsid w:val="518A24E6"/>
    <w:rsid w:val="518B746F"/>
    <w:rsid w:val="51A9573E"/>
    <w:rsid w:val="51AFD23E"/>
    <w:rsid w:val="51B51DA4"/>
    <w:rsid w:val="51C638F0"/>
    <w:rsid w:val="51CBB10D"/>
    <w:rsid w:val="51E3A90B"/>
    <w:rsid w:val="51EAFB75"/>
    <w:rsid w:val="52016E9C"/>
    <w:rsid w:val="520D93FD"/>
    <w:rsid w:val="5213373E"/>
    <w:rsid w:val="5218BAB0"/>
    <w:rsid w:val="52279E99"/>
    <w:rsid w:val="5228351B"/>
    <w:rsid w:val="522D43D2"/>
    <w:rsid w:val="522E083E"/>
    <w:rsid w:val="523BFF93"/>
    <w:rsid w:val="5248BE73"/>
    <w:rsid w:val="5267A2BC"/>
    <w:rsid w:val="527B6F0B"/>
    <w:rsid w:val="52986F74"/>
    <w:rsid w:val="529F0FA2"/>
    <w:rsid w:val="52A725CC"/>
    <w:rsid w:val="52A78139"/>
    <w:rsid w:val="52AFF9FB"/>
    <w:rsid w:val="52B33532"/>
    <w:rsid w:val="52BB999C"/>
    <w:rsid w:val="52BE4663"/>
    <w:rsid w:val="52C91971"/>
    <w:rsid w:val="52DAE104"/>
    <w:rsid w:val="52DC3870"/>
    <w:rsid w:val="52E66475"/>
    <w:rsid w:val="52EEBA8C"/>
    <w:rsid w:val="52FD7914"/>
    <w:rsid w:val="52FFC962"/>
    <w:rsid w:val="53075D86"/>
    <w:rsid w:val="530762C7"/>
    <w:rsid w:val="5314BF59"/>
    <w:rsid w:val="5319599A"/>
    <w:rsid w:val="531BE57A"/>
    <w:rsid w:val="532B2275"/>
    <w:rsid w:val="532ED416"/>
    <w:rsid w:val="5330D8A0"/>
    <w:rsid w:val="53382DBD"/>
    <w:rsid w:val="534C91E4"/>
    <w:rsid w:val="53527258"/>
    <w:rsid w:val="5362B9AC"/>
    <w:rsid w:val="539635AC"/>
    <w:rsid w:val="53AC8045"/>
    <w:rsid w:val="53C4057C"/>
    <w:rsid w:val="53CFC13B"/>
    <w:rsid w:val="54181767"/>
    <w:rsid w:val="542BA413"/>
    <w:rsid w:val="5445C205"/>
    <w:rsid w:val="5452E06D"/>
    <w:rsid w:val="545EF937"/>
    <w:rsid w:val="546CB949"/>
    <w:rsid w:val="547519E8"/>
    <w:rsid w:val="5475FA8D"/>
    <w:rsid w:val="54921ABD"/>
    <w:rsid w:val="54AEFAEC"/>
    <w:rsid w:val="54C3FA0C"/>
    <w:rsid w:val="54DA7006"/>
    <w:rsid w:val="54ED4644"/>
    <w:rsid w:val="54F01E3D"/>
    <w:rsid w:val="54FC485A"/>
    <w:rsid w:val="54FE5211"/>
    <w:rsid w:val="54FFDE55"/>
    <w:rsid w:val="55032F5E"/>
    <w:rsid w:val="55045C75"/>
    <w:rsid w:val="552DB953"/>
    <w:rsid w:val="55316350"/>
    <w:rsid w:val="5532E0EA"/>
    <w:rsid w:val="553858CA"/>
    <w:rsid w:val="55429944"/>
    <w:rsid w:val="554D26B6"/>
    <w:rsid w:val="555CAC26"/>
    <w:rsid w:val="556057DD"/>
    <w:rsid w:val="558298EC"/>
    <w:rsid w:val="5584FBD4"/>
    <w:rsid w:val="558947E8"/>
    <w:rsid w:val="558B4E10"/>
    <w:rsid w:val="5591102B"/>
    <w:rsid w:val="55BBA520"/>
    <w:rsid w:val="55D9E6EF"/>
    <w:rsid w:val="55DD580B"/>
    <w:rsid w:val="55E18DE9"/>
    <w:rsid w:val="55E3DBC4"/>
    <w:rsid w:val="55E8302E"/>
    <w:rsid w:val="55EAD19A"/>
    <w:rsid w:val="5602667C"/>
    <w:rsid w:val="560DF7D5"/>
    <w:rsid w:val="56592D66"/>
    <w:rsid w:val="566CC574"/>
    <w:rsid w:val="567D551D"/>
    <w:rsid w:val="567E490F"/>
    <w:rsid w:val="5685DD16"/>
    <w:rsid w:val="56909FAB"/>
    <w:rsid w:val="5698389F"/>
    <w:rsid w:val="56A7DCEA"/>
    <w:rsid w:val="56B7CA7D"/>
    <w:rsid w:val="56B7FBB4"/>
    <w:rsid w:val="56CF9C82"/>
    <w:rsid w:val="56DB005F"/>
    <w:rsid w:val="56DFD6D1"/>
    <w:rsid w:val="56E40F17"/>
    <w:rsid w:val="570406DF"/>
    <w:rsid w:val="573075D9"/>
    <w:rsid w:val="57334CA1"/>
    <w:rsid w:val="57403CCD"/>
    <w:rsid w:val="57682D73"/>
    <w:rsid w:val="5769CE05"/>
    <w:rsid w:val="57839423"/>
    <w:rsid w:val="5789D113"/>
    <w:rsid w:val="579132FB"/>
    <w:rsid w:val="57970417"/>
    <w:rsid w:val="579BABCC"/>
    <w:rsid w:val="57A351DA"/>
    <w:rsid w:val="57A684CB"/>
    <w:rsid w:val="57BB9A4A"/>
    <w:rsid w:val="57D85CA5"/>
    <w:rsid w:val="57E22BD4"/>
    <w:rsid w:val="57F2F1A9"/>
    <w:rsid w:val="580CD61A"/>
    <w:rsid w:val="580CD7E3"/>
    <w:rsid w:val="580D6731"/>
    <w:rsid w:val="58168E74"/>
    <w:rsid w:val="581A6140"/>
    <w:rsid w:val="5821BA3E"/>
    <w:rsid w:val="58259F87"/>
    <w:rsid w:val="5832B8CD"/>
    <w:rsid w:val="585BB66D"/>
    <w:rsid w:val="587F2194"/>
    <w:rsid w:val="5884C778"/>
    <w:rsid w:val="58AF3356"/>
    <w:rsid w:val="58CD0777"/>
    <w:rsid w:val="58CEC615"/>
    <w:rsid w:val="58D786FF"/>
    <w:rsid w:val="58E45A19"/>
    <w:rsid w:val="58FA0A8C"/>
    <w:rsid w:val="58FC7257"/>
    <w:rsid w:val="5907406C"/>
    <w:rsid w:val="590B4C43"/>
    <w:rsid w:val="591387EC"/>
    <w:rsid w:val="5918039D"/>
    <w:rsid w:val="5925810E"/>
    <w:rsid w:val="59347A69"/>
    <w:rsid w:val="593B3DFB"/>
    <w:rsid w:val="59705119"/>
    <w:rsid w:val="597788E7"/>
    <w:rsid w:val="59802363"/>
    <w:rsid w:val="59817EAE"/>
    <w:rsid w:val="599536CB"/>
    <w:rsid w:val="59A5634B"/>
    <w:rsid w:val="59AFBC5F"/>
    <w:rsid w:val="59CFD852"/>
    <w:rsid w:val="59DE0F1C"/>
    <w:rsid w:val="59E052E9"/>
    <w:rsid w:val="59F39926"/>
    <w:rsid w:val="59FD2885"/>
    <w:rsid w:val="5A07BB73"/>
    <w:rsid w:val="5A07D774"/>
    <w:rsid w:val="5A176FD8"/>
    <w:rsid w:val="5A284663"/>
    <w:rsid w:val="5A2A40B8"/>
    <w:rsid w:val="5A2C411C"/>
    <w:rsid w:val="5A334700"/>
    <w:rsid w:val="5A3B55E8"/>
    <w:rsid w:val="5A528D25"/>
    <w:rsid w:val="5A578DCA"/>
    <w:rsid w:val="5A67F95E"/>
    <w:rsid w:val="5A68DEDA"/>
    <w:rsid w:val="5A7065FA"/>
    <w:rsid w:val="5A7A92CE"/>
    <w:rsid w:val="5A7E58A0"/>
    <w:rsid w:val="5A83D3CE"/>
    <w:rsid w:val="5A9A7E5D"/>
    <w:rsid w:val="5AA36ABF"/>
    <w:rsid w:val="5AD3B849"/>
    <w:rsid w:val="5AE8300F"/>
    <w:rsid w:val="5AFD9881"/>
    <w:rsid w:val="5B04D8DF"/>
    <w:rsid w:val="5B19F45A"/>
    <w:rsid w:val="5B1C9CF2"/>
    <w:rsid w:val="5B1F3C0D"/>
    <w:rsid w:val="5B23A7CF"/>
    <w:rsid w:val="5B28F753"/>
    <w:rsid w:val="5B38804B"/>
    <w:rsid w:val="5B3A0964"/>
    <w:rsid w:val="5B434CB5"/>
    <w:rsid w:val="5B4A6F6B"/>
    <w:rsid w:val="5B4F4039"/>
    <w:rsid w:val="5B5074AC"/>
    <w:rsid w:val="5B738529"/>
    <w:rsid w:val="5B774E14"/>
    <w:rsid w:val="5B7CC930"/>
    <w:rsid w:val="5B9C4692"/>
    <w:rsid w:val="5BA86273"/>
    <w:rsid w:val="5BB021FE"/>
    <w:rsid w:val="5BB04DC5"/>
    <w:rsid w:val="5BB0D1C7"/>
    <w:rsid w:val="5BC0B605"/>
    <w:rsid w:val="5BCA312A"/>
    <w:rsid w:val="5BCF1761"/>
    <w:rsid w:val="5BD1929A"/>
    <w:rsid w:val="5BFD31BF"/>
    <w:rsid w:val="5C0496C2"/>
    <w:rsid w:val="5C2FB3CA"/>
    <w:rsid w:val="5C439792"/>
    <w:rsid w:val="5C480E18"/>
    <w:rsid w:val="5C52277D"/>
    <w:rsid w:val="5C538B7B"/>
    <w:rsid w:val="5C543E37"/>
    <w:rsid w:val="5C54BD3A"/>
    <w:rsid w:val="5C5593CA"/>
    <w:rsid w:val="5C6D4006"/>
    <w:rsid w:val="5C7186A6"/>
    <w:rsid w:val="5C96A361"/>
    <w:rsid w:val="5C9CC5B4"/>
    <w:rsid w:val="5CA37BD4"/>
    <w:rsid w:val="5CBAB51E"/>
    <w:rsid w:val="5CC07814"/>
    <w:rsid w:val="5CC1D814"/>
    <w:rsid w:val="5CCA03C9"/>
    <w:rsid w:val="5CE9C5CE"/>
    <w:rsid w:val="5CF56CC6"/>
    <w:rsid w:val="5CFD2D18"/>
    <w:rsid w:val="5CFE3271"/>
    <w:rsid w:val="5D04D780"/>
    <w:rsid w:val="5D0720FF"/>
    <w:rsid w:val="5D14FA66"/>
    <w:rsid w:val="5D26FA20"/>
    <w:rsid w:val="5D291F0E"/>
    <w:rsid w:val="5D2F8FE5"/>
    <w:rsid w:val="5D3172AF"/>
    <w:rsid w:val="5D40F941"/>
    <w:rsid w:val="5D548063"/>
    <w:rsid w:val="5D55C28D"/>
    <w:rsid w:val="5D68C175"/>
    <w:rsid w:val="5D6DB892"/>
    <w:rsid w:val="5D719530"/>
    <w:rsid w:val="5D7C5125"/>
    <w:rsid w:val="5D7E78CB"/>
    <w:rsid w:val="5D824079"/>
    <w:rsid w:val="5DBB015E"/>
    <w:rsid w:val="5DC5DB7B"/>
    <w:rsid w:val="5DE40551"/>
    <w:rsid w:val="5DEAA32D"/>
    <w:rsid w:val="5DED1C56"/>
    <w:rsid w:val="5DFA28BF"/>
    <w:rsid w:val="5E0627D0"/>
    <w:rsid w:val="5E07BFF3"/>
    <w:rsid w:val="5E1E20A9"/>
    <w:rsid w:val="5E2297F6"/>
    <w:rsid w:val="5E22AA38"/>
    <w:rsid w:val="5E2A20B7"/>
    <w:rsid w:val="5E317BA2"/>
    <w:rsid w:val="5E36C20A"/>
    <w:rsid w:val="5E39319B"/>
    <w:rsid w:val="5E4418BE"/>
    <w:rsid w:val="5E5EAAB5"/>
    <w:rsid w:val="5E86FB5E"/>
    <w:rsid w:val="5E8A4C2E"/>
    <w:rsid w:val="5EA62B7B"/>
    <w:rsid w:val="5EA6A25D"/>
    <w:rsid w:val="5ED761EA"/>
    <w:rsid w:val="5EE3DDD3"/>
    <w:rsid w:val="5F1549B2"/>
    <w:rsid w:val="5F1631D4"/>
    <w:rsid w:val="5F24BCF4"/>
    <w:rsid w:val="5F25A7C7"/>
    <w:rsid w:val="5F3252BB"/>
    <w:rsid w:val="5F34475C"/>
    <w:rsid w:val="5F38FB97"/>
    <w:rsid w:val="5F3D214A"/>
    <w:rsid w:val="5F408827"/>
    <w:rsid w:val="5F4310A7"/>
    <w:rsid w:val="5F48D86C"/>
    <w:rsid w:val="5F6668B7"/>
    <w:rsid w:val="5F66BA1A"/>
    <w:rsid w:val="5F73D950"/>
    <w:rsid w:val="5F82A1AC"/>
    <w:rsid w:val="5F85C98C"/>
    <w:rsid w:val="5F8B1B9D"/>
    <w:rsid w:val="5F926E77"/>
    <w:rsid w:val="5F967A44"/>
    <w:rsid w:val="5F96C23F"/>
    <w:rsid w:val="5F99CE8E"/>
    <w:rsid w:val="5FAF207B"/>
    <w:rsid w:val="5FAFBD4F"/>
    <w:rsid w:val="5FC6015C"/>
    <w:rsid w:val="5FCD42EE"/>
    <w:rsid w:val="5FCEC9DD"/>
    <w:rsid w:val="5FE2F880"/>
    <w:rsid w:val="5FE51031"/>
    <w:rsid w:val="5FE843B0"/>
    <w:rsid w:val="5FEF35F2"/>
    <w:rsid w:val="5FF610DB"/>
    <w:rsid w:val="5FF7A0CA"/>
    <w:rsid w:val="5FFB948E"/>
    <w:rsid w:val="60055454"/>
    <w:rsid w:val="600711F0"/>
    <w:rsid w:val="601BE937"/>
    <w:rsid w:val="60357311"/>
    <w:rsid w:val="603A7250"/>
    <w:rsid w:val="60469B7A"/>
    <w:rsid w:val="604D2C12"/>
    <w:rsid w:val="60643D97"/>
    <w:rsid w:val="6064EA93"/>
    <w:rsid w:val="6069F4EC"/>
    <w:rsid w:val="60A64C6C"/>
    <w:rsid w:val="60ABCA4D"/>
    <w:rsid w:val="60BE9286"/>
    <w:rsid w:val="60CA14BC"/>
    <w:rsid w:val="60E0F9EA"/>
    <w:rsid w:val="60F405F9"/>
    <w:rsid w:val="61080847"/>
    <w:rsid w:val="61099B12"/>
    <w:rsid w:val="612C761E"/>
    <w:rsid w:val="617BBD59"/>
    <w:rsid w:val="61809314"/>
    <w:rsid w:val="61811121"/>
    <w:rsid w:val="619A91CC"/>
    <w:rsid w:val="61B4BE14"/>
    <w:rsid w:val="61BC05BB"/>
    <w:rsid w:val="61D02435"/>
    <w:rsid w:val="61D11E9A"/>
    <w:rsid w:val="61D860A4"/>
    <w:rsid w:val="61E7AB27"/>
    <w:rsid w:val="6205946E"/>
    <w:rsid w:val="620BAC7E"/>
    <w:rsid w:val="6214EA63"/>
    <w:rsid w:val="62159721"/>
    <w:rsid w:val="6215F783"/>
    <w:rsid w:val="6228FB5D"/>
    <w:rsid w:val="622C3837"/>
    <w:rsid w:val="624285F9"/>
    <w:rsid w:val="625F49A7"/>
    <w:rsid w:val="626D5E45"/>
    <w:rsid w:val="627D0881"/>
    <w:rsid w:val="627D2DF8"/>
    <w:rsid w:val="62A3BD6A"/>
    <w:rsid w:val="62A56B73"/>
    <w:rsid w:val="62AE786A"/>
    <w:rsid w:val="62B02EDE"/>
    <w:rsid w:val="62D5E264"/>
    <w:rsid w:val="62DF43A8"/>
    <w:rsid w:val="62E38769"/>
    <w:rsid w:val="62E78544"/>
    <w:rsid w:val="62F0987A"/>
    <w:rsid w:val="62F18652"/>
    <w:rsid w:val="62F90D83"/>
    <w:rsid w:val="6318F59D"/>
    <w:rsid w:val="6319FFE3"/>
    <w:rsid w:val="6323F086"/>
    <w:rsid w:val="632FC523"/>
    <w:rsid w:val="6330C9C0"/>
    <w:rsid w:val="63321BD8"/>
    <w:rsid w:val="634A7007"/>
    <w:rsid w:val="63651FD6"/>
    <w:rsid w:val="636F7C5D"/>
    <w:rsid w:val="637AD9EB"/>
    <w:rsid w:val="639748E9"/>
    <w:rsid w:val="63991641"/>
    <w:rsid w:val="639EDCB3"/>
    <w:rsid w:val="63A850EA"/>
    <w:rsid w:val="63B01EA4"/>
    <w:rsid w:val="63B2B5D4"/>
    <w:rsid w:val="63DCAA57"/>
    <w:rsid w:val="63EB8091"/>
    <w:rsid w:val="63F4E784"/>
    <w:rsid w:val="64034179"/>
    <w:rsid w:val="6408E34B"/>
    <w:rsid w:val="6415A87B"/>
    <w:rsid w:val="64483C4C"/>
    <w:rsid w:val="644E0F18"/>
    <w:rsid w:val="64513159"/>
    <w:rsid w:val="645538B0"/>
    <w:rsid w:val="64599500"/>
    <w:rsid w:val="647CBCA9"/>
    <w:rsid w:val="64861720"/>
    <w:rsid w:val="648D1A18"/>
    <w:rsid w:val="64996D0B"/>
    <w:rsid w:val="64A2047F"/>
    <w:rsid w:val="64AF8460"/>
    <w:rsid w:val="64B04E05"/>
    <w:rsid w:val="64B14F23"/>
    <w:rsid w:val="64DF4113"/>
    <w:rsid w:val="64DF87A9"/>
    <w:rsid w:val="64E3522E"/>
    <w:rsid w:val="64EABC2D"/>
    <w:rsid w:val="64EC89F3"/>
    <w:rsid w:val="64EC9ED6"/>
    <w:rsid w:val="64EF0BAF"/>
    <w:rsid w:val="64F2ECD3"/>
    <w:rsid w:val="64FF8F97"/>
    <w:rsid w:val="6509CC7D"/>
    <w:rsid w:val="6510E4C7"/>
    <w:rsid w:val="65148D98"/>
    <w:rsid w:val="6519989B"/>
    <w:rsid w:val="65227429"/>
    <w:rsid w:val="65237A62"/>
    <w:rsid w:val="65259DBB"/>
    <w:rsid w:val="652E5A35"/>
    <w:rsid w:val="6533B0CA"/>
    <w:rsid w:val="6550D8D6"/>
    <w:rsid w:val="655718C4"/>
    <w:rsid w:val="655C2D0C"/>
    <w:rsid w:val="656339E3"/>
    <w:rsid w:val="656C783B"/>
    <w:rsid w:val="65907C21"/>
    <w:rsid w:val="65B87984"/>
    <w:rsid w:val="65D4D7AD"/>
    <w:rsid w:val="65D87B12"/>
    <w:rsid w:val="65ED1917"/>
    <w:rsid w:val="65F2F37E"/>
    <w:rsid w:val="6608ADA5"/>
    <w:rsid w:val="660C01A3"/>
    <w:rsid w:val="6615A785"/>
    <w:rsid w:val="6620CD49"/>
    <w:rsid w:val="66253C54"/>
    <w:rsid w:val="6668166F"/>
    <w:rsid w:val="66685943"/>
    <w:rsid w:val="666E882F"/>
    <w:rsid w:val="667A326A"/>
    <w:rsid w:val="668334BC"/>
    <w:rsid w:val="668398C5"/>
    <w:rsid w:val="668928D4"/>
    <w:rsid w:val="668B1B22"/>
    <w:rsid w:val="668B70B7"/>
    <w:rsid w:val="668EAFF3"/>
    <w:rsid w:val="668F9DAC"/>
    <w:rsid w:val="66911555"/>
    <w:rsid w:val="669E94B7"/>
    <w:rsid w:val="66A97F98"/>
    <w:rsid w:val="66B3E604"/>
    <w:rsid w:val="66E43483"/>
    <w:rsid w:val="66EB5E09"/>
    <w:rsid w:val="6703B65F"/>
    <w:rsid w:val="6718CA62"/>
    <w:rsid w:val="6719322E"/>
    <w:rsid w:val="671DFED3"/>
    <w:rsid w:val="673197D3"/>
    <w:rsid w:val="6752FD1A"/>
    <w:rsid w:val="67671091"/>
    <w:rsid w:val="67711724"/>
    <w:rsid w:val="678D1C1E"/>
    <w:rsid w:val="67A02DCF"/>
    <w:rsid w:val="67A2C1DB"/>
    <w:rsid w:val="67BE701D"/>
    <w:rsid w:val="67CE6C80"/>
    <w:rsid w:val="67E619E1"/>
    <w:rsid w:val="67EE21B8"/>
    <w:rsid w:val="67FFCADA"/>
    <w:rsid w:val="6812ADDE"/>
    <w:rsid w:val="6823E4B2"/>
    <w:rsid w:val="68417E97"/>
    <w:rsid w:val="684C7A96"/>
    <w:rsid w:val="684D01B0"/>
    <w:rsid w:val="6855B79D"/>
    <w:rsid w:val="68621D1F"/>
    <w:rsid w:val="686B7F80"/>
    <w:rsid w:val="687317C4"/>
    <w:rsid w:val="68872410"/>
    <w:rsid w:val="68919A4E"/>
    <w:rsid w:val="689A4355"/>
    <w:rsid w:val="68B46CA1"/>
    <w:rsid w:val="68C58AE4"/>
    <w:rsid w:val="68CBDB31"/>
    <w:rsid w:val="68CC01BA"/>
    <w:rsid w:val="68CFE8B9"/>
    <w:rsid w:val="68DD430E"/>
    <w:rsid w:val="68E0AC75"/>
    <w:rsid w:val="68E83E8B"/>
    <w:rsid w:val="68EAB287"/>
    <w:rsid w:val="68EBFDC7"/>
    <w:rsid w:val="68F9D701"/>
    <w:rsid w:val="68FDF9DE"/>
    <w:rsid w:val="69014801"/>
    <w:rsid w:val="69018F06"/>
    <w:rsid w:val="6908FA02"/>
    <w:rsid w:val="692A4424"/>
    <w:rsid w:val="692F0F39"/>
    <w:rsid w:val="695B3D5F"/>
    <w:rsid w:val="6966CB5C"/>
    <w:rsid w:val="696A6190"/>
    <w:rsid w:val="697BDD8B"/>
    <w:rsid w:val="698DEB8A"/>
    <w:rsid w:val="69A0B06C"/>
    <w:rsid w:val="69B7DB52"/>
    <w:rsid w:val="69BC05AD"/>
    <w:rsid w:val="69C04D10"/>
    <w:rsid w:val="69C9F2AC"/>
    <w:rsid w:val="69DBDD1D"/>
    <w:rsid w:val="69E22EA9"/>
    <w:rsid w:val="69ED0801"/>
    <w:rsid w:val="69F22124"/>
    <w:rsid w:val="69F37D2B"/>
    <w:rsid w:val="6A09AD75"/>
    <w:rsid w:val="6A0AF438"/>
    <w:rsid w:val="6A187031"/>
    <w:rsid w:val="6A19559C"/>
    <w:rsid w:val="6A29BDDB"/>
    <w:rsid w:val="6A4DC720"/>
    <w:rsid w:val="6A536DE7"/>
    <w:rsid w:val="6A543452"/>
    <w:rsid w:val="6A5A37AF"/>
    <w:rsid w:val="6A70AE71"/>
    <w:rsid w:val="6A7C0E74"/>
    <w:rsid w:val="6A969565"/>
    <w:rsid w:val="6A98400E"/>
    <w:rsid w:val="6A988E60"/>
    <w:rsid w:val="6AAB2F6A"/>
    <w:rsid w:val="6AB13E62"/>
    <w:rsid w:val="6AC443E0"/>
    <w:rsid w:val="6AC95B5F"/>
    <w:rsid w:val="6ACE484D"/>
    <w:rsid w:val="6AE68D8D"/>
    <w:rsid w:val="6AED5CA5"/>
    <w:rsid w:val="6AF98AD9"/>
    <w:rsid w:val="6B0F75A2"/>
    <w:rsid w:val="6B3D4B16"/>
    <w:rsid w:val="6B55D726"/>
    <w:rsid w:val="6B579D6F"/>
    <w:rsid w:val="6B5CF7A8"/>
    <w:rsid w:val="6B680A01"/>
    <w:rsid w:val="6B6CA9B5"/>
    <w:rsid w:val="6B8B94AB"/>
    <w:rsid w:val="6BBB9859"/>
    <w:rsid w:val="6BC09F05"/>
    <w:rsid w:val="6BD0EFC5"/>
    <w:rsid w:val="6BDDC134"/>
    <w:rsid w:val="6BE8E7A2"/>
    <w:rsid w:val="6BF3D7CB"/>
    <w:rsid w:val="6BF973F0"/>
    <w:rsid w:val="6C091A51"/>
    <w:rsid w:val="6C18937C"/>
    <w:rsid w:val="6C2BA8DF"/>
    <w:rsid w:val="6C2CFF5F"/>
    <w:rsid w:val="6C364FB1"/>
    <w:rsid w:val="6C5C278C"/>
    <w:rsid w:val="6C727479"/>
    <w:rsid w:val="6C81D285"/>
    <w:rsid w:val="6C84A7F3"/>
    <w:rsid w:val="6C855229"/>
    <w:rsid w:val="6C877730"/>
    <w:rsid w:val="6C945A3D"/>
    <w:rsid w:val="6C9636AD"/>
    <w:rsid w:val="6CA602B8"/>
    <w:rsid w:val="6CA9BE14"/>
    <w:rsid w:val="6CB2541A"/>
    <w:rsid w:val="6CB2B032"/>
    <w:rsid w:val="6CB52826"/>
    <w:rsid w:val="6CCF2E4A"/>
    <w:rsid w:val="6CD22B0B"/>
    <w:rsid w:val="6CFAA9BF"/>
    <w:rsid w:val="6D05ACAA"/>
    <w:rsid w:val="6D0831F9"/>
    <w:rsid w:val="6D168599"/>
    <w:rsid w:val="6D1828D5"/>
    <w:rsid w:val="6D208159"/>
    <w:rsid w:val="6D2CD1EC"/>
    <w:rsid w:val="6D30FBEB"/>
    <w:rsid w:val="6D32494C"/>
    <w:rsid w:val="6D402607"/>
    <w:rsid w:val="6D4D0885"/>
    <w:rsid w:val="6D578863"/>
    <w:rsid w:val="6D5A9B35"/>
    <w:rsid w:val="6D6B917D"/>
    <w:rsid w:val="6D76523D"/>
    <w:rsid w:val="6D989406"/>
    <w:rsid w:val="6D9CC9D7"/>
    <w:rsid w:val="6DA2764D"/>
    <w:rsid w:val="6DA692D2"/>
    <w:rsid w:val="6E0E4ED5"/>
    <w:rsid w:val="6E16A2E5"/>
    <w:rsid w:val="6E385744"/>
    <w:rsid w:val="6E3A8661"/>
    <w:rsid w:val="6E52F7BB"/>
    <w:rsid w:val="6E5821BD"/>
    <w:rsid w:val="6E5BEA6C"/>
    <w:rsid w:val="6E6DD87E"/>
    <w:rsid w:val="6E8A9BC0"/>
    <w:rsid w:val="6EA8899C"/>
    <w:rsid w:val="6EBCF710"/>
    <w:rsid w:val="6ED46436"/>
    <w:rsid w:val="6F19B05F"/>
    <w:rsid w:val="6F1F1758"/>
    <w:rsid w:val="6F365F55"/>
    <w:rsid w:val="6F3C7591"/>
    <w:rsid w:val="6F5D150B"/>
    <w:rsid w:val="6F6B5D10"/>
    <w:rsid w:val="6F7902E1"/>
    <w:rsid w:val="6FBDFF98"/>
    <w:rsid w:val="70093455"/>
    <w:rsid w:val="70289771"/>
    <w:rsid w:val="703EC0CD"/>
    <w:rsid w:val="703FC682"/>
    <w:rsid w:val="70486D46"/>
    <w:rsid w:val="70559268"/>
    <w:rsid w:val="70678A0E"/>
    <w:rsid w:val="707530C9"/>
    <w:rsid w:val="70761584"/>
    <w:rsid w:val="70766ABF"/>
    <w:rsid w:val="70866B76"/>
    <w:rsid w:val="7094935F"/>
    <w:rsid w:val="7094A351"/>
    <w:rsid w:val="709FEC8B"/>
    <w:rsid w:val="70AB4C2F"/>
    <w:rsid w:val="70B584C3"/>
    <w:rsid w:val="70DAD48D"/>
    <w:rsid w:val="70DFF79E"/>
    <w:rsid w:val="70F5FA85"/>
    <w:rsid w:val="70FA99BE"/>
    <w:rsid w:val="710450FE"/>
    <w:rsid w:val="71115BB3"/>
    <w:rsid w:val="711BA969"/>
    <w:rsid w:val="712BE958"/>
    <w:rsid w:val="7136C0FA"/>
    <w:rsid w:val="71423BBD"/>
    <w:rsid w:val="714E5950"/>
    <w:rsid w:val="715F6A52"/>
    <w:rsid w:val="71B089EF"/>
    <w:rsid w:val="71C65F1F"/>
    <w:rsid w:val="71CAA117"/>
    <w:rsid w:val="71CF2B65"/>
    <w:rsid w:val="71D80D3A"/>
    <w:rsid w:val="71DE69CB"/>
    <w:rsid w:val="71F21751"/>
    <w:rsid w:val="71F5E458"/>
    <w:rsid w:val="7201ADBD"/>
    <w:rsid w:val="720B0848"/>
    <w:rsid w:val="720F96BC"/>
    <w:rsid w:val="7230D1AE"/>
    <w:rsid w:val="724DA725"/>
    <w:rsid w:val="725022B9"/>
    <w:rsid w:val="72564239"/>
    <w:rsid w:val="72662323"/>
    <w:rsid w:val="726B33FB"/>
    <w:rsid w:val="726E2A4F"/>
    <w:rsid w:val="72811A96"/>
    <w:rsid w:val="72910A2E"/>
    <w:rsid w:val="72A30AC8"/>
    <w:rsid w:val="72B16BFE"/>
    <w:rsid w:val="72C1C542"/>
    <w:rsid w:val="72C37CC3"/>
    <w:rsid w:val="72C9C1AB"/>
    <w:rsid w:val="72C9F4FE"/>
    <w:rsid w:val="72D8BF3B"/>
    <w:rsid w:val="72EC89E5"/>
    <w:rsid w:val="72F8634E"/>
    <w:rsid w:val="72FA18A1"/>
    <w:rsid w:val="73040513"/>
    <w:rsid w:val="731284EA"/>
    <w:rsid w:val="731A16DA"/>
    <w:rsid w:val="732B4E54"/>
    <w:rsid w:val="732D2FA8"/>
    <w:rsid w:val="736D9B3F"/>
    <w:rsid w:val="737226C8"/>
    <w:rsid w:val="7386F148"/>
    <w:rsid w:val="73901970"/>
    <w:rsid w:val="73907694"/>
    <w:rsid w:val="73AE24E8"/>
    <w:rsid w:val="73AF3C34"/>
    <w:rsid w:val="73B35725"/>
    <w:rsid w:val="73B704D5"/>
    <w:rsid w:val="73BA6B2B"/>
    <w:rsid w:val="73C2BD58"/>
    <w:rsid w:val="73C6CDCA"/>
    <w:rsid w:val="73D44FAD"/>
    <w:rsid w:val="73EF3486"/>
    <w:rsid w:val="73F1FA26"/>
    <w:rsid w:val="73F322DF"/>
    <w:rsid w:val="74078176"/>
    <w:rsid w:val="7407F82A"/>
    <w:rsid w:val="740AB2DE"/>
    <w:rsid w:val="740E2D29"/>
    <w:rsid w:val="741997D2"/>
    <w:rsid w:val="741DFBB3"/>
    <w:rsid w:val="7421999A"/>
    <w:rsid w:val="74225C5B"/>
    <w:rsid w:val="742B1740"/>
    <w:rsid w:val="742B7B94"/>
    <w:rsid w:val="74437501"/>
    <w:rsid w:val="745599E3"/>
    <w:rsid w:val="745660C9"/>
    <w:rsid w:val="747280B9"/>
    <w:rsid w:val="748DDEB8"/>
    <w:rsid w:val="7498EC7E"/>
    <w:rsid w:val="74A40CE2"/>
    <w:rsid w:val="74AC1C79"/>
    <w:rsid w:val="74BC6125"/>
    <w:rsid w:val="74CE2BB9"/>
    <w:rsid w:val="74D6109F"/>
    <w:rsid w:val="74DAF8CF"/>
    <w:rsid w:val="750032C7"/>
    <w:rsid w:val="7501E845"/>
    <w:rsid w:val="75117280"/>
    <w:rsid w:val="751583F6"/>
    <w:rsid w:val="75277947"/>
    <w:rsid w:val="75313B4D"/>
    <w:rsid w:val="753BCAF7"/>
    <w:rsid w:val="755CB8CF"/>
    <w:rsid w:val="75717295"/>
    <w:rsid w:val="7574230C"/>
    <w:rsid w:val="75782F72"/>
    <w:rsid w:val="75AC9D77"/>
    <w:rsid w:val="75AE8991"/>
    <w:rsid w:val="75AF01E1"/>
    <w:rsid w:val="75B06AD7"/>
    <w:rsid w:val="75B36FED"/>
    <w:rsid w:val="75BEAA99"/>
    <w:rsid w:val="75BFFE51"/>
    <w:rsid w:val="75C5BEBB"/>
    <w:rsid w:val="75F5BDB5"/>
    <w:rsid w:val="75FAB479"/>
    <w:rsid w:val="760D7A8C"/>
    <w:rsid w:val="760F325A"/>
    <w:rsid w:val="761938B5"/>
    <w:rsid w:val="762B9094"/>
    <w:rsid w:val="763F05C1"/>
    <w:rsid w:val="763FFE0E"/>
    <w:rsid w:val="764651FB"/>
    <w:rsid w:val="76491865"/>
    <w:rsid w:val="76510BDB"/>
    <w:rsid w:val="765BD4CB"/>
    <w:rsid w:val="765E7DD9"/>
    <w:rsid w:val="76614DD2"/>
    <w:rsid w:val="7676ECDA"/>
    <w:rsid w:val="76986067"/>
    <w:rsid w:val="769AE41F"/>
    <w:rsid w:val="76B96430"/>
    <w:rsid w:val="76CD3A24"/>
    <w:rsid w:val="76D598B6"/>
    <w:rsid w:val="76DBBF29"/>
    <w:rsid w:val="76EE3A7B"/>
    <w:rsid w:val="7708531B"/>
    <w:rsid w:val="7722E587"/>
    <w:rsid w:val="772893CB"/>
    <w:rsid w:val="776F2840"/>
    <w:rsid w:val="7796C47D"/>
    <w:rsid w:val="7797382C"/>
    <w:rsid w:val="779A9CE3"/>
    <w:rsid w:val="77A51FE6"/>
    <w:rsid w:val="77AEC461"/>
    <w:rsid w:val="77B05850"/>
    <w:rsid w:val="77CEE6F9"/>
    <w:rsid w:val="77F95387"/>
    <w:rsid w:val="78097186"/>
    <w:rsid w:val="7816A06A"/>
    <w:rsid w:val="78198394"/>
    <w:rsid w:val="783262FA"/>
    <w:rsid w:val="7845F40A"/>
    <w:rsid w:val="7850C3BE"/>
    <w:rsid w:val="7854C97E"/>
    <w:rsid w:val="785E0B06"/>
    <w:rsid w:val="789AFB91"/>
    <w:rsid w:val="789C4D07"/>
    <w:rsid w:val="78A377DB"/>
    <w:rsid w:val="78A444BA"/>
    <w:rsid w:val="78B1EB72"/>
    <w:rsid w:val="78BB7148"/>
    <w:rsid w:val="78BF1D53"/>
    <w:rsid w:val="78C7AE73"/>
    <w:rsid w:val="78CE9B42"/>
    <w:rsid w:val="78D46D92"/>
    <w:rsid w:val="78E1193D"/>
    <w:rsid w:val="78E6EF6A"/>
    <w:rsid w:val="78E9B27D"/>
    <w:rsid w:val="78EECD58"/>
    <w:rsid w:val="78F0A493"/>
    <w:rsid w:val="78FF4AC3"/>
    <w:rsid w:val="7924F0C2"/>
    <w:rsid w:val="7935206E"/>
    <w:rsid w:val="793FA8E1"/>
    <w:rsid w:val="79519B5B"/>
    <w:rsid w:val="79529B9D"/>
    <w:rsid w:val="795A3128"/>
    <w:rsid w:val="79B5CA73"/>
    <w:rsid w:val="79B5D817"/>
    <w:rsid w:val="79C90BDB"/>
    <w:rsid w:val="79CDD184"/>
    <w:rsid w:val="79D160FB"/>
    <w:rsid w:val="7A0B030E"/>
    <w:rsid w:val="7A1A8328"/>
    <w:rsid w:val="7A21B80D"/>
    <w:rsid w:val="7A2B9EEF"/>
    <w:rsid w:val="7A39F07B"/>
    <w:rsid w:val="7A40207D"/>
    <w:rsid w:val="7A52EFE3"/>
    <w:rsid w:val="7A5440AB"/>
    <w:rsid w:val="7A6478E7"/>
    <w:rsid w:val="7A6681FB"/>
    <w:rsid w:val="7A7DD840"/>
    <w:rsid w:val="7A8C44C8"/>
    <w:rsid w:val="7A97C066"/>
    <w:rsid w:val="7AA1F8C5"/>
    <w:rsid w:val="7AA8124B"/>
    <w:rsid w:val="7ABC887D"/>
    <w:rsid w:val="7AC80B25"/>
    <w:rsid w:val="7ACE63F4"/>
    <w:rsid w:val="7AD25294"/>
    <w:rsid w:val="7ADF78CD"/>
    <w:rsid w:val="7AEE10E8"/>
    <w:rsid w:val="7AF70D21"/>
    <w:rsid w:val="7AFE82B1"/>
    <w:rsid w:val="7B00841B"/>
    <w:rsid w:val="7B18C4F6"/>
    <w:rsid w:val="7B19C4BF"/>
    <w:rsid w:val="7B2A18E3"/>
    <w:rsid w:val="7B4F5F71"/>
    <w:rsid w:val="7B53E2F8"/>
    <w:rsid w:val="7B588156"/>
    <w:rsid w:val="7B5B43C1"/>
    <w:rsid w:val="7B5EC07B"/>
    <w:rsid w:val="7B65F1CE"/>
    <w:rsid w:val="7B68FAFF"/>
    <w:rsid w:val="7B7F915B"/>
    <w:rsid w:val="7B822EA0"/>
    <w:rsid w:val="7B8D06BC"/>
    <w:rsid w:val="7B8EA35E"/>
    <w:rsid w:val="7B8FAEFB"/>
    <w:rsid w:val="7BAFD585"/>
    <w:rsid w:val="7BBA6332"/>
    <w:rsid w:val="7BBE4C9A"/>
    <w:rsid w:val="7BBF02D5"/>
    <w:rsid w:val="7BD61D2F"/>
    <w:rsid w:val="7BD8453F"/>
    <w:rsid w:val="7BDD35F4"/>
    <w:rsid w:val="7BFE3561"/>
    <w:rsid w:val="7C19D3E6"/>
    <w:rsid w:val="7C1AB696"/>
    <w:rsid w:val="7C217EFA"/>
    <w:rsid w:val="7C23A132"/>
    <w:rsid w:val="7C281AE7"/>
    <w:rsid w:val="7C5D8070"/>
    <w:rsid w:val="7C69042D"/>
    <w:rsid w:val="7C6B6265"/>
    <w:rsid w:val="7C71929B"/>
    <w:rsid w:val="7C83BA7E"/>
    <w:rsid w:val="7C8D6B8B"/>
    <w:rsid w:val="7CA74435"/>
    <w:rsid w:val="7CAB129B"/>
    <w:rsid w:val="7CAE714E"/>
    <w:rsid w:val="7CAFDD0C"/>
    <w:rsid w:val="7CBF84ED"/>
    <w:rsid w:val="7CBFE3DF"/>
    <w:rsid w:val="7CC61AA7"/>
    <w:rsid w:val="7CCF609A"/>
    <w:rsid w:val="7CE9F8B2"/>
    <w:rsid w:val="7CEA2D00"/>
    <w:rsid w:val="7D04DACE"/>
    <w:rsid w:val="7D0DDE32"/>
    <w:rsid w:val="7D10C16A"/>
    <w:rsid w:val="7D17EEE2"/>
    <w:rsid w:val="7D30DE47"/>
    <w:rsid w:val="7D462323"/>
    <w:rsid w:val="7D5B7B61"/>
    <w:rsid w:val="7D6A26AE"/>
    <w:rsid w:val="7D6DAFC2"/>
    <w:rsid w:val="7D8F3E39"/>
    <w:rsid w:val="7DAB9687"/>
    <w:rsid w:val="7DB5CE31"/>
    <w:rsid w:val="7DC1A3BC"/>
    <w:rsid w:val="7DC7BDF3"/>
    <w:rsid w:val="7DCC42CB"/>
    <w:rsid w:val="7DD53440"/>
    <w:rsid w:val="7DD61DC4"/>
    <w:rsid w:val="7DD717C7"/>
    <w:rsid w:val="7DD79C2F"/>
    <w:rsid w:val="7DE0BE10"/>
    <w:rsid w:val="7DEF5C88"/>
    <w:rsid w:val="7E02682F"/>
    <w:rsid w:val="7E10272D"/>
    <w:rsid w:val="7E1CEB56"/>
    <w:rsid w:val="7E1DCCC0"/>
    <w:rsid w:val="7E302E8B"/>
    <w:rsid w:val="7E3791B9"/>
    <w:rsid w:val="7E38CCF1"/>
    <w:rsid w:val="7E5708E5"/>
    <w:rsid w:val="7E58BAFA"/>
    <w:rsid w:val="7E78F2A6"/>
    <w:rsid w:val="7E7A5218"/>
    <w:rsid w:val="7E85F752"/>
    <w:rsid w:val="7E94EECB"/>
    <w:rsid w:val="7EA2413E"/>
    <w:rsid w:val="7EA2BE27"/>
    <w:rsid w:val="7EA6DCE5"/>
    <w:rsid w:val="7EB59ED0"/>
    <w:rsid w:val="7EBA0BE1"/>
    <w:rsid w:val="7EDDA783"/>
    <w:rsid w:val="7EE54FB2"/>
    <w:rsid w:val="7EEA6A5F"/>
    <w:rsid w:val="7EF24B8A"/>
    <w:rsid w:val="7EF653C8"/>
    <w:rsid w:val="7F005230"/>
    <w:rsid w:val="7F01400A"/>
    <w:rsid w:val="7F0E678B"/>
    <w:rsid w:val="7F2304C0"/>
    <w:rsid w:val="7F40D66B"/>
    <w:rsid w:val="7F429DFB"/>
    <w:rsid w:val="7F49ECB0"/>
    <w:rsid w:val="7F4A0FAF"/>
    <w:rsid w:val="7F4D274B"/>
    <w:rsid w:val="7F50CEF8"/>
    <w:rsid w:val="7F5A41D1"/>
    <w:rsid w:val="7F5B9E74"/>
    <w:rsid w:val="7F63F97F"/>
    <w:rsid w:val="7F7BA51E"/>
    <w:rsid w:val="7F869B13"/>
    <w:rsid w:val="7F93DE88"/>
    <w:rsid w:val="7FAF2956"/>
    <w:rsid w:val="7FCFE142"/>
    <w:rsid w:val="7FD2520E"/>
    <w:rsid w:val="7FF20925"/>
    <w:rsid w:val="7FF2CBC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8A7BFAD"/>
  <w15:chartTrackingRefBased/>
  <w15:docId w15:val="{9B35DAC6-D572-47F9-A924-C6F5C6F1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410D2"/>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semiHidden/>
    <w:pPr>
      <w:spacing w:after="120"/>
    </w:pPr>
  </w:style>
  <w:style w:type="character" w:styleId="FootnoteReference">
    <w:name w:val="footnote reference"/>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unhideWhenUsed/>
    <w:rPr>
      <w:color w:val="605E5C"/>
      <w:shd w:val="clear" w:color="auto" w:fill="E1DFDD"/>
    </w:rPr>
  </w:style>
  <w:style w:type="paragraph" w:styleId="Revision">
    <w:name w:val="Revision"/>
    <w:hidden/>
    <w:uiPriority w:val="99"/>
    <w:semiHidden/>
    <w:rsid w:val="00462A12"/>
    <w:rPr>
      <w:snapToGrid w:val="0"/>
      <w:kern w:val="28"/>
      <w:sz w:val="22"/>
    </w:rPr>
  </w:style>
  <w:style w:type="character" w:customStyle="1" w:styleId="FootnoteTextChar">
    <w:name w:val="Footnote Text Char"/>
    <w:basedOn w:val="DefaultParagraphFont"/>
    <w:link w:val="FootnoteText"/>
    <w:uiPriority w:val="99"/>
    <w:semiHidden/>
    <w:rsid w:val="00AF4DD0"/>
  </w:style>
  <w:style w:type="character" w:customStyle="1" w:styleId="normaltextrun">
    <w:name w:val="normaltextrun"/>
    <w:basedOn w:val="DefaultParagraphFont"/>
    <w:rsid w:val="00AF4DD0"/>
  </w:style>
  <w:style w:type="character" w:styleId="CommentReference">
    <w:name w:val="annotation reference"/>
    <w:basedOn w:val="DefaultParagraphFont"/>
    <w:uiPriority w:val="99"/>
    <w:semiHidden/>
    <w:unhideWhenUsed/>
    <w:rsid w:val="005300CF"/>
    <w:rPr>
      <w:sz w:val="16"/>
      <w:szCs w:val="16"/>
    </w:rPr>
  </w:style>
  <w:style w:type="paragraph" w:styleId="CommentText">
    <w:name w:val="annotation text"/>
    <w:basedOn w:val="Normal"/>
    <w:link w:val="CommentTextChar"/>
    <w:uiPriority w:val="99"/>
    <w:semiHidden/>
    <w:unhideWhenUsed/>
    <w:rsid w:val="005300CF"/>
    <w:rPr>
      <w:sz w:val="20"/>
    </w:rPr>
  </w:style>
  <w:style w:type="character" w:customStyle="1" w:styleId="CommentTextChar">
    <w:name w:val="Comment Text Char"/>
    <w:basedOn w:val="DefaultParagraphFont"/>
    <w:link w:val="CommentText"/>
    <w:uiPriority w:val="99"/>
    <w:semiHidden/>
    <w:rsid w:val="005300CF"/>
    <w:rPr>
      <w:snapToGrid w:val="0"/>
      <w:kern w:val="28"/>
    </w:rPr>
  </w:style>
  <w:style w:type="paragraph" w:styleId="CommentSubject">
    <w:name w:val="annotation subject"/>
    <w:basedOn w:val="CommentText"/>
    <w:next w:val="CommentText"/>
    <w:link w:val="CommentSubjectChar"/>
    <w:uiPriority w:val="99"/>
    <w:semiHidden/>
    <w:unhideWhenUsed/>
    <w:rsid w:val="005300CF"/>
    <w:rPr>
      <w:b/>
      <w:bCs/>
    </w:rPr>
  </w:style>
  <w:style w:type="character" w:customStyle="1" w:styleId="CommentSubjectChar">
    <w:name w:val="Comment Subject Char"/>
    <w:basedOn w:val="CommentTextChar"/>
    <w:link w:val="CommentSubject"/>
    <w:uiPriority w:val="99"/>
    <w:semiHidden/>
    <w:rsid w:val="005300CF"/>
    <w:rPr>
      <w:b/>
      <w:bCs/>
      <w:snapToGrid w:val="0"/>
      <w:kern w:val="28"/>
    </w:rPr>
  </w:style>
  <w:style w:type="paragraph" w:styleId="ListParagraph">
    <w:name w:val="List Paragraph"/>
    <w:basedOn w:val="Normal"/>
    <w:uiPriority w:val="34"/>
    <w:qFormat/>
    <w:rsid w:val="005300CF"/>
    <w:pPr>
      <w:ind w:left="720"/>
      <w:contextualSpacing/>
    </w:pPr>
  </w:style>
  <w:style w:type="character" w:styleId="FollowedHyperlink">
    <w:name w:val="FollowedHyperlink"/>
    <w:basedOn w:val="DefaultParagraphFont"/>
    <w:uiPriority w:val="99"/>
    <w:semiHidden/>
    <w:unhideWhenUsed/>
    <w:rsid w:val="002D184C"/>
    <w:rPr>
      <w:color w:val="954F72" w:themeColor="followedHyperlink"/>
      <w:u w:val="single"/>
    </w:rPr>
  </w:style>
  <w:style w:type="character" w:customStyle="1" w:styleId="Mention">
    <w:name w:val="Mention"/>
    <w:basedOn w:val="DefaultParagraphFont"/>
    <w:uiPriority w:val="99"/>
    <w:unhideWhenUsed/>
    <w:rsid w:val="0058729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BroadbandData/" TargetMode="External" /><Relationship Id="rId6" Type="http://schemas.openxmlformats.org/officeDocument/2006/relationships/hyperlink" Target="http://www.FCC.gov/BroadbandData" TargetMode="External" /><Relationship Id="rId7" Type="http://schemas.openxmlformats.org/officeDocument/2006/relationships/hyperlink" Target="mailto:BroadbandDataInquiries@fcc.gov" TargetMode="External" /><Relationship Id="rId8" Type="http://schemas.openxmlformats.org/officeDocument/2006/relationships/hyperlink" Target="mailto:anne.veigle@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BILLS-117hr3684enr/pdf/BILLS-117hr3684enr.pdf%20" TargetMode="External" /><Relationship Id="rId10" Type="http://schemas.openxmlformats.org/officeDocument/2006/relationships/hyperlink" Target="https://www.usaspending.gov/award/CONT_AWD_273FCC22C0012_2700_-NONE-_-NONE-" TargetMode="External" /><Relationship Id="rId11" Type="http://schemas.openxmlformats.org/officeDocument/2006/relationships/hyperlink" Target="https://www.fcc.gov/document/fcc-launches-new-mobile-broadband-map" TargetMode="External" /><Relationship Id="rId12" Type="http://schemas.openxmlformats.org/officeDocument/2006/relationships/hyperlink" Target="https://www.fcc.gov/sites/default/files/fcc-cle-presentation-03112021.pdf" TargetMode="External" /><Relationship Id="rId13" Type="http://schemas.openxmlformats.org/officeDocument/2006/relationships/hyperlink" Target="https://www.fcc.gov/document/fcc-reaches-out-collect-consumer-broadband-availability-experiences" TargetMode="External" /><Relationship Id="rId14" Type="http://schemas.openxmlformats.org/officeDocument/2006/relationships/hyperlink" Target="https://www.fcc.gov/document/fcc-encourages-public-use-its-speed-test-app" TargetMode="External" /><Relationship Id="rId15" Type="http://schemas.openxmlformats.org/officeDocument/2006/relationships/hyperlink" Target="https://csrc.nist.gov/glossary/term/authorization_to_operate" TargetMode="External" /><Relationship Id="rId2" Type="http://schemas.openxmlformats.org/officeDocument/2006/relationships/hyperlink" Target="https://www.fcc.gov/BroadbandData" TargetMode="External" /><Relationship Id="rId3" Type="http://schemas.openxmlformats.org/officeDocument/2006/relationships/hyperlink" Target="https://www.fcc.gov/BroadbandData/resources" TargetMode="External" /><Relationship Id="rId4" Type="http://schemas.openxmlformats.org/officeDocument/2006/relationships/hyperlink" Target="https://sam.gov/opp/6986698606b445b395d7ca0650c8cd3e/view" TargetMode="External" /><Relationship Id="rId5" Type="http://schemas.openxmlformats.org/officeDocument/2006/relationships/hyperlink" Target="https://sam.gov/opp/1b02de09717c4f4d8d1c14e819c7f2de/view" TargetMode="External" /><Relationship Id="rId6" Type="http://schemas.openxmlformats.org/officeDocument/2006/relationships/hyperlink" Target="https://sam.gov/opp/a523db9a66a74fcf8b23eafa8751491c/view" TargetMode="External" /><Relationship Id="rId7" Type="http://schemas.openxmlformats.org/officeDocument/2006/relationships/hyperlink" Target="https://sam.gov/opp/e31406dd59b14ed68be1f08234b152f9/view" TargetMode="External" /><Relationship Id="rId8" Type="http://schemas.openxmlformats.org/officeDocument/2006/relationships/hyperlink" Target="https://www.fcc.gov/news-events/events/2021/12/broadband-data-collection-tribal-governments-technical-assistance" TargetMode="External" /><Relationship Id="rId9" Type="http://schemas.openxmlformats.org/officeDocument/2006/relationships/hyperlink" Target="https://sam.gov/opp/67406e68a97e4d90b3f821a7883be2e0/view"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