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24F04" w:rsidP="00C95C5D" w14:paraId="0F7DD302" w14:textId="77777777">
      <w:pPr>
        <w:rPr>
          <w:b/>
          <w:szCs w:val="22"/>
        </w:rPr>
      </w:pPr>
    </w:p>
    <w:p w:rsidR="00013A8B" w:rsidRPr="00CE7088" w:rsidP="00824F04" w14:paraId="167A6350" w14:textId="71453179">
      <w:pPr>
        <w:jc w:val="right"/>
        <w:rPr>
          <w:b/>
          <w:sz w:val="24"/>
          <w:szCs w:val="24"/>
        </w:rPr>
      </w:pPr>
      <w:r>
        <w:rPr>
          <w:b/>
          <w:sz w:val="24"/>
          <w:szCs w:val="24"/>
        </w:rPr>
        <w:t>DA 22-186</w:t>
      </w:r>
    </w:p>
    <w:p w:rsidR="00013A8B" w:rsidRPr="00824F04" w:rsidP="00013A8B" w14:paraId="7040A43D" w14:textId="0906A294">
      <w:pPr>
        <w:spacing w:before="60"/>
        <w:jc w:val="right"/>
        <w:rPr>
          <w:b/>
          <w:szCs w:val="22"/>
        </w:rPr>
      </w:pPr>
      <w:r>
        <w:rPr>
          <w:b/>
          <w:sz w:val="24"/>
          <w:szCs w:val="24"/>
        </w:rPr>
        <w:t>February 23, 2022</w:t>
      </w:r>
    </w:p>
    <w:p w:rsidR="00013A8B" w:rsidRPr="00824F04" w:rsidP="00013A8B" w14:paraId="7AE9B07E" w14:textId="77777777">
      <w:pPr>
        <w:jc w:val="right"/>
        <w:rPr>
          <w:szCs w:val="22"/>
        </w:rPr>
      </w:pPr>
    </w:p>
    <w:p w:rsidR="00C2293C" w:rsidP="00C2293C" w14:paraId="0549F4E4" w14:textId="77777777">
      <w:pPr>
        <w:widowControl/>
        <w:jc w:val="center"/>
        <w:rPr>
          <w:rFonts w:eastAsia="Calibri"/>
          <w:b/>
          <w:caps/>
          <w:snapToGrid/>
          <w:kern w:val="0"/>
          <w:sz w:val="24"/>
          <w:szCs w:val="24"/>
        </w:rPr>
      </w:pPr>
      <w:r w:rsidRPr="00795A68">
        <w:rPr>
          <w:rFonts w:eastAsia="Calibri"/>
          <w:b/>
          <w:caps/>
          <w:snapToGrid/>
          <w:kern w:val="0"/>
          <w:sz w:val="24"/>
          <w:szCs w:val="24"/>
        </w:rPr>
        <w:t xml:space="preserve">iNTERNATIONAL bUREAU rEMINDS cABLE lANDING lICENSEES </w:t>
      </w:r>
    </w:p>
    <w:p w:rsidR="00C2293C" w:rsidP="00C2293C" w14:paraId="304084CE" w14:textId="77777777">
      <w:pPr>
        <w:widowControl/>
        <w:jc w:val="center"/>
        <w:rPr>
          <w:rFonts w:eastAsia="Calibri"/>
          <w:b/>
          <w:caps/>
          <w:snapToGrid/>
          <w:kern w:val="0"/>
          <w:sz w:val="24"/>
          <w:szCs w:val="24"/>
        </w:rPr>
      </w:pPr>
      <w:r w:rsidRPr="00795A68">
        <w:rPr>
          <w:rFonts w:eastAsia="Calibri"/>
          <w:b/>
          <w:caps/>
          <w:snapToGrid/>
          <w:kern w:val="0"/>
          <w:sz w:val="24"/>
          <w:szCs w:val="24"/>
        </w:rPr>
        <w:t xml:space="preserve">AND COMMON CARRIERS TO FILE THEIR ANNUAL SUBMARINE </w:t>
      </w:r>
    </w:p>
    <w:p w:rsidR="00824F04" w:rsidRPr="00795A68" w:rsidP="00824F04" w14:paraId="0EA0EE68" w14:textId="6F7D24E3">
      <w:pPr>
        <w:widowControl/>
        <w:spacing w:after="240"/>
        <w:jc w:val="center"/>
        <w:rPr>
          <w:rFonts w:eastAsia="Calibri"/>
          <w:b/>
          <w:caps/>
          <w:snapToGrid/>
          <w:kern w:val="0"/>
          <w:sz w:val="24"/>
          <w:szCs w:val="24"/>
        </w:rPr>
      </w:pPr>
      <w:r w:rsidRPr="00795A68">
        <w:rPr>
          <w:rFonts w:eastAsia="Calibri"/>
          <w:b/>
          <w:caps/>
          <w:snapToGrid/>
          <w:kern w:val="0"/>
          <w:sz w:val="24"/>
          <w:szCs w:val="24"/>
        </w:rPr>
        <w:t>cABLE CIRCUIT CAPACITY Reports by march 31, 202</w:t>
      </w:r>
      <w:r w:rsidR="00CE7088">
        <w:rPr>
          <w:rFonts w:eastAsia="Calibri"/>
          <w:b/>
          <w:caps/>
          <w:snapToGrid/>
          <w:kern w:val="0"/>
          <w:sz w:val="24"/>
          <w:szCs w:val="24"/>
        </w:rPr>
        <w:t>2</w:t>
      </w:r>
    </w:p>
    <w:p w:rsidR="00824F04" w:rsidRPr="00DB2D95" w:rsidP="00824F04" w14:paraId="059DDDFC" w14:textId="6B2B108B">
      <w:pPr>
        <w:widowControl/>
        <w:spacing w:after="240"/>
        <w:jc w:val="center"/>
        <w:rPr>
          <w:rFonts w:eastAsia="Calibri"/>
          <w:b/>
          <w:i/>
          <w:iCs/>
          <w:snapToGrid/>
          <w:kern w:val="0"/>
          <w:szCs w:val="22"/>
        </w:rPr>
      </w:pPr>
      <w:r w:rsidRPr="00DB2D95">
        <w:rPr>
          <w:rFonts w:eastAsia="Calibri"/>
          <w:b/>
          <w:i/>
          <w:iCs/>
          <w:snapToGrid/>
          <w:kern w:val="0"/>
          <w:szCs w:val="22"/>
        </w:rPr>
        <w:t>Electronic Filing Window to Be Open from March 1, 202</w:t>
      </w:r>
      <w:r w:rsidR="00CE7088">
        <w:rPr>
          <w:rFonts w:eastAsia="Calibri"/>
          <w:b/>
          <w:i/>
          <w:iCs/>
          <w:snapToGrid/>
          <w:kern w:val="0"/>
          <w:szCs w:val="22"/>
        </w:rPr>
        <w:t>2</w:t>
      </w:r>
      <w:r w:rsidRPr="00DB2D95">
        <w:rPr>
          <w:rFonts w:eastAsia="Calibri"/>
          <w:b/>
          <w:i/>
          <w:iCs/>
          <w:snapToGrid/>
          <w:kern w:val="0"/>
          <w:szCs w:val="22"/>
        </w:rPr>
        <w:t xml:space="preserve"> through March 31, 202</w:t>
      </w:r>
      <w:r w:rsidR="00CE7088">
        <w:rPr>
          <w:rFonts w:eastAsia="Calibri"/>
          <w:b/>
          <w:i/>
          <w:iCs/>
          <w:snapToGrid/>
          <w:kern w:val="0"/>
          <w:szCs w:val="22"/>
        </w:rPr>
        <w:t>2</w:t>
      </w:r>
    </w:p>
    <w:p w:rsidR="00795A68" w:rsidRPr="009462E4" w:rsidP="00795A68" w14:paraId="26001B6B" w14:textId="77777777">
      <w:pPr>
        <w:widowControl/>
        <w:spacing w:after="28" w:line="233" w:lineRule="auto"/>
        <w:ind w:left="730" w:right="9" w:hanging="10"/>
        <w:rPr>
          <w:rFonts w:eastAsia="Calibri"/>
          <w:snapToGrid/>
          <w:color w:val="000000"/>
          <w:kern w:val="0"/>
          <w:szCs w:val="22"/>
        </w:rPr>
      </w:pPr>
      <w:bookmarkStart w:id="0" w:name="TOChere"/>
      <w:r w:rsidRPr="009462E4">
        <w:rPr>
          <w:rFonts w:eastAsia="Calibri"/>
          <w:snapToGrid/>
          <w:color w:val="000000"/>
          <w:kern w:val="0"/>
          <w:szCs w:val="22"/>
        </w:rPr>
        <w:t xml:space="preserve">We remind cable landing licensees and common carriers that, by rule, data as of December 31, </w:t>
      </w:r>
    </w:p>
    <w:p w:rsidR="00795A68" w:rsidRPr="009462E4" w:rsidP="00795A68" w14:paraId="6D28AF9C" w14:textId="3E21BF75">
      <w:pPr>
        <w:widowControl/>
        <w:spacing w:after="28" w:line="233" w:lineRule="auto"/>
        <w:ind w:left="-5" w:right="9" w:hanging="10"/>
        <w:rPr>
          <w:rFonts w:eastAsia="Calibri"/>
          <w:snapToGrid/>
          <w:color w:val="000000"/>
          <w:kern w:val="0"/>
          <w:szCs w:val="22"/>
        </w:rPr>
      </w:pPr>
      <w:r w:rsidRPr="009462E4">
        <w:rPr>
          <w:rFonts w:eastAsia="Calibri"/>
          <w:snapToGrid/>
          <w:color w:val="000000"/>
          <w:kern w:val="0"/>
          <w:szCs w:val="22"/>
        </w:rPr>
        <w:t>202</w:t>
      </w:r>
      <w:r w:rsidR="00CE7088">
        <w:rPr>
          <w:rFonts w:eastAsia="Calibri"/>
          <w:snapToGrid/>
          <w:color w:val="000000"/>
          <w:kern w:val="0"/>
          <w:szCs w:val="22"/>
        </w:rPr>
        <w:t>1</w:t>
      </w:r>
      <w:r w:rsidRPr="009462E4">
        <w:rPr>
          <w:rFonts w:eastAsia="Calibri"/>
          <w:snapToGrid/>
          <w:color w:val="000000"/>
          <w:kern w:val="0"/>
          <w:szCs w:val="22"/>
        </w:rPr>
        <w:t xml:space="preserve"> for the annual Circuit Capacity Reports are due no later than March 31, 202</w:t>
      </w:r>
      <w:r w:rsidR="00CE7088">
        <w:rPr>
          <w:rFonts w:eastAsia="Calibri"/>
          <w:snapToGrid/>
          <w:color w:val="000000"/>
          <w:kern w:val="0"/>
          <w:szCs w:val="22"/>
        </w:rPr>
        <w:t>2</w:t>
      </w:r>
      <w:r w:rsidR="00F43974">
        <w:rPr>
          <w:rFonts w:eastAsia="Calibri"/>
          <w:snapToGrid/>
          <w:color w:val="000000"/>
          <w:kern w:val="0"/>
          <w:szCs w:val="22"/>
        </w:rPr>
        <w:t>.</w:t>
      </w:r>
      <w:r>
        <w:rPr>
          <w:rFonts w:eastAsia="Calibri"/>
          <w:snapToGrid/>
          <w:kern w:val="0"/>
          <w:szCs w:val="22"/>
          <w:vertAlign w:val="superscript"/>
        </w:rPr>
        <w:footnoteReference w:id="3"/>
      </w:r>
      <w:r w:rsidRPr="009462E4">
        <w:rPr>
          <w:rFonts w:eastAsia="Calibri"/>
          <w:snapToGrid/>
          <w:color w:val="000000"/>
          <w:kern w:val="0"/>
          <w:szCs w:val="22"/>
        </w:rPr>
        <w:t xml:space="preserve">  Section 43.82 of the Commission’s rules requires (1) any licensee of a submarine cable between the United States and a foreign point and (2) any common carrier with capacity on a submarine cable between the United States and a foreign point to file Circuit Capacity Reports.</w:t>
      </w:r>
      <w:r>
        <w:rPr>
          <w:rFonts w:eastAsia="Calibri"/>
          <w:snapToGrid/>
          <w:color w:val="000000"/>
          <w:kern w:val="0"/>
          <w:szCs w:val="22"/>
          <w:vertAlign w:val="superscript"/>
        </w:rPr>
        <w:footnoteReference w:id="4"/>
      </w:r>
      <w:r w:rsidRPr="009462E4">
        <w:rPr>
          <w:rFonts w:eastAsia="Calibri"/>
          <w:snapToGrid/>
          <w:color w:val="000000"/>
          <w:kern w:val="0"/>
          <w:szCs w:val="22"/>
        </w:rPr>
        <w:t xml:space="preserve">  Submarine cable landing licensees must file a Cable Operator Report with the available capacity (both lit and unlit capacity) of the cable as of December 31, </w:t>
      </w:r>
    </w:p>
    <w:p w:rsidR="00795A68" w:rsidRPr="009462E4" w:rsidP="00795A68" w14:paraId="4CE5E869" w14:textId="13A06949">
      <w:pPr>
        <w:widowControl/>
        <w:spacing w:after="281" w:line="233" w:lineRule="auto"/>
        <w:ind w:left="-5" w:right="9" w:hanging="10"/>
        <w:rPr>
          <w:rFonts w:eastAsia="Calibri"/>
          <w:snapToGrid/>
          <w:color w:val="000000"/>
          <w:kern w:val="0"/>
          <w:szCs w:val="22"/>
        </w:rPr>
      </w:pPr>
      <w:r w:rsidRPr="009462E4">
        <w:rPr>
          <w:rFonts w:eastAsia="Calibri"/>
          <w:snapToGrid/>
          <w:color w:val="000000"/>
          <w:kern w:val="0"/>
          <w:szCs w:val="22"/>
        </w:rPr>
        <w:t>202</w:t>
      </w:r>
      <w:r w:rsidR="00CE7088">
        <w:rPr>
          <w:rFonts w:eastAsia="Calibri"/>
          <w:snapToGrid/>
          <w:color w:val="000000"/>
          <w:kern w:val="0"/>
          <w:szCs w:val="22"/>
        </w:rPr>
        <w:t>1</w:t>
      </w:r>
      <w:r w:rsidRPr="009462E4">
        <w:rPr>
          <w:rFonts w:eastAsia="Calibri"/>
          <w:snapToGrid/>
          <w:color w:val="000000"/>
          <w:kern w:val="0"/>
          <w:szCs w:val="22"/>
        </w:rPr>
        <w:t xml:space="preserve"> and the planned capacity (the intended capacity, both lit and unlit, of the cable two years out from December 31, 202</w:t>
      </w:r>
      <w:r w:rsidR="00CE7088">
        <w:rPr>
          <w:rFonts w:eastAsia="Calibri"/>
          <w:snapToGrid/>
          <w:color w:val="000000"/>
          <w:kern w:val="0"/>
          <w:szCs w:val="22"/>
        </w:rPr>
        <w:t>1</w:t>
      </w:r>
      <w:r w:rsidRPr="009462E4">
        <w:rPr>
          <w:rFonts w:eastAsia="Calibri"/>
          <w:snapToGrid/>
          <w:color w:val="000000"/>
          <w:kern w:val="0"/>
          <w:szCs w:val="22"/>
        </w:rPr>
        <w:t>).</w:t>
      </w:r>
      <w:r>
        <w:rPr>
          <w:rFonts w:eastAsia="Calibri"/>
          <w:snapToGrid/>
          <w:color w:val="000000"/>
          <w:kern w:val="0"/>
          <w:szCs w:val="22"/>
          <w:vertAlign w:val="superscript"/>
        </w:rPr>
        <w:footnoteReference w:id="5"/>
      </w:r>
      <w:r w:rsidRPr="009462E4">
        <w:rPr>
          <w:rFonts w:eastAsia="Calibri"/>
          <w:snapToGrid/>
          <w:color w:val="000000"/>
          <w:kern w:val="0"/>
          <w:szCs w:val="22"/>
        </w:rPr>
        <w:t xml:space="preserve">  Cable landing licensees and common carriers must file a Capacity Holder Report identifying the capacity that they own or hold through an indefeasible right of use (IRU) or an intercarrier lease (ICL) as of December 31, 202</w:t>
      </w:r>
      <w:r w:rsidR="00CE7088">
        <w:rPr>
          <w:rFonts w:eastAsia="Calibri"/>
          <w:snapToGrid/>
          <w:color w:val="000000"/>
          <w:kern w:val="0"/>
          <w:szCs w:val="22"/>
        </w:rPr>
        <w:t>1</w:t>
      </w:r>
      <w:r w:rsidRPr="009462E4">
        <w:rPr>
          <w:rFonts w:eastAsia="Calibri"/>
          <w:snapToGrid/>
          <w:color w:val="000000"/>
          <w:kern w:val="0"/>
          <w:szCs w:val="22"/>
        </w:rPr>
        <w:t>.</w:t>
      </w:r>
      <w:r>
        <w:rPr>
          <w:rFonts w:eastAsia="Calibri"/>
          <w:snapToGrid/>
          <w:kern w:val="0"/>
          <w:szCs w:val="22"/>
          <w:vertAlign w:val="superscript"/>
        </w:rPr>
        <w:footnoteReference w:id="6"/>
      </w:r>
      <w:r w:rsidRPr="009462E4">
        <w:rPr>
          <w:rFonts w:eastAsia="Calibri"/>
          <w:snapToGrid/>
          <w:color w:val="000000"/>
          <w:kern w:val="0"/>
          <w:szCs w:val="22"/>
        </w:rPr>
        <w:t xml:space="preserve"> </w:t>
      </w:r>
    </w:p>
    <w:p w:rsidR="00E17959" w:rsidP="00795A68" w14:paraId="3130ADEA" w14:textId="55C6F207">
      <w:pPr>
        <w:widowControl/>
        <w:autoSpaceDE w:val="0"/>
        <w:autoSpaceDN w:val="0"/>
        <w:adjustRightInd w:val="0"/>
        <w:ind w:firstLine="720"/>
        <w:rPr>
          <w:rFonts w:eastAsia="Calibri"/>
          <w:snapToGrid/>
          <w:color w:val="000000"/>
          <w:kern w:val="0"/>
          <w:szCs w:val="22"/>
        </w:rPr>
      </w:pPr>
      <w:r w:rsidRPr="009462E4">
        <w:rPr>
          <w:rFonts w:eastAsia="Calibri"/>
          <w:snapToGrid/>
          <w:color w:val="000000"/>
          <w:kern w:val="0"/>
          <w:szCs w:val="22"/>
        </w:rPr>
        <w:t>Filers should refer to the International Bureau’s Filing Manual for Section 43.82 Circuit Capacity Reports (Filing Manual) for instructions on how to file the reports, who must file, which reports to file, the required information, and the filing procedures.</w:t>
      </w:r>
      <w:r>
        <w:rPr>
          <w:rFonts w:eastAsia="Calibri"/>
          <w:snapToGrid/>
          <w:color w:val="000000"/>
          <w:kern w:val="0"/>
          <w:szCs w:val="22"/>
          <w:vertAlign w:val="superscript"/>
        </w:rPr>
        <w:footnoteReference w:id="7"/>
      </w:r>
      <w:r w:rsidRPr="009462E4">
        <w:rPr>
          <w:rFonts w:eastAsia="Calibri"/>
          <w:snapToGrid/>
          <w:color w:val="000000"/>
          <w:kern w:val="0"/>
          <w:szCs w:val="22"/>
        </w:rPr>
        <w:t xml:space="preserve"> </w:t>
      </w:r>
      <w:r>
        <w:rPr>
          <w:rFonts w:ascii="TimesNewRomanPS-BoldMT" w:hAnsi="TimesNewRomanPS-BoldMT" w:cs="TimesNewRomanPS-BoldMT"/>
          <w:b/>
          <w:bCs/>
          <w:snapToGrid/>
          <w:kern w:val="0"/>
          <w:szCs w:val="22"/>
        </w:rPr>
        <w:t xml:space="preserve"> </w:t>
      </w:r>
      <w:r w:rsidRPr="00497D44">
        <w:rPr>
          <w:rFonts w:ascii="TimesNewRomanPS-BoldMT" w:hAnsi="TimesNewRomanPS-BoldMT" w:cs="TimesNewRomanPS-BoldMT"/>
          <w:snapToGrid/>
          <w:kern w:val="0"/>
          <w:szCs w:val="22"/>
        </w:rPr>
        <w:t>T</w:t>
      </w:r>
      <w:r w:rsidRPr="00D14CD3">
        <w:rPr>
          <w:rFonts w:ascii="TimesNewRomanPSMT" w:hAnsi="TimesNewRomanPSMT" w:cs="TimesNewRomanPSMT"/>
          <w:snapToGrid/>
          <w:kern w:val="0"/>
          <w:szCs w:val="22"/>
        </w:rPr>
        <w:t>o</w:t>
      </w:r>
      <w:r>
        <w:rPr>
          <w:rFonts w:ascii="TimesNewRomanPSMT" w:hAnsi="TimesNewRomanPSMT" w:cs="TimesNewRomanPSMT"/>
          <w:snapToGrid/>
          <w:kern w:val="0"/>
          <w:szCs w:val="22"/>
        </w:rPr>
        <w:t xml:space="preserve"> assist Filing Entities with their submissions, the Filing Manual provides examples.</w:t>
      </w:r>
      <w:r>
        <w:rPr>
          <w:rStyle w:val="FootnoteReference"/>
          <w:rFonts w:cs="TimesNewRomanPSMT"/>
          <w:snapToGrid/>
          <w:kern w:val="0"/>
          <w:szCs w:val="22"/>
        </w:rPr>
        <w:footnoteReference w:id="8"/>
      </w:r>
      <w:r>
        <w:rPr>
          <w:rFonts w:ascii="TimesNewRomanPSMT" w:hAnsi="TimesNewRomanPSMT" w:cs="TimesNewRomanPSMT"/>
          <w:snapToGrid/>
          <w:kern w:val="0"/>
          <w:szCs w:val="22"/>
        </w:rPr>
        <w:t xml:space="preserve">  </w:t>
      </w:r>
      <w:r w:rsidRPr="009462E4">
        <w:rPr>
          <w:rFonts w:eastAsia="Calibri"/>
          <w:snapToGrid/>
          <w:color w:val="000000"/>
          <w:kern w:val="0"/>
          <w:szCs w:val="22"/>
        </w:rPr>
        <w:t>The Filing Manual is available at</w:t>
      </w:r>
      <w:r>
        <w:rPr>
          <w:rFonts w:eastAsia="Calibri"/>
          <w:snapToGrid/>
          <w:color w:val="000000"/>
          <w:kern w:val="0"/>
          <w:szCs w:val="22"/>
        </w:rPr>
        <w:t xml:space="preserve"> </w:t>
      </w:r>
      <w:hyperlink r:id="rId5" w:history="1">
        <w:r w:rsidRPr="000466F5">
          <w:rPr>
            <w:rStyle w:val="Hyperlink"/>
            <w:rFonts w:eastAsia="Calibri"/>
            <w:snapToGrid/>
            <w:kern w:val="0"/>
            <w:szCs w:val="22"/>
          </w:rPr>
          <w:t>https://docs.fcc.gov/public/attachments/DOC-362660A1.pdf</w:t>
        </w:r>
      </w:hyperlink>
      <w:r w:rsidRPr="009462E4">
        <w:rPr>
          <w:rFonts w:eastAsia="Calibri"/>
          <w:snapToGrid/>
          <w:color w:val="000000"/>
          <w:kern w:val="0"/>
          <w:szCs w:val="22"/>
        </w:rPr>
        <w:t>.</w:t>
      </w:r>
      <w:r>
        <w:rPr>
          <w:rFonts w:eastAsia="Calibri"/>
          <w:snapToGrid/>
          <w:color w:val="000000"/>
          <w:kern w:val="0"/>
          <w:szCs w:val="22"/>
        </w:rPr>
        <w:t xml:space="preserve">  </w:t>
      </w:r>
    </w:p>
    <w:p w:rsidR="00F43974" w:rsidP="00795A68" w14:paraId="135D9827" w14:textId="338CA760">
      <w:pPr>
        <w:widowControl/>
        <w:autoSpaceDE w:val="0"/>
        <w:autoSpaceDN w:val="0"/>
        <w:adjustRightInd w:val="0"/>
        <w:ind w:firstLine="720"/>
        <w:rPr>
          <w:rFonts w:eastAsia="Calibri"/>
          <w:snapToGrid/>
          <w:color w:val="000000"/>
          <w:kern w:val="0"/>
          <w:szCs w:val="22"/>
        </w:rPr>
      </w:pPr>
    </w:p>
    <w:p w:rsidR="00E17959" w:rsidRPr="009462E4" w:rsidP="00E17959" w14:paraId="675358CC" w14:textId="58E86361">
      <w:pPr>
        <w:widowControl/>
        <w:spacing w:after="290" w:line="233" w:lineRule="auto"/>
        <w:ind w:left="-15" w:right="9" w:firstLine="720"/>
        <w:rPr>
          <w:rFonts w:eastAsia="Calibri"/>
          <w:snapToGrid/>
          <w:color w:val="000000"/>
          <w:kern w:val="0"/>
          <w:szCs w:val="22"/>
        </w:rPr>
      </w:pPr>
      <w:r w:rsidRPr="009462E4">
        <w:rPr>
          <w:rFonts w:eastAsia="Calibri"/>
          <w:b/>
          <w:i/>
          <w:snapToGrid/>
          <w:color w:val="000000"/>
          <w:kern w:val="0"/>
          <w:szCs w:val="22"/>
        </w:rPr>
        <w:t>Section 43.82 Online Filing System</w:t>
      </w:r>
      <w:r w:rsidRPr="009462E4">
        <w:rPr>
          <w:rFonts w:eastAsia="Calibri"/>
          <w:b/>
          <w:snapToGrid/>
          <w:color w:val="000000"/>
          <w:kern w:val="0"/>
          <w:szCs w:val="22"/>
        </w:rPr>
        <w:t>.</w:t>
      </w:r>
      <w:r w:rsidRPr="009462E4">
        <w:rPr>
          <w:rFonts w:eastAsia="Calibri"/>
          <w:snapToGrid/>
          <w:color w:val="000000"/>
          <w:kern w:val="0"/>
          <w:szCs w:val="22"/>
        </w:rPr>
        <w:t xml:space="preserve">  Filing Entities must file their Circuit Capacity Reports through the section 43.82 online filing system at </w:t>
      </w:r>
      <w:hyperlink r:id="rId6" w:history="1">
        <w:r w:rsidRPr="009462E4">
          <w:rPr>
            <w:rFonts w:eastAsia="Calibri"/>
            <w:snapToGrid/>
            <w:color w:val="0000FF"/>
            <w:kern w:val="0"/>
            <w:szCs w:val="22"/>
            <w:u w:val="single"/>
          </w:rPr>
          <w:t>https://apps2.fcc.gov/section4362/login.xhtml</w:t>
        </w:r>
      </w:hyperlink>
      <w:r w:rsidRPr="009462E4">
        <w:rPr>
          <w:rFonts w:eastAsia="Calibri"/>
          <w:snapToGrid/>
          <w:color w:val="000000"/>
          <w:kern w:val="0"/>
          <w:szCs w:val="22"/>
        </w:rPr>
        <w:t xml:space="preserve">.  Licensees of each cable must file a </w:t>
      </w:r>
      <w:r>
        <w:rPr>
          <w:rFonts w:eastAsia="Calibri"/>
          <w:snapToGrid/>
          <w:color w:val="000000"/>
          <w:kern w:val="0"/>
          <w:szCs w:val="22"/>
        </w:rPr>
        <w:t xml:space="preserve">single </w:t>
      </w:r>
      <w:r w:rsidRPr="009462E4">
        <w:rPr>
          <w:rFonts w:eastAsia="Calibri"/>
          <w:snapToGrid/>
          <w:color w:val="000000"/>
          <w:kern w:val="0"/>
          <w:szCs w:val="22"/>
        </w:rPr>
        <w:t>Cable Operator Report for the cable</w:t>
      </w:r>
      <w:r>
        <w:rPr>
          <w:rFonts w:eastAsia="Calibri"/>
          <w:snapToGrid/>
          <w:color w:val="000000"/>
          <w:kern w:val="0"/>
          <w:szCs w:val="22"/>
        </w:rPr>
        <w:t>.</w:t>
      </w:r>
      <w:r w:rsidRPr="009462E4">
        <w:rPr>
          <w:rFonts w:eastAsia="Calibri"/>
          <w:snapToGrid/>
          <w:color w:val="000000"/>
          <w:kern w:val="0"/>
          <w:szCs w:val="22"/>
        </w:rPr>
        <w:t xml:space="preserve"> </w:t>
      </w:r>
      <w:r>
        <w:rPr>
          <w:rFonts w:eastAsia="Calibri"/>
          <w:snapToGrid/>
          <w:color w:val="000000"/>
          <w:kern w:val="0"/>
          <w:szCs w:val="22"/>
        </w:rPr>
        <w:t xml:space="preserve"> </w:t>
      </w:r>
      <w:r w:rsidRPr="0079230D">
        <w:t xml:space="preserve">Where there are multiple licensees for a cable, only one cable landing licensee </w:t>
      </w:r>
      <w:r>
        <w:t>may</w:t>
      </w:r>
      <w:r w:rsidRPr="0079230D">
        <w:t xml:space="preserve"> file the Cable Operator Report for that cable.</w:t>
      </w:r>
      <w:r>
        <w:rPr>
          <w:rStyle w:val="FootnoteReference"/>
        </w:rPr>
        <w:footnoteReference w:id="9"/>
      </w:r>
      <w:r w:rsidRPr="0079230D">
        <w:t xml:space="preserve">  The licensees shall determine which licensee will file the capacity data for that cable.</w:t>
      </w:r>
      <w:r>
        <w:rPr>
          <w:rStyle w:val="FootnoteReference"/>
        </w:rPr>
        <w:footnoteReference w:id="10"/>
      </w:r>
      <w:r>
        <w:t xml:space="preserve">  </w:t>
      </w:r>
      <w:r>
        <w:rPr>
          <w:rFonts w:eastAsia="Calibri"/>
          <w:snapToGrid/>
          <w:color w:val="000000"/>
          <w:kern w:val="0"/>
          <w:szCs w:val="22"/>
        </w:rPr>
        <w:t>E</w:t>
      </w:r>
      <w:r w:rsidRPr="009462E4">
        <w:rPr>
          <w:rFonts w:eastAsia="Calibri"/>
          <w:snapToGrid/>
          <w:color w:val="000000"/>
          <w:kern w:val="0"/>
          <w:szCs w:val="22"/>
        </w:rPr>
        <w:t xml:space="preserve">ach licensee </w:t>
      </w:r>
      <w:r w:rsidRPr="009462E4">
        <w:rPr>
          <w:rFonts w:eastAsia="Calibri"/>
          <w:snapToGrid/>
          <w:color w:val="000000"/>
          <w:kern w:val="0"/>
          <w:szCs w:val="22"/>
        </w:rPr>
        <w:t>must file a Capacity Holder Report with its capacity holdings on all cables, including cables on which it is not a licensee.</w:t>
      </w:r>
      <w:r>
        <w:rPr>
          <w:rFonts w:eastAsia="Calibri"/>
          <w:snapToGrid/>
          <w:kern w:val="0"/>
          <w:szCs w:val="22"/>
          <w:vertAlign w:val="superscript"/>
        </w:rPr>
        <w:footnoteReference w:id="11"/>
      </w:r>
      <w:r w:rsidRPr="009462E4">
        <w:rPr>
          <w:rFonts w:eastAsia="Calibri"/>
          <w:snapToGrid/>
          <w:color w:val="000000"/>
          <w:kern w:val="0"/>
          <w:szCs w:val="22"/>
        </w:rPr>
        <w:t xml:space="preserve">  Common carriers must file Capacity Holder Reports.</w:t>
      </w:r>
      <w:r>
        <w:rPr>
          <w:rFonts w:eastAsia="Calibri"/>
          <w:snapToGrid/>
          <w:kern w:val="0"/>
          <w:szCs w:val="22"/>
          <w:vertAlign w:val="superscript"/>
        </w:rPr>
        <w:footnoteReference w:id="12"/>
      </w:r>
    </w:p>
    <w:p w:rsidR="00E17959" w:rsidRPr="00497D44" w:rsidP="00A741BC" w14:paraId="6988818B" w14:textId="4C3FDF5E">
      <w:pPr>
        <w:widowControl/>
        <w:autoSpaceDE w:val="0"/>
        <w:autoSpaceDN w:val="0"/>
        <w:adjustRightInd w:val="0"/>
        <w:rPr>
          <w:rFonts w:ascii="TimesNewRomanPSMT" w:hAnsi="TimesNewRomanPSMT" w:cs="TimesNewRomanPSMT"/>
          <w:snapToGrid/>
          <w:color w:val="000000"/>
          <w:kern w:val="0"/>
          <w:szCs w:val="22"/>
        </w:rPr>
      </w:pPr>
      <w:r>
        <w:rPr>
          <w:rFonts w:eastAsia="Calibri"/>
          <w:snapToGrid/>
          <w:color w:val="000000"/>
          <w:kern w:val="0"/>
          <w:szCs w:val="22"/>
        </w:rPr>
        <w:tab/>
      </w:r>
      <w:r w:rsidR="00795A68">
        <w:rPr>
          <w:rFonts w:eastAsia="Calibri"/>
          <w:snapToGrid/>
          <w:color w:val="000000"/>
          <w:kern w:val="0"/>
          <w:szCs w:val="22"/>
        </w:rPr>
        <w:t>We remind Filing Entities of the following</w:t>
      </w:r>
      <w:r w:rsidRPr="00E17959">
        <w:rPr>
          <w:b/>
          <w:bCs/>
          <w:i/>
          <w:iCs/>
        </w:rPr>
        <w:t xml:space="preserve"> </w:t>
      </w:r>
      <w:r w:rsidRPr="00A741BC">
        <w:t>concerning Consolidated Reports:</w:t>
      </w:r>
      <w:r>
        <w:t xml:space="preserve">  </w:t>
      </w:r>
    </w:p>
    <w:p w:rsidR="00F43974" w:rsidRPr="00497D44" w:rsidP="00795A68" w14:paraId="55341FFF" w14:textId="4968F768">
      <w:pPr>
        <w:widowControl/>
        <w:autoSpaceDE w:val="0"/>
        <w:autoSpaceDN w:val="0"/>
        <w:adjustRightInd w:val="0"/>
        <w:ind w:firstLine="720"/>
        <w:rPr>
          <w:rFonts w:ascii="TimesNewRomanPSMT" w:hAnsi="TimesNewRomanPSMT" w:cs="TimesNewRomanPSMT"/>
          <w:snapToGrid/>
          <w:kern w:val="0"/>
          <w:szCs w:val="22"/>
        </w:rPr>
      </w:pPr>
    </w:p>
    <w:p w:rsidR="00795A68" w:rsidRPr="00CC6752" w:rsidP="00E17959" w14:paraId="3933874D" w14:textId="6029443D">
      <w:pPr>
        <w:widowControl/>
        <w:numPr>
          <w:ilvl w:val="1"/>
          <w:numId w:val="8"/>
        </w:numPr>
        <w:autoSpaceDE w:val="0"/>
        <w:autoSpaceDN w:val="0"/>
        <w:adjustRightInd w:val="0"/>
        <w:rPr>
          <w:rFonts w:ascii="TimesNewRomanPSMT" w:hAnsi="TimesNewRomanPSMT" w:cs="TimesNewRomanPSMT"/>
          <w:snapToGrid/>
          <w:color w:val="000000"/>
          <w:kern w:val="0"/>
          <w:szCs w:val="22"/>
        </w:rPr>
      </w:pPr>
      <w:bookmarkStart w:id="2" w:name="_Hlk63793241"/>
      <w:r w:rsidRPr="00497D44">
        <w:rPr>
          <w:rFonts w:ascii="TimesNewRomanPS-ItalicMT" w:hAnsi="TimesNewRomanPS-ItalicMT" w:cs="TimesNewRomanPS-ItalicMT"/>
          <w:b/>
          <w:bCs/>
          <w:i/>
          <w:iCs/>
          <w:snapToGrid/>
          <w:color w:val="000000"/>
          <w:kern w:val="0"/>
          <w:szCs w:val="22"/>
        </w:rPr>
        <w:t>Consolidated Cable Operator Report.</w:t>
      </w:r>
      <w:r>
        <w:rPr>
          <w:rFonts w:ascii="TimesNewRomanPS-ItalicMT" w:hAnsi="TimesNewRomanPS-ItalicMT" w:cs="TimesNewRomanPS-ItalicMT"/>
          <w:i/>
          <w:iCs/>
          <w:snapToGrid/>
          <w:color w:val="000000"/>
          <w:kern w:val="0"/>
          <w:szCs w:val="22"/>
        </w:rPr>
        <w:t xml:space="preserve">  </w:t>
      </w:r>
      <w:bookmarkEnd w:id="2"/>
      <w:r w:rsidRPr="007420E1">
        <w:rPr>
          <w:rFonts w:ascii="TimesNewRomanPSMT" w:hAnsi="TimesNewRomanPSMT" w:cs="TimesNewRomanPSMT"/>
          <w:snapToGrid/>
          <w:kern w:val="0"/>
          <w:szCs w:val="22"/>
        </w:rPr>
        <w:t>If</w:t>
      </w:r>
      <w:r>
        <w:rPr>
          <w:rFonts w:ascii="TimesNewRomanPSMT" w:hAnsi="TimesNewRomanPSMT" w:cs="TimesNewRomanPSMT"/>
          <w:snapToGrid/>
          <w:color w:val="000000"/>
          <w:kern w:val="0"/>
          <w:szCs w:val="22"/>
        </w:rPr>
        <w:t xml:space="preserve"> </w:t>
      </w:r>
      <w:r w:rsidR="00E17959">
        <w:rPr>
          <w:rFonts w:ascii="TimesNewRomanPSMT" w:hAnsi="TimesNewRomanPSMT" w:cs="TimesNewRomanPSMT"/>
          <w:snapToGrid/>
          <w:color w:val="000000"/>
          <w:kern w:val="0"/>
          <w:szCs w:val="22"/>
        </w:rPr>
        <w:t>the</w:t>
      </w:r>
      <w:r>
        <w:rPr>
          <w:rFonts w:ascii="TimesNewRomanPSMT" w:hAnsi="TimesNewRomanPSMT" w:cs="TimesNewRomanPSMT"/>
          <w:snapToGrid/>
          <w:color w:val="000000"/>
          <w:kern w:val="0"/>
          <w:szCs w:val="22"/>
        </w:rPr>
        <w:t xml:space="preserve"> Filing Entity is filing on behalf of other </w:t>
      </w:r>
      <w:r w:rsidRPr="007420E1">
        <w:rPr>
          <w:rFonts w:ascii="TimesNewRomanPSMT" w:hAnsi="TimesNewRomanPSMT" w:cs="TimesNewRomanPSMT"/>
          <w:snapToGrid/>
          <w:color w:val="000000"/>
          <w:kern w:val="0"/>
          <w:szCs w:val="22"/>
        </w:rPr>
        <w:t xml:space="preserve">cable landing licensees on the cable or on behalf of an affiliated entity or </w:t>
      </w:r>
      <w:r w:rsidRPr="00497D44">
        <w:rPr>
          <w:rFonts w:ascii="TimesNewRomanPS-ItalicMT" w:hAnsi="TimesNewRomanPS-ItalicMT" w:cs="TimesNewRomanPS-ItalicMT"/>
          <w:snapToGrid/>
          <w:color w:val="000000"/>
          <w:kern w:val="0"/>
          <w:szCs w:val="22"/>
        </w:rPr>
        <w:t>entities</w:t>
      </w:r>
      <w:r w:rsidRPr="007420E1">
        <w:rPr>
          <w:rFonts w:ascii="TimesNewRomanPSMT" w:hAnsi="TimesNewRomanPSMT" w:cs="TimesNewRomanPSMT"/>
          <w:snapToGrid/>
          <w:color w:val="000000"/>
          <w:kern w:val="0"/>
          <w:szCs w:val="22"/>
        </w:rPr>
        <w:t>, the</w:t>
      </w:r>
      <w:r>
        <w:rPr>
          <w:rFonts w:ascii="TimesNewRomanPS-BoldMT" w:hAnsi="TimesNewRomanPS-BoldMT" w:cs="TimesNewRomanPS-BoldMT"/>
          <w:b/>
          <w:bCs/>
          <w:snapToGrid/>
          <w:color w:val="000000"/>
          <w:kern w:val="0"/>
          <w:szCs w:val="22"/>
        </w:rPr>
        <w:t xml:space="preserve"> </w:t>
      </w:r>
      <w:r w:rsidRPr="007420E1">
        <w:rPr>
          <w:rFonts w:ascii="TimesNewRomanPSMT" w:hAnsi="TimesNewRomanPSMT" w:cs="TimesNewRomanPSMT"/>
          <w:snapToGrid/>
          <w:color w:val="000000"/>
          <w:kern w:val="0"/>
          <w:szCs w:val="22"/>
        </w:rPr>
        <w:t>Filing Entity should submit a list of the licensees or entities for which it is filing data</w:t>
      </w:r>
      <w:r>
        <w:rPr>
          <w:rFonts w:ascii="TimesNewRomanPS-BoldMT" w:hAnsi="TimesNewRomanPS-BoldMT" w:cs="TimesNewRomanPS-BoldMT"/>
          <w:b/>
          <w:bCs/>
          <w:snapToGrid/>
          <w:color w:val="000000"/>
          <w:kern w:val="0"/>
          <w:szCs w:val="22"/>
        </w:rPr>
        <w:t xml:space="preserve"> </w:t>
      </w:r>
      <w:r>
        <w:rPr>
          <w:rFonts w:ascii="TimesNewRomanPSMT" w:hAnsi="TimesNewRomanPSMT" w:cs="TimesNewRomanPSMT"/>
          <w:snapToGrid/>
          <w:color w:val="000000"/>
          <w:kern w:val="0"/>
          <w:szCs w:val="22"/>
        </w:rPr>
        <w:t xml:space="preserve">in an email at: </w:t>
      </w:r>
      <w:hyperlink r:id="rId7" w:history="1">
        <w:r w:rsidRPr="00364517">
          <w:rPr>
            <w:rStyle w:val="Hyperlink"/>
            <w:rFonts w:ascii="TimesNewRomanPSMT" w:hAnsi="TimesNewRomanPSMT" w:cs="TimesNewRomanPSMT"/>
            <w:snapToGrid/>
            <w:kern w:val="0"/>
            <w:szCs w:val="22"/>
          </w:rPr>
          <w:t>Circuit.Capacity@fcc.gov</w:t>
        </w:r>
      </w:hyperlink>
      <w:r>
        <w:rPr>
          <w:rFonts w:ascii="TimesNewRomanPSMT" w:hAnsi="TimesNewRomanPSMT" w:cs="TimesNewRomanPSMT"/>
          <w:snapToGrid/>
          <w:color w:val="000000"/>
          <w:kern w:val="0"/>
          <w:szCs w:val="22"/>
        </w:rPr>
        <w:t>.</w:t>
      </w:r>
      <w:r>
        <w:rPr>
          <w:rStyle w:val="FootnoteReference"/>
          <w:rFonts w:cs="TimesNewRomanPSMT"/>
          <w:snapToGrid/>
          <w:kern w:val="0"/>
          <w:szCs w:val="22"/>
        </w:rPr>
        <w:footnoteReference w:id="13"/>
      </w:r>
      <w:bookmarkStart w:id="3" w:name="_Hlk63752199"/>
    </w:p>
    <w:p w:rsidR="00795A68" w:rsidP="00E17959" w14:paraId="08DA75DC" w14:textId="76E12E05">
      <w:pPr>
        <w:widowControl/>
        <w:numPr>
          <w:ilvl w:val="1"/>
          <w:numId w:val="8"/>
        </w:numPr>
        <w:autoSpaceDE w:val="0"/>
        <w:autoSpaceDN w:val="0"/>
        <w:adjustRightInd w:val="0"/>
        <w:rPr>
          <w:rFonts w:ascii="TimesNewRomanPSMT" w:hAnsi="TimesNewRomanPSMT" w:cs="TimesNewRomanPSMT"/>
          <w:snapToGrid/>
          <w:color w:val="000000"/>
          <w:kern w:val="0"/>
          <w:szCs w:val="22"/>
        </w:rPr>
      </w:pPr>
      <w:r w:rsidRPr="00497D44">
        <w:rPr>
          <w:rFonts w:ascii="TimesNewRomanPS-ItalicMT" w:hAnsi="TimesNewRomanPS-ItalicMT" w:cs="TimesNewRomanPS-ItalicMT"/>
          <w:b/>
          <w:bCs/>
          <w:i/>
          <w:iCs/>
          <w:snapToGrid/>
          <w:color w:val="000000"/>
          <w:kern w:val="0"/>
          <w:szCs w:val="22"/>
        </w:rPr>
        <w:t xml:space="preserve">Consolidated Capacity </w:t>
      </w:r>
      <w:bookmarkStart w:id="4" w:name="_Hlk63752212"/>
      <w:bookmarkEnd w:id="3"/>
      <w:r w:rsidRPr="00497D44">
        <w:rPr>
          <w:rFonts w:ascii="TimesNewRomanPS-ItalicMT" w:hAnsi="TimesNewRomanPS-ItalicMT" w:cs="TimesNewRomanPS-ItalicMT"/>
          <w:b/>
          <w:bCs/>
          <w:i/>
          <w:iCs/>
          <w:snapToGrid/>
          <w:color w:val="000000"/>
          <w:kern w:val="0"/>
          <w:szCs w:val="22"/>
        </w:rPr>
        <w:t>Holder Report</w:t>
      </w:r>
      <w:r w:rsidRPr="00497D44">
        <w:rPr>
          <w:rFonts w:ascii="TimesNewRomanPSMT" w:hAnsi="TimesNewRomanPSMT" w:cs="TimesNewRomanPSMT"/>
          <w:b/>
          <w:bCs/>
          <w:snapToGrid/>
          <w:color w:val="000000"/>
          <w:kern w:val="0"/>
          <w:szCs w:val="22"/>
        </w:rPr>
        <w:t>.</w:t>
      </w:r>
      <w:r w:rsidRPr="007420E1">
        <w:rPr>
          <w:rFonts w:ascii="TimesNewRomanPSMT" w:hAnsi="TimesNewRomanPSMT" w:cs="TimesNewRomanPSMT"/>
          <w:snapToGrid/>
          <w:color w:val="000000"/>
          <w:kern w:val="0"/>
          <w:szCs w:val="22"/>
        </w:rPr>
        <w:t xml:space="preserve"> </w:t>
      </w:r>
      <w:r w:rsidR="006226D5">
        <w:rPr>
          <w:rFonts w:ascii="TimesNewRomanPSMT" w:hAnsi="TimesNewRomanPSMT" w:cs="TimesNewRomanPSMT"/>
          <w:snapToGrid/>
          <w:color w:val="000000"/>
          <w:kern w:val="0"/>
          <w:szCs w:val="22"/>
        </w:rPr>
        <w:t xml:space="preserve"> </w:t>
      </w:r>
      <w:r w:rsidRPr="007420E1">
        <w:rPr>
          <w:rFonts w:ascii="TimesNewRomanPSMT" w:hAnsi="TimesNewRomanPSMT" w:cs="TimesNewRomanPSMT"/>
          <w:snapToGrid/>
          <w:color w:val="000000"/>
          <w:kern w:val="0"/>
          <w:szCs w:val="22"/>
        </w:rPr>
        <w:t>If a Filing Entity is filing on behalf of an</w:t>
      </w:r>
      <w:bookmarkEnd w:id="4"/>
      <w:r>
        <w:rPr>
          <w:rFonts w:ascii="TimesNewRomanPSMT" w:hAnsi="TimesNewRomanPSMT" w:cs="TimesNewRomanPSMT"/>
          <w:snapToGrid/>
          <w:color w:val="000000"/>
          <w:kern w:val="0"/>
          <w:szCs w:val="22"/>
        </w:rPr>
        <w:t xml:space="preserve"> </w:t>
      </w:r>
      <w:r w:rsidRPr="007420E1">
        <w:rPr>
          <w:rFonts w:ascii="TimesNewRomanPSMT" w:hAnsi="TimesNewRomanPSMT" w:cs="TimesNewRomanPSMT"/>
          <w:snapToGrid/>
          <w:color w:val="000000"/>
          <w:kern w:val="0"/>
          <w:szCs w:val="22"/>
        </w:rPr>
        <w:t>affiliated entity or entities, the Filing Entity should submit a list of the entities for</w:t>
      </w:r>
      <w:r>
        <w:rPr>
          <w:rFonts w:ascii="TimesNewRomanPSMT" w:hAnsi="TimesNewRomanPSMT" w:cs="TimesNewRomanPSMT"/>
          <w:snapToGrid/>
          <w:color w:val="000000"/>
          <w:kern w:val="0"/>
          <w:szCs w:val="22"/>
        </w:rPr>
        <w:t xml:space="preserve"> which it is filing data in an email at: </w:t>
      </w:r>
      <w:hyperlink r:id="rId7" w:history="1">
        <w:r w:rsidRPr="00364517">
          <w:rPr>
            <w:rStyle w:val="Hyperlink"/>
            <w:rFonts w:ascii="TimesNewRomanPSMT" w:hAnsi="TimesNewRomanPSMT" w:cs="TimesNewRomanPSMT"/>
            <w:snapToGrid/>
            <w:kern w:val="0"/>
            <w:szCs w:val="22"/>
          </w:rPr>
          <w:t>Circuit.Capacity@fcc.gov</w:t>
        </w:r>
      </w:hyperlink>
      <w:r>
        <w:rPr>
          <w:rFonts w:ascii="TimesNewRomanPSMT" w:hAnsi="TimesNewRomanPSMT" w:cs="TimesNewRomanPSMT"/>
          <w:snapToGrid/>
          <w:color w:val="000000"/>
          <w:kern w:val="0"/>
          <w:szCs w:val="22"/>
        </w:rPr>
        <w:t>.</w:t>
      </w:r>
      <w:r>
        <w:rPr>
          <w:rStyle w:val="FootnoteReference"/>
          <w:rFonts w:cs="TimesNewRomanPSMT"/>
          <w:snapToGrid/>
          <w:kern w:val="0"/>
          <w:szCs w:val="22"/>
        </w:rPr>
        <w:footnoteReference w:id="14"/>
      </w:r>
    </w:p>
    <w:p w:rsidR="00795A68" w:rsidP="00795A68" w14:paraId="3FE82714" w14:textId="77777777">
      <w:pPr>
        <w:widowControl/>
        <w:autoSpaceDE w:val="0"/>
        <w:autoSpaceDN w:val="0"/>
        <w:adjustRightInd w:val="0"/>
        <w:rPr>
          <w:rFonts w:ascii="TimesNewRomanPSMT" w:hAnsi="TimesNewRomanPSMT" w:cs="TimesNewRomanPSMT"/>
          <w:snapToGrid/>
          <w:kern w:val="0"/>
          <w:szCs w:val="22"/>
        </w:rPr>
      </w:pPr>
    </w:p>
    <w:p w:rsidR="00795A68" w:rsidRPr="009462E4" w:rsidP="00795A68" w14:paraId="747958B8" w14:textId="2EC92DC5">
      <w:pPr>
        <w:widowControl/>
        <w:spacing w:after="282" w:line="233" w:lineRule="auto"/>
        <w:ind w:left="-15" w:right="9" w:firstLine="720"/>
        <w:rPr>
          <w:rFonts w:eastAsia="Calibri"/>
          <w:snapToGrid/>
          <w:color w:val="000000"/>
          <w:kern w:val="0"/>
          <w:szCs w:val="22"/>
        </w:rPr>
      </w:pPr>
      <w:r w:rsidRPr="009462E4">
        <w:rPr>
          <w:rFonts w:eastAsia="Calibri"/>
          <w:b/>
          <w:i/>
          <w:snapToGrid/>
          <w:color w:val="000000"/>
          <w:kern w:val="0"/>
          <w:szCs w:val="22"/>
        </w:rPr>
        <w:t>Enforcement of Circuit Capacity Rules</w:t>
      </w:r>
      <w:r w:rsidRPr="009462E4">
        <w:rPr>
          <w:rFonts w:eastAsia="Calibri"/>
          <w:b/>
          <w:snapToGrid/>
          <w:color w:val="000000"/>
          <w:kern w:val="0"/>
          <w:szCs w:val="22"/>
        </w:rPr>
        <w:t>.</w:t>
      </w:r>
      <w:r w:rsidRPr="009462E4">
        <w:rPr>
          <w:rFonts w:eastAsia="Calibri"/>
          <w:snapToGrid/>
          <w:color w:val="000000"/>
          <w:kern w:val="0"/>
          <w:szCs w:val="22"/>
        </w:rPr>
        <w:t xml:space="preserve">  We remind cable landing licensees and common carriers of their obligation to file </w:t>
      </w:r>
      <w:r w:rsidR="00E17959">
        <w:rPr>
          <w:rFonts w:eastAsia="Calibri"/>
          <w:snapToGrid/>
          <w:color w:val="000000"/>
          <w:kern w:val="0"/>
          <w:szCs w:val="22"/>
        </w:rPr>
        <w:t>time</w:t>
      </w:r>
      <w:r w:rsidR="00247DE9">
        <w:rPr>
          <w:rFonts w:eastAsia="Calibri"/>
          <w:snapToGrid/>
          <w:color w:val="000000"/>
          <w:kern w:val="0"/>
          <w:szCs w:val="22"/>
        </w:rPr>
        <w:t>l</w:t>
      </w:r>
      <w:r w:rsidR="00E17959">
        <w:rPr>
          <w:rFonts w:eastAsia="Calibri"/>
          <w:snapToGrid/>
          <w:color w:val="000000"/>
          <w:kern w:val="0"/>
          <w:szCs w:val="22"/>
        </w:rPr>
        <w:t xml:space="preserve">y and </w:t>
      </w:r>
      <w:r w:rsidRPr="009462E4">
        <w:rPr>
          <w:rFonts w:eastAsia="Calibri"/>
          <w:snapToGrid/>
          <w:color w:val="000000"/>
          <w:kern w:val="0"/>
          <w:szCs w:val="22"/>
        </w:rPr>
        <w:t xml:space="preserve">accurate reports </w:t>
      </w:r>
      <w:r w:rsidRPr="009462E4">
        <w:rPr>
          <w:rFonts w:eastAsia="Calibri"/>
          <w:b/>
          <w:snapToGrid/>
          <w:color w:val="000000"/>
          <w:kern w:val="0"/>
          <w:szCs w:val="22"/>
        </w:rPr>
        <w:t>by March 31, 202</w:t>
      </w:r>
      <w:r w:rsidR="00CE7088">
        <w:rPr>
          <w:rFonts w:eastAsia="Calibri"/>
          <w:b/>
          <w:snapToGrid/>
          <w:color w:val="000000"/>
          <w:kern w:val="0"/>
          <w:szCs w:val="22"/>
        </w:rPr>
        <w:t>2</w:t>
      </w:r>
      <w:r w:rsidRPr="009462E4">
        <w:rPr>
          <w:rFonts w:eastAsia="Calibri"/>
          <w:snapToGrid/>
          <w:color w:val="000000"/>
          <w:kern w:val="0"/>
          <w:szCs w:val="22"/>
        </w:rPr>
        <w:t>.  We encourage Filing Entities to file their reports as early as possible during the filing window.  Failure to comply with section 43.82 requirements may subject such entities to enforcement action.</w:t>
      </w:r>
      <w:r>
        <w:rPr>
          <w:rFonts w:eastAsia="Calibri"/>
          <w:snapToGrid/>
          <w:color w:val="000000"/>
          <w:kern w:val="0"/>
          <w:szCs w:val="22"/>
          <w:vertAlign w:val="superscript"/>
        </w:rPr>
        <w:footnoteReference w:id="15"/>
      </w:r>
      <w:r w:rsidRPr="009462E4">
        <w:rPr>
          <w:rFonts w:eastAsia="Calibri"/>
          <w:snapToGrid/>
          <w:color w:val="000000"/>
          <w:kern w:val="0"/>
          <w:szCs w:val="22"/>
        </w:rPr>
        <w:t xml:space="preserve">  </w:t>
      </w:r>
    </w:p>
    <w:p w:rsidR="00795A68" w:rsidRPr="009462E4" w:rsidP="00795A68" w14:paraId="6E4D8B32" w14:textId="77777777">
      <w:pPr>
        <w:widowControl/>
        <w:spacing w:after="301" w:line="233" w:lineRule="auto"/>
        <w:ind w:left="-15" w:right="9" w:firstLine="720"/>
        <w:rPr>
          <w:rFonts w:eastAsia="Calibri"/>
          <w:snapToGrid/>
          <w:color w:val="000000"/>
          <w:kern w:val="0"/>
          <w:szCs w:val="22"/>
        </w:rPr>
      </w:pPr>
      <w:r w:rsidRPr="009462E4">
        <w:rPr>
          <w:rFonts w:eastAsia="Calibri"/>
          <w:snapToGrid/>
          <w:color w:val="000000"/>
          <w:kern w:val="0"/>
          <w:szCs w:val="22"/>
        </w:rPr>
        <w:t xml:space="preserve">Each Filing Entity must use a single CORES FCC Registration Number (FRN) to submit data on:  (1) Filing Entity contact information; (2) preparer contact information; (3) authorizations/licenses; (4) submarine cable operator data; (5) submarine cable capacity holder data; and (6) certifying official’s information.  Filers must enter the data directly into the online forms in the section 43.82 online filing system.  With respect to (4) submarine cable operator data and (5) submarine cable capacity holder data, the data should be added to templates that are accessed through the online filing system and then uploaded into the online filing system.  Additionally, each Filing Entity must provide the correct FCC authorization/license numbers associated with its filing.  </w:t>
      </w:r>
    </w:p>
    <w:p w:rsidR="00795A68" w:rsidRPr="009462E4" w:rsidP="00795A68" w14:paraId="2FE1DCD9" w14:textId="77777777">
      <w:pPr>
        <w:widowControl/>
        <w:spacing w:after="301" w:line="233" w:lineRule="auto"/>
        <w:ind w:left="-15" w:right="9" w:firstLine="720"/>
        <w:rPr>
          <w:rFonts w:eastAsia="Calibri"/>
          <w:snapToGrid/>
          <w:color w:val="000000"/>
          <w:kern w:val="0"/>
          <w:szCs w:val="22"/>
        </w:rPr>
      </w:pPr>
      <w:r w:rsidRPr="009462E4">
        <w:rPr>
          <w:rFonts w:eastAsia="Calibri"/>
          <w:snapToGrid/>
          <w:color w:val="000000"/>
          <w:kern w:val="0"/>
          <w:szCs w:val="22"/>
        </w:rPr>
        <w:t xml:space="preserve">For ease of reference, we provide </w:t>
      </w:r>
      <w:r w:rsidRPr="00A741BC">
        <w:rPr>
          <w:rFonts w:eastAsia="Calibri"/>
          <w:iCs/>
          <w:snapToGrid/>
          <w:color w:val="000000"/>
          <w:kern w:val="0"/>
          <w:szCs w:val="22"/>
        </w:rPr>
        <w:t>sample</w:t>
      </w:r>
      <w:r w:rsidRPr="009462E4">
        <w:rPr>
          <w:rFonts w:eastAsia="Calibri"/>
          <w:snapToGrid/>
          <w:color w:val="000000"/>
          <w:kern w:val="0"/>
          <w:szCs w:val="22"/>
        </w:rPr>
        <w:t xml:space="preserve"> templates of the Cable Operator Report and the Capacity Holder Report in Attachments 1 and 2.  We also provide the current license number for each U.S.-international submarine cable in Attachment 3.  </w:t>
      </w:r>
      <w:r w:rsidRPr="009462E4">
        <w:rPr>
          <w:rFonts w:eastAsia="Calibri"/>
          <w:b/>
          <w:bCs/>
          <w:snapToGrid/>
          <w:color w:val="000000"/>
          <w:kern w:val="0"/>
          <w:szCs w:val="22"/>
        </w:rPr>
        <w:t>Filing Entities should use the templates from the section 43.82 online filing system to file their data</w:t>
      </w:r>
      <w:r w:rsidRPr="009462E4">
        <w:rPr>
          <w:rFonts w:eastAsia="Calibri"/>
          <w:snapToGrid/>
          <w:color w:val="000000"/>
          <w:kern w:val="0"/>
          <w:szCs w:val="22"/>
        </w:rPr>
        <w:t>.</w:t>
      </w:r>
    </w:p>
    <w:p w:rsidR="00795A68" w:rsidRPr="009462E4" w:rsidP="005B46FD" w14:paraId="06E24907" w14:textId="77777777">
      <w:pPr>
        <w:widowControl/>
        <w:numPr>
          <w:ilvl w:val="1"/>
          <w:numId w:val="8"/>
        </w:numPr>
        <w:autoSpaceDE w:val="0"/>
        <w:autoSpaceDN w:val="0"/>
        <w:adjustRightInd w:val="0"/>
        <w:rPr>
          <w:rFonts w:eastAsia="Calibri"/>
          <w:snapToGrid/>
          <w:color w:val="000000"/>
          <w:kern w:val="0"/>
          <w:szCs w:val="22"/>
        </w:rPr>
      </w:pPr>
      <w:r w:rsidRPr="009462E4">
        <w:rPr>
          <w:rFonts w:eastAsia="Calibri"/>
          <w:b/>
          <w:snapToGrid/>
          <w:color w:val="000000"/>
          <w:kern w:val="0"/>
          <w:szCs w:val="22"/>
        </w:rPr>
        <w:t>Attachment 1</w:t>
      </w:r>
      <w:r w:rsidRPr="009462E4">
        <w:rPr>
          <w:rFonts w:eastAsia="Calibri"/>
          <w:snapToGrid/>
          <w:color w:val="000000"/>
          <w:kern w:val="0"/>
          <w:szCs w:val="22"/>
        </w:rPr>
        <w:t xml:space="preserve"> – </w:t>
      </w:r>
      <w:r w:rsidRPr="005B46FD">
        <w:rPr>
          <w:rFonts w:ascii="TimesNewRomanPSMT" w:hAnsi="TimesNewRomanPSMT" w:cs="TimesNewRomanPSMT"/>
          <w:snapToGrid/>
          <w:color w:val="000000"/>
          <w:kern w:val="0"/>
          <w:szCs w:val="22"/>
        </w:rPr>
        <w:t>Sample</w:t>
      </w:r>
      <w:r w:rsidRPr="009462E4">
        <w:rPr>
          <w:rFonts w:eastAsia="Calibri"/>
          <w:snapToGrid/>
          <w:color w:val="000000"/>
          <w:kern w:val="0"/>
          <w:szCs w:val="22"/>
        </w:rPr>
        <w:t xml:space="preserve"> Cable Operator Report </w:t>
      </w:r>
    </w:p>
    <w:p w:rsidR="00795A68" w:rsidRPr="009462E4" w:rsidP="005B46FD" w14:paraId="32183D01" w14:textId="77777777">
      <w:pPr>
        <w:widowControl/>
        <w:numPr>
          <w:ilvl w:val="1"/>
          <w:numId w:val="8"/>
        </w:numPr>
        <w:autoSpaceDE w:val="0"/>
        <w:autoSpaceDN w:val="0"/>
        <w:adjustRightInd w:val="0"/>
        <w:rPr>
          <w:rFonts w:eastAsia="Calibri"/>
          <w:snapToGrid/>
          <w:color w:val="000000"/>
          <w:kern w:val="0"/>
          <w:szCs w:val="22"/>
        </w:rPr>
      </w:pPr>
      <w:r w:rsidRPr="009462E4">
        <w:rPr>
          <w:rFonts w:eastAsia="Calibri"/>
          <w:b/>
          <w:snapToGrid/>
          <w:color w:val="000000"/>
          <w:kern w:val="0"/>
          <w:szCs w:val="22"/>
        </w:rPr>
        <w:t>Attachment 2</w:t>
      </w:r>
      <w:r w:rsidRPr="009462E4">
        <w:rPr>
          <w:rFonts w:eastAsia="Calibri"/>
          <w:snapToGrid/>
          <w:color w:val="000000"/>
          <w:kern w:val="0"/>
          <w:szCs w:val="22"/>
        </w:rPr>
        <w:t xml:space="preserve"> – </w:t>
      </w:r>
      <w:r w:rsidRPr="005B46FD">
        <w:rPr>
          <w:rFonts w:ascii="TimesNewRomanPSMT" w:hAnsi="TimesNewRomanPSMT" w:cs="TimesNewRomanPSMT"/>
          <w:snapToGrid/>
          <w:color w:val="000000"/>
          <w:kern w:val="0"/>
          <w:szCs w:val="22"/>
        </w:rPr>
        <w:t>Sample</w:t>
      </w:r>
      <w:r w:rsidRPr="009462E4">
        <w:rPr>
          <w:rFonts w:eastAsia="Calibri"/>
          <w:snapToGrid/>
          <w:color w:val="000000"/>
          <w:kern w:val="0"/>
          <w:szCs w:val="22"/>
        </w:rPr>
        <w:t xml:space="preserve"> Capacity Holder Report </w:t>
      </w:r>
    </w:p>
    <w:p w:rsidR="00E17959" w:rsidP="005B46FD" w14:paraId="26E5CCAB" w14:textId="77777777">
      <w:pPr>
        <w:widowControl/>
        <w:numPr>
          <w:ilvl w:val="1"/>
          <w:numId w:val="8"/>
        </w:numPr>
        <w:autoSpaceDE w:val="0"/>
        <w:autoSpaceDN w:val="0"/>
        <w:adjustRightInd w:val="0"/>
        <w:rPr>
          <w:rFonts w:eastAsia="Calibri"/>
          <w:snapToGrid/>
          <w:color w:val="000000"/>
          <w:kern w:val="0"/>
          <w:szCs w:val="22"/>
        </w:rPr>
      </w:pPr>
      <w:r w:rsidRPr="009462E4">
        <w:rPr>
          <w:rFonts w:eastAsia="Calibri"/>
          <w:b/>
          <w:snapToGrid/>
          <w:color w:val="000000"/>
          <w:kern w:val="0"/>
          <w:szCs w:val="22"/>
        </w:rPr>
        <w:t>Attachment 3</w:t>
      </w:r>
      <w:r w:rsidRPr="009462E4">
        <w:rPr>
          <w:rFonts w:eastAsia="Calibri"/>
          <w:snapToGrid/>
          <w:color w:val="000000"/>
          <w:kern w:val="0"/>
          <w:szCs w:val="22"/>
        </w:rPr>
        <w:t xml:space="preserve"> – </w:t>
      </w:r>
      <w:r w:rsidRPr="005B46FD">
        <w:rPr>
          <w:rFonts w:ascii="TimesNewRomanPSMT" w:hAnsi="TimesNewRomanPSMT" w:cs="TimesNewRomanPSMT"/>
          <w:snapToGrid/>
          <w:color w:val="000000"/>
          <w:kern w:val="0"/>
          <w:szCs w:val="22"/>
        </w:rPr>
        <w:t>Current</w:t>
      </w:r>
      <w:r w:rsidRPr="009462E4">
        <w:rPr>
          <w:rFonts w:eastAsia="Calibri"/>
          <w:snapToGrid/>
          <w:color w:val="000000"/>
          <w:kern w:val="0"/>
          <w:szCs w:val="22"/>
        </w:rPr>
        <w:t xml:space="preserve"> License Numbers for U.S.-International Submarine </w:t>
      </w:r>
      <w:r w:rsidRPr="005B46FD">
        <w:rPr>
          <w:rFonts w:eastAsia="Calibri"/>
          <w:snapToGrid/>
          <w:color w:val="000000"/>
          <w:kern w:val="0"/>
          <w:szCs w:val="22"/>
        </w:rPr>
        <w:t xml:space="preserve">Cables as of </w:t>
      </w:r>
    </w:p>
    <w:p w:rsidR="00795A68" w:rsidRPr="005B46FD" w:rsidP="00A741BC" w14:paraId="16242C80" w14:textId="62FEC1BD">
      <w:pPr>
        <w:widowControl/>
        <w:autoSpaceDE w:val="0"/>
        <w:autoSpaceDN w:val="0"/>
        <w:adjustRightInd w:val="0"/>
        <w:ind w:left="1440" w:firstLine="720"/>
        <w:rPr>
          <w:rFonts w:eastAsia="Calibri"/>
          <w:snapToGrid/>
          <w:color w:val="000000"/>
          <w:kern w:val="0"/>
          <w:szCs w:val="22"/>
        </w:rPr>
      </w:pPr>
      <w:r>
        <w:rPr>
          <w:rFonts w:eastAsia="Calibri"/>
          <w:b/>
          <w:snapToGrid/>
          <w:color w:val="000000"/>
          <w:kern w:val="0"/>
          <w:szCs w:val="22"/>
        </w:rPr>
        <w:t xml:space="preserve">              </w:t>
      </w:r>
      <w:r w:rsidRPr="005B46FD">
        <w:rPr>
          <w:rFonts w:eastAsia="Calibri"/>
          <w:snapToGrid/>
          <w:color w:val="000000"/>
          <w:kern w:val="0"/>
          <w:szCs w:val="22"/>
        </w:rPr>
        <w:t>December 31, 202</w:t>
      </w:r>
      <w:r w:rsidR="00CE7088">
        <w:rPr>
          <w:rFonts w:eastAsia="Calibri"/>
          <w:snapToGrid/>
          <w:color w:val="000000"/>
          <w:kern w:val="0"/>
          <w:szCs w:val="22"/>
        </w:rPr>
        <w:t>1</w:t>
      </w:r>
      <w:r w:rsidRPr="005B46FD">
        <w:rPr>
          <w:rFonts w:eastAsia="Calibri"/>
          <w:snapToGrid/>
          <w:color w:val="000000"/>
          <w:kern w:val="0"/>
          <w:szCs w:val="22"/>
        </w:rPr>
        <w:t xml:space="preserve"> </w:t>
      </w:r>
    </w:p>
    <w:p w:rsidR="005B46FD" w:rsidRPr="009462E4" w:rsidP="00795A68" w14:paraId="30861ACE" w14:textId="77777777">
      <w:pPr>
        <w:widowControl/>
        <w:spacing w:after="28" w:line="233" w:lineRule="auto"/>
        <w:ind w:left="1440" w:right="9"/>
        <w:rPr>
          <w:rFonts w:eastAsia="Calibri"/>
          <w:snapToGrid/>
          <w:color w:val="000000"/>
          <w:kern w:val="0"/>
          <w:szCs w:val="22"/>
        </w:rPr>
      </w:pPr>
    </w:p>
    <w:p w:rsidR="00795A68" w:rsidRPr="009462E4" w:rsidP="00795A68" w14:paraId="04CBF701" w14:textId="3FC5CADF">
      <w:pPr>
        <w:widowControl/>
        <w:spacing w:after="257" w:line="233" w:lineRule="auto"/>
        <w:ind w:left="-15" w:right="9" w:firstLine="720"/>
        <w:rPr>
          <w:rFonts w:eastAsia="Calibri"/>
          <w:snapToGrid/>
          <w:color w:val="000000"/>
          <w:kern w:val="0"/>
          <w:szCs w:val="22"/>
        </w:rPr>
      </w:pPr>
      <w:r w:rsidRPr="009462E4">
        <w:rPr>
          <w:rFonts w:eastAsia="Calibri"/>
          <w:snapToGrid/>
          <w:color w:val="000000"/>
          <w:kern w:val="0"/>
          <w:szCs w:val="22"/>
        </w:rPr>
        <w:t xml:space="preserve">FCC staff </w:t>
      </w:r>
      <w:r w:rsidR="00E17959">
        <w:rPr>
          <w:rFonts w:eastAsia="Calibri"/>
          <w:snapToGrid/>
          <w:color w:val="000000"/>
          <w:kern w:val="0"/>
          <w:szCs w:val="22"/>
        </w:rPr>
        <w:t>will</w:t>
      </w:r>
      <w:r w:rsidRPr="009462E4">
        <w:rPr>
          <w:rFonts w:eastAsia="Calibri"/>
          <w:snapToGrid/>
          <w:color w:val="000000"/>
          <w:kern w:val="0"/>
          <w:szCs w:val="22"/>
        </w:rPr>
        <w:t xml:space="preserve"> send emails through the section 43.82 online filing system.  All system-generated emails will be from </w:t>
      </w:r>
      <w:r w:rsidRPr="009462E4">
        <w:rPr>
          <w:rFonts w:eastAsia="Calibri"/>
          <w:snapToGrid/>
          <w:color w:val="0000FF"/>
          <w:kern w:val="0"/>
          <w:szCs w:val="22"/>
          <w:u w:val="single" w:color="0000FF"/>
        </w:rPr>
        <w:t>FCC-INTL-Part43@fcc.gov</w:t>
      </w:r>
      <w:r w:rsidRPr="009462E4">
        <w:rPr>
          <w:rFonts w:eastAsia="Calibri"/>
          <w:snapToGrid/>
          <w:color w:val="000000"/>
          <w:kern w:val="0"/>
          <w:szCs w:val="22"/>
        </w:rPr>
        <w:t xml:space="preserve">.  Filing Entities should ensure that their systems will accept emails from this address.  Finally, any section 43.82 requests or any other questions should be emailed to </w:t>
      </w:r>
      <w:r w:rsidRPr="009462E4">
        <w:rPr>
          <w:rFonts w:eastAsia="Calibri"/>
          <w:snapToGrid/>
          <w:color w:val="0000FF"/>
          <w:kern w:val="0"/>
          <w:szCs w:val="22"/>
          <w:u w:val="single" w:color="0000FF"/>
        </w:rPr>
        <w:t>Circuit.Capacity@fcc.gov</w:t>
      </w:r>
      <w:r w:rsidRPr="009462E4">
        <w:rPr>
          <w:rFonts w:eastAsia="Calibri"/>
          <w:snapToGrid/>
          <w:color w:val="000000"/>
          <w:kern w:val="0"/>
          <w:szCs w:val="22"/>
        </w:rPr>
        <w:t xml:space="preserve">.  </w:t>
      </w:r>
    </w:p>
    <w:p w:rsidR="00795A68" w:rsidRPr="009462E4" w:rsidP="00795A68" w14:paraId="1FCFA64D" w14:textId="270A7D63">
      <w:pPr>
        <w:widowControl/>
        <w:spacing w:after="5" w:line="233" w:lineRule="auto"/>
        <w:ind w:left="-15" w:right="9" w:firstLine="720"/>
        <w:rPr>
          <w:rFonts w:eastAsia="Calibri"/>
          <w:snapToGrid/>
          <w:color w:val="000000"/>
          <w:kern w:val="0"/>
          <w:szCs w:val="22"/>
        </w:rPr>
      </w:pPr>
      <w:r w:rsidRPr="009462E4">
        <w:rPr>
          <w:rFonts w:eastAsia="Calibri"/>
          <w:snapToGrid/>
          <w:color w:val="000000"/>
          <w:kern w:val="0"/>
          <w:szCs w:val="22"/>
        </w:rPr>
        <w:t xml:space="preserve">For additional information, contact Stacey Ashton, Telecommunications and Analysis Division, International Bureau, </w:t>
      </w:r>
      <w:r w:rsidRPr="009462E4">
        <w:rPr>
          <w:rFonts w:eastAsia="Calibri"/>
          <w:snapToGrid/>
          <w:color w:val="0000FF"/>
          <w:kern w:val="0"/>
          <w:szCs w:val="22"/>
          <w:u w:val="single" w:color="0000FF"/>
        </w:rPr>
        <w:t>Stacey.Ashton@fcc.gov</w:t>
      </w:r>
      <w:r w:rsidRPr="009462E4">
        <w:rPr>
          <w:rFonts w:eastAsia="Calibri"/>
          <w:snapToGrid/>
          <w:color w:val="000000"/>
          <w:kern w:val="0"/>
          <w:szCs w:val="22"/>
        </w:rPr>
        <w:t xml:space="preserve">, 202-418-2214 or David Krech, Telecommunications and Analysis Division, International Bureau, </w:t>
      </w:r>
      <w:r w:rsidRPr="009462E4">
        <w:rPr>
          <w:rFonts w:eastAsia="Calibri"/>
          <w:snapToGrid/>
          <w:color w:val="0000FF"/>
          <w:kern w:val="0"/>
          <w:szCs w:val="22"/>
          <w:u w:val="single" w:color="0000FF"/>
        </w:rPr>
        <w:t>David.Krech@fcc.gov</w:t>
      </w:r>
      <w:r w:rsidRPr="009462E4">
        <w:rPr>
          <w:rFonts w:eastAsia="Calibri"/>
          <w:snapToGrid/>
          <w:color w:val="000000"/>
          <w:kern w:val="0"/>
          <w:szCs w:val="22"/>
        </w:rPr>
        <w:t xml:space="preserve">, 202-418-7443. </w:t>
      </w:r>
      <w:bookmarkEnd w:id="0"/>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A8BE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39EED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1C4D7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7B6CDF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0F89" w14:paraId="1F7C9106" w14:textId="77777777">
      <w:r>
        <w:separator/>
      </w:r>
    </w:p>
  </w:footnote>
  <w:footnote w:type="continuationSeparator" w:id="1">
    <w:p w:rsidR="00FD0F89" w14:paraId="5287CE20" w14:textId="77777777">
      <w:pPr>
        <w:rPr>
          <w:sz w:val="20"/>
        </w:rPr>
      </w:pPr>
      <w:r>
        <w:rPr>
          <w:sz w:val="20"/>
        </w:rPr>
        <w:t xml:space="preserve">(Continued from previous page)  </w:t>
      </w:r>
      <w:r>
        <w:rPr>
          <w:sz w:val="20"/>
        </w:rPr>
        <w:separator/>
      </w:r>
    </w:p>
  </w:footnote>
  <w:footnote w:type="continuationNotice" w:id="2">
    <w:p w:rsidR="00FD0F89" w:rsidP="00910F12" w14:paraId="51B66AA6" w14:textId="77777777">
      <w:pPr>
        <w:jc w:val="right"/>
        <w:rPr>
          <w:sz w:val="20"/>
        </w:rPr>
      </w:pPr>
      <w:r>
        <w:rPr>
          <w:sz w:val="20"/>
        </w:rPr>
        <w:t>(continued….)</w:t>
      </w:r>
    </w:p>
  </w:footnote>
  <w:footnote w:id="3">
    <w:p w:rsidR="00795A68" w:rsidRPr="0079230D" w:rsidP="00795A68" w14:paraId="7C2B8FA4" w14:textId="22049B64">
      <w:pPr>
        <w:pStyle w:val="FootnoteText"/>
      </w:pPr>
      <w:r w:rsidRPr="0079230D">
        <w:rPr>
          <w:rStyle w:val="FootnoteReference"/>
        </w:rPr>
        <w:footnoteRef/>
      </w:r>
      <w:r w:rsidRPr="0079230D">
        <w:t xml:space="preserve"> 47 CFR </w:t>
      </w:r>
      <w:r w:rsidRPr="0079230D">
        <w:rPr>
          <w:color w:val="010101"/>
        </w:rPr>
        <w:t>§ 43.82(a)</w:t>
      </w:r>
      <w:r w:rsidR="00F43974">
        <w:rPr>
          <w:color w:val="010101"/>
        </w:rPr>
        <w:t>;</w:t>
      </w:r>
      <w:r w:rsidRPr="00F43974" w:rsidR="00F43974">
        <w:t xml:space="preserve"> </w:t>
      </w:r>
      <w:r w:rsidRPr="0057623D" w:rsidR="00F43974">
        <w:t xml:space="preserve">Filing Manual for Section 43.82 Circuit Capacity Reports, International Bureau, at 2, para. 2 (Feb. 2020) (Filing </w:t>
      </w:r>
      <w:r w:rsidRPr="0057623D" w:rsidR="00F43974">
        <w:rPr>
          <w:snapToGrid w:val="0"/>
        </w:rPr>
        <w:t xml:space="preserve">Manual), </w:t>
      </w:r>
      <w:hyperlink r:id="rId1" w:history="1">
        <w:r w:rsidRPr="009462E4" w:rsidR="00F43974">
          <w:rPr>
            <w:rFonts w:eastAsia="Calibri"/>
            <w:color w:val="0000FF"/>
            <w:u w:val="single"/>
          </w:rPr>
          <w:t>https://docs.fcc.gov/public/attachments/DOC-362660A1.pdf</w:t>
        </w:r>
      </w:hyperlink>
      <w:r w:rsidRPr="0057623D" w:rsidR="00F43974">
        <w:rPr>
          <w:rFonts w:eastAsia="Calibri"/>
          <w:color w:val="0000FF"/>
        </w:rPr>
        <w:t>.</w:t>
      </w:r>
    </w:p>
  </w:footnote>
  <w:footnote w:id="4">
    <w:p w:rsidR="00795A68" w:rsidRPr="0057623D" w:rsidP="00795A68" w14:paraId="2E328535" w14:textId="1DB39BE8">
      <w:pPr>
        <w:pStyle w:val="footnotedescription"/>
        <w:spacing w:after="120" w:line="240" w:lineRule="auto"/>
        <w:rPr>
          <w:rFonts w:ascii="TimesNewRomanPSMT" w:hAnsi="TimesNewRomanPSMT" w:cs="TimesNewRomanPSMT"/>
        </w:rPr>
      </w:pPr>
      <w:r w:rsidRPr="0079230D">
        <w:rPr>
          <w:rStyle w:val="footnotemark"/>
        </w:rPr>
        <w:footnoteRef/>
      </w:r>
      <w:r w:rsidRPr="0079230D">
        <w:t xml:space="preserve"> </w:t>
      </w:r>
      <w:r w:rsidRPr="009C1B94" w:rsidR="00F43974">
        <w:rPr>
          <w:color w:val="010101"/>
        </w:rPr>
        <w:t>47 CFR § 43.82(a)</w:t>
      </w:r>
      <w:r w:rsidR="00F43974">
        <w:rPr>
          <w:snapToGrid w:val="0"/>
        </w:rPr>
        <w:t>.</w:t>
      </w:r>
      <w:r w:rsidRPr="0057623D">
        <w:rPr>
          <w:snapToGrid w:val="0"/>
        </w:rPr>
        <w:t xml:space="preserve"> </w:t>
      </w:r>
    </w:p>
  </w:footnote>
  <w:footnote w:id="5">
    <w:p w:rsidR="00795A68" w:rsidRPr="0079230D" w:rsidP="00795A68" w14:paraId="632D1B31" w14:textId="0E70CA0F">
      <w:pPr>
        <w:pStyle w:val="footnotedescription"/>
        <w:spacing w:after="120" w:line="240" w:lineRule="auto"/>
      </w:pPr>
      <w:r w:rsidRPr="009C1B94">
        <w:rPr>
          <w:rStyle w:val="footnotemark"/>
        </w:rPr>
        <w:footnoteRef/>
      </w:r>
      <w:r w:rsidR="00F43974">
        <w:rPr>
          <w:color w:val="010101"/>
        </w:rPr>
        <w:t xml:space="preserve"> </w:t>
      </w:r>
      <w:r w:rsidRPr="00A741BC" w:rsidR="00F43974">
        <w:rPr>
          <w:i/>
          <w:iCs/>
          <w:color w:val="010101"/>
        </w:rPr>
        <w:t>Id</w:t>
      </w:r>
      <w:r w:rsidRPr="009C1B94">
        <w:t>.</w:t>
      </w:r>
    </w:p>
  </w:footnote>
  <w:footnote w:id="6">
    <w:p w:rsidR="00795A68" w:rsidRPr="0079230D" w:rsidP="00795A68" w14:paraId="547917F1" w14:textId="77777777">
      <w:pPr>
        <w:pStyle w:val="FootnoteText"/>
      </w:pPr>
      <w:r w:rsidRPr="0079230D">
        <w:rPr>
          <w:rStyle w:val="FootnoteReference"/>
        </w:rPr>
        <w:footnoteRef/>
      </w:r>
      <w:r w:rsidRPr="0079230D">
        <w:t xml:space="preserve"> </w:t>
      </w:r>
      <w:bookmarkStart w:id="1" w:name="_Hlk62478522"/>
      <w:r>
        <w:rPr>
          <w:i/>
          <w:iCs/>
        </w:rPr>
        <w:t>Id.</w:t>
      </w:r>
      <w:bookmarkEnd w:id="1"/>
      <w:r w:rsidRPr="0079230D">
        <w:rPr>
          <w:color w:val="010101"/>
        </w:rPr>
        <w:t>; Filing Manual at 2, para. 1.</w:t>
      </w:r>
    </w:p>
  </w:footnote>
  <w:footnote w:id="7">
    <w:p w:rsidR="00795A68" w:rsidRPr="004F48AA" w:rsidP="00795A68" w14:paraId="44985D08" w14:textId="2619455A">
      <w:pPr>
        <w:pStyle w:val="footnotedescription"/>
        <w:spacing w:after="120"/>
        <w:rPr>
          <w:snapToGrid w:val="0"/>
          <w:color w:val="1D2B3E"/>
          <w:lang w:val="en"/>
        </w:rPr>
      </w:pPr>
      <w:r w:rsidRPr="0079230D">
        <w:rPr>
          <w:rStyle w:val="footnotemark"/>
        </w:rPr>
        <w:footnoteRef/>
      </w:r>
      <w:r w:rsidR="00DB0113">
        <w:rPr>
          <w:snapToGrid w:val="0"/>
          <w:color w:val="1D2B3E"/>
          <w:lang w:val="en"/>
        </w:rPr>
        <w:t xml:space="preserve"> </w:t>
      </w:r>
      <w:r w:rsidR="00F43974">
        <w:rPr>
          <w:i/>
          <w:iCs/>
          <w:snapToGrid w:val="0"/>
          <w:color w:val="1D2B3E"/>
          <w:lang w:val="en"/>
        </w:rPr>
        <w:t xml:space="preserve">See generally </w:t>
      </w:r>
      <w:r w:rsidR="00DB0113">
        <w:rPr>
          <w:snapToGrid w:val="0"/>
          <w:color w:val="1D2B3E"/>
          <w:lang w:val="en"/>
        </w:rPr>
        <w:t>Filing Manual</w:t>
      </w:r>
      <w:r w:rsidRPr="00425404">
        <w:rPr>
          <w:snapToGrid w:val="0"/>
          <w:color w:val="1D2B3E"/>
          <w:lang w:val="en"/>
        </w:rPr>
        <w:t>.</w:t>
      </w:r>
      <w:r>
        <w:t xml:space="preserve"> </w:t>
      </w:r>
    </w:p>
  </w:footnote>
  <w:footnote w:id="8">
    <w:p w:rsidR="00795A68" w:rsidP="00795A68" w14:paraId="2435C5A3" w14:textId="63E17B0A">
      <w:pPr>
        <w:pStyle w:val="FootnoteText"/>
      </w:pPr>
      <w:r>
        <w:rPr>
          <w:rStyle w:val="FootnoteReference"/>
        </w:rPr>
        <w:footnoteRef/>
      </w:r>
      <w:r>
        <w:t xml:space="preserve"> </w:t>
      </w:r>
      <w:r w:rsidR="00DB0113">
        <w:rPr>
          <w:i/>
          <w:iCs/>
        </w:rPr>
        <w:t>Id.</w:t>
      </w:r>
      <w:r>
        <w:rPr>
          <w:rFonts w:ascii="TimesNewRomanPSMT" w:hAnsi="TimesNewRomanPSMT" w:cs="TimesNewRomanPSMT"/>
        </w:rPr>
        <w:t xml:space="preserve"> at 7-9, Section II.C.</w:t>
      </w:r>
    </w:p>
  </w:footnote>
  <w:footnote w:id="9">
    <w:p w:rsidR="00E17959" w:rsidP="00E17959" w14:paraId="66397892" w14:textId="77777777">
      <w:pPr>
        <w:pStyle w:val="FootnoteText"/>
      </w:pPr>
      <w:r>
        <w:rPr>
          <w:rStyle w:val="FootnoteReference"/>
        </w:rPr>
        <w:footnoteRef/>
      </w:r>
      <w:r>
        <w:t xml:space="preserve"> </w:t>
      </w:r>
      <w:r>
        <w:rPr>
          <w:i/>
          <w:iCs/>
        </w:rPr>
        <w:t>Id</w:t>
      </w:r>
      <w:r>
        <w:t>.</w:t>
      </w:r>
      <w:r w:rsidRPr="0079230D">
        <w:t xml:space="preserve"> at 6, para. 30. </w:t>
      </w:r>
      <w:r>
        <w:t xml:space="preserve"> </w:t>
      </w:r>
    </w:p>
  </w:footnote>
  <w:footnote w:id="10">
    <w:p w:rsidR="00E17959" w:rsidP="00E17959" w14:paraId="45D36E4D" w14:textId="77777777">
      <w:pPr>
        <w:pStyle w:val="FootnoteText"/>
      </w:pPr>
      <w:r>
        <w:rPr>
          <w:rStyle w:val="FootnoteReference"/>
        </w:rPr>
        <w:footnoteRef/>
      </w:r>
      <w:r>
        <w:t xml:space="preserve"> </w:t>
      </w:r>
      <w:r w:rsidRPr="00497D44">
        <w:rPr>
          <w:i/>
          <w:iCs/>
        </w:rPr>
        <w:t>Id</w:t>
      </w:r>
      <w:r>
        <w:t xml:space="preserve">. </w:t>
      </w:r>
    </w:p>
  </w:footnote>
  <w:footnote w:id="11">
    <w:p w:rsidR="00E17959" w:rsidRPr="00497D44" w:rsidP="00E17959" w14:paraId="038289CB" w14:textId="77777777">
      <w:pPr>
        <w:pStyle w:val="FootnoteText"/>
      </w:pPr>
      <w:r w:rsidRPr="00497D44">
        <w:rPr>
          <w:rStyle w:val="FootnoteReference"/>
        </w:rPr>
        <w:footnoteRef/>
      </w:r>
      <w:r w:rsidRPr="00497D44">
        <w:t xml:space="preserve"> 47 CFR </w:t>
      </w:r>
      <w:r w:rsidRPr="00497D44">
        <w:rPr>
          <w:color w:val="010101"/>
        </w:rPr>
        <w:t xml:space="preserve">§ 43.82; </w:t>
      </w:r>
      <w:r w:rsidRPr="00497D44">
        <w:rPr>
          <w:i/>
          <w:iCs/>
          <w:color w:val="010101"/>
        </w:rPr>
        <w:t xml:space="preserve">see </w:t>
      </w:r>
      <w:r w:rsidRPr="00497D44">
        <w:rPr>
          <w:color w:val="010101"/>
        </w:rPr>
        <w:t>Filing Manual at 6-9, Section II.</w:t>
      </w:r>
    </w:p>
  </w:footnote>
  <w:footnote w:id="12">
    <w:p w:rsidR="00E17959" w:rsidRPr="00CC6752" w:rsidP="00E17959" w14:paraId="41ECD1A4" w14:textId="77777777">
      <w:pPr>
        <w:pStyle w:val="FootnoteText"/>
        <w:rPr>
          <w:iCs/>
        </w:rPr>
      </w:pPr>
      <w:r w:rsidRPr="00497D44">
        <w:rPr>
          <w:rStyle w:val="FootnoteReference"/>
        </w:rPr>
        <w:footnoteRef/>
      </w:r>
      <w:r w:rsidRPr="00497D44">
        <w:t xml:space="preserve"> </w:t>
      </w:r>
      <w:r w:rsidRPr="00497D44">
        <w:rPr>
          <w:i/>
        </w:rPr>
        <w:t>Id</w:t>
      </w:r>
      <w:r w:rsidRPr="00497D44">
        <w:rPr>
          <w:iCs/>
        </w:rPr>
        <w:t>. at</w:t>
      </w:r>
      <w:r>
        <w:rPr>
          <w:iCs/>
        </w:rPr>
        <w:t xml:space="preserve"> 6, para 32.</w:t>
      </w:r>
    </w:p>
  </w:footnote>
  <w:footnote w:id="13">
    <w:p w:rsidR="00795A68" w:rsidP="00795A68" w14:paraId="758D44BC" w14:textId="77777777">
      <w:pPr>
        <w:pStyle w:val="FootnoteText"/>
      </w:pPr>
      <w:r>
        <w:rPr>
          <w:rStyle w:val="FootnoteReference"/>
        </w:rPr>
        <w:footnoteRef/>
      </w:r>
      <w:r>
        <w:rPr>
          <w:rFonts w:ascii="TimesNewRomanPS-ItalicMT" w:hAnsi="TimesNewRomanPS-ItalicMT" w:cs="TimesNewRomanPS-ItalicMT"/>
          <w:i/>
          <w:iCs/>
        </w:rPr>
        <w:t xml:space="preserve"> Id. </w:t>
      </w:r>
      <w:r>
        <w:rPr>
          <w:rFonts w:ascii="TimesNewRomanPSMT" w:hAnsi="TimesNewRomanPSMT" w:cs="TimesNewRomanPSMT"/>
        </w:rPr>
        <w:t>at 2-3, 6, paras. 6, 31.</w:t>
      </w:r>
      <w:r>
        <w:t xml:space="preserve"> </w:t>
      </w:r>
    </w:p>
  </w:footnote>
  <w:footnote w:id="14">
    <w:p w:rsidR="00795A68" w:rsidP="00795A68" w14:paraId="4792C84C" w14:textId="77777777">
      <w:pPr>
        <w:pStyle w:val="FootnoteText"/>
      </w:pPr>
      <w:r>
        <w:rPr>
          <w:rStyle w:val="FootnoteReference"/>
        </w:rPr>
        <w:footnoteRef/>
      </w:r>
      <w:r>
        <w:t xml:space="preserve"> </w:t>
      </w:r>
      <w:r>
        <w:rPr>
          <w:rFonts w:ascii="TimesNewRomanPS-ItalicMT" w:hAnsi="TimesNewRomanPS-ItalicMT" w:cs="TimesNewRomanPS-ItalicMT"/>
          <w:i/>
          <w:iCs/>
        </w:rPr>
        <w:t xml:space="preserve">Id. </w:t>
      </w:r>
      <w:r>
        <w:rPr>
          <w:rFonts w:ascii="TimesNewRomanPSMT" w:hAnsi="TimesNewRomanPSMT" w:cs="TimesNewRomanPSMT"/>
        </w:rPr>
        <w:t>at 2-3, 7, paras. 6, 36.</w:t>
      </w:r>
    </w:p>
  </w:footnote>
  <w:footnote w:id="15">
    <w:p w:rsidR="00795A68" w:rsidRPr="0079230D" w:rsidP="00795A68" w14:paraId="5BA66C9B" w14:textId="77777777">
      <w:pPr>
        <w:pStyle w:val="footnotedescription"/>
        <w:spacing w:after="120" w:line="240" w:lineRule="auto"/>
      </w:pPr>
      <w:r w:rsidRPr="0079230D">
        <w:rPr>
          <w:rStyle w:val="footnotemark"/>
        </w:rPr>
        <w:footnoteRef/>
      </w:r>
      <w:r w:rsidRPr="0079230D">
        <w:t xml:space="preserve"> Filing Entities that are unable to file by the deadline must submit, no later than March 31, 2021, an online waiver request seeking an extension of time to file.  </w:t>
      </w:r>
      <w:r w:rsidRPr="00F628C7">
        <w:rPr>
          <w:color w:val="010101"/>
        </w:rPr>
        <w:t xml:space="preserve">Filing Manual at 3, para. 11; </w:t>
      </w:r>
      <w:r w:rsidRPr="00F628C7">
        <w:rPr>
          <w:i/>
          <w:color w:val="010101"/>
        </w:rPr>
        <w:t xml:space="preserve">see </w:t>
      </w:r>
      <w:r w:rsidRPr="00F628C7">
        <w:rPr>
          <w:color w:val="010101"/>
        </w:rPr>
        <w:t>47 CFR §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FE953ED" w14:textId="1842306E">
    <w:pPr>
      <w:tabs>
        <w:tab w:val="center" w:pos="4680"/>
        <w:tab w:val="right" w:pos="9360"/>
      </w:tabs>
    </w:pPr>
    <w:r w:rsidRPr="009838BC">
      <w:rPr>
        <w:b/>
      </w:rPr>
      <w:tab/>
      <w:t>Federal Communications Commission</w:t>
    </w:r>
    <w:r w:rsidRPr="009838BC">
      <w:rPr>
        <w:b/>
      </w:rPr>
      <w:tab/>
    </w:r>
    <w:r w:rsidR="006226D5">
      <w:rPr>
        <w:b/>
      </w:rPr>
      <w:t>DA 2</w:t>
    </w:r>
    <w:r w:rsidR="008E6331">
      <w:rPr>
        <w:b/>
      </w:rPr>
      <w:t>2-186</w:t>
    </w:r>
  </w:p>
  <w:p w:rsidR="009838BC" w:rsidRPr="009838BC" w:rsidP="009838BC" w14:paraId="15458E9B" w14:textId="56D78ABD">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87C8C2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52DAB49" w14:textId="131165AB">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07F5C8FA" w14:textId="77777777">
                    <w:pPr>
                      <w:rPr>
                        <w:rFonts w:ascii="Arial" w:hAnsi="Arial"/>
                        <w:b/>
                        <w:snapToGrid/>
                      </w:rPr>
                    </w:pPr>
                    <w:r>
                      <w:rPr>
                        <w:rFonts w:ascii="Arial" w:hAnsi="Arial"/>
                        <w:b/>
                      </w:rPr>
                      <w:t>Federal Communications Commission</w:t>
                    </w:r>
                  </w:p>
                  <w:p w:rsidR="00DE0AB8" w:rsidP="00DE0AB8" w14:paraId="7B2BD763" w14:textId="77777777">
                    <w:pPr>
                      <w:rPr>
                        <w:rFonts w:ascii="Arial" w:hAnsi="Arial"/>
                        <w:b/>
                      </w:rPr>
                    </w:pPr>
                    <w:r>
                      <w:rPr>
                        <w:rFonts w:ascii="Arial" w:hAnsi="Arial"/>
                        <w:b/>
                      </w:rPr>
                      <w:t>45 L Street NE</w:t>
                    </w:r>
                  </w:p>
                  <w:p w:rsidR="009838BC" w:rsidP="00DE0AB8" w14:paraId="5BF2F67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4410C731" w14:textId="05FE56E8">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3F42C49D" w14:textId="77777777">
                    <w:pPr>
                      <w:spacing w:before="40"/>
                      <w:jc w:val="right"/>
                      <w:rPr>
                        <w:rFonts w:ascii="Arial" w:hAnsi="Arial"/>
                        <w:b/>
                        <w:sz w:val="16"/>
                      </w:rPr>
                    </w:pPr>
                    <w:r>
                      <w:rPr>
                        <w:rFonts w:ascii="Arial" w:hAnsi="Arial"/>
                        <w:b/>
                        <w:sz w:val="16"/>
                      </w:rPr>
                      <w:t>News Media Information 202 / 418-0500</w:t>
                    </w:r>
                  </w:p>
                  <w:p w:rsidR="009838BC" w:rsidP="009838BC" w14:paraId="7F7D9B9D"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10C7DB69" w14:textId="77777777">
                    <w:pPr>
                      <w:jc w:val="right"/>
                    </w:pPr>
                    <w:r>
                      <w:rPr>
                        <w:rFonts w:ascii="Arial" w:hAnsi="Arial"/>
                        <w:b/>
                        <w:sz w:val="16"/>
                      </w:rPr>
                      <w:t>TTY: 1-888-835-5322</w:t>
                    </w:r>
                  </w:p>
                </w:txbxContent>
              </v:textbox>
            </v:shape>
          </w:pict>
        </mc:Fallback>
      </mc:AlternateContent>
    </w:r>
  </w:p>
  <w:p w:rsidR="006F7393" w:rsidRPr="009838BC" w:rsidP="009838BC" w14:paraId="52B67B1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5572528"/>
    <w:multiLevelType w:val="hybridMultilevel"/>
    <w:tmpl w:val="AA2042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7670EA4"/>
    <w:multiLevelType w:val="hybridMultilevel"/>
    <w:tmpl w:val="AED80BC4"/>
    <w:lvl w:ilvl="0">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4"/>
  </w:num>
  <w:num w:numId="4">
    <w:abstractNumId w:val="6"/>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716"/>
    <w:rsid w:val="000072CE"/>
    <w:rsid w:val="00013A8B"/>
    <w:rsid w:val="00021445"/>
    <w:rsid w:val="00036039"/>
    <w:rsid w:val="00037F90"/>
    <w:rsid w:val="000466F5"/>
    <w:rsid w:val="000875BF"/>
    <w:rsid w:val="00096D8C"/>
    <w:rsid w:val="000C0B65"/>
    <w:rsid w:val="000E3D42"/>
    <w:rsid w:val="000E5884"/>
    <w:rsid w:val="00122BD5"/>
    <w:rsid w:val="001979D9"/>
    <w:rsid w:val="001D1425"/>
    <w:rsid w:val="001D6BCF"/>
    <w:rsid w:val="001E01CA"/>
    <w:rsid w:val="002060D9"/>
    <w:rsid w:val="00226822"/>
    <w:rsid w:val="00247DE9"/>
    <w:rsid w:val="00260594"/>
    <w:rsid w:val="00285017"/>
    <w:rsid w:val="002A2D2E"/>
    <w:rsid w:val="00343749"/>
    <w:rsid w:val="00357D50"/>
    <w:rsid w:val="00364517"/>
    <w:rsid w:val="003925DC"/>
    <w:rsid w:val="003B0550"/>
    <w:rsid w:val="003B694F"/>
    <w:rsid w:val="003D6569"/>
    <w:rsid w:val="003F171C"/>
    <w:rsid w:val="00412FC5"/>
    <w:rsid w:val="00422276"/>
    <w:rsid w:val="004242F1"/>
    <w:rsid w:val="00425404"/>
    <w:rsid w:val="00435141"/>
    <w:rsid w:val="00445A00"/>
    <w:rsid w:val="00451B0F"/>
    <w:rsid w:val="0046125F"/>
    <w:rsid w:val="0047255D"/>
    <w:rsid w:val="00487524"/>
    <w:rsid w:val="00496106"/>
    <w:rsid w:val="00497D44"/>
    <w:rsid w:val="004C12D0"/>
    <w:rsid w:val="004C2EE3"/>
    <w:rsid w:val="004E4A22"/>
    <w:rsid w:val="004F48AA"/>
    <w:rsid w:val="00511968"/>
    <w:rsid w:val="0055614C"/>
    <w:rsid w:val="0057623D"/>
    <w:rsid w:val="005B46FD"/>
    <w:rsid w:val="005C655F"/>
    <w:rsid w:val="005C7B99"/>
    <w:rsid w:val="00607BA5"/>
    <w:rsid w:val="006226D5"/>
    <w:rsid w:val="00626EB6"/>
    <w:rsid w:val="006353A3"/>
    <w:rsid w:val="00655D03"/>
    <w:rsid w:val="00683F84"/>
    <w:rsid w:val="006A0716"/>
    <w:rsid w:val="006A6A81"/>
    <w:rsid w:val="006E26AF"/>
    <w:rsid w:val="006F7393"/>
    <w:rsid w:val="0070224F"/>
    <w:rsid w:val="007115F7"/>
    <w:rsid w:val="00727199"/>
    <w:rsid w:val="007420E1"/>
    <w:rsid w:val="00785689"/>
    <w:rsid w:val="0079230D"/>
    <w:rsid w:val="00795A68"/>
    <w:rsid w:val="0079754B"/>
    <w:rsid w:val="007A1E6D"/>
    <w:rsid w:val="007E1E59"/>
    <w:rsid w:val="00822CE0"/>
    <w:rsid w:val="00824F04"/>
    <w:rsid w:val="00837C62"/>
    <w:rsid w:val="00841AB1"/>
    <w:rsid w:val="008C22FD"/>
    <w:rsid w:val="008E6331"/>
    <w:rsid w:val="00910F12"/>
    <w:rsid w:val="00926503"/>
    <w:rsid w:val="00930ECF"/>
    <w:rsid w:val="009462E4"/>
    <w:rsid w:val="009838BC"/>
    <w:rsid w:val="009C1B94"/>
    <w:rsid w:val="00A45F4F"/>
    <w:rsid w:val="00A600A9"/>
    <w:rsid w:val="00A741BC"/>
    <w:rsid w:val="00A866AC"/>
    <w:rsid w:val="00AA2381"/>
    <w:rsid w:val="00AA55B7"/>
    <w:rsid w:val="00AA5B9E"/>
    <w:rsid w:val="00AB2407"/>
    <w:rsid w:val="00AB53DF"/>
    <w:rsid w:val="00B07E5C"/>
    <w:rsid w:val="00B326E3"/>
    <w:rsid w:val="00B62309"/>
    <w:rsid w:val="00B811F7"/>
    <w:rsid w:val="00BA5DC6"/>
    <w:rsid w:val="00BA6196"/>
    <w:rsid w:val="00BC6D8C"/>
    <w:rsid w:val="00C16AF2"/>
    <w:rsid w:val="00C2293C"/>
    <w:rsid w:val="00C34006"/>
    <w:rsid w:val="00C426B1"/>
    <w:rsid w:val="00C439C4"/>
    <w:rsid w:val="00C82B6B"/>
    <w:rsid w:val="00C90D6A"/>
    <w:rsid w:val="00C95C5D"/>
    <w:rsid w:val="00CC6752"/>
    <w:rsid w:val="00CC72B6"/>
    <w:rsid w:val="00CD725A"/>
    <w:rsid w:val="00CE58B0"/>
    <w:rsid w:val="00CE7088"/>
    <w:rsid w:val="00D0218D"/>
    <w:rsid w:val="00D14CD3"/>
    <w:rsid w:val="00D216CD"/>
    <w:rsid w:val="00DA2529"/>
    <w:rsid w:val="00DB0113"/>
    <w:rsid w:val="00DB130A"/>
    <w:rsid w:val="00DB2D95"/>
    <w:rsid w:val="00DC10A1"/>
    <w:rsid w:val="00DC655F"/>
    <w:rsid w:val="00DD7EBD"/>
    <w:rsid w:val="00DE0AB8"/>
    <w:rsid w:val="00DF62B6"/>
    <w:rsid w:val="00E07225"/>
    <w:rsid w:val="00E155B7"/>
    <w:rsid w:val="00E17959"/>
    <w:rsid w:val="00E5409F"/>
    <w:rsid w:val="00EA2ADD"/>
    <w:rsid w:val="00EC0185"/>
    <w:rsid w:val="00F0138F"/>
    <w:rsid w:val="00F021FA"/>
    <w:rsid w:val="00F43974"/>
    <w:rsid w:val="00F57ACA"/>
    <w:rsid w:val="00F628C7"/>
    <w:rsid w:val="00F62E97"/>
    <w:rsid w:val="00F64209"/>
    <w:rsid w:val="00F86E0D"/>
    <w:rsid w:val="00F93BF5"/>
    <w:rsid w:val="00F96F63"/>
    <w:rsid w:val="00FD0F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26CDF6"/>
  <w15:chartTrackingRefBased/>
  <w15:docId w15:val="{EDF682EB-1103-4BAE-BC46-3F84869F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footnotedescription">
    <w:name w:val="footnote description"/>
    <w:next w:val="Normal"/>
    <w:link w:val="footnotedescriptionChar"/>
    <w:hidden/>
    <w:rsid w:val="00824F04"/>
    <w:pPr>
      <w:spacing w:after="118" w:line="259" w:lineRule="auto"/>
    </w:pPr>
    <w:rPr>
      <w:color w:val="000000"/>
      <w:szCs w:val="22"/>
    </w:rPr>
  </w:style>
  <w:style w:type="character" w:customStyle="1" w:styleId="footnotedescriptionChar">
    <w:name w:val="footnote description Char"/>
    <w:link w:val="footnotedescription"/>
    <w:rsid w:val="00824F04"/>
    <w:rPr>
      <w:color w:val="000000"/>
      <w:szCs w:val="22"/>
    </w:rPr>
  </w:style>
  <w:style w:type="character" w:customStyle="1" w:styleId="footnotemark">
    <w:name w:val="footnote mark"/>
    <w:hidden/>
    <w:rsid w:val="00824F04"/>
    <w:rPr>
      <w:rFonts w:ascii="Times New Roman" w:eastAsia="Times New Roman" w:hAnsi="Times New Roman" w:cs="Times New Roman"/>
      <w:color w:val="000000"/>
      <w:sz w:val="20"/>
      <w:vertAlign w:val="superscript"/>
    </w:rPr>
  </w:style>
  <w:style w:type="character" w:customStyle="1" w:styleId="FootnoteTextChar">
    <w:name w:val="Footnote Text Char"/>
    <w:link w:val="FootnoteText"/>
    <w:semiHidden/>
    <w:rsid w:val="00824F04"/>
  </w:style>
  <w:style w:type="character" w:styleId="FollowedHyperlink">
    <w:name w:val="FollowedHyperlink"/>
    <w:uiPriority w:val="99"/>
    <w:semiHidden/>
    <w:unhideWhenUsed/>
    <w:rsid w:val="00DB0113"/>
    <w:rPr>
      <w:color w:val="954F72"/>
      <w:u w:val="single"/>
    </w:rPr>
  </w:style>
  <w:style w:type="paragraph" w:styleId="BalloonText">
    <w:name w:val="Balloon Text"/>
    <w:basedOn w:val="Normal"/>
    <w:link w:val="BalloonTextChar"/>
    <w:uiPriority w:val="99"/>
    <w:semiHidden/>
    <w:unhideWhenUsed/>
    <w:rsid w:val="00F43974"/>
    <w:rPr>
      <w:sz w:val="18"/>
      <w:szCs w:val="18"/>
    </w:rPr>
  </w:style>
  <w:style w:type="character" w:customStyle="1" w:styleId="BalloonTextChar">
    <w:name w:val="Balloon Text Char"/>
    <w:basedOn w:val="DefaultParagraphFont"/>
    <w:link w:val="BalloonText"/>
    <w:uiPriority w:val="99"/>
    <w:semiHidden/>
    <w:rsid w:val="00F43974"/>
    <w:rPr>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OC-362660A1.pdf" TargetMode="External" /><Relationship Id="rId6" Type="http://schemas.openxmlformats.org/officeDocument/2006/relationships/hyperlink" Target="https://apps2.fcc.gov/section4362/login.xhtml" TargetMode="External" /><Relationship Id="rId7" Type="http://schemas.openxmlformats.org/officeDocument/2006/relationships/hyperlink" Target="mailto:Circuit.Capacit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62660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