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6307CB" w14:paraId="0A8458E7" w14:textId="77777777">
      <w:pPr>
        <w:jc w:val="center"/>
        <w:rPr>
          <w:b/>
          <w:szCs w:val="22"/>
        </w:rPr>
      </w:pPr>
      <w:r w:rsidRPr="008A7274">
        <w:rPr>
          <w:b/>
          <w:kern w:val="0"/>
          <w:szCs w:val="22"/>
        </w:rPr>
        <w:t>Before</w:t>
      </w:r>
      <w:r w:rsidRPr="00827C1B">
        <w:rPr>
          <w:b/>
          <w:szCs w:val="22"/>
        </w:rPr>
        <w:t xml:space="preserve"> the</w:t>
      </w:r>
    </w:p>
    <w:p w:rsidR="00921803" w:rsidRPr="008A7274" w:rsidP="00921803" w14:paraId="1253522A" w14:textId="77777777">
      <w:pPr>
        <w:pStyle w:val="StyleBoldCentered"/>
        <w:rPr>
          <w:rFonts w:ascii="Times New Roman" w:hAnsi="Times New Roman"/>
        </w:rPr>
      </w:pPr>
      <w:r w:rsidRPr="008A7274">
        <w:rPr>
          <w:rFonts w:ascii="Times New Roman" w:hAnsi="Times New Roman"/>
        </w:rPr>
        <w:t>F</w:t>
      </w:r>
      <w:r w:rsidRPr="008A7274">
        <w:rPr>
          <w:rFonts w:ascii="Times New Roman" w:hAnsi="Times New Roman"/>
          <w:caps w:val="0"/>
        </w:rPr>
        <w:t>ederal Communications Commission</w:t>
      </w:r>
    </w:p>
    <w:p w:rsidR="004C2EE3" w:rsidRPr="008A7274" w:rsidP="00096D8C" w14:paraId="2183CA3C" w14:textId="77777777">
      <w:pPr>
        <w:pStyle w:val="StyleBoldCentered"/>
        <w:rPr>
          <w:rFonts w:ascii="Times New Roman" w:hAnsi="Times New Roman"/>
        </w:rPr>
      </w:pPr>
      <w:r w:rsidRPr="008A7274">
        <w:rPr>
          <w:rFonts w:ascii="Times New Roman" w:hAnsi="Times New Roman"/>
          <w:caps w:val="0"/>
        </w:rPr>
        <w:t>Washington, D.C. 20554</w:t>
      </w:r>
    </w:p>
    <w:p w:rsidR="004C2EE3" w:rsidRPr="00827C1B" w:rsidP="0070224F" w14:paraId="7F443A4B" w14:textId="77777777">
      <w:pPr>
        <w:rPr>
          <w:szCs w:val="22"/>
        </w:rPr>
      </w:pPr>
    </w:p>
    <w:tbl>
      <w:tblPr>
        <w:tblW w:w="0" w:type="auto"/>
        <w:tblLayout w:type="fixed"/>
        <w:tblLook w:val="0000"/>
      </w:tblPr>
      <w:tblGrid>
        <w:gridCol w:w="4698"/>
        <w:gridCol w:w="630"/>
        <w:gridCol w:w="4248"/>
      </w:tblGrid>
      <w:tr w14:paraId="606DAEE6" w14:textId="77777777">
        <w:tblPrEx>
          <w:tblW w:w="0" w:type="auto"/>
          <w:tblLayout w:type="fixed"/>
          <w:tblLook w:val="0000"/>
        </w:tblPrEx>
        <w:tc>
          <w:tcPr>
            <w:tcW w:w="4698" w:type="dxa"/>
          </w:tcPr>
          <w:p w:rsidR="004C2EE3" w:rsidRPr="008A7274" w14:paraId="777D4B53" w14:textId="67714B9C">
            <w:pPr>
              <w:tabs>
                <w:tab w:val="center" w:pos="4680"/>
              </w:tabs>
              <w:suppressAutoHyphens/>
              <w:rPr>
                <w:spacing w:val="-2"/>
                <w:szCs w:val="22"/>
              </w:rPr>
            </w:pPr>
            <w:r w:rsidRPr="008A7274">
              <w:rPr>
                <w:spacing w:val="-2"/>
                <w:szCs w:val="22"/>
              </w:rPr>
              <w:t xml:space="preserve">In </w:t>
            </w:r>
            <w:r w:rsidRPr="008A7274" w:rsidR="00B151FE">
              <w:rPr>
                <w:spacing w:val="-2"/>
                <w:szCs w:val="22"/>
              </w:rPr>
              <w:t>re Application of</w:t>
            </w:r>
          </w:p>
          <w:p w:rsidR="004C2EE3" w:rsidRPr="008A7274" w14:paraId="1CBFA791" w14:textId="77777777">
            <w:pPr>
              <w:tabs>
                <w:tab w:val="center" w:pos="4680"/>
              </w:tabs>
              <w:suppressAutoHyphens/>
              <w:rPr>
                <w:spacing w:val="-2"/>
                <w:szCs w:val="22"/>
              </w:rPr>
            </w:pPr>
          </w:p>
          <w:p w:rsidR="004C2EE3" w:rsidRPr="008A7274" w:rsidP="00347CF3" w14:paraId="2282751A" w14:textId="308C7DC0">
            <w:pPr>
              <w:tabs>
                <w:tab w:val="center" w:pos="4680"/>
              </w:tabs>
              <w:suppressAutoHyphens/>
              <w:rPr>
                <w:spacing w:val="-2"/>
                <w:szCs w:val="22"/>
              </w:rPr>
            </w:pPr>
            <w:bookmarkStart w:id="0" w:name="_Hlk96494734"/>
            <w:r w:rsidRPr="008A7274">
              <w:rPr>
                <w:spacing w:val="-2"/>
                <w:szCs w:val="22"/>
              </w:rPr>
              <w:t xml:space="preserve">The </w:t>
            </w:r>
            <w:r w:rsidRPr="008A7274" w:rsidR="007D4973">
              <w:rPr>
                <w:spacing w:val="-2"/>
                <w:szCs w:val="22"/>
              </w:rPr>
              <w:t>Marion Education Exchange</w:t>
            </w:r>
            <w:bookmarkEnd w:id="0"/>
          </w:p>
          <w:p w:rsidR="00347CF3" w:rsidRPr="008A7274" w:rsidP="00347CF3" w14:paraId="5607CABE" w14:textId="77777777">
            <w:pPr>
              <w:tabs>
                <w:tab w:val="center" w:pos="4680"/>
              </w:tabs>
              <w:suppressAutoHyphens/>
              <w:rPr>
                <w:spacing w:val="-2"/>
                <w:szCs w:val="22"/>
              </w:rPr>
            </w:pPr>
          </w:p>
          <w:p w:rsidR="00D7426C" w:rsidRPr="008A7274" w:rsidP="00415523" w14:paraId="0DA61E7D" w14:textId="77777777">
            <w:pPr>
              <w:tabs>
                <w:tab w:val="center" w:pos="4680"/>
              </w:tabs>
              <w:suppressAutoHyphens/>
              <w:rPr>
                <w:spacing w:val="-2"/>
                <w:szCs w:val="22"/>
              </w:rPr>
            </w:pPr>
            <w:r w:rsidRPr="008A7274">
              <w:rPr>
                <w:spacing w:val="-2"/>
                <w:szCs w:val="22"/>
              </w:rPr>
              <w:t xml:space="preserve">For Renewal of License for </w:t>
            </w:r>
          </w:p>
          <w:p w:rsidR="00F31F33" w:rsidRPr="008A7274" w:rsidP="00415523" w14:paraId="488A8B83" w14:textId="77777777">
            <w:pPr>
              <w:tabs>
                <w:tab w:val="center" w:pos="4680"/>
              </w:tabs>
              <w:suppressAutoHyphens/>
              <w:rPr>
                <w:spacing w:val="-2"/>
                <w:szCs w:val="22"/>
              </w:rPr>
            </w:pPr>
            <w:r w:rsidRPr="008A7274">
              <w:rPr>
                <w:spacing w:val="-2"/>
                <w:szCs w:val="22"/>
              </w:rPr>
              <w:t xml:space="preserve">Station </w:t>
            </w:r>
            <w:r w:rsidRPr="008A7274" w:rsidR="009D520F">
              <w:rPr>
                <w:spacing w:val="-2"/>
                <w:szCs w:val="22"/>
              </w:rPr>
              <w:t>WWGH-LP</w:t>
            </w:r>
          </w:p>
          <w:p w:rsidR="00347CF3" w:rsidRPr="008A7274" w:rsidP="00415523" w14:paraId="7F8C1540" w14:textId="519B2941">
            <w:pPr>
              <w:tabs>
                <w:tab w:val="center" w:pos="4680"/>
              </w:tabs>
              <w:suppressAutoHyphens/>
              <w:rPr>
                <w:spacing w:val="-2"/>
                <w:szCs w:val="22"/>
              </w:rPr>
            </w:pPr>
            <w:r w:rsidRPr="008A7274">
              <w:rPr>
                <w:spacing w:val="-2"/>
                <w:szCs w:val="22"/>
              </w:rPr>
              <w:t>Marion, Ohio</w:t>
            </w:r>
          </w:p>
        </w:tc>
        <w:tc>
          <w:tcPr>
            <w:tcW w:w="630" w:type="dxa"/>
          </w:tcPr>
          <w:p w:rsidR="004C2EE3" w:rsidRPr="008A7274" w14:paraId="3C184591" w14:textId="77777777">
            <w:pPr>
              <w:tabs>
                <w:tab w:val="center" w:pos="4680"/>
              </w:tabs>
              <w:suppressAutoHyphens/>
              <w:rPr>
                <w:b/>
                <w:spacing w:val="-2"/>
                <w:szCs w:val="22"/>
              </w:rPr>
            </w:pPr>
            <w:r w:rsidRPr="008A7274">
              <w:rPr>
                <w:b/>
                <w:spacing w:val="-2"/>
                <w:szCs w:val="22"/>
              </w:rPr>
              <w:t>)</w:t>
            </w:r>
          </w:p>
          <w:p w:rsidR="004C2EE3" w:rsidRPr="008A7274" w14:paraId="0A319555" w14:textId="77777777">
            <w:pPr>
              <w:tabs>
                <w:tab w:val="center" w:pos="4680"/>
              </w:tabs>
              <w:suppressAutoHyphens/>
              <w:rPr>
                <w:b/>
                <w:spacing w:val="-2"/>
                <w:szCs w:val="22"/>
              </w:rPr>
            </w:pPr>
            <w:r w:rsidRPr="008A7274">
              <w:rPr>
                <w:b/>
                <w:spacing w:val="-2"/>
                <w:szCs w:val="22"/>
              </w:rPr>
              <w:t>)</w:t>
            </w:r>
          </w:p>
          <w:p w:rsidR="004C2EE3" w:rsidRPr="008A7274" w14:paraId="2B3AA690" w14:textId="77777777">
            <w:pPr>
              <w:tabs>
                <w:tab w:val="center" w:pos="4680"/>
              </w:tabs>
              <w:suppressAutoHyphens/>
              <w:rPr>
                <w:b/>
                <w:spacing w:val="-2"/>
                <w:szCs w:val="22"/>
              </w:rPr>
            </w:pPr>
            <w:r w:rsidRPr="008A7274">
              <w:rPr>
                <w:b/>
                <w:spacing w:val="-2"/>
                <w:szCs w:val="22"/>
              </w:rPr>
              <w:t>)</w:t>
            </w:r>
          </w:p>
          <w:p w:rsidR="004C2EE3" w:rsidRPr="008A7274" w14:paraId="04149D23" w14:textId="77777777">
            <w:pPr>
              <w:tabs>
                <w:tab w:val="center" w:pos="4680"/>
              </w:tabs>
              <w:suppressAutoHyphens/>
              <w:rPr>
                <w:b/>
                <w:spacing w:val="-2"/>
                <w:szCs w:val="22"/>
              </w:rPr>
            </w:pPr>
            <w:r w:rsidRPr="008A7274">
              <w:rPr>
                <w:b/>
                <w:spacing w:val="-2"/>
                <w:szCs w:val="22"/>
              </w:rPr>
              <w:t>)</w:t>
            </w:r>
          </w:p>
          <w:p w:rsidR="004C2EE3" w:rsidRPr="008A7274" w14:paraId="25DCEB62" w14:textId="77777777">
            <w:pPr>
              <w:tabs>
                <w:tab w:val="center" w:pos="4680"/>
              </w:tabs>
              <w:suppressAutoHyphens/>
              <w:rPr>
                <w:b/>
                <w:spacing w:val="-2"/>
                <w:szCs w:val="22"/>
              </w:rPr>
            </w:pPr>
            <w:r w:rsidRPr="008A7274">
              <w:rPr>
                <w:b/>
                <w:spacing w:val="-2"/>
                <w:szCs w:val="22"/>
              </w:rPr>
              <w:t>)</w:t>
            </w:r>
          </w:p>
          <w:p w:rsidR="004C2EE3" w:rsidRPr="008A7274" w14:paraId="59A871BA" w14:textId="77777777">
            <w:pPr>
              <w:tabs>
                <w:tab w:val="center" w:pos="4680"/>
              </w:tabs>
              <w:suppressAutoHyphens/>
              <w:rPr>
                <w:b/>
                <w:spacing w:val="-2"/>
                <w:szCs w:val="22"/>
              </w:rPr>
            </w:pPr>
            <w:r w:rsidRPr="008A7274">
              <w:rPr>
                <w:b/>
                <w:spacing w:val="-2"/>
                <w:szCs w:val="22"/>
              </w:rPr>
              <w:t>)</w:t>
            </w:r>
          </w:p>
          <w:p w:rsidR="00E93F64" w:rsidRPr="008A7274" w14:paraId="12DC95D9" w14:textId="2E1FE0DC">
            <w:pPr>
              <w:tabs>
                <w:tab w:val="center" w:pos="4680"/>
              </w:tabs>
              <w:suppressAutoHyphens/>
              <w:rPr>
                <w:b/>
                <w:spacing w:val="-2"/>
                <w:szCs w:val="22"/>
              </w:rPr>
            </w:pPr>
            <w:r w:rsidRPr="008A7274">
              <w:rPr>
                <w:b/>
                <w:spacing w:val="-2"/>
                <w:szCs w:val="22"/>
              </w:rPr>
              <w:t>)</w:t>
            </w:r>
          </w:p>
        </w:tc>
        <w:tc>
          <w:tcPr>
            <w:tcW w:w="4248" w:type="dxa"/>
          </w:tcPr>
          <w:p w:rsidR="004C2EE3" w:rsidRPr="008A7274" w14:paraId="336D581C" w14:textId="6899AF39">
            <w:pPr>
              <w:tabs>
                <w:tab w:val="center" w:pos="4680"/>
              </w:tabs>
              <w:suppressAutoHyphens/>
              <w:rPr>
                <w:spacing w:val="-2"/>
                <w:szCs w:val="22"/>
              </w:rPr>
            </w:pPr>
            <w:r w:rsidRPr="008A7274">
              <w:rPr>
                <w:spacing w:val="-2"/>
                <w:szCs w:val="22"/>
              </w:rPr>
              <w:t xml:space="preserve">MB Docket No. </w:t>
            </w:r>
            <w:r w:rsidRPr="008A7274" w:rsidR="004D3897">
              <w:rPr>
                <w:spacing w:val="-2"/>
                <w:szCs w:val="22"/>
              </w:rPr>
              <w:t>2</w:t>
            </w:r>
            <w:r w:rsidR="00BA7B40">
              <w:rPr>
                <w:spacing w:val="-2"/>
                <w:szCs w:val="22"/>
              </w:rPr>
              <w:t>2</w:t>
            </w:r>
            <w:r w:rsidRPr="008A7274" w:rsidR="004D3897">
              <w:rPr>
                <w:spacing w:val="-2"/>
                <w:szCs w:val="22"/>
              </w:rPr>
              <w:t>-</w:t>
            </w:r>
            <w:r w:rsidR="002D52D3">
              <w:rPr>
                <w:spacing w:val="-2"/>
                <w:szCs w:val="22"/>
              </w:rPr>
              <w:t>76</w:t>
            </w:r>
          </w:p>
          <w:p w:rsidR="0076484D" w:rsidRPr="008A7274" w:rsidP="0076484D" w14:paraId="29418530" w14:textId="591F63CC">
            <w:pPr>
              <w:widowControl/>
              <w:autoSpaceDE w:val="0"/>
              <w:autoSpaceDN w:val="0"/>
              <w:adjustRightInd w:val="0"/>
              <w:rPr>
                <w:snapToGrid/>
                <w:kern w:val="0"/>
                <w:szCs w:val="22"/>
              </w:rPr>
            </w:pPr>
            <w:r w:rsidRPr="008A7274">
              <w:rPr>
                <w:snapToGrid/>
                <w:kern w:val="0"/>
                <w:szCs w:val="22"/>
              </w:rPr>
              <w:t xml:space="preserve">NAL/Acct. No. </w:t>
            </w:r>
            <w:r w:rsidR="002D52D3">
              <w:t>MB-202241410006</w:t>
            </w:r>
          </w:p>
          <w:p w:rsidR="0076484D" w:rsidRPr="008A7274" w:rsidP="0076484D" w14:paraId="519F4798" w14:textId="0AFEDE6A">
            <w:pPr>
              <w:widowControl/>
              <w:autoSpaceDE w:val="0"/>
              <w:autoSpaceDN w:val="0"/>
              <w:adjustRightInd w:val="0"/>
              <w:rPr>
                <w:snapToGrid/>
                <w:kern w:val="0"/>
                <w:szCs w:val="22"/>
              </w:rPr>
            </w:pPr>
            <w:r w:rsidRPr="008A7274">
              <w:rPr>
                <w:snapToGrid/>
                <w:kern w:val="0"/>
                <w:szCs w:val="22"/>
              </w:rPr>
              <w:t xml:space="preserve">FRN: </w:t>
            </w:r>
            <w:r w:rsidRPr="008A7274" w:rsidR="00586EE7">
              <w:rPr>
                <w:snapToGrid/>
                <w:kern w:val="0"/>
                <w:szCs w:val="22"/>
              </w:rPr>
              <w:t xml:space="preserve"> </w:t>
            </w:r>
            <w:r w:rsidRPr="008A7274" w:rsidR="00094BFB">
              <w:rPr>
                <w:snapToGrid/>
                <w:kern w:val="0"/>
                <w:szCs w:val="22"/>
              </w:rPr>
              <w:t>0023109846</w:t>
            </w:r>
          </w:p>
          <w:p w:rsidR="00E93F64" w:rsidRPr="008A7274" w:rsidP="0076484D" w14:paraId="0C02A066" w14:textId="77777777">
            <w:pPr>
              <w:widowControl/>
              <w:autoSpaceDE w:val="0"/>
              <w:autoSpaceDN w:val="0"/>
              <w:adjustRightInd w:val="0"/>
              <w:rPr>
                <w:snapToGrid/>
                <w:kern w:val="0"/>
                <w:szCs w:val="22"/>
              </w:rPr>
            </w:pPr>
          </w:p>
          <w:p w:rsidR="00347CF3" w:rsidRPr="008A7274" w:rsidP="00347CF3" w14:paraId="10952AC0" w14:textId="16909E96">
            <w:pPr>
              <w:widowControl/>
              <w:autoSpaceDE w:val="0"/>
              <w:autoSpaceDN w:val="0"/>
              <w:adjustRightInd w:val="0"/>
              <w:rPr>
                <w:snapToGrid/>
                <w:kern w:val="0"/>
                <w:szCs w:val="22"/>
              </w:rPr>
            </w:pPr>
            <w:r w:rsidRPr="008A7274">
              <w:rPr>
                <w:snapToGrid/>
                <w:kern w:val="0"/>
                <w:szCs w:val="22"/>
              </w:rPr>
              <w:t xml:space="preserve">Facility </w:t>
            </w:r>
            <w:r w:rsidRPr="008A7274" w:rsidR="00F43F3C">
              <w:rPr>
                <w:snapToGrid/>
                <w:kern w:val="0"/>
                <w:szCs w:val="22"/>
              </w:rPr>
              <w:t>ID</w:t>
            </w:r>
            <w:r w:rsidRPr="008A7274">
              <w:rPr>
                <w:snapToGrid/>
                <w:kern w:val="0"/>
                <w:szCs w:val="22"/>
              </w:rPr>
              <w:t xml:space="preserve"> No. </w:t>
            </w:r>
            <w:r w:rsidRPr="008A7274" w:rsidR="00226189">
              <w:rPr>
                <w:rFonts w:eastAsia="Calibri"/>
                <w:bCs/>
                <w:szCs w:val="22"/>
              </w:rPr>
              <w:t>193826</w:t>
            </w:r>
          </w:p>
          <w:p w:rsidR="004C2EE3" w:rsidRPr="008A7274" w:rsidP="00745283" w14:paraId="3A2960A7" w14:textId="75D63A28">
            <w:pPr>
              <w:widowControl/>
              <w:autoSpaceDE w:val="0"/>
              <w:autoSpaceDN w:val="0"/>
              <w:adjustRightInd w:val="0"/>
              <w:rPr>
                <w:snapToGrid/>
                <w:kern w:val="0"/>
                <w:szCs w:val="22"/>
              </w:rPr>
            </w:pPr>
            <w:r w:rsidRPr="008A7274">
              <w:rPr>
                <w:snapToGrid/>
                <w:kern w:val="0"/>
                <w:szCs w:val="22"/>
              </w:rPr>
              <w:t xml:space="preserve">File No. </w:t>
            </w:r>
            <w:r w:rsidRPr="008A7274" w:rsidR="003B0CA6">
              <w:rPr>
                <w:rFonts w:eastAsia="Calibri"/>
                <w:noProof/>
                <w:szCs w:val="22"/>
              </w:rPr>
              <w:t>0000115702</w:t>
            </w:r>
          </w:p>
        </w:tc>
      </w:tr>
    </w:tbl>
    <w:p w:rsidR="004C2EE3" w:rsidRPr="008A7274" w:rsidP="0070224F" w14:paraId="6ADB8B4A" w14:textId="77777777">
      <w:pPr>
        <w:rPr>
          <w:szCs w:val="22"/>
        </w:rPr>
      </w:pPr>
    </w:p>
    <w:p w:rsidR="001E12B1" w:rsidRPr="008A7274" w:rsidP="001E12B1" w14:paraId="27FEBAF9" w14:textId="6FD009D6">
      <w:pPr>
        <w:pStyle w:val="StyleBoldCentered"/>
        <w:rPr>
          <w:rFonts w:ascii="Times New Roman" w:hAnsi="Times New Roman"/>
        </w:rPr>
      </w:pPr>
      <w:r w:rsidRPr="008A7274">
        <w:rPr>
          <w:rFonts w:ascii="Times New Roman" w:hAnsi="Times New Roman"/>
        </w:rPr>
        <w:t>HEARING DESIGNATION ORDER, NOTICE OF OPPORTUNITY FOR HEARING</w:t>
      </w:r>
      <w:r w:rsidRPr="008A7274" w:rsidR="00591758">
        <w:rPr>
          <w:rFonts w:ascii="Times New Roman" w:hAnsi="Times New Roman"/>
        </w:rPr>
        <w:t>, AND NOTICE OF APPARENT LIABILITY FOR FORFEITURE</w:t>
      </w:r>
    </w:p>
    <w:p w:rsidR="00841AB1" w:rsidRPr="008A7274" w:rsidP="00F021FA" w14:paraId="037B78A4" w14:textId="613B8139">
      <w:pPr>
        <w:pStyle w:val="StyleBoldCentered"/>
        <w:rPr>
          <w:rFonts w:ascii="Times New Roman" w:hAnsi="Times New Roman"/>
        </w:rPr>
      </w:pPr>
    </w:p>
    <w:p w:rsidR="004C2EE3" w:rsidRPr="00827C1B" w14:paraId="32CFEEA4" w14:textId="77777777">
      <w:pPr>
        <w:tabs>
          <w:tab w:val="left" w:pos="-720"/>
        </w:tabs>
        <w:suppressAutoHyphens/>
        <w:spacing w:line="227" w:lineRule="auto"/>
        <w:rPr>
          <w:spacing w:val="-2"/>
          <w:szCs w:val="22"/>
        </w:rPr>
      </w:pPr>
    </w:p>
    <w:p w:rsidR="004C2EE3" w:rsidRPr="008A7274" w:rsidP="00133F79" w14:paraId="6E02D2DB" w14:textId="2283DD96">
      <w:pPr>
        <w:tabs>
          <w:tab w:val="left" w:pos="720"/>
          <w:tab w:val="right" w:pos="9360"/>
        </w:tabs>
        <w:suppressAutoHyphens/>
        <w:spacing w:line="227" w:lineRule="auto"/>
        <w:rPr>
          <w:spacing w:val="-2"/>
          <w:szCs w:val="22"/>
        </w:rPr>
      </w:pPr>
      <w:r w:rsidRPr="008A7274">
        <w:rPr>
          <w:b/>
          <w:spacing w:val="-2"/>
          <w:szCs w:val="22"/>
        </w:rPr>
        <w:t xml:space="preserve">Adopted:  </w:t>
      </w:r>
      <w:r w:rsidR="00B75F1C">
        <w:rPr>
          <w:b/>
          <w:spacing w:val="-2"/>
          <w:szCs w:val="22"/>
        </w:rPr>
        <w:t>February</w:t>
      </w:r>
      <w:r w:rsidRPr="008A7274" w:rsidR="00F75136">
        <w:rPr>
          <w:b/>
          <w:spacing w:val="-2"/>
          <w:szCs w:val="22"/>
        </w:rPr>
        <w:t xml:space="preserve"> </w:t>
      </w:r>
      <w:r w:rsidR="002D52D3">
        <w:rPr>
          <w:b/>
          <w:spacing w:val="-2"/>
          <w:szCs w:val="22"/>
        </w:rPr>
        <w:t>23</w:t>
      </w:r>
      <w:r w:rsidRPr="008A7274" w:rsidR="00347CF3">
        <w:rPr>
          <w:b/>
          <w:spacing w:val="-2"/>
          <w:szCs w:val="22"/>
        </w:rPr>
        <w:t xml:space="preserve">, </w:t>
      </w:r>
      <w:r w:rsidRPr="008A7274" w:rsidR="00D66667">
        <w:rPr>
          <w:b/>
          <w:spacing w:val="-2"/>
          <w:szCs w:val="22"/>
        </w:rPr>
        <w:t>202</w:t>
      </w:r>
      <w:r w:rsidR="00B75F1C">
        <w:rPr>
          <w:b/>
          <w:spacing w:val="-2"/>
          <w:szCs w:val="22"/>
        </w:rPr>
        <w:t>2</w:t>
      </w:r>
      <w:r w:rsidRPr="008A7274">
        <w:rPr>
          <w:b/>
          <w:spacing w:val="-2"/>
          <w:szCs w:val="22"/>
        </w:rPr>
        <w:tab/>
      </w:r>
      <w:r w:rsidRPr="008A7274" w:rsidR="00822CE0">
        <w:rPr>
          <w:b/>
          <w:spacing w:val="-2"/>
          <w:szCs w:val="22"/>
        </w:rPr>
        <w:t>Released</w:t>
      </w:r>
      <w:r w:rsidRPr="008A7274">
        <w:rPr>
          <w:b/>
          <w:spacing w:val="-2"/>
          <w:szCs w:val="22"/>
        </w:rPr>
        <w:t>:</w:t>
      </w:r>
      <w:r w:rsidRPr="008A7274" w:rsidR="00822CE0">
        <w:rPr>
          <w:b/>
          <w:spacing w:val="-2"/>
          <w:szCs w:val="22"/>
        </w:rPr>
        <w:t xml:space="preserve"> </w:t>
      </w:r>
      <w:r w:rsidRPr="008A7274">
        <w:rPr>
          <w:b/>
          <w:spacing w:val="-2"/>
          <w:szCs w:val="22"/>
        </w:rPr>
        <w:t xml:space="preserve"> </w:t>
      </w:r>
      <w:r w:rsidR="00B75F1C">
        <w:rPr>
          <w:b/>
          <w:spacing w:val="-2"/>
          <w:szCs w:val="22"/>
        </w:rPr>
        <w:t>February</w:t>
      </w:r>
      <w:r w:rsidRPr="008A7274" w:rsidR="00F75136">
        <w:rPr>
          <w:b/>
          <w:spacing w:val="-2"/>
          <w:szCs w:val="22"/>
        </w:rPr>
        <w:t xml:space="preserve"> </w:t>
      </w:r>
      <w:r w:rsidR="002D52D3">
        <w:rPr>
          <w:b/>
          <w:spacing w:val="-2"/>
          <w:szCs w:val="22"/>
        </w:rPr>
        <w:t>23</w:t>
      </w:r>
      <w:r w:rsidRPr="008A7274" w:rsidR="00347CF3">
        <w:rPr>
          <w:b/>
          <w:spacing w:val="-2"/>
          <w:szCs w:val="22"/>
        </w:rPr>
        <w:t xml:space="preserve">, </w:t>
      </w:r>
      <w:r w:rsidRPr="008A7274" w:rsidR="00D66667">
        <w:rPr>
          <w:b/>
          <w:spacing w:val="-2"/>
          <w:szCs w:val="22"/>
        </w:rPr>
        <w:t>202</w:t>
      </w:r>
      <w:r w:rsidR="00B75F1C">
        <w:rPr>
          <w:b/>
          <w:spacing w:val="-2"/>
          <w:szCs w:val="22"/>
        </w:rPr>
        <w:t>2</w:t>
      </w:r>
    </w:p>
    <w:p w:rsidR="00822CE0" w:rsidRPr="008A7274" w14:paraId="7D600E1F" w14:textId="77777777">
      <w:pPr>
        <w:rPr>
          <w:szCs w:val="22"/>
        </w:rPr>
      </w:pPr>
    </w:p>
    <w:p w:rsidR="00822CE0" w:rsidRPr="008A7274" w14:paraId="5A39E7D3" w14:textId="2D05CD49">
      <w:pPr>
        <w:rPr>
          <w:spacing w:val="-2"/>
          <w:szCs w:val="22"/>
        </w:rPr>
      </w:pPr>
      <w:r w:rsidRPr="008A7274">
        <w:rPr>
          <w:szCs w:val="22"/>
        </w:rPr>
        <w:t xml:space="preserve">By </w:t>
      </w:r>
      <w:r w:rsidRPr="008A7274" w:rsidR="004E4A22">
        <w:rPr>
          <w:szCs w:val="22"/>
        </w:rPr>
        <w:t>the</w:t>
      </w:r>
      <w:r w:rsidRPr="008A7274" w:rsidR="002A2D2E">
        <w:rPr>
          <w:szCs w:val="22"/>
        </w:rPr>
        <w:t xml:space="preserve"> </w:t>
      </w:r>
      <w:r w:rsidRPr="008A7274" w:rsidR="00347CF3">
        <w:rPr>
          <w:szCs w:val="22"/>
        </w:rPr>
        <w:t>Chief, Media Bureau</w:t>
      </w:r>
      <w:r w:rsidRPr="008A7274">
        <w:rPr>
          <w:spacing w:val="-2"/>
          <w:szCs w:val="22"/>
        </w:rPr>
        <w:t>:</w:t>
      </w:r>
    </w:p>
    <w:p w:rsidR="00412FC5" w:rsidRPr="008A7274" w:rsidP="00412FC5" w14:paraId="7A7F6343" w14:textId="77777777">
      <w:pPr>
        <w:rPr>
          <w:szCs w:val="22"/>
        </w:rPr>
      </w:pPr>
    </w:p>
    <w:p w:rsidR="002C00E8" w:rsidRPr="008A7274" w:rsidP="002C00E8" w14:paraId="04100AD6" w14:textId="1EFE8247">
      <w:pPr>
        <w:pStyle w:val="Heading1"/>
        <w:rPr>
          <w:rFonts w:ascii="Times New Roman" w:hAnsi="Times New Roman"/>
          <w:szCs w:val="22"/>
        </w:rPr>
      </w:pPr>
      <w:r w:rsidRPr="008A7274">
        <w:rPr>
          <w:rFonts w:ascii="Times New Roman" w:hAnsi="Times New Roman"/>
          <w:szCs w:val="22"/>
        </w:rPr>
        <w:t>introduction</w:t>
      </w:r>
    </w:p>
    <w:p w:rsidR="007F4B43" w:rsidRPr="006307CB" w:rsidP="00222A86" w14:paraId="337E82B8" w14:textId="0E53632D">
      <w:pPr>
        <w:pStyle w:val="ParaNum"/>
        <w:rPr>
          <w:szCs w:val="22"/>
        </w:rPr>
      </w:pPr>
      <w:r w:rsidRPr="00827C1B">
        <w:rPr>
          <w:szCs w:val="22"/>
        </w:rPr>
        <w:t>In this</w:t>
      </w:r>
      <w:r w:rsidRPr="006307CB">
        <w:rPr>
          <w:szCs w:val="22"/>
        </w:rPr>
        <w:t xml:space="preserve"> </w:t>
      </w:r>
      <w:r w:rsidRPr="006307CB">
        <w:rPr>
          <w:i/>
          <w:iCs/>
          <w:szCs w:val="22"/>
        </w:rPr>
        <w:t xml:space="preserve">Hearing Designation Order, </w:t>
      </w:r>
      <w:r w:rsidRPr="008A7274">
        <w:rPr>
          <w:i/>
          <w:iCs/>
          <w:szCs w:val="22"/>
        </w:rPr>
        <w:t xml:space="preserve">Notice of Opportunity for Hearing, and Notice of Apparent Liability for Forfeiture, </w:t>
      </w:r>
      <w:r w:rsidRPr="008A7274">
        <w:rPr>
          <w:szCs w:val="22"/>
        </w:rPr>
        <w:t>we commence a hearing proceeding</w:t>
      </w:r>
      <w:r w:rsidR="00303FF4">
        <w:rPr>
          <w:szCs w:val="22"/>
        </w:rPr>
        <w:t xml:space="preserve"> before</w:t>
      </w:r>
      <w:r w:rsidRPr="008A7274">
        <w:rPr>
          <w:szCs w:val="22"/>
        </w:rPr>
        <w:t xml:space="preserve"> the Administrative Law Judge</w:t>
      </w:r>
      <w:r w:rsidR="00B67236">
        <w:rPr>
          <w:szCs w:val="22"/>
        </w:rPr>
        <w:t xml:space="preserve"> </w:t>
      </w:r>
      <w:r w:rsidR="00303FF4">
        <w:rPr>
          <w:szCs w:val="22"/>
        </w:rPr>
        <w:t xml:space="preserve">to </w:t>
      </w:r>
      <w:r w:rsidRPr="000D54FE" w:rsidR="00303FF4">
        <w:t xml:space="preserve">determine whether </w:t>
      </w:r>
      <w:r w:rsidRPr="008A7274" w:rsidR="00303FF4">
        <w:rPr>
          <w:szCs w:val="22"/>
        </w:rPr>
        <w:t>The Marion Education Exchange (MEE)</w:t>
      </w:r>
      <w:r w:rsidRPr="000D54FE" w:rsidR="00303FF4">
        <w:t xml:space="preserve"> has committed violations of the Communications Act of 1934, as amended (Act) and/or the rules and regulations (</w:t>
      </w:r>
      <w:r w:rsidRPr="00A77024" w:rsidR="00303FF4">
        <w:t>Rules</w:t>
      </w:r>
      <w:r w:rsidRPr="000D54FE" w:rsidR="00303FF4">
        <w:t>) of the Federal Communications Commission (</w:t>
      </w:r>
      <w:r w:rsidRPr="002B4847" w:rsidR="00303FF4">
        <w:t>Commission</w:t>
      </w:r>
      <w:r w:rsidRPr="000D54FE" w:rsidR="00303FF4">
        <w:t>)</w:t>
      </w:r>
      <w:r w:rsidR="00DF5837">
        <w:t>,</w:t>
      </w:r>
      <w:r w:rsidRPr="000D54FE" w:rsidR="00303FF4">
        <w:t xml:space="preserve"> and, as a consequence, </w:t>
      </w:r>
      <w:r w:rsidRPr="008A7274" w:rsidR="00303FF4">
        <w:rPr>
          <w:szCs w:val="22"/>
        </w:rPr>
        <w:t>whether MEE’s application (Renewal Application) to renew the license of low power FM radio station WWGH-LP, Marion, Ohio (Station) should be granted or denied pursuant to section 309(k) of the Act</w:t>
      </w:r>
      <w:r w:rsidR="00EF051E">
        <w:rPr>
          <w:szCs w:val="22"/>
        </w:rPr>
        <w:t>,</w:t>
      </w:r>
      <w:r w:rsidR="00303FF4">
        <w:rPr>
          <w:szCs w:val="22"/>
        </w:rPr>
        <w:t xml:space="preserve"> and </w:t>
      </w:r>
      <w:r w:rsidRPr="008A7274" w:rsidR="00303FF4">
        <w:rPr>
          <w:szCs w:val="22"/>
        </w:rPr>
        <w:t>whether a forfeiture should be imposed against MEE</w:t>
      </w:r>
      <w:r w:rsidR="00303FF4">
        <w:rPr>
          <w:szCs w:val="22"/>
        </w:rPr>
        <w:t>.</w:t>
      </w:r>
      <w:r>
        <w:rPr>
          <w:rStyle w:val="FootnoteReference"/>
          <w:sz w:val="22"/>
          <w:szCs w:val="22"/>
        </w:rPr>
        <w:footnoteReference w:id="3"/>
      </w:r>
      <w:r w:rsidRPr="00827C1B" w:rsidR="00303FF4">
        <w:rPr>
          <w:szCs w:val="22"/>
        </w:rPr>
        <w:t xml:space="preserve"> </w:t>
      </w:r>
      <w:r w:rsidRPr="00827C1B">
        <w:rPr>
          <w:szCs w:val="22"/>
        </w:rPr>
        <w:t xml:space="preserve"> </w:t>
      </w:r>
      <w:r w:rsidRPr="006307CB" w:rsidR="00A56F06">
        <w:rPr>
          <w:szCs w:val="22"/>
        </w:rPr>
        <w:t xml:space="preserve">As discussed more fully below, </w:t>
      </w:r>
      <w:r w:rsidRPr="006307CB" w:rsidR="00AE3695">
        <w:rPr>
          <w:szCs w:val="22"/>
        </w:rPr>
        <w:t xml:space="preserve">substantial and material </w:t>
      </w:r>
      <w:r w:rsidRPr="008A7274" w:rsidR="00C31F89">
        <w:rPr>
          <w:szCs w:val="22"/>
        </w:rPr>
        <w:t>questions of fact</w:t>
      </w:r>
      <w:r w:rsidRPr="008A7274" w:rsidR="00AE3695">
        <w:rPr>
          <w:szCs w:val="22"/>
        </w:rPr>
        <w:t xml:space="preserve"> exist regarding whether </w:t>
      </w:r>
      <w:r w:rsidRPr="008A7274" w:rsidR="00457C96">
        <w:rPr>
          <w:szCs w:val="22"/>
        </w:rPr>
        <w:t>MEE</w:t>
      </w:r>
      <w:r w:rsidR="0033349B">
        <w:rPr>
          <w:szCs w:val="22"/>
        </w:rPr>
        <w:t>:</w:t>
      </w:r>
      <w:r w:rsidRPr="008A7274" w:rsidR="00A56F06">
        <w:rPr>
          <w:szCs w:val="22"/>
        </w:rPr>
        <w:t xml:space="preserve"> </w:t>
      </w:r>
      <w:r w:rsidR="00405E50">
        <w:rPr>
          <w:szCs w:val="22"/>
        </w:rPr>
        <w:t xml:space="preserve"> </w:t>
      </w:r>
      <w:r w:rsidRPr="008A7274" w:rsidR="00012C4F">
        <w:rPr>
          <w:szCs w:val="22"/>
        </w:rPr>
        <w:t xml:space="preserve">(1) </w:t>
      </w:r>
      <w:r w:rsidRPr="008A7274" w:rsidR="00A56F06">
        <w:rPr>
          <w:szCs w:val="22"/>
        </w:rPr>
        <w:t xml:space="preserve">willfully and repeatedly </w:t>
      </w:r>
      <w:r w:rsidRPr="008A7274" w:rsidR="005A7EAF">
        <w:rPr>
          <w:szCs w:val="22"/>
        </w:rPr>
        <w:t>violated</w:t>
      </w:r>
      <w:r w:rsidRPr="008A7274" w:rsidR="00A56F06">
        <w:rPr>
          <w:szCs w:val="22"/>
        </w:rPr>
        <w:t xml:space="preserve"> section 73.1015 of the </w:t>
      </w:r>
      <w:r w:rsidRPr="008A7274" w:rsidR="005A7EAF">
        <w:rPr>
          <w:szCs w:val="22"/>
        </w:rPr>
        <w:t>Rules</w:t>
      </w:r>
      <w:r w:rsidRPr="008A7274" w:rsidR="00A56F06">
        <w:rPr>
          <w:szCs w:val="22"/>
        </w:rPr>
        <w:t xml:space="preserve"> by failing to respond fully to </w:t>
      </w:r>
      <w:r w:rsidRPr="008A7274" w:rsidR="003870BC">
        <w:rPr>
          <w:szCs w:val="22"/>
        </w:rPr>
        <w:t>letters of inquiry (LOIs)</w:t>
      </w:r>
      <w:r w:rsidRPr="008A7274" w:rsidR="00052C65">
        <w:rPr>
          <w:szCs w:val="22"/>
        </w:rPr>
        <w:t xml:space="preserve"> from Media Bureau (Bureau) staff</w:t>
      </w:r>
      <w:r w:rsidR="00405E50">
        <w:rPr>
          <w:szCs w:val="22"/>
        </w:rPr>
        <w:t>;</w:t>
      </w:r>
      <w:r w:rsidRPr="008A7274" w:rsidR="00A56F06">
        <w:rPr>
          <w:szCs w:val="22"/>
        </w:rPr>
        <w:t xml:space="preserve"> </w:t>
      </w:r>
      <w:r w:rsidRPr="008A7274" w:rsidR="00012C4F">
        <w:rPr>
          <w:szCs w:val="22"/>
        </w:rPr>
        <w:t xml:space="preserve">(2) made misrepresentations to </w:t>
      </w:r>
      <w:r w:rsidRPr="008A7274" w:rsidR="001C1103">
        <w:rPr>
          <w:szCs w:val="22"/>
        </w:rPr>
        <w:t xml:space="preserve">and/or lacked candor with </w:t>
      </w:r>
      <w:r w:rsidRPr="008A7274" w:rsidR="00012C4F">
        <w:rPr>
          <w:szCs w:val="22"/>
        </w:rPr>
        <w:t>the Commission</w:t>
      </w:r>
      <w:r w:rsidR="00152FD1">
        <w:rPr>
          <w:szCs w:val="22"/>
        </w:rPr>
        <w:t xml:space="preserve"> in violation of section 1.17(a)(1) of the Rules, or </w:t>
      </w:r>
      <w:r w:rsidR="0008598B">
        <w:rPr>
          <w:szCs w:val="22"/>
        </w:rPr>
        <w:t>violated section 1.17(a)(2) of the Rules by providing</w:t>
      </w:r>
      <w:r w:rsidR="00B20855">
        <w:rPr>
          <w:szCs w:val="22"/>
        </w:rPr>
        <w:t xml:space="preserve"> incorrect material factual information or </w:t>
      </w:r>
      <w:r w:rsidR="00383B9D">
        <w:rPr>
          <w:szCs w:val="22"/>
        </w:rPr>
        <w:t>omitting</w:t>
      </w:r>
      <w:r w:rsidR="00B20855">
        <w:rPr>
          <w:szCs w:val="22"/>
        </w:rPr>
        <w:t xml:space="preserve"> </w:t>
      </w:r>
      <w:r w:rsidR="0008598B">
        <w:rPr>
          <w:szCs w:val="22"/>
        </w:rPr>
        <w:t>material information necessary to prevent a material factual statement from being incorrect or misleading</w:t>
      </w:r>
      <w:r w:rsidR="00B038E0">
        <w:rPr>
          <w:szCs w:val="22"/>
        </w:rPr>
        <w:t>,</w:t>
      </w:r>
      <w:r w:rsidR="0008598B">
        <w:rPr>
          <w:szCs w:val="22"/>
        </w:rPr>
        <w:t xml:space="preserve"> and doing so </w:t>
      </w:r>
      <w:r w:rsidR="00B20855">
        <w:rPr>
          <w:szCs w:val="22"/>
        </w:rPr>
        <w:t>without a reasonable basis for believing the information to be correct and not misleading</w:t>
      </w:r>
      <w:r w:rsidR="00405E50">
        <w:rPr>
          <w:szCs w:val="22"/>
        </w:rPr>
        <w:t>;</w:t>
      </w:r>
      <w:r w:rsidRPr="008A7274" w:rsidR="00012C4F">
        <w:rPr>
          <w:szCs w:val="22"/>
        </w:rPr>
        <w:t xml:space="preserve"> </w:t>
      </w:r>
      <w:r w:rsidRPr="008A7274" w:rsidR="00E332C8">
        <w:rPr>
          <w:szCs w:val="22"/>
        </w:rPr>
        <w:t xml:space="preserve">and </w:t>
      </w:r>
      <w:r w:rsidRPr="008A7274" w:rsidR="00A56F06">
        <w:rPr>
          <w:szCs w:val="22"/>
        </w:rPr>
        <w:t xml:space="preserve">(3) willfully violated section 73.865 </w:t>
      </w:r>
      <w:r w:rsidRPr="008A7274" w:rsidR="00B648D7">
        <w:rPr>
          <w:szCs w:val="22"/>
        </w:rPr>
        <w:t xml:space="preserve">of the Rules </w:t>
      </w:r>
      <w:r w:rsidRPr="008A7274" w:rsidR="00A34C39">
        <w:rPr>
          <w:szCs w:val="22"/>
        </w:rPr>
        <w:t>by failing</w:t>
      </w:r>
      <w:r w:rsidRPr="008A7274" w:rsidR="00A56F06">
        <w:rPr>
          <w:szCs w:val="22"/>
        </w:rPr>
        <w:t xml:space="preserve"> to notify the </w:t>
      </w:r>
      <w:r w:rsidR="0033349B">
        <w:rPr>
          <w:szCs w:val="22"/>
        </w:rPr>
        <w:t>Commission</w:t>
      </w:r>
      <w:r w:rsidRPr="008A7274" w:rsidR="00A56F06">
        <w:rPr>
          <w:szCs w:val="22"/>
        </w:rPr>
        <w:t xml:space="preserve"> </w:t>
      </w:r>
      <w:r w:rsidRPr="008A7274" w:rsidR="00A33D9B">
        <w:rPr>
          <w:szCs w:val="22"/>
        </w:rPr>
        <w:t xml:space="preserve">that a </w:t>
      </w:r>
      <w:r w:rsidRPr="008A7274" w:rsidR="00A33D9B">
        <w:rPr>
          <w:i/>
          <w:iCs/>
          <w:szCs w:val="22"/>
        </w:rPr>
        <w:t>pro forma</w:t>
      </w:r>
      <w:r w:rsidRPr="008A7274" w:rsidR="00A33D9B">
        <w:rPr>
          <w:szCs w:val="22"/>
        </w:rPr>
        <w:t xml:space="preserve"> transfer of control of MEE had occurred</w:t>
      </w:r>
      <w:r w:rsidRPr="008A7274" w:rsidR="00A56F06">
        <w:rPr>
          <w:szCs w:val="22"/>
        </w:rPr>
        <w:t>.</w:t>
      </w:r>
      <w:r w:rsidRPr="006307CB" w:rsidR="004D3B3B">
        <w:rPr>
          <w:szCs w:val="22"/>
        </w:rPr>
        <w:t xml:space="preserve"> </w:t>
      </w:r>
    </w:p>
    <w:p w:rsidR="00347CF3" w:rsidRPr="008A7274" w:rsidP="002F0692" w14:paraId="0028A5C0" w14:textId="7706716C">
      <w:pPr>
        <w:pStyle w:val="Heading1"/>
        <w:rPr>
          <w:rFonts w:ascii="Times New Roman" w:hAnsi="Times New Roman"/>
          <w:szCs w:val="22"/>
        </w:rPr>
      </w:pPr>
      <w:r w:rsidRPr="008A7274">
        <w:rPr>
          <w:rFonts w:ascii="Times New Roman" w:hAnsi="Times New Roman"/>
          <w:szCs w:val="22"/>
        </w:rPr>
        <w:t>Background</w:t>
      </w:r>
    </w:p>
    <w:p w:rsidR="009C4882" w:rsidRPr="00827C1B" w:rsidP="00222A86" w14:paraId="330A0950" w14:textId="28B58A52">
      <w:pPr>
        <w:pStyle w:val="ParaNum"/>
        <w:rPr>
          <w:rFonts w:eastAsia="Calibri"/>
          <w:noProof/>
          <w:szCs w:val="22"/>
        </w:rPr>
      </w:pPr>
      <w:r w:rsidRPr="00261850">
        <w:rPr>
          <w:rFonts w:eastAsia="Calibri"/>
          <w:noProof/>
          <w:szCs w:val="22"/>
        </w:rPr>
        <w:t>MEE was registered with the State of Ohio as a non-profit corporation (</w:t>
      </w:r>
      <w:r w:rsidR="008779AB">
        <w:rPr>
          <w:rFonts w:eastAsia="Calibri"/>
          <w:noProof/>
          <w:szCs w:val="22"/>
        </w:rPr>
        <w:t>E</w:t>
      </w:r>
      <w:r w:rsidRPr="00261850">
        <w:rPr>
          <w:rFonts w:eastAsia="Calibri"/>
          <w:noProof/>
          <w:szCs w:val="22"/>
        </w:rPr>
        <w:t>ntity #</w:t>
      </w:r>
      <w:r w:rsidR="008779AB">
        <w:rPr>
          <w:rFonts w:eastAsia="Calibri"/>
          <w:noProof/>
          <w:szCs w:val="22"/>
        </w:rPr>
        <w:t xml:space="preserve">: </w:t>
      </w:r>
      <w:r w:rsidRPr="00261850">
        <w:rPr>
          <w:rFonts w:eastAsia="Calibri"/>
          <w:noProof/>
          <w:szCs w:val="22"/>
        </w:rPr>
        <w:t xml:space="preserve"> 4330904) on May 2, 2019, with Shawn Craft as the registered agent.</w:t>
      </w:r>
      <w:r>
        <w:rPr>
          <w:rStyle w:val="FootnoteReference"/>
          <w:rFonts w:eastAsia="Calibri"/>
          <w:noProof/>
          <w:szCs w:val="22"/>
        </w:rPr>
        <w:footnoteReference w:id="4"/>
      </w:r>
      <w:r w:rsidRPr="00261850">
        <w:rPr>
          <w:rFonts w:eastAsia="Calibri"/>
          <w:noProof/>
          <w:szCs w:val="22"/>
        </w:rPr>
        <w:t xml:space="preserve">  </w:t>
      </w:r>
      <w:r w:rsidRPr="00827C1B" w:rsidR="00C67715">
        <w:rPr>
          <w:rFonts w:eastAsia="Calibri"/>
          <w:noProof/>
          <w:szCs w:val="22"/>
        </w:rPr>
        <w:t xml:space="preserve">On May 9, 2019, MEE </w:t>
      </w:r>
      <w:r w:rsidRPr="006307CB" w:rsidR="00C67715">
        <w:rPr>
          <w:rFonts w:eastAsia="Calibri"/>
          <w:noProof/>
          <w:szCs w:val="22"/>
        </w:rPr>
        <w:t xml:space="preserve">and Marion Midget Football (MMF)—the Station’s former licensee—filed an application for Commission consent to the </w:t>
      </w:r>
      <w:r w:rsidRPr="008A7274" w:rsidR="00C67715">
        <w:rPr>
          <w:rFonts w:eastAsia="Calibri"/>
          <w:i/>
          <w:iCs/>
          <w:noProof/>
          <w:szCs w:val="22"/>
        </w:rPr>
        <w:t>pro forma</w:t>
      </w:r>
      <w:r w:rsidRPr="008A7274" w:rsidR="00C67715">
        <w:rPr>
          <w:rFonts w:eastAsia="Calibri"/>
          <w:noProof/>
          <w:szCs w:val="22"/>
        </w:rPr>
        <w:t xml:space="preserve"> assignment of the Station’s license from MMF to MEE (Assignment Application).</w:t>
      </w:r>
      <w:r>
        <w:rPr>
          <w:rStyle w:val="FootnoteReference"/>
          <w:rFonts w:eastAsia="Calibri"/>
          <w:noProof/>
          <w:sz w:val="22"/>
          <w:szCs w:val="22"/>
        </w:rPr>
        <w:footnoteReference w:id="5"/>
      </w:r>
      <w:r w:rsidRPr="00827C1B" w:rsidR="00C67715">
        <w:rPr>
          <w:rFonts w:eastAsia="Calibri"/>
          <w:noProof/>
          <w:szCs w:val="22"/>
        </w:rPr>
        <w:t xml:space="preserve">  </w:t>
      </w:r>
      <w:r w:rsidRPr="00827C1B" w:rsidR="00C67715">
        <w:rPr>
          <w:rFonts w:eastAsia="Calibri"/>
          <w:noProof/>
          <w:szCs w:val="22"/>
        </w:rPr>
        <w:t xml:space="preserve">Therein, MEE </w:t>
      </w:r>
      <w:r w:rsidRPr="006307CB" w:rsidR="00C67715">
        <w:rPr>
          <w:szCs w:val="22"/>
        </w:rPr>
        <w:t>indicated that “[t]here are no changes in the board members, only the name of the licensee.”</w:t>
      </w:r>
      <w:r>
        <w:rPr>
          <w:rStyle w:val="FootnoteReference"/>
          <w:sz w:val="22"/>
          <w:szCs w:val="22"/>
        </w:rPr>
        <w:footnoteReference w:id="6"/>
      </w:r>
      <w:r w:rsidRPr="00827C1B" w:rsidR="00C67715">
        <w:rPr>
          <w:szCs w:val="22"/>
        </w:rPr>
        <w:t xml:space="preserve">  MEE listed Patti Worcester (Worcester), Martha Maniaci (Maniaci), Mary Ann Stolarczyk (Stolarczyk), Betty Compton (Compton), and Marge </w:t>
      </w:r>
      <w:r w:rsidRPr="006307CB" w:rsidR="00C67715">
        <w:rPr>
          <w:szCs w:val="22"/>
        </w:rPr>
        <w:t>Hazelett (</w:t>
      </w:r>
      <w:r w:rsidRPr="008A7274" w:rsidR="00C67715">
        <w:rPr>
          <w:szCs w:val="22"/>
        </w:rPr>
        <w:t>Hazelett) as its board members, and indicated each had 20 percent voting rights.</w:t>
      </w:r>
      <w:r>
        <w:rPr>
          <w:rStyle w:val="FootnoteReference"/>
          <w:sz w:val="22"/>
          <w:szCs w:val="22"/>
        </w:rPr>
        <w:footnoteReference w:id="7"/>
      </w:r>
      <w:r w:rsidRPr="00827C1B" w:rsidR="00C67715">
        <w:rPr>
          <w:szCs w:val="22"/>
        </w:rPr>
        <w:t xml:space="preserve">  </w:t>
      </w:r>
      <w:r w:rsidRPr="006307CB" w:rsidR="00C67715">
        <w:rPr>
          <w:rFonts w:eastAsia="Calibri"/>
          <w:noProof/>
          <w:szCs w:val="22"/>
        </w:rPr>
        <w:t>We granted the unopposed Assignment Application on May 21, 2019</w:t>
      </w:r>
      <w:r w:rsidRPr="006307CB">
        <w:rPr>
          <w:rFonts w:eastAsia="Calibri"/>
          <w:noProof/>
          <w:szCs w:val="22"/>
        </w:rPr>
        <w:t>.</w:t>
      </w:r>
      <w:r>
        <w:rPr>
          <w:rStyle w:val="FootnoteReference"/>
          <w:rFonts w:eastAsia="Calibri"/>
          <w:noProof/>
          <w:sz w:val="22"/>
          <w:szCs w:val="22"/>
        </w:rPr>
        <w:footnoteReference w:id="8"/>
      </w:r>
      <w:r w:rsidR="000E7C42">
        <w:rPr>
          <w:rFonts w:eastAsia="Calibri"/>
          <w:noProof/>
          <w:szCs w:val="22"/>
        </w:rPr>
        <w:t xml:space="preserve">  In the course of this license renewal proceeding, we have learned that Compton died on November 7, 2016, more than two years before MEE filed the </w:t>
      </w:r>
      <w:r w:rsidR="00D05AC7">
        <w:rPr>
          <w:rFonts w:eastAsia="Calibri"/>
          <w:noProof/>
          <w:szCs w:val="22"/>
        </w:rPr>
        <w:t>Assignment Application</w:t>
      </w:r>
      <w:r w:rsidR="00D55E70">
        <w:rPr>
          <w:rFonts w:eastAsia="Calibri"/>
          <w:noProof/>
          <w:szCs w:val="22"/>
        </w:rPr>
        <w:t xml:space="preserve"> that listed her as </w:t>
      </w:r>
      <w:r w:rsidR="002371BA">
        <w:rPr>
          <w:rFonts w:eastAsia="Calibri"/>
          <w:noProof/>
          <w:szCs w:val="22"/>
        </w:rPr>
        <w:t xml:space="preserve">one of five existing and continuing </w:t>
      </w:r>
      <w:r w:rsidR="00D55E70">
        <w:rPr>
          <w:rFonts w:eastAsia="Calibri"/>
          <w:noProof/>
          <w:szCs w:val="22"/>
        </w:rPr>
        <w:t>member</w:t>
      </w:r>
      <w:r w:rsidR="002371BA">
        <w:rPr>
          <w:rFonts w:eastAsia="Calibri"/>
          <w:noProof/>
          <w:szCs w:val="22"/>
        </w:rPr>
        <w:t>s</w:t>
      </w:r>
      <w:r w:rsidR="00D55E70">
        <w:rPr>
          <w:rFonts w:eastAsia="Calibri"/>
          <w:noProof/>
          <w:szCs w:val="22"/>
        </w:rPr>
        <w:t xml:space="preserve"> of MEE’s board</w:t>
      </w:r>
      <w:r w:rsidR="00D05AC7">
        <w:rPr>
          <w:rFonts w:eastAsia="Calibri"/>
          <w:noProof/>
          <w:szCs w:val="22"/>
        </w:rPr>
        <w:t>.</w:t>
      </w:r>
      <w:r>
        <w:rPr>
          <w:rStyle w:val="FootnoteReference"/>
          <w:rFonts w:eastAsia="Calibri"/>
          <w:noProof/>
          <w:szCs w:val="22"/>
        </w:rPr>
        <w:footnoteReference w:id="9"/>
      </w:r>
      <w:r w:rsidR="00D05AC7">
        <w:rPr>
          <w:rFonts w:eastAsia="Calibri"/>
          <w:noProof/>
          <w:szCs w:val="22"/>
        </w:rPr>
        <w:t xml:space="preserve">  </w:t>
      </w:r>
    </w:p>
    <w:p w:rsidR="00296DF7" w:rsidRPr="00827C1B" w14:paraId="3ED23B02" w14:textId="4AFB5A7A">
      <w:pPr>
        <w:pStyle w:val="ParaNum"/>
        <w:rPr>
          <w:rFonts w:eastAsia="Calibri"/>
          <w:noProof/>
          <w:szCs w:val="22"/>
        </w:rPr>
      </w:pPr>
      <w:r w:rsidRPr="008A7274">
        <w:rPr>
          <w:rFonts w:eastAsia="Calibri"/>
          <w:noProof/>
          <w:szCs w:val="22"/>
        </w:rPr>
        <w:t xml:space="preserve">On May 28, 2019, MEE filed a </w:t>
      </w:r>
      <w:r w:rsidRPr="008A7274">
        <w:rPr>
          <w:rFonts w:eastAsia="Calibri"/>
          <w:i/>
          <w:iCs/>
          <w:noProof/>
          <w:szCs w:val="22"/>
        </w:rPr>
        <w:t>pro forma</w:t>
      </w:r>
      <w:r w:rsidRPr="008A7274">
        <w:rPr>
          <w:rFonts w:eastAsia="Calibri"/>
          <w:noProof/>
          <w:szCs w:val="22"/>
        </w:rPr>
        <w:t xml:space="preserve"> transfer of control application (Transfer Application).</w:t>
      </w:r>
      <w:r>
        <w:rPr>
          <w:rStyle w:val="FootnoteReference"/>
          <w:rFonts w:eastAsia="Calibri"/>
          <w:noProof/>
          <w:sz w:val="22"/>
          <w:szCs w:val="22"/>
        </w:rPr>
        <w:footnoteReference w:id="10"/>
      </w:r>
      <w:r w:rsidRPr="00827C1B">
        <w:rPr>
          <w:rFonts w:eastAsia="Calibri"/>
          <w:noProof/>
          <w:szCs w:val="22"/>
        </w:rPr>
        <w:t xml:space="preserve">  MEE </w:t>
      </w:r>
      <w:r w:rsidRPr="006307CB" w:rsidR="00BC0968">
        <w:rPr>
          <w:rFonts w:eastAsia="Calibri"/>
          <w:noProof/>
          <w:szCs w:val="22"/>
        </w:rPr>
        <w:t>reported that</w:t>
      </w:r>
      <w:r w:rsidRPr="006307CB">
        <w:rPr>
          <w:rFonts w:eastAsia="Calibri"/>
          <w:noProof/>
          <w:szCs w:val="22"/>
        </w:rPr>
        <w:t xml:space="preserve"> “Worcester has decided to retire and voluntarily transfers her position to Shawn Craft.”  We granted the unopposed Transfer Application on July 11, 2019.</w:t>
      </w:r>
      <w:r>
        <w:rPr>
          <w:rStyle w:val="FootnoteReference"/>
          <w:rFonts w:eastAsia="Calibri"/>
          <w:noProof/>
          <w:sz w:val="22"/>
          <w:szCs w:val="22"/>
        </w:rPr>
        <w:footnoteReference w:id="11"/>
      </w:r>
    </w:p>
    <w:p w:rsidR="001E4C45" w:rsidRPr="006307CB" w:rsidP="003F32EA" w14:paraId="6571F33D" w14:textId="574F4291">
      <w:pPr>
        <w:pStyle w:val="ParaNum"/>
        <w:widowControl/>
        <w:rPr>
          <w:szCs w:val="22"/>
        </w:rPr>
      </w:pPr>
      <w:r w:rsidRPr="006307CB">
        <w:rPr>
          <w:rFonts w:eastAsia="Calibri"/>
          <w:noProof/>
          <w:szCs w:val="22"/>
        </w:rPr>
        <w:t>On June 6, 2020, MEE filed the Renewal Application.</w:t>
      </w:r>
      <w:r>
        <w:rPr>
          <w:rStyle w:val="FootnoteReference"/>
          <w:rFonts w:eastAsia="Calibri"/>
          <w:noProof/>
          <w:sz w:val="22"/>
          <w:szCs w:val="22"/>
        </w:rPr>
        <w:footnoteReference w:id="12"/>
      </w:r>
      <w:r w:rsidRPr="00827C1B">
        <w:rPr>
          <w:rFonts w:eastAsia="Calibri"/>
          <w:noProof/>
          <w:szCs w:val="22"/>
        </w:rPr>
        <w:t xml:space="preserve">  </w:t>
      </w:r>
      <w:r w:rsidRPr="006307CB" w:rsidR="00905A73">
        <w:rPr>
          <w:rFonts w:eastAsia="Calibri"/>
          <w:noProof/>
          <w:szCs w:val="22"/>
        </w:rPr>
        <w:t xml:space="preserve">Spencer </w:t>
      </w:r>
      <w:r w:rsidRPr="006307CB">
        <w:rPr>
          <w:rFonts w:eastAsia="Calibri"/>
          <w:noProof/>
          <w:szCs w:val="22"/>
        </w:rPr>
        <w:t>Phelps</w:t>
      </w:r>
      <w:r w:rsidRPr="008A7274" w:rsidR="00905A73">
        <w:rPr>
          <w:rFonts w:eastAsia="Calibri"/>
          <w:noProof/>
          <w:szCs w:val="22"/>
        </w:rPr>
        <w:t xml:space="preserve"> (Phelps)</w:t>
      </w:r>
      <w:r w:rsidR="00B9413C">
        <w:rPr>
          <w:rFonts w:eastAsia="Calibri"/>
          <w:noProof/>
          <w:szCs w:val="22"/>
        </w:rPr>
        <w:t>—</w:t>
      </w:r>
      <w:r w:rsidR="001D70AB">
        <w:rPr>
          <w:rFonts w:eastAsia="Calibri"/>
          <w:noProof/>
          <w:szCs w:val="22"/>
        </w:rPr>
        <w:t>the former President of</w:t>
      </w:r>
      <w:r w:rsidR="003D127C">
        <w:rPr>
          <w:rFonts w:eastAsia="Calibri"/>
          <w:noProof/>
          <w:szCs w:val="22"/>
        </w:rPr>
        <w:t xml:space="preserve"> </w:t>
      </w:r>
      <w:r w:rsidR="002C7ED7">
        <w:rPr>
          <w:rFonts w:eastAsia="Calibri"/>
          <w:noProof/>
          <w:szCs w:val="22"/>
        </w:rPr>
        <w:t xml:space="preserve">the licensee of </w:t>
      </w:r>
      <w:r w:rsidR="00B13D6D">
        <w:rPr>
          <w:rFonts w:eastAsia="Calibri"/>
          <w:noProof/>
          <w:szCs w:val="22"/>
        </w:rPr>
        <w:t>another LPFM statio</w:t>
      </w:r>
      <w:r w:rsidR="00DC0950">
        <w:rPr>
          <w:rFonts w:eastAsia="Calibri"/>
          <w:noProof/>
          <w:szCs w:val="22"/>
        </w:rPr>
        <w:t xml:space="preserve">n </w:t>
      </w:r>
      <w:r w:rsidR="003C4181">
        <w:rPr>
          <w:rFonts w:eastAsia="Calibri"/>
          <w:noProof/>
          <w:szCs w:val="22"/>
        </w:rPr>
        <w:t>licensed to Marion, Ohio</w:t>
      </w:r>
      <w:r w:rsidR="00DE4700">
        <w:rPr>
          <w:rFonts w:eastAsia="Calibri"/>
          <w:noProof/>
          <w:szCs w:val="22"/>
        </w:rPr>
        <w:t>,</w:t>
      </w:r>
      <w:r w:rsidR="001D70AB">
        <w:rPr>
          <w:rFonts w:eastAsia="Calibri"/>
          <w:noProof/>
          <w:szCs w:val="22"/>
        </w:rPr>
        <w:t xml:space="preserve"> and the current Station Manager of </w:t>
      </w:r>
      <w:r w:rsidR="00DE4700">
        <w:rPr>
          <w:rFonts w:eastAsia="Calibri"/>
          <w:noProof/>
          <w:szCs w:val="22"/>
        </w:rPr>
        <w:t>that station</w:t>
      </w:r>
      <w:r w:rsidR="00AE6C9A">
        <w:rPr>
          <w:rFonts w:eastAsia="Calibri"/>
          <w:noProof/>
          <w:szCs w:val="22"/>
        </w:rPr>
        <w:t>—</w:t>
      </w:r>
      <w:r w:rsidRPr="008A7274">
        <w:rPr>
          <w:rFonts w:eastAsia="Calibri"/>
          <w:noProof/>
          <w:szCs w:val="22"/>
        </w:rPr>
        <w:t xml:space="preserve">then filed </w:t>
      </w:r>
      <w:r w:rsidRPr="008A7274" w:rsidR="00905A73">
        <w:rPr>
          <w:rFonts w:eastAsia="Calibri"/>
          <w:noProof/>
          <w:szCs w:val="22"/>
        </w:rPr>
        <w:t>an</w:t>
      </w:r>
      <w:r w:rsidRPr="008A7274">
        <w:rPr>
          <w:rFonts w:eastAsia="Calibri"/>
          <w:noProof/>
          <w:szCs w:val="22"/>
        </w:rPr>
        <w:t xml:space="preserve"> Informal Objection.</w:t>
      </w:r>
      <w:r>
        <w:rPr>
          <w:rStyle w:val="FootnoteReference"/>
          <w:rFonts w:eastAsia="Calibri"/>
          <w:noProof/>
          <w:sz w:val="22"/>
          <w:szCs w:val="22"/>
        </w:rPr>
        <w:footnoteReference w:id="13"/>
      </w:r>
      <w:r w:rsidRPr="00827C1B">
        <w:rPr>
          <w:rFonts w:eastAsia="Calibri"/>
          <w:noProof/>
          <w:szCs w:val="22"/>
        </w:rPr>
        <w:t xml:space="preserve">  Phelps allege</w:t>
      </w:r>
      <w:r w:rsidRPr="006307CB" w:rsidR="00304E8D">
        <w:rPr>
          <w:rFonts w:eastAsia="Calibri"/>
          <w:noProof/>
          <w:szCs w:val="22"/>
        </w:rPr>
        <w:t>d</w:t>
      </w:r>
      <w:r w:rsidRPr="006307CB">
        <w:rPr>
          <w:rFonts w:eastAsia="Calibri"/>
          <w:noProof/>
          <w:szCs w:val="22"/>
        </w:rPr>
        <w:t xml:space="preserve"> that MEE had misrepresented its board composition in the Assignment Application</w:t>
      </w:r>
      <w:r w:rsidRPr="008A7274">
        <w:rPr>
          <w:szCs w:val="22"/>
        </w:rPr>
        <w:t>.</w:t>
      </w:r>
      <w:r>
        <w:rPr>
          <w:rStyle w:val="FootnoteReference"/>
          <w:sz w:val="22"/>
          <w:szCs w:val="22"/>
        </w:rPr>
        <w:footnoteReference w:id="14"/>
      </w:r>
      <w:r w:rsidRPr="00827C1B">
        <w:rPr>
          <w:szCs w:val="22"/>
        </w:rPr>
        <w:t xml:space="preserve"> </w:t>
      </w:r>
      <w:r w:rsidR="00103D22">
        <w:rPr>
          <w:szCs w:val="22"/>
        </w:rPr>
        <w:t xml:space="preserve"> </w:t>
      </w:r>
      <w:r w:rsidR="00DC3010">
        <w:rPr>
          <w:szCs w:val="22"/>
        </w:rPr>
        <w:t>Phelps stated that</w:t>
      </w:r>
      <w:r w:rsidR="00C35BEC">
        <w:rPr>
          <w:szCs w:val="22"/>
        </w:rPr>
        <w:t xml:space="preserve"> </w:t>
      </w:r>
      <w:r w:rsidR="0056448A">
        <w:rPr>
          <w:szCs w:val="22"/>
        </w:rPr>
        <w:t>the board members of MEE were “completely different people” than those MEE listed in the Assignment Application</w:t>
      </w:r>
      <w:r w:rsidR="00F413E0">
        <w:rPr>
          <w:szCs w:val="22"/>
        </w:rPr>
        <w:t xml:space="preserve">, and </w:t>
      </w:r>
      <w:r w:rsidR="00E16762">
        <w:rPr>
          <w:szCs w:val="22"/>
        </w:rPr>
        <w:t>argued that</w:t>
      </w:r>
      <w:r w:rsidR="00F413E0">
        <w:rPr>
          <w:szCs w:val="22"/>
        </w:rPr>
        <w:t xml:space="preserve"> MEE’s statement </w:t>
      </w:r>
      <w:r w:rsidR="00426873">
        <w:rPr>
          <w:szCs w:val="22"/>
        </w:rPr>
        <w:t xml:space="preserve">in that application </w:t>
      </w:r>
      <w:r w:rsidR="00B975AF">
        <w:rPr>
          <w:szCs w:val="22"/>
        </w:rPr>
        <w:t>that</w:t>
      </w:r>
      <w:r w:rsidR="00F413E0">
        <w:rPr>
          <w:szCs w:val="22"/>
        </w:rPr>
        <w:t xml:space="preserve"> there were “no changes in the board members, only the name of the licensee” was </w:t>
      </w:r>
      <w:r w:rsidR="00DC3010">
        <w:rPr>
          <w:szCs w:val="22"/>
        </w:rPr>
        <w:t>false</w:t>
      </w:r>
      <w:r w:rsidR="00294C09">
        <w:rPr>
          <w:szCs w:val="22"/>
        </w:rPr>
        <w:t>.</w:t>
      </w:r>
      <w:r>
        <w:rPr>
          <w:rStyle w:val="FootnoteReference"/>
          <w:szCs w:val="22"/>
        </w:rPr>
        <w:footnoteReference w:id="15"/>
      </w:r>
      <w:r w:rsidR="00DC3010">
        <w:rPr>
          <w:szCs w:val="22"/>
        </w:rPr>
        <w:t xml:space="preserve">  </w:t>
      </w:r>
      <w:r w:rsidR="00936F68">
        <w:rPr>
          <w:szCs w:val="22"/>
        </w:rPr>
        <w:t xml:space="preserve">To support his </w:t>
      </w:r>
      <w:r w:rsidR="00CB5E16">
        <w:rPr>
          <w:szCs w:val="22"/>
        </w:rPr>
        <w:t>claim, Phelps</w:t>
      </w:r>
      <w:r w:rsidR="00936F68">
        <w:rPr>
          <w:szCs w:val="22"/>
        </w:rPr>
        <w:t xml:space="preserve"> submitted </w:t>
      </w:r>
      <w:r w:rsidR="00912A0C">
        <w:rPr>
          <w:szCs w:val="22"/>
        </w:rPr>
        <w:t xml:space="preserve">copies of corporate materials that MEE </w:t>
      </w:r>
      <w:r w:rsidR="00426873">
        <w:rPr>
          <w:szCs w:val="22"/>
        </w:rPr>
        <w:t xml:space="preserve">had </w:t>
      </w:r>
      <w:r w:rsidR="00912A0C">
        <w:rPr>
          <w:szCs w:val="22"/>
        </w:rPr>
        <w:t>filed with the State of Ohio</w:t>
      </w:r>
      <w:r w:rsidR="00462255">
        <w:rPr>
          <w:szCs w:val="22"/>
        </w:rPr>
        <w:t>.</w:t>
      </w:r>
      <w:r>
        <w:rPr>
          <w:rStyle w:val="FootnoteReference"/>
          <w:szCs w:val="22"/>
        </w:rPr>
        <w:footnoteReference w:id="16"/>
      </w:r>
      <w:r w:rsidR="00462255">
        <w:rPr>
          <w:szCs w:val="22"/>
        </w:rPr>
        <w:t xml:space="preserve">  The corporate materials did</w:t>
      </w:r>
      <w:r w:rsidR="00170615">
        <w:rPr>
          <w:szCs w:val="22"/>
        </w:rPr>
        <w:t xml:space="preserve"> not list </w:t>
      </w:r>
      <w:r w:rsidRPr="00827C1B" w:rsidR="00170615">
        <w:rPr>
          <w:szCs w:val="22"/>
        </w:rPr>
        <w:t>Worcester</w:t>
      </w:r>
      <w:r w:rsidR="00170615">
        <w:rPr>
          <w:szCs w:val="22"/>
        </w:rPr>
        <w:t xml:space="preserve">, </w:t>
      </w:r>
      <w:r w:rsidRPr="00827C1B" w:rsidR="00170615">
        <w:rPr>
          <w:szCs w:val="22"/>
        </w:rPr>
        <w:t xml:space="preserve">Maniaci, Stolarczyk, Compton, </w:t>
      </w:r>
      <w:r w:rsidR="00170615">
        <w:rPr>
          <w:szCs w:val="22"/>
        </w:rPr>
        <w:t>or</w:t>
      </w:r>
      <w:r w:rsidRPr="00827C1B" w:rsidR="00170615">
        <w:rPr>
          <w:szCs w:val="22"/>
        </w:rPr>
        <w:t xml:space="preserve"> </w:t>
      </w:r>
      <w:r w:rsidRPr="006307CB" w:rsidR="00170615">
        <w:rPr>
          <w:szCs w:val="22"/>
        </w:rPr>
        <w:t>Hazelett</w:t>
      </w:r>
      <w:r w:rsidR="00C826B5">
        <w:rPr>
          <w:szCs w:val="22"/>
        </w:rPr>
        <w:t>, the names listed in the Assignment Application</w:t>
      </w:r>
      <w:r w:rsidR="00462255">
        <w:rPr>
          <w:szCs w:val="22"/>
        </w:rPr>
        <w:t xml:space="preserve">.  Instead, they listed four different individuals: </w:t>
      </w:r>
      <w:r w:rsidRPr="008A7274" w:rsidR="00462255">
        <w:rPr>
          <w:szCs w:val="22"/>
        </w:rPr>
        <w:t>Shawn Craft (Craft), Linda Sims (Sims), Glenn Coble (Coble), and Terry Tackett (Tackett)</w:t>
      </w:r>
      <w:r w:rsidR="00567CA5">
        <w:rPr>
          <w:szCs w:val="22"/>
        </w:rPr>
        <w:t>.</w:t>
      </w:r>
    </w:p>
    <w:p w:rsidR="00BC2CE4" w:rsidRPr="00827C1B" w:rsidP="00A776FA" w14:paraId="0BD0457C" w14:textId="4AA30945">
      <w:pPr>
        <w:pStyle w:val="ParaNum"/>
        <w:widowControl/>
        <w:rPr>
          <w:szCs w:val="22"/>
        </w:rPr>
      </w:pPr>
      <w:r w:rsidRPr="008A7274">
        <w:rPr>
          <w:rFonts w:eastAsia="Calibri"/>
          <w:szCs w:val="22"/>
        </w:rPr>
        <w:t xml:space="preserve">MEE did not respond to the Informal Objection.  </w:t>
      </w:r>
      <w:r w:rsidRPr="008A7274" w:rsidR="009A48B5">
        <w:rPr>
          <w:rFonts w:eastAsia="Calibri"/>
          <w:szCs w:val="22"/>
        </w:rPr>
        <w:t>Accordingly</w:t>
      </w:r>
      <w:r w:rsidRPr="008A7274">
        <w:rPr>
          <w:rFonts w:eastAsia="Calibri"/>
          <w:szCs w:val="22"/>
        </w:rPr>
        <w:t xml:space="preserve">, we sent </w:t>
      </w:r>
      <w:r w:rsidRPr="008A7274" w:rsidR="009A48B5">
        <w:rPr>
          <w:rFonts w:eastAsia="Calibri"/>
          <w:szCs w:val="22"/>
        </w:rPr>
        <w:t>the first of three</w:t>
      </w:r>
      <w:r w:rsidRPr="008A7274">
        <w:rPr>
          <w:rFonts w:eastAsia="Calibri"/>
          <w:szCs w:val="22"/>
        </w:rPr>
        <w:t xml:space="preserve"> letter</w:t>
      </w:r>
      <w:r w:rsidRPr="008A7274" w:rsidR="009A48B5">
        <w:rPr>
          <w:rFonts w:eastAsia="Calibri"/>
          <w:szCs w:val="22"/>
        </w:rPr>
        <w:t>s</w:t>
      </w:r>
      <w:r w:rsidRPr="008A7274">
        <w:rPr>
          <w:rFonts w:eastAsia="Calibri"/>
          <w:szCs w:val="22"/>
        </w:rPr>
        <w:t xml:space="preserve"> of inquiry (First LOI) to MEE</w:t>
      </w:r>
      <w:r w:rsidRPr="008A7274" w:rsidR="00C86A74">
        <w:rPr>
          <w:rFonts w:eastAsia="Calibri"/>
          <w:szCs w:val="22"/>
        </w:rPr>
        <w:t xml:space="preserve"> in December of 2020</w:t>
      </w:r>
      <w:r w:rsidRPr="008A7274">
        <w:rPr>
          <w:rFonts w:eastAsia="Calibri"/>
          <w:szCs w:val="22"/>
        </w:rPr>
        <w:t>.</w:t>
      </w:r>
      <w:r>
        <w:rPr>
          <w:rStyle w:val="FootnoteReference"/>
          <w:rFonts w:eastAsia="Calibri"/>
          <w:sz w:val="22"/>
          <w:szCs w:val="22"/>
        </w:rPr>
        <w:footnoteReference w:id="17"/>
      </w:r>
    </w:p>
    <w:p w:rsidR="00DB16D3" w:rsidRPr="008A7274" w14:paraId="0861A50E" w14:textId="342C37A7">
      <w:pPr>
        <w:pStyle w:val="ParaNum"/>
        <w:rPr>
          <w:szCs w:val="22"/>
        </w:rPr>
      </w:pPr>
      <w:r w:rsidRPr="008A7274">
        <w:rPr>
          <w:rFonts w:eastAsia="Calibri"/>
          <w:i/>
          <w:iCs/>
          <w:szCs w:val="22"/>
        </w:rPr>
        <w:t>First LOI.</w:t>
      </w:r>
      <w:r w:rsidRPr="008A7274">
        <w:rPr>
          <w:rFonts w:eastAsia="Calibri"/>
          <w:szCs w:val="22"/>
        </w:rPr>
        <w:t xml:space="preserve">  The First LOI requested information </w:t>
      </w:r>
      <w:r w:rsidRPr="008A7274" w:rsidR="00755CAB">
        <w:rPr>
          <w:rFonts w:eastAsia="Calibri"/>
          <w:szCs w:val="22"/>
        </w:rPr>
        <w:t>regarding</w:t>
      </w:r>
      <w:r w:rsidRPr="008A7274">
        <w:rPr>
          <w:rFonts w:eastAsia="Calibri"/>
          <w:szCs w:val="22"/>
        </w:rPr>
        <w:t xml:space="preserve"> MEE’s board, and its officers and directors, and directed MEE to submit </w:t>
      </w:r>
      <w:r w:rsidRPr="008A7274">
        <w:rPr>
          <w:szCs w:val="22"/>
        </w:rPr>
        <w:t xml:space="preserve">copies of all corporate materials related to its board composition, or the appointment, resignation or termination of MEE officers or directors.  </w:t>
      </w:r>
      <w:r w:rsidRPr="008A7274" w:rsidR="000824D5">
        <w:rPr>
          <w:szCs w:val="22"/>
        </w:rPr>
        <w:t>It</w:t>
      </w:r>
      <w:r w:rsidRPr="008A7274">
        <w:rPr>
          <w:szCs w:val="22"/>
        </w:rPr>
        <w:t xml:space="preserve"> also required MEE to provide </w:t>
      </w:r>
      <w:r w:rsidRPr="008A7274" w:rsidR="000824D5">
        <w:rPr>
          <w:szCs w:val="22"/>
        </w:rPr>
        <w:t>an</w:t>
      </w:r>
      <w:r w:rsidRPr="008A7274">
        <w:rPr>
          <w:szCs w:val="22"/>
        </w:rPr>
        <w:t xml:space="preserve"> affidavit or declaration</w:t>
      </w:r>
      <w:r w:rsidRPr="008A7274" w:rsidR="000824D5">
        <w:rPr>
          <w:szCs w:val="22"/>
        </w:rPr>
        <w:t xml:space="preserve"> made under penalty of perjury </w:t>
      </w:r>
      <w:r w:rsidRPr="008A7274" w:rsidR="00860131">
        <w:rPr>
          <w:szCs w:val="22"/>
        </w:rPr>
        <w:t>in</w:t>
      </w:r>
      <w:r w:rsidRPr="008A7274" w:rsidR="000824D5">
        <w:rPr>
          <w:szCs w:val="22"/>
        </w:rPr>
        <w:t xml:space="preserve"> support </w:t>
      </w:r>
      <w:r w:rsidRPr="008A7274" w:rsidR="00860131">
        <w:rPr>
          <w:szCs w:val="22"/>
        </w:rPr>
        <w:t xml:space="preserve">of </w:t>
      </w:r>
      <w:r w:rsidRPr="008A7274" w:rsidR="000824D5">
        <w:rPr>
          <w:szCs w:val="22"/>
        </w:rPr>
        <w:t>its response</w:t>
      </w:r>
      <w:r w:rsidRPr="008A7274">
        <w:rPr>
          <w:szCs w:val="22"/>
        </w:rPr>
        <w:t xml:space="preserve">.  </w:t>
      </w:r>
    </w:p>
    <w:p w:rsidR="00486823" w:rsidRPr="006307CB" w:rsidP="009658F0" w14:paraId="5A8EA5F8" w14:textId="30107AA8">
      <w:pPr>
        <w:pStyle w:val="ParaNum"/>
        <w:widowControl/>
        <w:rPr>
          <w:rFonts w:eastAsia="Calibri"/>
          <w:noProof/>
          <w:snapToGrid/>
          <w:kern w:val="0"/>
          <w:szCs w:val="22"/>
        </w:rPr>
      </w:pPr>
      <w:r>
        <w:rPr>
          <w:rFonts w:eastAsia="Calibri"/>
          <w:noProof/>
          <w:szCs w:val="22"/>
        </w:rPr>
        <w:t>The</w:t>
      </w:r>
      <w:r w:rsidRPr="00827C1B" w:rsidR="002A1771">
        <w:rPr>
          <w:rFonts w:eastAsia="Calibri"/>
          <w:noProof/>
          <w:szCs w:val="22"/>
        </w:rPr>
        <w:t xml:space="preserve"> LOI directed MEE to respond no later than January 7, 2021</w:t>
      </w:r>
      <w:r>
        <w:rPr>
          <w:rFonts w:eastAsia="Calibri"/>
          <w:noProof/>
          <w:szCs w:val="22"/>
        </w:rPr>
        <w:t>.</w:t>
      </w:r>
      <w:r w:rsidRPr="00827C1B" w:rsidR="002A1771">
        <w:rPr>
          <w:rFonts w:eastAsia="Calibri"/>
          <w:noProof/>
          <w:szCs w:val="22"/>
        </w:rPr>
        <w:t xml:space="preserve"> </w:t>
      </w:r>
      <w:r w:rsidR="00BA1A5D">
        <w:rPr>
          <w:rFonts w:eastAsia="Calibri"/>
          <w:noProof/>
          <w:szCs w:val="22"/>
        </w:rPr>
        <w:t xml:space="preserve"> </w:t>
      </w:r>
      <w:r w:rsidRPr="006307CB" w:rsidR="002A1771">
        <w:rPr>
          <w:rFonts w:eastAsia="Calibri"/>
          <w:noProof/>
          <w:szCs w:val="22"/>
        </w:rPr>
        <w:t xml:space="preserve">MEE did </w:t>
      </w:r>
      <w:r>
        <w:rPr>
          <w:rFonts w:eastAsia="Calibri"/>
          <w:noProof/>
          <w:szCs w:val="22"/>
        </w:rPr>
        <w:t xml:space="preserve">not meet this deadline.  </w:t>
      </w:r>
      <w:r w:rsidRPr="008A7274" w:rsidR="00A8228F">
        <w:rPr>
          <w:rFonts w:eastAsia="Calibri"/>
          <w:noProof/>
          <w:szCs w:val="22"/>
        </w:rPr>
        <w:t xml:space="preserve">Thus, on </w:t>
      </w:r>
      <w:r w:rsidRPr="008A7274" w:rsidR="00E4607C">
        <w:rPr>
          <w:rFonts w:eastAsia="Calibri"/>
          <w:noProof/>
          <w:szCs w:val="22"/>
        </w:rPr>
        <w:t xml:space="preserve">February </w:t>
      </w:r>
      <w:r w:rsidRPr="008A7274" w:rsidR="009F4F3D">
        <w:rPr>
          <w:rFonts w:eastAsia="Calibri"/>
          <w:noProof/>
          <w:szCs w:val="22"/>
        </w:rPr>
        <w:t>12</w:t>
      </w:r>
      <w:r w:rsidRPr="008A7274" w:rsidR="00E4607C">
        <w:rPr>
          <w:rFonts w:eastAsia="Calibri"/>
          <w:noProof/>
          <w:szCs w:val="22"/>
        </w:rPr>
        <w:t xml:space="preserve">, 2021, </w:t>
      </w:r>
      <w:r w:rsidRPr="008A7274" w:rsidR="004C1DD7">
        <w:rPr>
          <w:rFonts w:eastAsia="Calibri"/>
          <w:noProof/>
          <w:szCs w:val="22"/>
        </w:rPr>
        <w:t xml:space="preserve">we </w:t>
      </w:r>
      <w:r w:rsidRPr="008A7274" w:rsidR="0079379C">
        <w:rPr>
          <w:rFonts w:eastAsia="Calibri"/>
          <w:noProof/>
          <w:szCs w:val="22"/>
        </w:rPr>
        <w:t>dismissed the Renewal Application, cancelled the Station</w:t>
      </w:r>
      <w:r w:rsidR="002B7E03">
        <w:rPr>
          <w:rFonts w:eastAsia="Calibri"/>
          <w:noProof/>
          <w:szCs w:val="22"/>
        </w:rPr>
        <w:t>’</w:t>
      </w:r>
      <w:r w:rsidRPr="008A7274" w:rsidR="0079379C">
        <w:rPr>
          <w:rFonts w:eastAsia="Calibri"/>
          <w:noProof/>
          <w:szCs w:val="22"/>
        </w:rPr>
        <w:t xml:space="preserve">s license, and informed MEE </w:t>
      </w:r>
      <w:r w:rsidRPr="008A7274" w:rsidR="00E4607C">
        <w:rPr>
          <w:rFonts w:eastAsia="Calibri"/>
          <w:noProof/>
          <w:szCs w:val="22"/>
        </w:rPr>
        <w:t xml:space="preserve">that </w:t>
      </w:r>
      <w:r w:rsidRPr="008A7274" w:rsidR="00222A86">
        <w:rPr>
          <w:rFonts w:eastAsia="Calibri"/>
          <w:noProof/>
          <w:szCs w:val="22"/>
        </w:rPr>
        <w:t>its</w:t>
      </w:r>
      <w:r w:rsidRPr="008A7274" w:rsidR="00E4607C">
        <w:rPr>
          <w:rFonts w:eastAsia="Calibri"/>
          <w:noProof/>
          <w:szCs w:val="22"/>
        </w:rPr>
        <w:t xml:space="preserve"> authority to operate the </w:t>
      </w:r>
      <w:r w:rsidR="002B7E03">
        <w:rPr>
          <w:rFonts w:eastAsia="Calibri"/>
          <w:noProof/>
          <w:szCs w:val="22"/>
        </w:rPr>
        <w:t>S</w:t>
      </w:r>
      <w:r w:rsidRPr="008A7274" w:rsidR="002B7E03">
        <w:rPr>
          <w:rFonts w:eastAsia="Calibri"/>
          <w:noProof/>
          <w:szCs w:val="22"/>
        </w:rPr>
        <w:t xml:space="preserve">tation </w:t>
      </w:r>
      <w:r w:rsidRPr="008A7274" w:rsidR="0079379C">
        <w:rPr>
          <w:rFonts w:eastAsia="Calibri"/>
          <w:noProof/>
          <w:szCs w:val="22"/>
        </w:rPr>
        <w:t>had terminated</w:t>
      </w:r>
      <w:r w:rsidRPr="008A7274" w:rsidR="00E4607C">
        <w:rPr>
          <w:rFonts w:eastAsia="Calibri"/>
          <w:noProof/>
          <w:szCs w:val="22"/>
        </w:rPr>
        <w:t>.</w:t>
      </w:r>
      <w:r>
        <w:rPr>
          <w:rStyle w:val="FootnoteReference"/>
          <w:rFonts w:eastAsia="Calibri"/>
          <w:noProof/>
          <w:sz w:val="22"/>
          <w:szCs w:val="22"/>
        </w:rPr>
        <w:footnoteReference w:id="18"/>
      </w:r>
      <w:r w:rsidRPr="00827C1B" w:rsidR="00DB16D3">
        <w:rPr>
          <w:rFonts w:eastAsia="Calibri"/>
          <w:noProof/>
          <w:szCs w:val="22"/>
        </w:rPr>
        <w:t xml:space="preserve"> </w:t>
      </w:r>
      <w:r w:rsidRPr="006307CB" w:rsidR="00B910A7">
        <w:rPr>
          <w:rFonts w:eastAsia="Calibri"/>
          <w:noProof/>
          <w:szCs w:val="22"/>
        </w:rPr>
        <w:t xml:space="preserve"> </w:t>
      </w:r>
      <w:r w:rsidRPr="006307CB" w:rsidR="00104296">
        <w:rPr>
          <w:rFonts w:eastAsia="Calibri"/>
          <w:noProof/>
          <w:szCs w:val="22"/>
        </w:rPr>
        <w:t xml:space="preserve">On February 16, 2021, </w:t>
      </w:r>
      <w:r w:rsidRPr="008A7274" w:rsidR="00DB16D3">
        <w:rPr>
          <w:rFonts w:eastAsia="Calibri"/>
          <w:noProof/>
          <w:szCs w:val="22"/>
        </w:rPr>
        <w:t xml:space="preserve">MEE filed a </w:t>
      </w:r>
      <w:r w:rsidRPr="008A7274" w:rsidR="006C6E6B">
        <w:rPr>
          <w:rFonts w:eastAsia="Calibri"/>
          <w:noProof/>
          <w:szCs w:val="22"/>
        </w:rPr>
        <w:t>pleading</w:t>
      </w:r>
      <w:r w:rsidRPr="008A7274" w:rsidR="00311494">
        <w:rPr>
          <w:rFonts w:eastAsia="Calibri"/>
          <w:noProof/>
          <w:szCs w:val="22"/>
        </w:rPr>
        <w:t xml:space="preserve"> (First LOI Response)</w:t>
      </w:r>
      <w:r w:rsidRPr="008A7274" w:rsidR="006C6E6B">
        <w:rPr>
          <w:rFonts w:eastAsia="Calibri"/>
          <w:noProof/>
          <w:szCs w:val="22"/>
        </w:rPr>
        <w:t xml:space="preserve"> that </w:t>
      </w:r>
      <w:r w:rsidRPr="008A7274" w:rsidR="00FE7567">
        <w:rPr>
          <w:rFonts w:eastAsia="Calibri"/>
          <w:noProof/>
          <w:szCs w:val="22"/>
        </w:rPr>
        <w:t>serve</w:t>
      </w:r>
      <w:r w:rsidRPr="008A7274" w:rsidR="00311494">
        <w:rPr>
          <w:rFonts w:eastAsia="Calibri"/>
          <w:noProof/>
          <w:szCs w:val="22"/>
        </w:rPr>
        <w:t>d</w:t>
      </w:r>
      <w:r w:rsidRPr="008A7274" w:rsidR="00FE7567">
        <w:rPr>
          <w:rFonts w:eastAsia="Calibri"/>
          <w:noProof/>
          <w:szCs w:val="22"/>
        </w:rPr>
        <w:t xml:space="preserve"> as both a petition for reconsideration </w:t>
      </w:r>
      <w:r>
        <w:rPr>
          <w:rFonts w:eastAsia="Calibri"/>
          <w:noProof/>
          <w:szCs w:val="22"/>
        </w:rPr>
        <w:t>of the actions take</w:t>
      </w:r>
      <w:r w:rsidR="00AB3D50">
        <w:rPr>
          <w:rFonts w:eastAsia="Calibri"/>
          <w:noProof/>
          <w:szCs w:val="22"/>
        </w:rPr>
        <w:t>n</w:t>
      </w:r>
      <w:r>
        <w:rPr>
          <w:rFonts w:eastAsia="Calibri"/>
          <w:noProof/>
          <w:szCs w:val="22"/>
        </w:rPr>
        <w:t xml:space="preserve"> on February 12, 2021, </w:t>
      </w:r>
      <w:r w:rsidRPr="008A7274" w:rsidR="00FE7567">
        <w:rPr>
          <w:rFonts w:eastAsia="Calibri"/>
          <w:noProof/>
          <w:szCs w:val="22"/>
        </w:rPr>
        <w:t>and a response to the First LOI.</w:t>
      </w:r>
      <w:r>
        <w:rPr>
          <w:rStyle w:val="FootnoteReference"/>
          <w:sz w:val="22"/>
          <w:szCs w:val="22"/>
        </w:rPr>
        <w:footnoteReference w:id="19"/>
      </w:r>
      <w:r w:rsidRPr="00827C1B" w:rsidR="00FE7567">
        <w:rPr>
          <w:rFonts w:eastAsia="Calibri"/>
          <w:noProof/>
          <w:szCs w:val="22"/>
        </w:rPr>
        <w:t xml:space="preserve">  </w:t>
      </w:r>
      <w:r w:rsidRPr="006307CB" w:rsidR="00104296">
        <w:rPr>
          <w:rFonts w:eastAsia="Calibri"/>
          <w:noProof/>
          <w:szCs w:val="22"/>
        </w:rPr>
        <w:t xml:space="preserve">Upon receipt of this pleading, we reinstated </w:t>
      </w:r>
      <w:r w:rsidRPr="006307CB" w:rsidR="001C4461">
        <w:rPr>
          <w:rFonts w:eastAsia="Calibri"/>
          <w:noProof/>
          <w:szCs w:val="22"/>
        </w:rPr>
        <w:t>the Renewal Application</w:t>
      </w:r>
      <w:r w:rsidR="00C826B5">
        <w:rPr>
          <w:rFonts w:eastAsia="Calibri"/>
          <w:noProof/>
          <w:szCs w:val="22"/>
        </w:rPr>
        <w:t xml:space="preserve"> and reinstated the license</w:t>
      </w:r>
      <w:r w:rsidRPr="008A7274" w:rsidR="00311494">
        <w:rPr>
          <w:rFonts w:eastAsia="Calibri"/>
          <w:noProof/>
          <w:szCs w:val="22"/>
        </w:rPr>
        <w:t>.</w:t>
      </w:r>
      <w:r>
        <w:rPr>
          <w:rStyle w:val="FootnoteReference"/>
          <w:rFonts w:eastAsia="Calibri"/>
          <w:noProof/>
          <w:sz w:val="22"/>
          <w:szCs w:val="22"/>
        </w:rPr>
        <w:footnoteReference w:id="20"/>
      </w:r>
      <w:r w:rsidRPr="00827C1B" w:rsidR="0044593E">
        <w:rPr>
          <w:rFonts w:eastAsia="Calibri"/>
          <w:noProof/>
          <w:szCs w:val="22"/>
        </w:rPr>
        <w:t xml:space="preserve">  </w:t>
      </w:r>
    </w:p>
    <w:p w:rsidR="00962D66" w:rsidRPr="008A7274" w:rsidP="00053CA8" w14:paraId="1016570B" w14:textId="317C82D2">
      <w:pPr>
        <w:pStyle w:val="ParaNum"/>
        <w:widowControl/>
        <w:rPr>
          <w:szCs w:val="22"/>
        </w:rPr>
      </w:pPr>
      <w:r w:rsidRPr="008A7274">
        <w:rPr>
          <w:rFonts w:eastAsia="Calibri"/>
          <w:szCs w:val="22"/>
        </w:rPr>
        <w:t xml:space="preserve">In </w:t>
      </w:r>
      <w:r w:rsidRPr="008A7274" w:rsidR="00B910A7">
        <w:rPr>
          <w:rFonts w:eastAsia="Calibri"/>
          <w:szCs w:val="22"/>
        </w:rPr>
        <w:t>terms of the substance of the</w:t>
      </w:r>
      <w:r w:rsidRPr="008A7274">
        <w:rPr>
          <w:rFonts w:eastAsia="Calibri"/>
          <w:szCs w:val="22"/>
        </w:rPr>
        <w:t xml:space="preserve"> First LOI Response, </w:t>
      </w:r>
      <w:r w:rsidR="006A5380">
        <w:t xml:space="preserve">MEE </w:t>
      </w:r>
      <w:r w:rsidR="00C95A8E">
        <w:t>listed</w:t>
      </w:r>
      <w:r w:rsidR="006A5380">
        <w:t xml:space="preserve"> a board that was entirely different </w:t>
      </w:r>
      <w:r w:rsidR="00C95A8E">
        <w:t>from</w:t>
      </w:r>
      <w:r w:rsidR="006A5380">
        <w:t xml:space="preserve"> the board it had identified in the Assignment Application.</w:t>
      </w:r>
      <w:r>
        <w:rPr>
          <w:rStyle w:val="FootnoteReference"/>
        </w:rPr>
        <w:footnoteReference w:id="21"/>
      </w:r>
      <w:r w:rsidR="006A5380">
        <w:t xml:space="preserve">  </w:t>
      </w:r>
      <w:r w:rsidRPr="008A7274">
        <w:rPr>
          <w:szCs w:val="22"/>
        </w:rPr>
        <w:t xml:space="preserve">MEE stated that its board consisted of Craft, Sims, Coble, and Tackett, each of whom </w:t>
      </w:r>
      <w:r w:rsidRPr="00A61312" w:rsidR="003D4A31">
        <w:rPr>
          <w:szCs w:val="22"/>
        </w:rPr>
        <w:t>MEE contends</w:t>
      </w:r>
      <w:r w:rsidR="003D4A31">
        <w:rPr>
          <w:szCs w:val="22"/>
        </w:rPr>
        <w:t xml:space="preserve"> </w:t>
      </w:r>
      <w:r w:rsidRPr="008A7274">
        <w:rPr>
          <w:szCs w:val="22"/>
        </w:rPr>
        <w:t xml:space="preserve">had been on the MEE </w:t>
      </w:r>
      <w:r w:rsidRPr="008A7274">
        <w:rPr>
          <w:rFonts w:eastAsia="Calibri"/>
          <w:noProof/>
          <w:snapToGrid/>
          <w:kern w:val="0"/>
          <w:szCs w:val="22"/>
        </w:rPr>
        <w:t>board</w:t>
      </w:r>
      <w:r w:rsidRPr="008A7274">
        <w:rPr>
          <w:szCs w:val="22"/>
        </w:rPr>
        <w:t xml:space="preserve"> from “2019-Present.”</w:t>
      </w:r>
      <w:r>
        <w:rPr>
          <w:rStyle w:val="FootnoteReference"/>
          <w:sz w:val="22"/>
          <w:szCs w:val="22"/>
        </w:rPr>
        <w:footnoteReference w:id="22"/>
      </w:r>
      <w:r w:rsidRPr="00827C1B">
        <w:rPr>
          <w:szCs w:val="22"/>
        </w:rPr>
        <w:t xml:space="preserve">  MEE indicated that Craft also had been its President from “2019-</w:t>
      </w:r>
      <w:r w:rsidRPr="006307CB">
        <w:rPr>
          <w:szCs w:val="22"/>
        </w:rPr>
        <w:t>Present.</w:t>
      </w:r>
      <w:r w:rsidRPr="006307CB" w:rsidR="0027632E">
        <w:rPr>
          <w:szCs w:val="22"/>
        </w:rPr>
        <w:t>”</w:t>
      </w:r>
      <w:r>
        <w:rPr>
          <w:rStyle w:val="FootnoteReference"/>
          <w:sz w:val="22"/>
          <w:szCs w:val="22"/>
        </w:rPr>
        <w:footnoteReference w:id="23"/>
      </w:r>
      <w:r w:rsidRPr="00827C1B">
        <w:rPr>
          <w:szCs w:val="22"/>
        </w:rPr>
        <w:t xml:space="preserve">  </w:t>
      </w:r>
      <w:r w:rsidR="00D91048">
        <w:t>MEE appeared to explain</w:t>
      </w:r>
      <w:r w:rsidR="009A0FB4">
        <w:t xml:space="preserve"> away</w:t>
      </w:r>
      <w:r w:rsidR="00D91048">
        <w:t xml:space="preserve"> </w:t>
      </w:r>
      <w:r w:rsidR="007E43D7">
        <w:t>any inconsistencies</w:t>
      </w:r>
      <w:r w:rsidR="00D91048">
        <w:t xml:space="preserve"> </w:t>
      </w:r>
      <w:r w:rsidRPr="00A61312" w:rsidR="003D4A31">
        <w:t>between the board it identified in its Assignment Application and the one it identified in its First LOI Response</w:t>
      </w:r>
      <w:r w:rsidR="003D4A31">
        <w:t xml:space="preserve"> </w:t>
      </w:r>
      <w:r w:rsidR="00D91048">
        <w:t xml:space="preserve">by </w:t>
      </w:r>
      <w:r w:rsidR="00294A3B">
        <w:rPr>
          <w:szCs w:val="22"/>
        </w:rPr>
        <w:t>stating</w:t>
      </w:r>
      <w:r w:rsidRPr="00827C1B">
        <w:rPr>
          <w:szCs w:val="22"/>
        </w:rPr>
        <w:t xml:space="preserve"> that “[s]everal of the board members that left [MMF] in 2019 became ill and have since passed away such as . . . Maniaci, and . . . </w:t>
      </w:r>
      <w:r w:rsidRPr="008A7274">
        <w:rPr>
          <w:szCs w:val="22"/>
        </w:rPr>
        <w:t>Hazelett</w:t>
      </w:r>
      <w:r w:rsidR="00294A3B">
        <w:rPr>
          <w:szCs w:val="22"/>
        </w:rPr>
        <w:t>.</w:t>
      </w:r>
      <w:r w:rsidRPr="008A7274">
        <w:rPr>
          <w:szCs w:val="22"/>
        </w:rPr>
        <w:t>”</w:t>
      </w:r>
      <w:r>
        <w:rPr>
          <w:rStyle w:val="FootnoteReference"/>
          <w:sz w:val="22"/>
          <w:szCs w:val="22"/>
        </w:rPr>
        <w:footnoteReference w:id="24"/>
      </w:r>
      <w:r w:rsidRPr="008A7274">
        <w:rPr>
          <w:szCs w:val="22"/>
        </w:rPr>
        <w:t xml:space="preserve"> </w:t>
      </w:r>
      <w:r w:rsidR="006E07ED">
        <w:rPr>
          <w:szCs w:val="22"/>
        </w:rPr>
        <w:t xml:space="preserve"> However, MEE</w:t>
      </w:r>
      <w:r w:rsidRPr="008A7274" w:rsidR="006E07ED">
        <w:rPr>
          <w:szCs w:val="22"/>
        </w:rPr>
        <w:t xml:space="preserve"> </w:t>
      </w:r>
      <w:r w:rsidRPr="008A7274">
        <w:rPr>
          <w:szCs w:val="22"/>
        </w:rPr>
        <w:t xml:space="preserve">failed to </w:t>
      </w:r>
      <w:r w:rsidRPr="008A7274" w:rsidR="008C6F3C">
        <w:rPr>
          <w:szCs w:val="22"/>
        </w:rPr>
        <w:t>identify specifically each former MEE board member and the duration of their tenure on the MEE board</w:t>
      </w:r>
      <w:r w:rsidRPr="008A7274">
        <w:rPr>
          <w:szCs w:val="22"/>
        </w:rPr>
        <w:t>.</w:t>
      </w:r>
      <w:r w:rsidRPr="00827C1B">
        <w:rPr>
          <w:szCs w:val="22"/>
        </w:rPr>
        <w:t xml:space="preserve">  MEE then obliquely explained that </w:t>
      </w:r>
      <w:r w:rsidRPr="008A7274" w:rsidR="008D20BD">
        <w:rPr>
          <w:szCs w:val="22"/>
        </w:rPr>
        <w:t>“</w:t>
      </w:r>
      <w:r w:rsidR="00C77A1A">
        <w:rPr>
          <w:szCs w:val="22"/>
        </w:rPr>
        <w:t xml:space="preserve">there [sic] </w:t>
      </w:r>
      <w:r w:rsidRPr="008A7274">
        <w:rPr>
          <w:szCs w:val="22"/>
        </w:rPr>
        <w:t>positions were filled with members who knew the radio station and have had its best interests and that of the community at heart.”</w:t>
      </w:r>
      <w:r>
        <w:rPr>
          <w:rStyle w:val="FootnoteReference"/>
          <w:sz w:val="22"/>
          <w:szCs w:val="22"/>
        </w:rPr>
        <w:footnoteReference w:id="25"/>
      </w:r>
      <w:r w:rsidRPr="00827C1B">
        <w:rPr>
          <w:szCs w:val="22"/>
        </w:rPr>
        <w:t xml:space="preserve">  MEE did not specify whether the positions filled were on its or MMF’s board.  </w:t>
      </w:r>
      <w:r w:rsidR="00425D02">
        <w:rPr>
          <w:szCs w:val="22"/>
        </w:rPr>
        <w:t>Furthermore, d</w:t>
      </w:r>
      <w:r w:rsidRPr="008A7274">
        <w:rPr>
          <w:szCs w:val="22"/>
        </w:rPr>
        <w:t xml:space="preserve">espite the fact that, like Maniaci and Hazelett, Compton was listed as an MEE board member in the Assignment Application, and despite the fact that Compton preceded Maniaci and Hazelett in death, MEE </w:t>
      </w:r>
      <w:r w:rsidRPr="008A7274" w:rsidR="002A02CE">
        <w:rPr>
          <w:szCs w:val="22"/>
        </w:rPr>
        <w:t>did</w:t>
      </w:r>
      <w:r w:rsidRPr="008A7274">
        <w:rPr>
          <w:szCs w:val="22"/>
        </w:rPr>
        <w:t xml:space="preserve"> not </w:t>
      </w:r>
      <w:r w:rsidRPr="008A7274" w:rsidR="002A02CE">
        <w:rPr>
          <w:szCs w:val="22"/>
        </w:rPr>
        <w:t>mention</w:t>
      </w:r>
      <w:r w:rsidRPr="008A7274">
        <w:rPr>
          <w:szCs w:val="22"/>
        </w:rPr>
        <w:t xml:space="preserve"> Compton </w:t>
      </w:r>
      <w:r w:rsidRPr="008A7274" w:rsidR="002A02CE">
        <w:rPr>
          <w:szCs w:val="22"/>
        </w:rPr>
        <w:t>in the First LOI Response</w:t>
      </w:r>
      <w:r w:rsidRPr="008A7274">
        <w:rPr>
          <w:szCs w:val="22"/>
        </w:rPr>
        <w:t>.</w:t>
      </w:r>
      <w:r>
        <w:rPr>
          <w:rStyle w:val="FootnoteReference"/>
          <w:sz w:val="22"/>
          <w:szCs w:val="22"/>
        </w:rPr>
        <w:footnoteReference w:id="26"/>
      </w:r>
      <w:r w:rsidRPr="00827C1B">
        <w:rPr>
          <w:szCs w:val="22"/>
        </w:rPr>
        <w:t xml:space="preserve"> </w:t>
      </w:r>
      <w:r w:rsidRPr="00827C1B" w:rsidR="00640CEF">
        <w:rPr>
          <w:szCs w:val="22"/>
        </w:rPr>
        <w:t xml:space="preserve"> </w:t>
      </w:r>
      <w:r w:rsidRPr="006307CB" w:rsidR="00D208E4">
        <w:rPr>
          <w:rFonts w:eastAsia="Calibri"/>
          <w:szCs w:val="22"/>
        </w:rPr>
        <w:t xml:space="preserve">MEE </w:t>
      </w:r>
      <w:r w:rsidR="00D13C46">
        <w:rPr>
          <w:rFonts w:eastAsia="Calibri"/>
          <w:szCs w:val="22"/>
        </w:rPr>
        <w:t>did not</w:t>
      </w:r>
      <w:r w:rsidRPr="006307CB" w:rsidR="00D208E4">
        <w:rPr>
          <w:rFonts w:eastAsia="Calibri"/>
          <w:szCs w:val="22"/>
        </w:rPr>
        <w:t xml:space="preserve"> provide</w:t>
      </w:r>
      <w:r w:rsidRPr="006307CB" w:rsidR="00880F36">
        <w:rPr>
          <w:rFonts w:eastAsia="Calibri"/>
          <w:szCs w:val="22"/>
        </w:rPr>
        <w:t xml:space="preserve"> either the document</w:t>
      </w:r>
      <w:r w:rsidRPr="008A7274" w:rsidR="00C86A74">
        <w:rPr>
          <w:rFonts w:eastAsia="Calibri"/>
          <w:szCs w:val="22"/>
        </w:rPr>
        <w:t xml:space="preserve">s </w:t>
      </w:r>
      <w:r w:rsidRPr="008A7274" w:rsidR="00C86A74">
        <w:rPr>
          <w:rFonts w:eastAsia="Calibri"/>
          <w:szCs w:val="22"/>
        </w:rPr>
        <w:t>required to be produced in response to the First LOI</w:t>
      </w:r>
      <w:r w:rsidR="00F17179">
        <w:rPr>
          <w:rFonts w:eastAsia="Calibri"/>
          <w:szCs w:val="22"/>
        </w:rPr>
        <w:t>,</w:t>
      </w:r>
      <w:r w:rsidRPr="008A7274" w:rsidR="00880F36">
        <w:rPr>
          <w:rFonts w:eastAsia="Calibri"/>
          <w:szCs w:val="22"/>
        </w:rPr>
        <w:t xml:space="preserve"> or the supporting affidavit or declaration requested in the First LOI.</w:t>
      </w:r>
      <w:r w:rsidR="001C2BED">
        <w:rPr>
          <w:rFonts w:eastAsia="Calibri"/>
          <w:szCs w:val="22"/>
        </w:rPr>
        <w:t xml:space="preserve">  </w:t>
      </w:r>
      <w:r w:rsidR="001C2BED">
        <w:rPr>
          <w:szCs w:val="22"/>
        </w:rPr>
        <w:t xml:space="preserve">Finally, </w:t>
      </w:r>
      <w:r w:rsidRPr="008A7274" w:rsidR="001C2BED">
        <w:rPr>
          <w:szCs w:val="22"/>
        </w:rPr>
        <w:t>MEE assert</w:t>
      </w:r>
      <w:r w:rsidR="001C2BED">
        <w:rPr>
          <w:szCs w:val="22"/>
        </w:rPr>
        <w:t>ed</w:t>
      </w:r>
      <w:r w:rsidRPr="008A7274" w:rsidR="001C2BED">
        <w:rPr>
          <w:szCs w:val="22"/>
        </w:rPr>
        <w:t xml:space="preserve"> that the Station “has fulfilled the education qualification for LPFM stations very well” and that the Station is “the last station in Marion[,] Ohio to provide local news [and] weather every hour.”</w:t>
      </w:r>
      <w:r>
        <w:rPr>
          <w:rStyle w:val="FootnoteReference"/>
          <w:sz w:val="22"/>
          <w:szCs w:val="22"/>
        </w:rPr>
        <w:footnoteReference w:id="27"/>
      </w:r>
    </w:p>
    <w:p w:rsidR="00962D66" w:rsidRPr="006307CB" w:rsidP="00962D66" w14:paraId="4415E988" w14:textId="487E4971">
      <w:pPr>
        <w:pStyle w:val="ParaNum"/>
        <w:rPr>
          <w:szCs w:val="22"/>
        </w:rPr>
      </w:pPr>
      <w:r w:rsidRPr="00827C1B">
        <w:rPr>
          <w:szCs w:val="22"/>
        </w:rPr>
        <w:t>Phelps replied</w:t>
      </w:r>
      <w:r w:rsidR="00110145">
        <w:rPr>
          <w:szCs w:val="22"/>
        </w:rPr>
        <w:t xml:space="preserve"> to the First LOI Response</w:t>
      </w:r>
      <w:r w:rsidRPr="00827C1B">
        <w:rPr>
          <w:szCs w:val="22"/>
        </w:rPr>
        <w:t xml:space="preserve">, </w:t>
      </w:r>
      <w:r w:rsidRPr="006307CB" w:rsidR="000A0EB2">
        <w:rPr>
          <w:szCs w:val="22"/>
        </w:rPr>
        <w:t>asserting</w:t>
      </w:r>
      <w:r w:rsidRPr="006307CB">
        <w:rPr>
          <w:szCs w:val="22"/>
        </w:rPr>
        <w:t xml:space="preserve"> that </w:t>
      </w:r>
      <w:r w:rsidR="00110145">
        <w:rPr>
          <w:szCs w:val="22"/>
        </w:rPr>
        <w:t>it</w:t>
      </w:r>
      <w:r w:rsidRPr="008A7274">
        <w:rPr>
          <w:szCs w:val="22"/>
        </w:rPr>
        <w:t xml:space="preserve"> was incomplete, and repeating his allegations that MEE </w:t>
      </w:r>
      <w:r w:rsidRPr="008A7274" w:rsidR="00BE0812">
        <w:rPr>
          <w:szCs w:val="22"/>
        </w:rPr>
        <w:t xml:space="preserve">had </w:t>
      </w:r>
      <w:r w:rsidRPr="008A7274">
        <w:rPr>
          <w:szCs w:val="22"/>
        </w:rPr>
        <w:t>made misrepresentations to the Commission.</w:t>
      </w:r>
      <w:r>
        <w:rPr>
          <w:rStyle w:val="FootnoteReference"/>
          <w:sz w:val="22"/>
          <w:szCs w:val="22"/>
        </w:rPr>
        <w:footnoteReference w:id="28"/>
      </w:r>
      <w:r w:rsidRPr="00827C1B">
        <w:rPr>
          <w:szCs w:val="22"/>
        </w:rPr>
        <w:t xml:space="preserve">  </w:t>
      </w:r>
      <w:r w:rsidR="001C2BED">
        <w:rPr>
          <w:szCs w:val="22"/>
        </w:rPr>
        <w:t xml:space="preserve">Specifically, </w:t>
      </w:r>
      <w:r w:rsidRPr="00827C1B">
        <w:rPr>
          <w:szCs w:val="22"/>
        </w:rPr>
        <w:t>Phelps ar</w:t>
      </w:r>
      <w:r w:rsidRPr="006307CB">
        <w:rPr>
          <w:szCs w:val="22"/>
        </w:rPr>
        <w:t xml:space="preserve">gued that MEE </w:t>
      </w:r>
      <w:r w:rsidRPr="006307CB" w:rsidR="00DC5FFB">
        <w:rPr>
          <w:szCs w:val="22"/>
        </w:rPr>
        <w:t>had lied</w:t>
      </w:r>
      <w:r w:rsidRPr="008A7274">
        <w:rPr>
          <w:szCs w:val="22"/>
        </w:rPr>
        <w:t xml:space="preserve"> </w:t>
      </w:r>
      <w:r w:rsidR="00397529">
        <w:rPr>
          <w:szCs w:val="22"/>
        </w:rPr>
        <w:t xml:space="preserve">either </w:t>
      </w:r>
      <w:r w:rsidRPr="008A7274">
        <w:rPr>
          <w:szCs w:val="22"/>
        </w:rPr>
        <w:t>in the Assignment Application</w:t>
      </w:r>
      <w:r w:rsidR="00B02A1F">
        <w:rPr>
          <w:szCs w:val="22"/>
        </w:rPr>
        <w:t>,</w:t>
      </w:r>
      <w:r w:rsidRPr="008A7274">
        <w:rPr>
          <w:szCs w:val="22"/>
        </w:rPr>
        <w:t xml:space="preserve"> or in the First LOI Response.</w:t>
      </w:r>
      <w:r>
        <w:rPr>
          <w:rStyle w:val="FootnoteReference"/>
          <w:sz w:val="22"/>
          <w:szCs w:val="22"/>
        </w:rPr>
        <w:footnoteReference w:id="29"/>
      </w:r>
      <w:r w:rsidRPr="00827C1B">
        <w:rPr>
          <w:szCs w:val="22"/>
        </w:rPr>
        <w:t xml:space="preserve">  He also </w:t>
      </w:r>
      <w:r w:rsidRPr="008A7274">
        <w:rPr>
          <w:szCs w:val="22"/>
        </w:rPr>
        <w:t>asserted that MEE had made additional false statements in the First LOI Response</w:t>
      </w:r>
      <w:r w:rsidRPr="008A7274" w:rsidR="00DF50B3">
        <w:rPr>
          <w:szCs w:val="22"/>
        </w:rPr>
        <w:t xml:space="preserve"> regarding the Station being the only station</w:t>
      </w:r>
      <w:r w:rsidRPr="008A7274" w:rsidR="003E522E">
        <w:rPr>
          <w:szCs w:val="22"/>
        </w:rPr>
        <w:t xml:space="preserve"> in Marion </w:t>
      </w:r>
      <w:r w:rsidRPr="008A7274" w:rsidR="00DF50B3">
        <w:rPr>
          <w:szCs w:val="22"/>
        </w:rPr>
        <w:t>offering hourly news and weather</w:t>
      </w:r>
      <w:r w:rsidRPr="008A7274" w:rsidR="003E522E">
        <w:rPr>
          <w:szCs w:val="22"/>
        </w:rPr>
        <w:t>.</w:t>
      </w:r>
      <w:r>
        <w:rPr>
          <w:rStyle w:val="FootnoteReference"/>
          <w:sz w:val="22"/>
          <w:szCs w:val="22"/>
        </w:rPr>
        <w:footnoteReference w:id="30"/>
      </w:r>
      <w:r w:rsidRPr="00827C1B" w:rsidR="003E522E">
        <w:rPr>
          <w:szCs w:val="22"/>
        </w:rPr>
        <w:t xml:space="preserve">  Finally, Phelps </w:t>
      </w:r>
      <w:r w:rsidRPr="006307CB" w:rsidR="00B447AC">
        <w:rPr>
          <w:szCs w:val="22"/>
        </w:rPr>
        <w:t>noted that MEE had continued to operate the Station between February 12, 2021, and February 16, 2021</w:t>
      </w:r>
      <w:r w:rsidR="004B388A">
        <w:rPr>
          <w:szCs w:val="22"/>
        </w:rPr>
        <w:t>, after the cancellation of the license, and before the reinstatement.</w:t>
      </w:r>
      <w:r>
        <w:rPr>
          <w:rStyle w:val="FootnoteReference"/>
          <w:sz w:val="22"/>
          <w:szCs w:val="22"/>
        </w:rPr>
        <w:footnoteReference w:id="31"/>
      </w:r>
      <w:r w:rsidRPr="00827C1B" w:rsidR="002175B8">
        <w:rPr>
          <w:szCs w:val="22"/>
        </w:rPr>
        <w:t xml:space="preserve">  </w:t>
      </w:r>
    </w:p>
    <w:p w:rsidR="00962D66" w:rsidRPr="006307CB" w:rsidP="00962D66" w14:paraId="17ACEA83" w14:textId="66E61F9D">
      <w:pPr>
        <w:pStyle w:val="ParaNum"/>
        <w:rPr>
          <w:szCs w:val="22"/>
        </w:rPr>
      </w:pPr>
      <w:r w:rsidRPr="006307CB">
        <w:rPr>
          <w:i/>
          <w:iCs/>
          <w:szCs w:val="22"/>
        </w:rPr>
        <w:t>Second LOI.</w:t>
      </w:r>
      <w:r w:rsidRPr="008A7274">
        <w:rPr>
          <w:szCs w:val="22"/>
        </w:rPr>
        <w:t xml:space="preserve">  </w:t>
      </w:r>
      <w:r w:rsidR="00873AAB">
        <w:rPr>
          <w:szCs w:val="22"/>
        </w:rPr>
        <w:t xml:space="preserve">Having </w:t>
      </w:r>
      <w:r w:rsidR="00802219">
        <w:rPr>
          <w:szCs w:val="22"/>
        </w:rPr>
        <w:t xml:space="preserve">noted the inconsistencies </w:t>
      </w:r>
      <w:r w:rsidR="0089390C">
        <w:rPr>
          <w:szCs w:val="22"/>
        </w:rPr>
        <w:t>between</w:t>
      </w:r>
      <w:r w:rsidR="00802219">
        <w:rPr>
          <w:szCs w:val="22"/>
        </w:rPr>
        <w:t xml:space="preserve"> MEE’s </w:t>
      </w:r>
      <w:r w:rsidR="00DA5ED2">
        <w:rPr>
          <w:szCs w:val="22"/>
        </w:rPr>
        <w:t xml:space="preserve">statements </w:t>
      </w:r>
      <w:r w:rsidR="00F214C2">
        <w:rPr>
          <w:szCs w:val="22"/>
        </w:rPr>
        <w:t>in the First LOI Response</w:t>
      </w:r>
      <w:r w:rsidR="00DA5ED2">
        <w:rPr>
          <w:szCs w:val="22"/>
        </w:rPr>
        <w:t xml:space="preserve"> and the Assignment Application</w:t>
      </w:r>
      <w:r w:rsidR="00F214C2">
        <w:rPr>
          <w:szCs w:val="22"/>
        </w:rPr>
        <w:t xml:space="preserve">, and having </w:t>
      </w:r>
      <w:r w:rsidR="00873AAB">
        <w:rPr>
          <w:szCs w:val="22"/>
        </w:rPr>
        <w:t xml:space="preserve">identified </w:t>
      </w:r>
      <w:r w:rsidR="00751D61">
        <w:rPr>
          <w:szCs w:val="22"/>
        </w:rPr>
        <w:t xml:space="preserve">deficiencies in the First LOI Response, </w:t>
      </w:r>
      <w:r w:rsidR="00F214C2">
        <w:rPr>
          <w:szCs w:val="22"/>
        </w:rPr>
        <w:t>w</w:t>
      </w:r>
      <w:r w:rsidRPr="008A7274">
        <w:rPr>
          <w:szCs w:val="22"/>
        </w:rPr>
        <w:t xml:space="preserve">e sent a second letter of inquiry </w:t>
      </w:r>
      <w:r w:rsidRPr="008A7274" w:rsidR="00C86A74">
        <w:rPr>
          <w:szCs w:val="22"/>
        </w:rPr>
        <w:t xml:space="preserve">in February of 2021 </w:t>
      </w:r>
      <w:r w:rsidRPr="008A7274">
        <w:rPr>
          <w:szCs w:val="22"/>
        </w:rPr>
        <w:t>(Second LOI).</w:t>
      </w:r>
      <w:r>
        <w:rPr>
          <w:rStyle w:val="FootnoteReference"/>
          <w:sz w:val="22"/>
          <w:szCs w:val="22"/>
        </w:rPr>
        <w:footnoteReference w:id="32"/>
      </w:r>
      <w:r w:rsidRPr="00827C1B">
        <w:rPr>
          <w:szCs w:val="22"/>
        </w:rPr>
        <w:t xml:space="preserve">  </w:t>
      </w:r>
      <w:r w:rsidRPr="006307CB">
        <w:rPr>
          <w:szCs w:val="22"/>
        </w:rPr>
        <w:t>The Second LOI</w:t>
      </w:r>
      <w:r w:rsidRPr="008A7274">
        <w:rPr>
          <w:szCs w:val="22"/>
        </w:rPr>
        <w:t xml:space="preserve"> directed </w:t>
      </w:r>
      <w:r w:rsidRPr="008A7274">
        <w:rPr>
          <w:rFonts w:eastAsia="Calibri"/>
          <w:noProof/>
          <w:szCs w:val="22"/>
        </w:rPr>
        <w:t>MEE to provide the information</w:t>
      </w:r>
      <w:r w:rsidRPr="008A7274" w:rsidR="00BE7BBE">
        <w:rPr>
          <w:rFonts w:eastAsia="Calibri"/>
          <w:noProof/>
          <w:szCs w:val="22"/>
        </w:rPr>
        <w:t xml:space="preserve">, </w:t>
      </w:r>
      <w:r w:rsidRPr="008A7274">
        <w:rPr>
          <w:rFonts w:eastAsia="Calibri"/>
          <w:noProof/>
          <w:szCs w:val="22"/>
        </w:rPr>
        <w:t>documentation</w:t>
      </w:r>
      <w:r w:rsidRPr="008A7274" w:rsidR="00BE7BBE">
        <w:rPr>
          <w:rFonts w:eastAsia="Calibri"/>
          <w:noProof/>
          <w:szCs w:val="22"/>
        </w:rPr>
        <w:t xml:space="preserve">, and supporting affidavit </w:t>
      </w:r>
      <w:r w:rsidRPr="008A7274" w:rsidR="009D0011">
        <w:rPr>
          <w:rFonts w:eastAsia="Calibri"/>
          <w:noProof/>
          <w:szCs w:val="22"/>
        </w:rPr>
        <w:t>(or declaration)</w:t>
      </w:r>
      <w:r w:rsidRPr="008A7274">
        <w:rPr>
          <w:rFonts w:eastAsia="Calibri"/>
          <w:noProof/>
          <w:szCs w:val="22"/>
        </w:rPr>
        <w:t xml:space="preserve"> missing from the First LOI Response.</w:t>
      </w:r>
      <w:r>
        <w:rPr>
          <w:rStyle w:val="FootnoteReference"/>
          <w:rFonts w:eastAsia="Calibri"/>
          <w:noProof/>
          <w:sz w:val="22"/>
          <w:szCs w:val="22"/>
        </w:rPr>
        <w:footnoteReference w:id="33"/>
      </w:r>
      <w:r w:rsidRPr="00827C1B">
        <w:rPr>
          <w:rFonts w:eastAsia="Calibri"/>
          <w:noProof/>
          <w:szCs w:val="22"/>
        </w:rPr>
        <w:t xml:space="preserve">  </w:t>
      </w:r>
      <w:r w:rsidRPr="006307CB">
        <w:rPr>
          <w:rFonts w:eastAsia="Calibri"/>
          <w:noProof/>
          <w:szCs w:val="22"/>
        </w:rPr>
        <w:t>It also noted that, based on the information pro</w:t>
      </w:r>
      <w:r w:rsidRPr="008A7274">
        <w:rPr>
          <w:rFonts w:eastAsia="Calibri"/>
          <w:noProof/>
          <w:szCs w:val="22"/>
        </w:rPr>
        <w:t>vided in the First LOI Response, it appeared MEE had made a false statement about its board composition in the Assignment Application</w:t>
      </w:r>
      <w:r w:rsidRPr="008A7274" w:rsidR="009D0011">
        <w:rPr>
          <w:rFonts w:eastAsia="Calibri"/>
          <w:noProof/>
          <w:szCs w:val="22"/>
        </w:rPr>
        <w:t>.</w:t>
      </w:r>
      <w:r>
        <w:rPr>
          <w:rStyle w:val="FootnoteReference"/>
          <w:sz w:val="22"/>
          <w:szCs w:val="22"/>
        </w:rPr>
        <w:footnoteReference w:id="34"/>
      </w:r>
      <w:r w:rsidRPr="00827C1B" w:rsidR="009D0011">
        <w:rPr>
          <w:rFonts w:eastAsia="Calibri"/>
          <w:noProof/>
          <w:szCs w:val="22"/>
        </w:rPr>
        <w:t xml:space="preserve">  The Second LOI </w:t>
      </w:r>
      <w:r w:rsidRPr="008A7274" w:rsidR="00391BF8">
        <w:rPr>
          <w:rFonts w:eastAsia="Calibri"/>
          <w:noProof/>
          <w:szCs w:val="22"/>
        </w:rPr>
        <w:t>directed MEE to explain “what basis it had</w:t>
      </w:r>
      <w:r w:rsidRPr="008A7274" w:rsidR="006068EC">
        <w:rPr>
          <w:rFonts w:eastAsia="Calibri"/>
          <w:noProof/>
          <w:szCs w:val="22"/>
        </w:rPr>
        <w:t>” for stating in the Assignment Application that the MEE and MMF boards were identical.</w:t>
      </w:r>
      <w:r>
        <w:rPr>
          <w:rStyle w:val="FootnoteReference"/>
          <w:sz w:val="22"/>
          <w:szCs w:val="22"/>
        </w:rPr>
        <w:footnoteReference w:id="35"/>
      </w:r>
      <w:r w:rsidRPr="00827C1B">
        <w:rPr>
          <w:rFonts w:eastAsia="Calibri"/>
          <w:noProof/>
          <w:szCs w:val="22"/>
        </w:rPr>
        <w:t xml:space="preserve">  </w:t>
      </w:r>
    </w:p>
    <w:p w:rsidR="00962D66" w:rsidRPr="008A7274" w:rsidP="00962D66" w14:paraId="5FAD70D7" w14:textId="09ED5506">
      <w:pPr>
        <w:pStyle w:val="ParaNum"/>
        <w:rPr>
          <w:szCs w:val="22"/>
        </w:rPr>
      </w:pPr>
      <w:r w:rsidRPr="008A7274">
        <w:rPr>
          <w:szCs w:val="22"/>
        </w:rPr>
        <w:t xml:space="preserve">MEE submitted a response (Second LOI Response), which included </w:t>
      </w:r>
      <w:r w:rsidRPr="008A7274" w:rsidR="009D0011">
        <w:rPr>
          <w:szCs w:val="22"/>
        </w:rPr>
        <w:t xml:space="preserve">one document (its </w:t>
      </w:r>
      <w:r w:rsidRPr="008A7274">
        <w:rPr>
          <w:szCs w:val="22"/>
        </w:rPr>
        <w:t>Initial Articles of Incorporati</w:t>
      </w:r>
      <w:r w:rsidRPr="008A7274" w:rsidR="0006171B">
        <w:rPr>
          <w:szCs w:val="22"/>
        </w:rPr>
        <w:t>on, which are dated April 29, 2019</w:t>
      </w:r>
      <w:r w:rsidRPr="008A7274" w:rsidR="009D0011">
        <w:rPr>
          <w:szCs w:val="22"/>
        </w:rPr>
        <w:t>)</w:t>
      </w:r>
      <w:r w:rsidRPr="008A7274">
        <w:rPr>
          <w:szCs w:val="22"/>
        </w:rPr>
        <w:t>,</w:t>
      </w:r>
      <w:r>
        <w:rPr>
          <w:rStyle w:val="FootnoteReference"/>
          <w:szCs w:val="22"/>
        </w:rPr>
        <w:footnoteReference w:id="36"/>
      </w:r>
      <w:r w:rsidRPr="008A7274">
        <w:rPr>
          <w:szCs w:val="22"/>
        </w:rPr>
        <w:t xml:space="preserve"> and a </w:t>
      </w:r>
      <w:r w:rsidRPr="008A7274" w:rsidR="0006171B">
        <w:rPr>
          <w:szCs w:val="22"/>
        </w:rPr>
        <w:t xml:space="preserve">supporting </w:t>
      </w:r>
      <w:r w:rsidRPr="008A7274">
        <w:rPr>
          <w:szCs w:val="22"/>
        </w:rPr>
        <w:t>declaration.</w:t>
      </w:r>
      <w:r>
        <w:rPr>
          <w:rStyle w:val="FootnoteReference"/>
          <w:sz w:val="22"/>
          <w:szCs w:val="22"/>
        </w:rPr>
        <w:footnoteReference w:id="37"/>
      </w:r>
      <w:r w:rsidRPr="00827C1B">
        <w:rPr>
          <w:szCs w:val="22"/>
        </w:rPr>
        <w:t xml:space="preserve">  </w:t>
      </w:r>
      <w:r w:rsidR="00397529">
        <w:rPr>
          <w:szCs w:val="22"/>
        </w:rPr>
        <w:t xml:space="preserve">In its Second LOI Response, </w:t>
      </w:r>
      <w:r w:rsidRPr="00827C1B">
        <w:rPr>
          <w:szCs w:val="22"/>
        </w:rPr>
        <w:t xml:space="preserve">MEE stated that </w:t>
      </w:r>
      <w:r w:rsidRPr="006307CB" w:rsidR="0032361B">
        <w:rPr>
          <w:szCs w:val="22"/>
        </w:rPr>
        <w:t>it</w:t>
      </w:r>
      <w:r w:rsidRPr="006307CB">
        <w:rPr>
          <w:szCs w:val="22"/>
        </w:rPr>
        <w:t xml:space="preserve"> was incorporated</w:t>
      </w:r>
      <w:r w:rsidRPr="008A7274" w:rsidR="0032361B">
        <w:rPr>
          <w:szCs w:val="22"/>
        </w:rPr>
        <w:t xml:space="preserve"> in 2019</w:t>
      </w:r>
      <w:r w:rsidRPr="008A7274">
        <w:rPr>
          <w:szCs w:val="22"/>
        </w:rPr>
        <w:t xml:space="preserve"> by Craft</w:t>
      </w:r>
      <w:r w:rsidRPr="008A7274" w:rsidR="0032361B">
        <w:rPr>
          <w:szCs w:val="22"/>
        </w:rPr>
        <w:t>,</w:t>
      </w:r>
      <w:r w:rsidRPr="008A7274">
        <w:rPr>
          <w:szCs w:val="22"/>
        </w:rPr>
        <w:t xml:space="preserve"> Sims, </w:t>
      </w:r>
      <w:r w:rsidRPr="008A7274" w:rsidR="006F57B5">
        <w:rPr>
          <w:szCs w:val="22"/>
        </w:rPr>
        <w:t xml:space="preserve">Coble </w:t>
      </w:r>
      <w:r w:rsidRPr="008A7274">
        <w:rPr>
          <w:szCs w:val="22"/>
        </w:rPr>
        <w:t>and Tackett.</w:t>
      </w:r>
      <w:r>
        <w:rPr>
          <w:rStyle w:val="FootnoteReference"/>
          <w:sz w:val="22"/>
          <w:szCs w:val="22"/>
        </w:rPr>
        <w:footnoteReference w:id="38"/>
      </w:r>
      <w:r w:rsidRPr="00827C1B">
        <w:rPr>
          <w:szCs w:val="22"/>
        </w:rPr>
        <w:t xml:space="preserve">  </w:t>
      </w:r>
      <w:r w:rsidRPr="006307CB" w:rsidR="00044809">
        <w:rPr>
          <w:szCs w:val="22"/>
        </w:rPr>
        <w:t>According to MEE</w:t>
      </w:r>
      <w:r w:rsidRPr="006307CB">
        <w:rPr>
          <w:szCs w:val="22"/>
        </w:rPr>
        <w:t>, at the time the Assignment Application was filed</w:t>
      </w:r>
      <w:r w:rsidRPr="008A7274" w:rsidR="00B06724">
        <w:rPr>
          <w:szCs w:val="22"/>
        </w:rPr>
        <w:t xml:space="preserve"> on May 9, 2019</w:t>
      </w:r>
      <w:r w:rsidRPr="008A7274">
        <w:rPr>
          <w:szCs w:val="22"/>
        </w:rPr>
        <w:t>, “it was believed and thought that the [MMF] board members would be able to continue in the same capacity.”</w:t>
      </w:r>
      <w:r>
        <w:rPr>
          <w:rStyle w:val="FootnoteReference"/>
          <w:sz w:val="22"/>
          <w:szCs w:val="22"/>
        </w:rPr>
        <w:footnoteReference w:id="39"/>
      </w:r>
      <w:r w:rsidRPr="00827C1B">
        <w:rPr>
          <w:szCs w:val="22"/>
        </w:rPr>
        <w:t xml:space="preserve">  </w:t>
      </w:r>
      <w:r w:rsidRPr="006307CB" w:rsidR="00B06724">
        <w:rPr>
          <w:szCs w:val="22"/>
        </w:rPr>
        <w:t xml:space="preserve">The Second LOI </w:t>
      </w:r>
      <w:r w:rsidRPr="006307CB" w:rsidR="004B2E50">
        <w:rPr>
          <w:szCs w:val="22"/>
        </w:rPr>
        <w:t>Resp</w:t>
      </w:r>
      <w:r w:rsidRPr="008A7274" w:rsidR="004B2E50">
        <w:rPr>
          <w:szCs w:val="22"/>
        </w:rPr>
        <w:t xml:space="preserve">onse </w:t>
      </w:r>
      <w:r w:rsidRPr="008A7274">
        <w:rPr>
          <w:szCs w:val="22"/>
        </w:rPr>
        <w:t>listed Worcester, Maniaci, Stolarczyk, and Hazelett as “board members” but did not specify whether they were board members of MEE, MMF, or both.</w:t>
      </w:r>
      <w:r>
        <w:rPr>
          <w:rStyle w:val="FootnoteReference"/>
          <w:sz w:val="22"/>
          <w:szCs w:val="22"/>
        </w:rPr>
        <w:footnoteReference w:id="40"/>
      </w:r>
      <w:r w:rsidRPr="00827C1B">
        <w:rPr>
          <w:szCs w:val="22"/>
        </w:rPr>
        <w:t xml:space="preserve">  </w:t>
      </w:r>
      <w:r w:rsidRPr="006307CB" w:rsidR="00BE0368">
        <w:rPr>
          <w:szCs w:val="22"/>
        </w:rPr>
        <w:t>MEE indicated that Worcester had set a resignation/retirement date for late May 2019.</w:t>
      </w:r>
      <w:r>
        <w:rPr>
          <w:rStyle w:val="FootnoteReference"/>
          <w:sz w:val="22"/>
          <w:szCs w:val="22"/>
        </w:rPr>
        <w:footnoteReference w:id="41"/>
      </w:r>
      <w:r w:rsidRPr="00827C1B" w:rsidR="00BE0368">
        <w:rPr>
          <w:szCs w:val="22"/>
        </w:rPr>
        <w:t xml:space="preserve">  It stated that</w:t>
      </w:r>
      <w:r w:rsidRPr="006307CB" w:rsidR="00BE0368">
        <w:rPr>
          <w:szCs w:val="22"/>
        </w:rPr>
        <w:t xml:space="preserve">, on May 29, 2019, MEE’s incorporators held a meeting </w:t>
      </w:r>
      <w:r w:rsidRPr="006307CB" w:rsidR="005020DE">
        <w:rPr>
          <w:szCs w:val="22"/>
        </w:rPr>
        <w:t xml:space="preserve">(5-29-19 Meeting) </w:t>
      </w:r>
      <w:r w:rsidRPr="008A7274" w:rsidR="00BE0368">
        <w:rPr>
          <w:szCs w:val="22"/>
        </w:rPr>
        <w:t>at which they “decided to form a new board, with Craft serving as President, Sims as Secretary, and Coble and Tackett as board members.</w:t>
      </w:r>
      <w:r>
        <w:rPr>
          <w:rStyle w:val="FootnoteReference"/>
          <w:sz w:val="22"/>
          <w:szCs w:val="22"/>
        </w:rPr>
        <w:footnoteReference w:id="42"/>
      </w:r>
      <w:r w:rsidRPr="00827C1B" w:rsidR="00BE0368">
        <w:rPr>
          <w:szCs w:val="22"/>
        </w:rPr>
        <w:t xml:space="preserve">  According to MEE, this decision was made based on the “health and age of board members who were coming over from [MMF].”</w:t>
      </w:r>
      <w:r>
        <w:rPr>
          <w:rStyle w:val="FootnoteReference"/>
          <w:sz w:val="22"/>
          <w:szCs w:val="22"/>
        </w:rPr>
        <w:footnoteReference w:id="43"/>
      </w:r>
      <w:r w:rsidRPr="00827C1B" w:rsidR="00BE0368">
        <w:rPr>
          <w:szCs w:val="22"/>
        </w:rPr>
        <w:t xml:space="preserve">  </w:t>
      </w:r>
      <w:r w:rsidRPr="006307CB" w:rsidR="00A03819">
        <w:rPr>
          <w:szCs w:val="22"/>
        </w:rPr>
        <w:t xml:space="preserve">Like the First LOI Response, the Second </w:t>
      </w:r>
      <w:r w:rsidRPr="008A7274" w:rsidR="00C670F9">
        <w:rPr>
          <w:szCs w:val="22"/>
        </w:rPr>
        <w:t>LOI Response did not</w:t>
      </w:r>
      <w:r w:rsidRPr="008A7274">
        <w:rPr>
          <w:szCs w:val="22"/>
        </w:rPr>
        <w:t xml:space="preserve"> discuss Compton</w:t>
      </w:r>
      <w:r w:rsidRPr="008A7274" w:rsidR="00BB3882">
        <w:rPr>
          <w:szCs w:val="22"/>
        </w:rPr>
        <w:t xml:space="preserve"> </w:t>
      </w:r>
      <w:r w:rsidRPr="008A7274">
        <w:rPr>
          <w:szCs w:val="22"/>
        </w:rPr>
        <w:t xml:space="preserve">at all.  </w:t>
      </w:r>
    </w:p>
    <w:p w:rsidR="00962D66" w:rsidRPr="006307CB" w:rsidP="00962D66" w14:paraId="1BCECC5D" w14:textId="58AB12BA">
      <w:pPr>
        <w:pStyle w:val="ParaNum"/>
        <w:rPr>
          <w:szCs w:val="22"/>
        </w:rPr>
      </w:pPr>
      <w:r w:rsidRPr="008A7274">
        <w:rPr>
          <w:szCs w:val="22"/>
        </w:rPr>
        <w:t xml:space="preserve">Phelps </w:t>
      </w:r>
      <w:r w:rsidR="006C6E5C">
        <w:rPr>
          <w:szCs w:val="22"/>
        </w:rPr>
        <w:t xml:space="preserve">again </w:t>
      </w:r>
      <w:r w:rsidRPr="008A7274">
        <w:rPr>
          <w:szCs w:val="22"/>
        </w:rPr>
        <w:t>replied</w:t>
      </w:r>
      <w:r w:rsidR="00CF5847">
        <w:rPr>
          <w:szCs w:val="22"/>
        </w:rPr>
        <w:t xml:space="preserve"> to the Second LOI Response</w:t>
      </w:r>
      <w:r w:rsidRPr="008A7274">
        <w:rPr>
          <w:szCs w:val="22"/>
        </w:rPr>
        <w:t xml:space="preserve">, noting that </w:t>
      </w:r>
      <w:r w:rsidR="00AC1219">
        <w:rPr>
          <w:szCs w:val="22"/>
        </w:rPr>
        <w:t>MEE</w:t>
      </w:r>
      <w:r w:rsidRPr="008A7274">
        <w:rPr>
          <w:szCs w:val="22"/>
        </w:rPr>
        <w:t xml:space="preserve"> still </w:t>
      </w:r>
      <w:r w:rsidR="00AC1219">
        <w:rPr>
          <w:szCs w:val="22"/>
        </w:rPr>
        <w:t>had</w:t>
      </w:r>
      <w:r w:rsidRPr="008A7274" w:rsidR="00AC1219">
        <w:rPr>
          <w:szCs w:val="22"/>
        </w:rPr>
        <w:t xml:space="preserve"> </w:t>
      </w:r>
      <w:r w:rsidRPr="008A7274">
        <w:rPr>
          <w:szCs w:val="22"/>
        </w:rPr>
        <w:t>not include</w:t>
      </w:r>
      <w:r w:rsidR="00AC1219">
        <w:rPr>
          <w:szCs w:val="22"/>
        </w:rPr>
        <w:t>d</w:t>
      </w:r>
      <w:r w:rsidRPr="008A7274">
        <w:rPr>
          <w:szCs w:val="22"/>
        </w:rPr>
        <w:t xml:space="preserve"> all of the information or </w:t>
      </w:r>
      <w:r w:rsidRPr="008A7274" w:rsidR="005020DE">
        <w:rPr>
          <w:szCs w:val="22"/>
        </w:rPr>
        <w:t>documents</w:t>
      </w:r>
      <w:r w:rsidRPr="008A7274">
        <w:rPr>
          <w:szCs w:val="22"/>
        </w:rPr>
        <w:t xml:space="preserve"> requested.</w:t>
      </w:r>
      <w:r>
        <w:rPr>
          <w:rStyle w:val="FootnoteReference"/>
          <w:sz w:val="22"/>
          <w:szCs w:val="22"/>
        </w:rPr>
        <w:footnoteReference w:id="44"/>
      </w:r>
      <w:r w:rsidRPr="00827C1B">
        <w:rPr>
          <w:szCs w:val="22"/>
        </w:rPr>
        <w:t xml:space="preserve">  </w:t>
      </w:r>
      <w:r w:rsidRPr="006307CB">
        <w:rPr>
          <w:szCs w:val="22"/>
        </w:rPr>
        <w:t>Phelps also highlighted inconsistencies in the information provided by MEE and questioned certain statements made by MEE in the Second LOI Response.</w:t>
      </w:r>
      <w:r>
        <w:rPr>
          <w:rStyle w:val="FootnoteReference"/>
          <w:sz w:val="22"/>
          <w:szCs w:val="22"/>
        </w:rPr>
        <w:footnoteReference w:id="45"/>
      </w:r>
      <w:r w:rsidRPr="00827C1B">
        <w:rPr>
          <w:szCs w:val="22"/>
        </w:rPr>
        <w:t xml:space="preserve">  </w:t>
      </w:r>
    </w:p>
    <w:p w:rsidR="00962D66" w:rsidRPr="006307CB" w:rsidP="00D63040" w14:paraId="6782C09C" w14:textId="7278D1DE">
      <w:pPr>
        <w:pStyle w:val="ParaNum"/>
        <w:widowControl/>
        <w:rPr>
          <w:rFonts w:eastAsia="Calibri"/>
          <w:szCs w:val="22"/>
        </w:rPr>
      </w:pPr>
      <w:r w:rsidRPr="008A7274">
        <w:rPr>
          <w:rFonts w:eastAsia="Calibri"/>
          <w:i/>
          <w:iCs/>
          <w:szCs w:val="22"/>
        </w:rPr>
        <w:t>Third LOI.</w:t>
      </w:r>
      <w:r w:rsidRPr="008A7274">
        <w:rPr>
          <w:rFonts w:eastAsia="Calibri"/>
          <w:szCs w:val="22"/>
        </w:rPr>
        <w:t xml:space="preserve">  </w:t>
      </w:r>
      <w:r w:rsidR="00A516CB">
        <w:rPr>
          <w:rFonts w:eastAsia="Calibri"/>
          <w:szCs w:val="22"/>
        </w:rPr>
        <w:t>Because</w:t>
      </w:r>
      <w:r w:rsidR="00617155">
        <w:rPr>
          <w:rFonts w:eastAsia="Calibri"/>
          <w:szCs w:val="22"/>
        </w:rPr>
        <w:t xml:space="preserve"> </w:t>
      </w:r>
      <w:r w:rsidR="00A516CB">
        <w:rPr>
          <w:rFonts w:eastAsia="Calibri"/>
          <w:szCs w:val="22"/>
        </w:rPr>
        <w:t xml:space="preserve">the Second LOI Response raised more questions than it answered, </w:t>
      </w:r>
      <w:r w:rsidR="000347A3">
        <w:rPr>
          <w:rFonts w:eastAsia="Calibri"/>
          <w:szCs w:val="22"/>
        </w:rPr>
        <w:t>we</w:t>
      </w:r>
      <w:r w:rsidRPr="008A7274" w:rsidR="00617155">
        <w:rPr>
          <w:rFonts w:eastAsia="Calibri"/>
          <w:szCs w:val="22"/>
        </w:rPr>
        <w:t xml:space="preserve"> </w:t>
      </w:r>
      <w:r w:rsidRPr="008A7274">
        <w:rPr>
          <w:rFonts w:eastAsia="Calibri"/>
          <w:szCs w:val="22"/>
        </w:rPr>
        <w:t xml:space="preserve">sent a third </w:t>
      </w:r>
      <w:r w:rsidRPr="008A7274" w:rsidR="00E62062">
        <w:rPr>
          <w:rFonts w:eastAsia="Calibri"/>
          <w:szCs w:val="22"/>
        </w:rPr>
        <w:t xml:space="preserve">and final </w:t>
      </w:r>
      <w:r w:rsidRPr="008A7274">
        <w:rPr>
          <w:rFonts w:eastAsia="Calibri"/>
          <w:szCs w:val="22"/>
        </w:rPr>
        <w:t xml:space="preserve">letter of inquiry </w:t>
      </w:r>
      <w:r w:rsidRPr="008A7274" w:rsidR="00C86A74">
        <w:rPr>
          <w:rFonts w:eastAsia="Calibri"/>
          <w:szCs w:val="22"/>
        </w:rPr>
        <w:t xml:space="preserve">in March of 2021 </w:t>
      </w:r>
      <w:r w:rsidRPr="008A7274">
        <w:rPr>
          <w:rFonts w:eastAsia="Calibri"/>
          <w:szCs w:val="22"/>
        </w:rPr>
        <w:t>(Third LOI).</w:t>
      </w:r>
      <w:r>
        <w:rPr>
          <w:rStyle w:val="FootnoteReference"/>
          <w:rFonts w:eastAsia="Calibri"/>
          <w:sz w:val="22"/>
          <w:szCs w:val="22"/>
        </w:rPr>
        <w:footnoteReference w:id="46"/>
      </w:r>
      <w:r w:rsidRPr="00827C1B">
        <w:rPr>
          <w:rFonts w:eastAsia="Calibri"/>
          <w:szCs w:val="22"/>
        </w:rPr>
        <w:t xml:space="preserve">  The Third LOI again requested that MEE provide</w:t>
      </w:r>
      <w:r w:rsidRPr="006307CB">
        <w:rPr>
          <w:rFonts w:eastAsia="Calibri"/>
          <w:szCs w:val="22"/>
        </w:rPr>
        <w:t xml:space="preserve"> </w:t>
      </w:r>
      <w:r w:rsidRPr="006307CB" w:rsidR="00C86A74">
        <w:rPr>
          <w:rFonts w:eastAsia="Calibri"/>
          <w:szCs w:val="22"/>
        </w:rPr>
        <w:t xml:space="preserve">the </w:t>
      </w:r>
      <w:r w:rsidRPr="008A7274">
        <w:rPr>
          <w:rFonts w:eastAsia="Calibri"/>
          <w:szCs w:val="22"/>
        </w:rPr>
        <w:t>missing information.</w:t>
      </w:r>
      <w:r>
        <w:rPr>
          <w:rStyle w:val="FootnoteReference"/>
          <w:rFonts w:eastAsia="Calibri"/>
          <w:sz w:val="22"/>
          <w:szCs w:val="22"/>
        </w:rPr>
        <w:footnoteReference w:id="47"/>
      </w:r>
      <w:r w:rsidRPr="00827C1B">
        <w:rPr>
          <w:rFonts w:eastAsia="Calibri"/>
          <w:szCs w:val="22"/>
        </w:rPr>
        <w:t xml:space="preserve"> </w:t>
      </w:r>
      <w:r w:rsidR="006C6E5C">
        <w:rPr>
          <w:rFonts w:eastAsia="Calibri"/>
          <w:szCs w:val="22"/>
        </w:rPr>
        <w:t xml:space="preserve"> </w:t>
      </w:r>
      <w:r w:rsidRPr="00827C1B">
        <w:rPr>
          <w:rFonts w:eastAsia="Calibri"/>
          <w:szCs w:val="22"/>
        </w:rPr>
        <w:t xml:space="preserve">It also directed MEE to clarify </w:t>
      </w:r>
      <w:r w:rsidRPr="006307CB">
        <w:rPr>
          <w:rFonts w:eastAsia="Calibri"/>
          <w:szCs w:val="22"/>
        </w:rPr>
        <w:t>statements made in the Second LOI Response</w:t>
      </w:r>
      <w:r w:rsidRPr="008A7274">
        <w:rPr>
          <w:rFonts w:eastAsia="Calibri"/>
          <w:szCs w:val="22"/>
        </w:rPr>
        <w:t>.</w:t>
      </w:r>
      <w:r>
        <w:rPr>
          <w:rStyle w:val="FootnoteReference"/>
          <w:rFonts w:eastAsia="Calibri"/>
          <w:sz w:val="22"/>
          <w:szCs w:val="22"/>
        </w:rPr>
        <w:footnoteReference w:id="48"/>
      </w:r>
      <w:r w:rsidRPr="00827C1B">
        <w:rPr>
          <w:rFonts w:eastAsia="Calibri"/>
          <w:szCs w:val="22"/>
        </w:rPr>
        <w:t xml:space="preserve">  </w:t>
      </w:r>
    </w:p>
    <w:p w:rsidR="00962D66" w:rsidRPr="006307CB" w:rsidP="00962D66" w14:paraId="65A1A182" w14:textId="3E83A5D4">
      <w:pPr>
        <w:pStyle w:val="ParaNum"/>
        <w:rPr>
          <w:szCs w:val="22"/>
        </w:rPr>
      </w:pPr>
      <w:r w:rsidRPr="006307CB">
        <w:rPr>
          <w:szCs w:val="22"/>
        </w:rPr>
        <w:t xml:space="preserve">MEE submitted a </w:t>
      </w:r>
      <w:r w:rsidRPr="008A7274">
        <w:rPr>
          <w:szCs w:val="22"/>
        </w:rPr>
        <w:t>response (Third LOI Response),</w:t>
      </w:r>
      <w:r>
        <w:rPr>
          <w:rStyle w:val="FootnoteReference"/>
          <w:sz w:val="22"/>
          <w:szCs w:val="22"/>
        </w:rPr>
        <w:footnoteReference w:id="49"/>
      </w:r>
      <w:r w:rsidRPr="00827C1B">
        <w:rPr>
          <w:szCs w:val="22"/>
        </w:rPr>
        <w:t xml:space="preserve"> which </w:t>
      </w:r>
      <w:r w:rsidRPr="006307CB" w:rsidR="00FB7C58">
        <w:rPr>
          <w:szCs w:val="22"/>
        </w:rPr>
        <w:t xml:space="preserve">purports to list </w:t>
      </w:r>
      <w:r w:rsidRPr="006307CB">
        <w:rPr>
          <w:szCs w:val="22"/>
        </w:rPr>
        <w:t xml:space="preserve">all current and former MEE board members (and the specific dates on which each member </w:t>
      </w:r>
      <w:r w:rsidRPr="008A7274" w:rsidR="00EA1D63">
        <w:rPr>
          <w:szCs w:val="22"/>
        </w:rPr>
        <w:t>served</w:t>
      </w:r>
      <w:r w:rsidRPr="008A7274">
        <w:rPr>
          <w:szCs w:val="22"/>
        </w:rPr>
        <w:t xml:space="preserve"> on the</w:t>
      </w:r>
      <w:r w:rsidRPr="008A7274" w:rsidR="00EA1D63">
        <w:rPr>
          <w:szCs w:val="22"/>
        </w:rPr>
        <w:t xml:space="preserve"> MEE</w:t>
      </w:r>
      <w:r w:rsidRPr="008A7274">
        <w:rPr>
          <w:szCs w:val="22"/>
        </w:rPr>
        <w:t xml:space="preserve"> board).  MEE also submitted </w:t>
      </w:r>
      <w:r w:rsidRPr="008A7274" w:rsidR="00F66EEF">
        <w:rPr>
          <w:szCs w:val="22"/>
        </w:rPr>
        <w:t>copies of</w:t>
      </w:r>
      <w:r w:rsidRPr="008A7274">
        <w:rPr>
          <w:szCs w:val="22"/>
        </w:rPr>
        <w:t xml:space="preserve"> bylaws</w:t>
      </w:r>
      <w:r w:rsidRPr="008A7274" w:rsidR="00BA7976">
        <w:rPr>
          <w:szCs w:val="22"/>
        </w:rPr>
        <w:t>, a document</w:t>
      </w:r>
      <w:r w:rsidRPr="008A7274" w:rsidR="007E44E7">
        <w:rPr>
          <w:szCs w:val="22"/>
        </w:rPr>
        <w:t xml:space="preserve"> recording the appointment of MEE’s initial board</w:t>
      </w:r>
      <w:r w:rsidRPr="008A7274" w:rsidR="003F619B">
        <w:rPr>
          <w:szCs w:val="22"/>
        </w:rPr>
        <w:t>,</w:t>
      </w:r>
      <w:r w:rsidRPr="008A7274">
        <w:rPr>
          <w:szCs w:val="22"/>
        </w:rPr>
        <w:t xml:space="preserve"> and meeting minutes.  MEE </w:t>
      </w:r>
      <w:r w:rsidR="006C6E5C">
        <w:rPr>
          <w:szCs w:val="22"/>
        </w:rPr>
        <w:t xml:space="preserve">now </w:t>
      </w:r>
      <w:r w:rsidRPr="008A7274">
        <w:rPr>
          <w:szCs w:val="22"/>
        </w:rPr>
        <w:t>indicates that Worcester sat on its board from April 29, 2019, until May 28, 2019, and Maniaci, Stolarczyk and Hazelett were on the board from April 29, 2019, to May 29, 2019.</w:t>
      </w:r>
      <w:r>
        <w:rPr>
          <w:rStyle w:val="FootnoteReference"/>
          <w:sz w:val="22"/>
          <w:szCs w:val="22"/>
        </w:rPr>
        <w:footnoteReference w:id="50"/>
      </w:r>
      <w:r w:rsidRPr="00827C1B">
        <w:rPr>
          <w:szCs w:val="22"/>
        </w:rPr>
        <w:t xml:space="preserve">  MEE </w:t>
      </w:r>
      <w:r w:rsidRPr="008A7274" w:rsidR="005C675C">
        <w:rPr>
          <w:szCs w:val="22"/>
        </w:rPr>
        <w:t>states</w:t>
      </w:r>
      <w:r w:rsidRPr="008A7274">
        <w:rPr>
          <w:szCs w:val="22"/>
        </w:rPr>
        <w:t xml:space="preserve"> that the initial board was “chosen by vote of the incorporators” and that, to MEE’s knowledge, no person served on the MEE and MMF boards at the same time.</w:t>
      </w:r>
      <w:r>
        <w:rPr>
          <w:rStyle w:val="FootnoteReference"/>
          <w:sz w:val="22"/>
          <w:szCs w:val="22"/>
        </w:rPr>
        <w:footnoteReference w:id="51"/>
      </w:r>
      <w:r w:rsidRPr="00827C1B">
        <w:rPr>
          <w:szCs w:val="22"/>
        </w:rPr>
        <w:t xml:space="preserve">  </w:t>
      </w:r>
      <w:r w:rsidRPr="006307CB">
        <w:rPr>
          <w:szCs w:val="22"/>
        </w:rPr>
        <w:t xml:space="preserve">MEE notes that Worcester chose to resign/retire </w:t>
      </w:r>
      <w:r w:rsidRPr="008A7274" w:rsidR="005020DE">
        <w:rPr>
          <w:szCs w:val="22"/>
        </w:rPr>
        <w:t xml:space="preserve">from MEE </w:t>
      </w:r>
      <w:r w:rsidRPr="008A7274">
        <w:rPr>
          <w:szCs w:val="22"/>
        </w:rPr>
        <w:t>on May 28, 2019, and that Craft took over her position as President of MEE on that date as set forth in the MEE bylaws.</w:t>
      </w:r>
      <w:r>
        <w:rPr>
          <w:rStyle w:val="FootnoteReference"/>
          <w:sz w:val="22"/>
          <w:szCs w:val="22"/>
        </w:rPr>
        <w:footnoteReference w:id="52"/>
      </w:r>
      <w:r w:rsidRPr="00827C1B">
        <w:rPr>
          <w:szCs w:val="22"/>
        </w:rPr>
        <w:t xml:space="preserve">  MEE states that Maniaci, Stolarczyk, and Hazelett were invited to participate </w:t>
      </w:r>
      <w:r w:rsidR="00933C3A">
        <w:rPr>
          <w:szCs w:val="22"/>
        </w:rPr>
        <w:t xml:space="preserve">in </w:t>
      </w:r>
      <w:r w:rsidR="001D47B1">
        <w:rPr>
          <w:szCs w:val="22"/>
        </w:rPr>
        <w:t xml:space="preserve">the </w:t>
      </w:r>
      <w:r w:rsidR="00A737B7">
        <w:rPr>
          <w:szCs w:val="22"/>
        </w:rPr>
        <w:t xml:space="preserve">5-29-19 Meeting </w:t>
      </w:r>
      <w:r w:rsidRPr="00827C1B">
        <w:rPr>
          <w:szCs w:val="22"/>
        </w:rPr>
        <w:t>but did not because “their health was failing.”</w:t>
      </w:r>
      <w:r>
        <w:rPr>
          <w:rStyle w:val="FootnoteReference"/>
          <w:sz w:val="22"/>
          <w:szCs w:val="22"/>
        </w:rPr>
        <w:footnoteReference w:id="53"/>
      </w:r>
      <w:r w:rsidRPr="00827C1B">
        <w:rPr>
          <w:szCs w:val="22"/>
        </w:rPr>
        <w:t xml:space="preserve">  MEE explains that they resigned from the MEE</w:t>
      </w:r>
      <w:r w:rsidRPr="008A7274">
        <w:rPr>
          <w:szCs w:val="22"/>
        </w:rPr>
        <w:t xml:space="preserve"> board effective May 29, 2019, because they “could not attend meetings on a regular basis.”</w:t>
      </w:r>
      <w:r>
        <w:rPr>
          <w:rStyle w:val="FootnoteReference"/>
          <w:sz w:val="22"/>
          <w:szCs w:val="22"/>
        </w:rPr>
        <w:footnoteReference w:id="54"/>
      </w:r>
      <w:r w:rsidRPr="00827C1B">
        <w:rPr>
          <w:szCs w:val="22"/>
        </w:rPr>
        <w:t xml:space="preserve">  MEE reports that, at the </w:t>
      </w:r>
      <w:r w:rsidRPr="006307CB" w:rsidR="005020DE">
        <w:rPr>
          <w:szCs w:val="22"/>
        </w:rPr>
        <w:t>5-29-19 M</w:t>
      </w:r>
      <w:r w:rsidRPr="006307CB">
        <w:rPr>
          <w:szCs w:val="22"/>
        </w:rPr>
        <w:t>eeting, the incorporators “voted on who would fill” the vacant board seats.</w:t>
      </w:r>
      <w:r>
        <w:rPr>
          <w:rStyle w:val="FootnoteReference"/>
          <w:sz w:val="22"/>
          <w:szCs w:val="22"/>
        </w:rPr>
        <w:footnoteReference w:id="55"/>
      </w:r>
      <w:r w:rsidRPr="00827C1B">
        <w:rPr>
          <w:szCs w:val="22"/>
        </w:rPr>
        <w:t xml:space="preserve">  According to MEE, this was done as specified in its bylaws.</w:t>
      </w:r>
      <w:r>
        <w:rPr>
          <w:rStyle w:val="FootnoteReference"/>
          <w:sz w:val="22"/>
          <w:szCs w:val="22"/>
        </w:rPr>
        <w:footnoteReference w:id="56"/>
      </w:r>
      <w:r w:rsidRPr="00827C1B">
        <w:rPr>
          <w:szCs w:val="22"/>
        </w:rPr>
        <w:t xml:space="preserve">  </w:t>
      </w:r>
      <w:r w:rsidRPr="008A7274" w:rsidR="00C402DA">
        <w:rPr>
          <w:szCs w:val="22"/>
        </w:rPr>
        <w:t>In terms of Compton</w:t>
      </w:r>
      <w:r w:rsidRPr="008A7274">
        <w:rPr>
          <w:szCs w:val="22"/>
        </w:rPr>
        <w:t xml:space="preserve">, MEE explains that </w:t>
      </w:r>
      <w:r w:rsidRPr="008A7274" w:rsidR="00C402DA">
        <w:rPr>
          <w:szCs w:val="22"/>
        </w:rPr>
        <w:t>she</w:t>
      </w:r>
      <w:r w:rsidRPr="008A7274">
        <w:rPr>
          <w:szCs w:val="22"/>
        </w:rPr>
        <w:t xml:space="preserve"> “had passed away” prior to the </w:t>
      </w:r>
      <w:r w:rsidRPr="008A7274" w:rsidR="005020DE">
        <w:rPr>
          <w:szCs w:val="22"/>
        </w:rPr>
        <w:t>5-29-19 M</w:t>
      </w:r>
      <w:r w:rsidRPr="008A7274">
        <w:rPr>
          <w:szCs w:val="22"/>
        </w:rPr>
        <w:t xml:space="preserve">eeting, but </w:t>
      </w:r>
      <w:r w:rsidRPr="008A7274" w:rsidR="00AA16BC">
        <w:rPr>
          <w:szCs w:val="22"/>
        </w:rPr>
        <w:t>avoids</w:t>
      </w:r>
      <w:r w:rsidRPr="008A7274">
        <w:rPr>
          <w:szCs w:val="22"/>
        </w:rPr>
        <w:t xml:space="preserve"> specifying the date of Compton’s death</w:t>
      </w:r>
      <w:r w:rsidRPr="008A7274" w:rsidR="00C17971">
        <w:rPr>
          <w:szCs w:val="22"/>
        </w:rPr>
        <w:t xml:space="preserve"> and does not address the Third LOI’s question as to why MEE did not list Compton as an initial board member in the Second LOI Response</w:t>
      </w:r>
      <w:r w:rsidRPr="008A7274">
        <w:rPr>
          <w:szCs w:val="22"/>
        </w:rPr>
        <w:t>.</w:t>
      </w:r>
      <w:r>
        <w:rPr>
          <w:rStyle w:val="FootnoteReference"/>
          <w:sz w:val="22"/>
          <w:szCs w:val="22"/>
        </w:rPr>
        <w:footnoteReference w:id="57"/>
      </w:r>
      <w:r w:rsidRPr="00827C1B">
        <w:rPr>
          <w:szCs w:val="22"/>
        </w:rPr>
        <w:t xml:space="preserve">  MEE states that “her successor had not been chosen at that time”</w:t>
      </w:r>
      <w:r w:rsidRPr="008A7274" w:rsidR="00C17971">
        <w:rPr>
          <w:szCs w:val="22"/>
        </w:rPr>
        <w:t xml:space="preserve"> (apparently meaning after her death but prior to the 5-29-19 Meeting).</w:t>
      </w:r>
      <w:r>
        <w:rPr>
          <w:rStyle w:val="FootnoteReference"/>
          <w:sz w:val="22"/>
          <w:szCs w:val="22"/>
        </w:rPr>
        <w:footnoteReference w:id="58"/>
      </w:r>
      <w:r w:rsidRPr="00827C1B">
        <w:rPr>
          <w:szCs w:val="22"/>
        </w:rPr>
        <w:t xml:space="preserve">  MEE indicates that, “when th</w:t>
      </w:r>
      <w:r w:rsidRPr="006307CB">
        <w:rPr>
          <w:szCs w:val="22"/>
        </w:rPr>
        <w:t>e transfer was being filed with the FCC [Compton’s death] was pointed out to an FCC representative.”</w:t>
      </w:r>
      <w:r>
        <w:rPr>
          <w:rStyle w:val="FootnoteReference"/>
          <w:sz w:val="22"/>
          <w:szCs w:val="22"/>
        </w:rPr>
        <w:footnoteReference w:id="59"/>
      </w:r>
      <w:r w:rsidRPr="00827C1B">
        <w:rPr>
          <w:szCs w:val="22"/>
        </w:rPr>
        <w:t xml:space="preserve">  According to MEE, th</w:t>
      </w:r>
      <w:r w:rsidR="008C791D">
        <w:rPr>
          <w:szCs w:val="22"/>
        </w:rPr>
        <w:t>e Commission</w:t>
      </w:r>
      <w:r w:rsidRPr="00827C1B">
        <w:rPr>
          <w:szCs w:val="22"/>
        </w:rPr>
        <w:t xml:space="preserve"> representative “explained that a certain percentage of board members had to change for this to be an issue as it would not </w:t>
      </w:r>
      <w:r w:rsidRPr="008A7274" w:rsidR="008715EC">
        <w:rPr>
          <w:szCs w:val="22"/>
        </w:rPr>
        <w:t>[a]</w:t>
      </w:r>
      <w:r w:rsidRPr="008A7274">
        <w:rPr>
          <w:szCs w:val="22"/>
        </w:rPr>
        <w:t>ffect the voting quorum.”</w:t>
      </w:r>
      <w:r>
        <w:rPr>
          <w:rStyle w:val="FootnoteReference"/>
          <w:sz w:val="22"/>
          <w:szCs w:val="22"/>
        </w:rPr>
        <w:footnoteReference w:id="60"/>
      </w:r>
      <w:r w:rsidRPr="00827C1B">
        <w:rPr>
          <w:szCs w:val="22"/>
        </w:rPr>
        <w:t xml:space="preserve">  MEE states that it did not file a </w:t>
      </w:r>
      <w:r w:rsidRPr="006307CB">
        <w:rPr>
          <w:i/>
          <w:iCs/>
          <w:szCs w:val="22"/>
        </w:rPr>
        <w:t>pro forma</w:t>
      </w:r>
      <w:r w:rsidRPr="006307CB">
        <w:rPr>
          <w:szCs w:val="22"/>
        </w:rPr>
        <w:t xml:space="preserve"> transfer of control application regarding the board changes made </w:t>
      </w:r>
      <w:r w:rsidR="00A737B7">
        <w:rPr>
          <w:szCs w:val="22"/>
        </w:rPr>
        <w:t>at the 5-29-19 Meeting</w:t>
      </w:r>
      <w:r w:rsidRPr="006307CB">
        <w:rPr>
          <w:szCs w:val="22"/>
        </w:rPr>
        <w:t>, “because we had hoped that some of the original board members might have been able to return.”</w:t>
      </w:r>
      <w:r>
        <w:rPr>
          <w:rStyle w:val="FootnoteReference"/>
          <w:sz w:val="22"/>
          <w:szCs w:val="22"/>
        </w:rPr>
        <w:footnoteReference w:id="61"/>
      </w:r>
      <w:r w:rsidRPr="00827C1B">
        <w:rPr>
          <w:szCs w:val="22"/>
        </w:rPr>
        <w:t xml:space="preserve">  </w:t>
      </w:r>
    </w:p>
    <w:p w:rsidR="004725A3" w:rsidP="00962D66" w14:paraId="5FE2BE5C" w14:textId="4DA014EE">
      <w:pPr>
        <w:pStyle w:val="ParaNum"/>
        <w:rPr>
          <w:szCs w:val="22"/>
        </w:rPr>
      </w:pPr>
      <w:r w:rsidRPr="006307CB">
        <w:rPr>
          <w:szCs w:val="22"/>
        </w:rPr>
        <w:t>Ph</w:t>
      </w:r>
      <w:r w:rsidRPr="008A7274">
        <w:rPr>
          <w:szCs w:val="22"/>
        </w:rPr>
        <w:t>elps replied</w:t>
      </w:r>
      <w:r w:rsidR="00537B10">
        <w:rPr>
          <w:szCs w:val="22"/>
        </w:rPr>
        <w:t xml:space="preserve"> to the Third LOI Response</w:t>
      </w:r>
      <w:r w:rsidRPr="008A7274">
        <w:rPr>
          <w:szCs w:val="22"/>
        </w:rPr>
        <w:t>,</w:t>
      </w:r>
      <w:r w:rsidRPr="00827C1B">
        <w:rPr>
          <w:szCs w:val="22"/>
        </w:rPr>
        <w:t xml:space="preserve"> accusing MEE of lying to the Commission about Compton,</w:t>
      </w:r>
      <w:r>
        <w:rPr>
          <w:rStyle w:val="FootnoteReference"/>
          <w:sz w:val="22"/>
          <w:szCs w:val="22"/>
        </w:rPr>
        <w:footnoteReference w:id="62"/>
      </w:r>
      <w:r w:rsidRPr="00827C1B">
        <w:rPr>
          <w:szCs w:val="22"/>
        </w:rPr>
        <w:t xml:space="preserve"> and about the existence of certain </w:t>
      </w:r>
      <w:r w:rsidRPr="006307CB">
        <w:rPr>
          <w:szCs w:val="22"/>
        </w:rPr>
        <w:t>corporate documents like bylaws and meeting minutes.</w:t>
      </w:r>
      <w:r>
        <w:rPr>
          <w:rStyle w:val="FootnoteReference"/>
          <w:sz w:val="22"/>
          <w:szCs w:val="22"/>
        </w:rPr>
        <w:footnoteReference w:id="63"/>
      </w:r>
      <w:r w:rsidRPr="00827C1B">
        <w:rPr>
          <w:szCs w:val="22"/>
        </w:rPr>
        <w:t xml:space="preserve">  </w:t>
      </w:r>
    </w:p>
    <w:p w:rsidR="00B60833" w:rsidP="00B60833" w14:paraId="0E957A37" w14:textId="38FCC266">
      <w:pPr>
        <w:pStyle w:val="ParaNum"/>
        <w:widowControl/>
        <w:rPr>
          <w:szCs w:val="22"/>
        </w:rPr>
      </w:pPr>
      <w:r>
        <w:rPr>
          <w:i/>
          <w:iCs/>
          <w:szCs w:val="22"/>
        </w:rPr>
        <w:t xml:space="preserve">Legal Standard.  </w:t>
      </w:r>
      <w:r w:rsidRPr="00827C1B">
        <w:rPr>
          <w:szCs w:val="22"/>
        </w:rPr>
        <w:t xml:space="preserve">Section 309(k) of the </w:t>
      </w:r>
      <w:r w:rsidRPr="006307CB">
        <w:rPr>
          <w:szCs w:val="22"/>
        </w:rPr>
        <w:t>Act provides that the Commission shall</w:t>
      </w:r>
      <w:r w:rsidRPr="008A7274">
        <w:rPr>
          <w:szCs w:val="22"/>
        </w:rPr>
        <w:t xml:space="preserve"> renew a station’s license if it finds that during the previous license term: </w:t>
      </w:r>
      <w:r>
        <w:rPr>
          <w:szCs w:val="22"/>
        </w:rPr>
        <w:t xml:space="preserve"> </w:t>
      </w:r>
      <w:r w:rsidRPr="008A7274">
        <w:rPr>
          <w:szCs w:val="22"/>
        </w:rPr>
        <w:t>(a) the station served the public interest, convenience, and necessity</w:t>
      </w:r>
      <w:r>
        <w:rPr>
          <w:szCs w:val="22"/>
        </w:rPr>
        <w:t>;</w:t>
      </w:r>
      <w:r w:rsidRPr="008A7274">
        <w:rPr>
          <w:szCs w:val="22"/>
        </w:rPr>
        <w:t xml:space="preserve"> (b) there were no serious violations by the licensee of the Act or the Rules</w:t>
      </w:r>
      <w:r>
        <w:rPr>
          <w:szCs w:val="22"/>
        </w:rPr>
        <w:t>;</w:t>
      </w:r>
      <w:r w:rsidRPr="008A7274">
        <w:rPr>
          <w:szCs w:val="22"/>
        </w:rPr>
        <w:t xml:space="preserve"> </w:t>
      </w:r>
      <w:r w:rsidRPr="008A7274">
        <w:rPr>
          <w:szCs w:val="22"/>
        </w:rPr>
        <w:t>and (c) there have been no other violations by the licensee of the Act or Rules which, taken together, would constitute a pattern of abuse.</w:t>
      </w:r>
      <w:r>
        <w:rPr>
          <w:rStyle w:val="FootnoteReference"/>
          <w:sz w:val="22"/>
          <w:szCs w:val="22"/>
        </w:rPr>
        <w:footnoteReference w:id="64"/>
      </w:r>
      <w:r w:rsidRPr="00827C1B">
        <w:rPr>
          <w:szCs w:val="22"/>
        </w:rPr>
        <w:t xml:space="preserve">  If </w:t>
      </w:r>
      <w:r w:rsidRPr="006307CB">
        <w:rPr>
          <w:szCs w:val="22"/>
        </w:rPr>
        <w:t xml:space="preserve">a licensee has not met these requirements, the Commission may deny the </w:t>
      </w:r>
      <w:r w:rsidRPr="008A7274">
        <w:rPr>
          <w:szCs w:val="22"/>
        </w:rPr>
        <w:t>licensee’s application to renew its station’s license, or grant the application on such terms and conditions as are appropriate, including a short-term renewal.</w:t>
      </w:r>
      <w:r>
        <w:rPr>
          <w:rStyle w:val="FootnoteReference"/>
          <w:sz w:val="22"/>
          <w:szCs w:val="22"/>
        </w:rPr>
        <w:footnoteReference w:id="65"/>
      </w:r>
      <w:r w:rsidRPr="00827C1B">
        <w:rPr>
          <w:szCs w:val="22"/>
        </w:rPr>
        <w:t xml:space="preserve">  Prior to denying a renewal application, the Commission must provide notice and opportunity for a hearing conducted in accordance with section 309(e) of the Act and consider whethe</w:t>
      </w:r>
      <w:r w:rsidRPr="006307CB">
        <w:rPr>
          <w:szCs w:val="22"/>
        </w:rPr>
        <w:t>r any mitigating factors justify the imposition of lesser sanctions.</w:t>
      </w:r>
      <w:r>
        <w:rPr>
          <w:rStyle w:val="FootnoteReference"/>
          <w:sz w:val="22"/>
          <w:szCs w:val="22"/>
        </w:rPr>
        <w:footnoteReference w:id="66"/>
      </w:r>
    </w:p>
    <w:p w:rsidR="003C29F0" w:rsidP="003C29F0" w14:paraId="59A22B1E" w14:textId="77777777">
      <w:pPr>
        <w:pStyle w:val="ParaNum"/>
        <w:widowControl/>
        <w:rPr>
          <w:szCs w:val="22"/>
        </w:rPr>
      </w:pPr>
      <w:r w:rsidRPr="006307CB">
        <w:rPr>
          <w:szCs w:val="22"/>
        </w:rPr>
        <w:t>The Commission and the courts have recognized that “[t]he FCC relies heavily on the honesty and probity of its licensees in a regulatory system that is largely self-policing.”</w:t>
      </w:r>
      <w:r>
        <w:rPr>
          <w:rStyle w:val="FootnoteReference"/>
          <w:sz w:val="22"/>
          <w:szCs w:val="22"/>
        </w:rPr>
        <w:footnoteReference w:id="67"/>
      </w:r>
      <w:r w:rsidRPr="00827C1B">
        <w:rPr>
          <w:szCs w:val="22"/>
        </w:rPr>
        <w:t xml:space="preserve">  </w:t>
      </w:r>
      <w:r>
        <w:rPr>
          <w:szCs w:val="22"/>
        </w:rPr>
        <w:t>Full and clear disclosure of all material facts in every application (or response to a Commission request for information) is essential to the efficient administration of the Commission’s licensing process, and the Commission’s proper analysis of an application is critically dependent on the accuracy and completeness of information and data that only the applicant can provide.</w:t>
      </w:r>
      <w:r>
        <w:rPr>
          <w:rStyle w:val="FootnoteReference"/>
          <w:szCs w:val="22"/>
        </w:rPr>
        <w:footnoteReference w:id="68"/>
      </w:r>
      <w:r>
        <w:rPr>
          <w:szCs w:val="22"/>
        </w:rPr>
        <w:t xml:space="preserve">  M</w:t>
      </w:r>
      <w:r w:rsidRPr="00827C1B">
        <w:rPr>
          <w:szCs w:val="22"/>
        </w:rPr>
        <w:t xml:space="preserve">isrepresentation and lack of candor </w:t>
      </w:r>
      <w:r>
        <w:rPr>
          <w:szCs w:val="22"/>
        </w:rPr>
        <w:t>raise serious concerns as to the likelihood that the Commission can rely on an applicant, permittee, or licensee to be truthful.</w:t>
      </w:r>
      <w:r>
        <w:rPr>
          <w:rStyle w:val="FootnoteReference"/>
          <w:szCs w:val="22"/>
        </w:rPr>
        <w:footnoteReference w:id="69"/>
      </w:r>
      <w:r>
        <w:rPr>
          <w:szCs w:val="22"/>
        </w:rPr>
        <w:t xml:space="preserve">  Thus, misrepresentation and lack of candor </w:t>
      </w:r>
      <w:r w:rsidRPr="00827C1B">
        <w:rPr>
          <w:szCs w:val="22"/>
        </w:rPr>
        <w:t xml:space="preserve">constitute the types of </w:t>
      </w:r>
      <w:r w:rsidRPr="008A7274">
        <w:rPr>
          <w:szCs w:val="22"/>
        </w:rPr>
        <w:t>serious violations of the Rules that may be grounds for denying a license renewal application.</w:t>
      </w:r>
      <w:r>
        <w:rPr>
          <w:rStyle w:val="FootnoteReference"/>
          <w:sz w:val="22"/>
          <w:szCs w:val="22"/>
        </w:rPr>
        <w:footnoteReference w:id="70"/>
      </w:r>
      <w:r w:rsidRPr="00827C1B">
        <w:rPr>
          <w:szCs w:val="22"/>
        </w:rPr>
        <w:t xml:space="preserve">  </w:t>
      </w:r>
    </w:p>
    <w:p w:rsidR="003C29F0" w:rsidP="003C29F0" w14:paraId="3D5CF723" w14:textId="77777777">
      <w:pPr>
        <w:pStyle w:val="ParaNum"/>
        <w:widowControl/>
        <w:rPr>
          <w:szCs w:val="22"/>
        </w:rPr>
      </w:pPr>
      <w:r>
        <w:t>Section 1.17(a)(1) provides that no person shall, in any written or oral statement of fact, “</w:t>
      </w:r>
      <w:r w:rsidRPr="00DB05C1">
        <w:t>intentionally</w:t>
      </w:r>
      <w:r w:rsidRPr="008A7274">
        <w:t xml:space="preserve"> </w:t>
      </w:r>
      <w:r>
        <w:t>provide</w:t>
      </w:r>
      <w:r w:rsidRPr="008A7274">
        <w:t xml:space="preserve"> material factual information </w:t>
      </w:r>
      <w:r>
        <w:t xml:space="preserve">that is incorrect or </w:t>
      </w:r>
      <w:r w:rsidRPr="00DB05C1">
        <w:t>intentionally</w:t>
      </w:r>
      <w:r>
        <w:t xml:space="preserve"> omit material information that is necessary to prevent any material factual statement that is being made from being incorrect or misleading.”</w:t>
      </w:r>
      <w:r>
        <w:rPr>
          <w:rStyle w:val="FootnoteReference"/>
        </w:rPr>
        <w:footnoteReference w:id="71"/>
      </w:r>
      <w:r>
        <w:t xml:space="preserve">  </w:t>
      </w:r>
      <w:r w:rsidRPr="008A7274">
        <w:rPr>
          <w:szCs w:val="22"/>
        </w:rPr>
        <w:t xml:space="preserve">A misrepresentation </w:t>
      </w:r>
      <w:r>
        <w:rPr>
          <w:szCs w:val="22"/>
        </w:rPr>
        <w:t>(</w:t>
      </w:r>
      <w:r w:rsidRPr="008A7274">
        <w:rPr>
          <w:szCs w:val="22"/>
        </w:rPr>
        <w:t>a false statement of fact or false certification made with intent to deceive the Commission</w:t>
      </w:r>
      <w:r>
        <w:rPr>
          <w:szCs w:val="22"/>
        </w:rPr>
        <w:t>) is within the scope of section 1.17</w:t>
      </w:r>
      <w:r w:rsidRPr="008A7274">
        <w:rPr>
          <w:szCs w:val="22"/>
        </w:rPr>
        <w:t>.</w:t>
      </w:r>
      <w:r>
        <w:rPr>
          <w:rStyle w:val="FootnoteReference"/>
          <w:sz w:val="22"/>
          <w:szCs w:val="22"/>
        </w:rPr>
        <w:footnoteReference w:id="72"/>
      </w:r>
      <w:r w:rsidRPr="00827C1B">
        <w:rPr>
          <w:szCs w:val="22"/>
        </w:rPr>
        <w:t xml:space="preserve">  </w:t>
      </w:r>
      <w:r>
        <w:rPr>
          <w:szCs w:val="22"/>
        </w:rPr>
        <w:t>Similarly, l</w:t>
      </w:r>
      <w:r w:rsidRPr="00827C1B">
        <w:rPr>
          <w:szCs w:val="22"/>
        </w:rPr>
        <w:t xml:space="preserve">ack of candor </w:t>
      </w:r>
      <w:r>
        <w:rPr>
          <w:szCs w:val="22"/>
        </w:rPr>
        <w:t>(</w:t>
      </w:r>
      <w:r w:rsidRPr="00827C1B">
        <w:rPr>
          <w:szCs w:val="22"/>
        </w:rPr>
        <w:t xml:space="preserve">a concealment, evasion, or other failure to be fully informative, accompanied by </w:t>
      </w:r>
      <w:r>
        <w:rPr>
          <w:szCs w:val="22"/>
        </w:rPr>
        <w:t xml:space="preserve">an </w:t>
      </w:r>
      <w:r w:rsidRPr="00827C1B">
        <w:rPr>
          <w:szCs w:val="22"/>
        </w:rPr>
        <w:t>intent t</w:t>
      </w:r>
      <w:r w:rsidRPr="008A7274">
        <w:rPr>
          <w:szCs w:val="22"/>
        </w:rPr>
        <w:t>o deceive the Commission</w:t>
      </w:r>
      <w:r>
        <w:rPr>
          <w:szCs w:val="22"/>
        </w:rPr>
        <w:t>) is within the scope of the rule</w:t>
      </w:r>
      <w:r w:rsidRPr="008A7274">
        <w:rPr>
          <w:szCs w:val="22"/>
        </w:rPr>
        <w:t>.</w:t>
      </w:r>
      <w:r>
        <w:rPr>
          <w:rStyle w:val="FootnoteReference"/>
          <w:szCs w:val="22"/>
        </w:rPr>
        <w:footnoteReference w:id="73"/>
      </w:r>
      <w:r w:rsidRPr="008A7274">
        <w:rPr>
          <w:szCs w:val="22"/>
        </w:rPr>
        <w:t xml:space="preserve">  </w:t>
      </w:r>
      <w:r>
        <w:rPr>
          <w:szCs w:val="22"/>
        </w:rPr>
        <w:t>A necessary and essential element of both misrepresentation and lack of candor is intent to deceive.</w:t>
      </w:r>
      <w:r>
        <w:rPr>
          <w:rStyle w:val="FootnoteReference"/>
          <w:szCs w:val="22"/>
        </w:rPr>
        <w:footnoteReference w:id="74"/>
      </w:r>
      <w:r>
        <w:rPr>
          <w:szCs w:val="22"/>
        </w:rPr>
        <w:t xml:space="preserve">  </w:t>
      </w:r>
      <w:r w:rsidRPr="008A7274">
        <w:rPr>
          <w:szCs w:val="22"/>
        </w:rPr>
        <w:t xml:space="preserve">Intent to deceive </w:t>
      </w:r>
      <w:r>
        <w:rPr>
          <w:szCs w:val="22"/>
        </w:rPr>
        <w:t>can be found where</w:t>
      </w:r>
      <w:r w:rsidRPr="008A7274">
        <w:rPr>
          <w:szCs w:val="22"/>
        </w:rPr>
        <w:t xml:space="preserve"> a licensee or applicant knowingly makes a false statement (or false certification), and can also be </w:t>
      </w:r>
      <w:r>
        <w:rPr>
          <w:szCs w:val="22"/>
        </w:rPr>
        <w:t xml:space="preserve">found </w:t>
      </w:r>
      <w:r>
        <w:rPr>
          <w:szCs w:val="22"/>
        </w:rPr>
        <w:t>from motive or logical desire to deceive,</w:t>
      </w:r>
      <w:r>
        <w:rPr>
          <w:rStyle w:val="FootnoteReference"/>
          <w:szCs w:val="22"/>
        </w:rPr>
        <w:footnoteReference w:id="75"/>
      </w:r>
      <w:r>
        <w:rPr>
          <w:szCs w:val="22"/>
        </w:rPr>
        <w:t xml:space="preserve"> or</w:t>
      </w:r>
      <w:r w:rsidRPr="008A7274">
        <w:rPr>
          <w:szCs w:val="22"/>
        </w:rPr>
        <w:t xml:space="preserve"> when the surrounding circumstances clearly show the existence of intent to deceive.</w:t>
      </w:r>
      <w:r>
        <w:rPr>
          <w:rStyle w:val="FootnoteReference"/>
          <w:sz w:val="22"/>
          <w:szCs w:val="22"/>
        </w:rPr>
        <w:footnoteReference w:id="76"/>
      </w:r>
      <w:r w:rsidRPr="00827C1B">
        <w:rPr>
          <w:szCs w:val="22"/>
        </w:rPr>
        <w:t xml:space="preserve">  </w:t>
      </w:r>
    </w:p>
    <w:p w:rsidR="003C29F0" w:rsidRPr="003C29F0" w:rsidP="003C29F0" w14:paraId="53BAA4D6" w14:textId="3CFB2E58">
      <w:pPr>
        <w:pStyle w:val="ParaNum"/>
        <w:widowControl/>
        <w:rPr>
          <w:szCs w:val="22"/>
        </w:rPr>
      </w:pPr>
      <w:r w:rsidRPr="0099342F">
        <w:t xml:space="preserve">Section 1.17(a)(2) further requires that no person may provide, in any written statement of fact, “material factual information that is incorrect or omit material information that is necessary to prevent any material factual statement that is made from being incorrect or misleading </w:t>
      </w:r>
      <w:r w:rsidRPr="00DB05C1">
        <w:t>without a reasonable basis</w:t>
      </w:r>
      <w:r w:rsidRPr="0099342F">
        <w:t xml:space="preserve"> for believing that any such material factual statement is correct and not misleading</w:t>
      </w:r>
      <w:r w:rsidRPr="008A7274">
        <w:t>.</w:t>
      </w:r>
      <w:r>
        <w:t>”</w:t>
      </w:r>
      <w:r>
        <w:rPr>
          <w:rStyle w:val="FootnoteReference"/>
        </w:rPr>
        <w:footnoteReference w:id="77"/>
      </w:r>
      <w:r>
        <w:t xml:space="preserve">  Thus, even absent an intent to deceive, an incorrect statement regarding material factual information (or an omission of such information) may constitute an actionable violation of section 1.17 of the Rules if the statement (or omission) was made without a reasonable basis for believing that the material factual statement was correct and not misleading.</w:t>
      </w:r>
      <w:r>
        <w:rPr>
          <w:rStyle w:val="FootnoteReference"/>
        </w:rPr>
        <w:footnoteReference w:id="78"/>
      </w:r>
      <w:r>
        <w:t xml:space="preserve"> </w:t>
      </w:r>
    </w:p>
    <w:p w:rsidR="00347CF3" w:rsidRPr="008A7274" w:rsidP="00627CB2" w14:paraId="28846FA7" w14:textId="07022753">
      <w:pPr>
        <w:pStyle w:val="Heading1"/>
      </w:pPr>
      <w:r w:rsidRPr="008A7274">
        <w:t>Discussion</w:t>
      </w:r>
    </w:p>
    <w:p w:rsidR="00CE10D8" w:rsidRPr="008A7274" w:rsidP="00D63040" w14:paraId="13E42844" w14:textId="590A7C2C">
      <w:pPr>
        <w:pStyle w:val="ParaNum"/>
        <w:widowControl/>
        <w:rPr>
          <w:szCs w:val="22"/>
        </w:rPr>
      </w:pPr>
      <w:r w:rsidRPr="008A7274">
        <w:rPr>
          <w:szCs w:val="22"/>
        </w:rPr>
        <w:t xml:space="preserve">We find that the record in this proceeding raises </w:t>
      </w:r>
      <w:r w:rsidRPr="008A7274" w:rsidR="00D2151D">
        <w:rPr>
          <w:szCs w:val="22"/>
        </w:rPr>
        <w:t>substantial and material questions of fact</w:t>
      </w:r>
      <w:r w:rsidRPr="008A7274" w:rsidR="004C4527">
        <w:rPr>
          <w:szCs w:val="22"/>
        </w:rPr>
        <w:t>, and thus a hearing is required</w:t>
      </w:r>
      <w:r w:rsidRPr="008A7274" w:rsidR="009B0F16">
        <w:rPr>
          <w:szCs w:val="22"/>
        </w:rPr>
        <w:t>.</w:t>
      </w:r>
      <w:r>
        <w:rPr>
          <w:rStyle w:val="FootnoteReference"/>
          <w:sz w:val="22"/>
          <w:szCs w:val="22"/>
        </w:rPr>
        <w:footnoteReference w:id="79"/>
      </w:r>
      <w:r w:rsidRPr="00827C1B" w:rsidR="009B0F16">
        <w:rPr>
          <w:szCs w:val="22"/>
        </w:rPr>
        <w:t xml:space="preserve">  </w:t>
      </w:r>
      <w:r w:rsidRPr="006307CB" w:rsidR="00D2151D">
        <w:rPr>
          <w:szCs w:val="22"/>
        </w:rPr>
        <w:t xml:space="preserve">Specifically, </w:t>
      </w:r>
      <w:r w:rsidRPr="006307CB" w:rsidR="00716B64">
        <w:rPr>
          <w:szCs w:val="22"/>
        </w:rPr>
        <w:t xml:space="preserve">it appears </w:t>
      </w:r>
      <w:r w:rsidRPr="008A7274" w:rsidR="00D63514">
        <w:rPr>
          <w:szCs w:val="22"/>
        </w:rPr>
        <w:t>MEE repeatedly</w:t>
      </w:r>
      <w:r w:rsidRPr="008A7274" w:rsidR="009B0F16">
        <w:rPr>
          <w:szCs w:val="22"/>
        </w:rPr>
        <w:t xml:space="preserve"> </w:t>
      </w:r>
      <w:r w:rsidRPr="008A7274" w:rsidR="00D63514">
        <w:rPr>
          <w:szCs w:val="22"/>
        </w:rPr>
        <w:t>failed</w:t>
      </w:r>
      <w:r w:rsidRPr="008A7274" w:rsidR="008D0944">
        <w:rPr>
          <w:szCs w:val="22"/>
        </w:rPr>
        <w:t xml:space="preserve"> to fully </w:t>
      </w:r>
      <w:r w:rsidRPr="008A7274" w:rsidR="008901E0">
        <w:rPr>
          <w:szCs w:val="22"/>
        </w:rPr>
        <w:t xml:space="preserve">respond </w:t>
      </w:r>
      <w:r w:rsidRPr="008A7274" w:rsidR="008D0944">
        <w:rPr>
          <w:szCs w:val="22"/>
        </w:rPr>
        <w:t xml:space="preserve">to Commission inquiries, contrary to section 73.1015 of the </w:t>
      </w:r>
      <w:r w:rsidRPr="008A7274" w:rsidR="00BD5489">
        <w:rPr>
          <w:szCs w:val="22"/>
        </w:rPr>
        <w:t>Rules</w:t>
      </w:r>
      <w:r w:rsidRPr="008A7274" w:rsidR="007F7DE1">
        <w:rPr>
          <w:szCs w:val="22"/>
        </w:rPr>
        <w:t>,</w:t>
      </w:r>
      <w:r w:rsidRPr="008A7274" w:rsidR="006735FE">
        <w:rPr>
          <w:szCs w:val="22"/>
        </w:rPr>
        <w:t xml:space="preserve"> and</w:t>
      </w:r>
      <w:r w:rsidRPr="008A7274" w:rsidR="007F7DE1">
        <w:rPr>
          <w:szCs w:val="22"/>
        </w:rPr>
        <w:t xml:space="preserve"> </w:t>
      </w:r>
      <w:r w:rsidRPr="008A7274" w:rsidR="00484B2E">
        <w:rPr>
          <w:szCs w:val="22"/>
        </w:rPr>
        <w:t>deliberately</w:t>
      </w:r>
      <w:r w:rsidRPr="008A7274" w:rsidR="007F7DE1">
        <w:rPr>
          <w:szCs w:val="22"/>
        </w:rPr>
        <w:t xml:space="preserve"> failed to notify the Commission of a </w:t>
      </w:r>
      <w:r w:rsidRPr="008A7274" w:rsidR="007F7DE1">
        <w:rPr>
          <w:i/>
          <w:iCs/>
          <w:szCs w:val="22"/>
        </w:rPr>
        <w:t>pro forma</w:t>
      </w:r>
      <w:r w:rsidRPr="008A7274" w:rsidR="007F7DE1">
        <w:rPr>
          <w:szCs w:val="22"/>
        </w:rPr>
        <w:t xml:space="preserve"> tran</w:t>
      </w:r>
      <w:r w:rsidRPr="008A7274" w:rsidR="00484B2E">
        <w:rPr>
          <w:szCs w:val="22"/>
        </w:rPr>
        <w:t>sf</w:t>
      </w:r>
      <w:r w:rsidRPr="008A7274" w:rsidR="007F7DE1">
        <w:rPr>
          <w:szCs w:val="22"/>
        </w:rPr>
        <w:t>er of control that occurred in 2019</w:t>
      </w:r>
      <w:r w:rsidRPr="008A7274" w:rsidR="00BD5489">
        <w:rPr>
          <w:szCs w:val="22"/>
        </w:rPr>
        <w:t xml:space="preserve"> in violation of section 73.865 of the Rules</w:t>
      </w:r>
      <w:r w:rsidRPr="008A7274" w:rsidR="00D63514">
        <w:rPr>
          <w:szCs w:val="22"/>
        </w:rPr>
        <w:t xml:space="preserve">.  </w:t>
      </w:r>
      <w:r w:rsidRPr="008A7274" w:rsidR="00A8733E">
        <w:rPr>
          <w:szCs w:val="22"/>
        </w:rPr>
        <w:t>These apparent violations</w:t>
      </w:r>
      <w:r w:rsidRPr="008A7274" w:rsidR="00D63514">
        <w:rPr>
          <w:szCs w:val="22"/>
        </w:rPr>
        <w:t xml:space="preserve"> </w:t>
      </w:r>
      <w:r w:rsidRPr="008A7274" w:rsidR="005932DC">
        <w:rPr>
          <w:szCs w:val="22"/>
        </w:rPr>
        <w:t>suggest</w:t>
      </w:r>
      <w:r w:rsidRPr="008A7274" w:rsidR="00D63514">
        <w:rPr>
          <w:szCs w:val="22"/>
        </w:rPr>
        <w:t xml:space="preserve"> </w:t>
      </w:r>
      <w:r w:rsidRPr="008A7274" w:rsidR="009B0F16">
        <w:rPr>
          <w:szCs w:val="22"/>
        </w:rPr>
        <w:t xml:space="preserve">an indifference to the Commission’s regulatory authority that is patently inconsistent with </w:t>
      </w:r>
      <w:r w:rsidRPr="008A7274" w:rsidR="005932DC">
        <w:rPr>
          <w:szCs w:val="22"/>
        </w:rPr>
        <w:t>the</w:t>
      </w:r>
      <w:r w:rsidRPr="008A7274" w:rsidR="009B0F16">
        <w:rPr>
          <w:szCs w:val="22"/>
        </w:rPr>
        <w:t xml:space="preserve"> responsibilities </w:t>
      </w:r>
      <w:r w:rsidRPr="008A7274" w:rsidR="005932DC">
        <w:rPr>
          <w:szCs w:val="22"/>
        </w:rPr>
        <w:t xml:space="preserve">of </w:t>
      </w:r>
      <w:r w:rsidRPr="008A7274" w:rsidR="009B0F16">
        <w:rPr>
          <w:szCs w:val="22"/>
        </w:rPr>
        <w:t xml:space="preserve">a licensee.  </w:t>
      </w:r>
      <w:r w:rsidRPr="008A7274" w:rsidR="00A8733E">
        <w:rPr>
          <w:szCs w:val="22"/>
        </w:rPr>
        <w:t>Furthermore</w:t>
      </w:r>
      <w:r w:rsidRPr="008A7274" w:rsidR="00A5456D">
        <w:rPr>
          <w:szCs w:val="22"/>
        </w:rPr>
        <w:t>, it appears MEE misrepresented its board composition in the Assignment Application, and made misrepresentations to or lacked candor with the Commission in its responses to the LOIs</w:t>
      </w:r>
      <w:r w:rsidR="005D5C59">
        <w:rPr>
          <w:szCs w:val="22"/>
        </w:rPr>
        <w:t xml:space="preserve"> in violation of section 1.17 of the Rules</w:t>
      </w:r>
      <w:r w:rsidRPr="008A7274" w:rsidR="00A5456D">
        <w:rPr>
          <w:szCs w:val="22"/>
        </w:rPr>
        <w:t xml:space="preserve">.  </w:t>
      </w:r>
    </w:p>
    <w:p w:rsidR="00FA0BEC" w:rsidRPr="008A7274" w:rsidP="008F7BB7" w14:paraId="17EC8CB6" w14:textId="19874F04">
      <w:pPr>
        <w:pStyle w:val="Heading2"/>
        <w:rPr>
          <w:szCs w:val="22"/>
        </w:rPr>
      </w:pPr>
      <w:r w:rsidRPr="008A7274">
        <w:rPr>
          <w:szCs w:val="22"/>
        </w:rPr>
        <w:t>Failure to Submit Full and Complete Responses to LOIs</w:t>
      </w:r>
    </w:p>
    <w:p w:rsidR="002A11F7" w:rsidRPr="00FC4F9E" w:rsidP="006249D9" w14:paraId="25DDA03E" w14:textId="6794AC83">
      <w:pPr>
        <w:pStyle w:val="ParaNum"/>
        <w:widowControl/>
        <w:rPr>
          <w:szCs w:val="22"/>
        </w:rPr>
      </w:pPr>
      <w:r>
        <w:rPr>
          <w:szCs w:val="22"/>
        </w:rPr>
        <w:t xml:space="preserve">We find there is a substantial and material question of fact as to whether MEE violated section 73.1015. </w:t>
      </w:r>
      <w:r w:rsidR="00B60833">
        <w:rPr>
          <w:szCs w:val="22"/>
        </w:rPr>
        <w:t xml:space="preserve"> </w:t>
      </w:r>
      <w:r w:rsidR="00117AF3">
        <w:rPr>
          <w:szCs w:val="22"/>
        </w:rPr>
        <w:t xml:space="preserve">Section 73.1015 of the Rules </w:t>
      </w:r>
      <w:r w:rsidRPr="006307CB" w:rsidR="00117AF3">
        <w:t>states:  “The Commission or its representatives may, in writing, require from any applicant, permittee, or licensee written statement</w:t>
      </w:r>
      <w:r w:rsidRPr="008A7274" w:rsidR="00117AF3">
        <w:t xml:space="preserve">s of fact relevant to a determination whether an application should be granted or denied, or to a determination whether a license </w:t>
      </w:r>
      <w:r w:rsidRPr="008A7274" w:rsidR="00117AF3">
        <w:t>should be revoked, or to any other matter within the jurisdiction of the Commission.”</w:t>
      </w:r>
      <w:r>
        <w:rPr>
          <w:rStyle w:val="FootnoteReference"/>
        </w:rPr>
        <w:footnoteReference w:id="80"/>
      </w:r>
      <w:r w:rsidRPr="008A7274" w:rsidR="00117AF3">
        <w:t xml:space="preserve">  </w:t>
      </w:r>
      <w:r w:rsidR="00741579">
        <w:t xml:space="preserve">It is important that </w:t>
      </w:r>
      <w:r w:rsidR="00C54EC7">
        <w:t>licensees (and applicants and permittees)</w:t>
      </w:r>
      <w:r w:rsidR="0085199E">
        <w:t xml:space="preserve"> fully</w:t>
      </w:r>
      <w:r w:rsidR="00C54EC7">
        <w:t xml:space="preserve"> </w:t>
      </w:r>
      <w:r w:rsidR="000714B5">
        <w:t>respond to Commission requests for information</w:t>
      </w:r>
      <w:r w:rsidR="0085199E">
        <w:t>,</w:t>
      </w:r>
      <w:r w:rsidR="000714B5">
        <w:t xml:space="preserve"> and do so in a timely manner</w:t>
      </w:r>
      <w:r w:rsidR="0085199E">
        <w:t>.  The failure to do so impedes the Commission’s ability to</w:t>
      </w:r>
      <w:r w:rsidR="00143272">
        <w:t xml:space="preserve"> carry out its responsibilities.</w:t>
      </w:r>
      <w:r>
        <w:rPr>
          <w:rStyle w:val="FootnoteReference"/>
        </w:rPr>
        <w:footnoteReference w:id="81"/>
      </w:r>
      <w:r w:rsidR="00143272">
        <w:t xml:space="preserve">  </w:t>
      </w:r>
    </w:p>
    <w:p w:rsidR="0032329E" w:rsidRPr="008A7274" w:rsidP="00475D37" w14:paraId="0437AFEB" w14:textId="75D79888">
      <w:pPr>
        <w:pStyle w:val="ParaNum"/>
        <w:rPr>
          <w:szCs w:val="22"/>
        </w:rPr>
      </w:pPr>
      <w:r w:rsidRPr="008A7274">
        <w:rPr>
          <w:szCs w:val="22"/>
        </w:rPr>
        <w:t>The First LOI made a straightforward request</w:t>
      </w:r>
      <w:r w:rsidRPr="008A7274" w:rsidR="00FA0BEC">
        <w:rPr>
          <w:szCs w:val="22"/>
        </w:rPr>
        <w:t xml:space="preserve"> </w:t>
      </w:r>
      <w:r w:rsidRPr="008A7274">
        <w:rPr>
          <w:szCs w:val="22"/>
        </w:rPr>
        <w:t>for</w:t>
      </w:r>
      <w:r w:rsidRPr="008A7274" w:rsidR="00FA0BEC">
        <w:rPr>
          <w:szCs w:val="22"/>
        </w:rPr>
        <w:t xml:space="preserve"> a list of all </w:t>
      </w:r>
      <w:r w:rsidRPr="008A7274" w:rsidR="002F6030">
        <w:rPr>
          <w:szCs w:val="22"/>
        </w:rPr>
        <w:t xml:space="preserve">MEE </w:t>
      </w:r>
      <w:r w:rsidRPr="008A7274" w:rsidR="00FA0BEC">
        <w:rPr>
          <w:szCs w:val="22"/>
        </w:rPr>
        <w:t xml:space="preserve">board members and officers, present and past, and the dates each </w:t>
      </w:r>
      <w:r w:rsidRPr="008A7274" w:rsidR="00660F49">
        <w:rPr>
          <w:szCs w:val="22"/>
        </w:rPr>
        <w:t xml:space="preserve">person </w:t>
      </w:r>
      <w:r w:rsidRPr="008A7274" w:rsidR="00FA0BEC">
        <w:rPr>
          <w:szCs w:val="22"/>
        </w:rPr>
        <w:t xml:space="preserve">served on the board or as an officer.  </w:t>
      </w:r>
      <w:r w:rsidRPr="008A7274" w:rsidR="002F6030">
        <w:rPr>
          <w:szCs w:val="22"/>
        </w:rPr>
        <w:t>Despite the clarity and simplicity of the request</w:t>
      </w:r>
      <w:r w:rsidRPr="008A7274" w:rsidR="00091FF3">
        <w:rPr>
          <w:szCs w:val="22"/>
        </w:rPr>
        <w:t>, and despite the fact that MEE clearly</w:t>
      </w:r>
      <w:r w:rsidRPr="008A7274" w:rsidR="006B6ADE">
        <w:rPr>
          <w:szCs w:val="22"/>
        </w:rPr>
        <w:t xml:space="preserve"> was in possession of this information</w:t>
      </w:r>
      <w:r w:rsidRPr="008A7274" w:rsidR="00554680">
        <w:rPr>
          <w:szCs w:val="22"/>
        </w:rPr>
        <w:t xml:space="preserve">, </w:t>
      </w:r>
      <w:r w:rsidRPr="008A7274">
        <w:rPr>
          <w:szCs w:val="22"/>
        </w:rPr>
        <w:t>ME</w:t>
      </w:r>
      <w:r w:rsidRPr="008A7274" w:rsidR="006B6ADE">
        <w:rPr>
          <w:szCs w:val="22"/>
        </w:rPr>
        <w:t xml:space="preserve">E submitted </w:t>
      </w:r>
      <w:r w:rsidRPr="008A7274" w:rsidR="00706044">
        <w:rPr>
          <w:szCs w:val="22"/>
        </w:rPr>
        <w:t>a</w:t>
      </w:r>
      <w:r w:rsidRPr="008A7274" w:rsidR="006B6ADE">
        <w:rPr>
          <w:szCs w:val="22"/>
        </w:rPr>
        <w:t xml:space="preserve"> list</w:t>
      </w:r>
      <w:r w:rsidRPr="008A7274" w:rsidR="0058020E">
        <w:rPr>
          <w:szCs w:val="22"/>
        </w:rPr>
        <w:t xml:space="preserve"> </w:t>
      </w:r>
      <w:r w:rsidRPr="008A7274" w:rsidR="006A05D3">
        <w:rPr>
          <w:szCs w:val="22"/>
        </w:rPr>
        <w:t>of</w:t>
      </w:r>
      <w:r w:rsidR="006433F3">
        <w:rPr>
          <w:szCs w:val="22"/>
        </w:rPr>
        <w:t xml:space="preserve"> only</w:t>
      </w:r>
      <w:r w:rsidRPr="008A7274" w:rsidR="006A05D3">
        <w:rPr>
          <w:szCs w:val="22"/>
        </w:rPr>
        <w:t xml:space="preserve"> its </w:t>
      </w:r>
      <w:r w:rsidRPr="008A7274" w:rsidR="00706044">
        <w:rPr>
          <w:szCs w:val="22"/>
        </w:rPr>
        <w:t xml:space="preserve">current </w:t>
      </w:r>
      <w:r w:rsidRPr="008A7274" w:rsidR="006A05D3">
        <w:rPr>
          <w:szCs w:val="22"/>
        </w:rPr>
        <w:t xml:space="preserve">board members and officers, and </w:t>
      </w:r>
      <w:r w:rsidRPr="008A7274" w:rsidR="00706044">
        <w:rPr>
          <w:szCs w:val="22"/>
        </w:rPr>
        <w:t xml:space="preserve">specified only the year (as opposed to the month, day, and year) in which these individuals </w:t>
      </w:r>
      <w:r w:rsidRPr="008A7274" w:rsidR="00CB0CB3">
        <w:rPr>
          <w:szCs w:val="22"/>
        </w:rPr>
        <w:t>were installed as board members and/or officers</w:t>
      </w:r>
      <w:r w:rsidRPr="008A7274" w:rsidR="002C4AFD">
        <w:rPr>
          <w:szCs w:val="22"/>
        </w:rPr>
        <w:t>.</w:t>
      </w:r>
      <w:r w:rsidRPr="008A7274" w:rsidR="00CB0CB3">
        <w:rPr>
          <w:szCs w:val="22"/>
        </w:rPr>
        <w:t xml:space="preserve">  Further, MEE did not submit any documentation</w:t>
      </w:r>
      <w:r w:rsidRPr="008A7274" w:rsidR="00FF7D3B">
        <w:rPr>
          <w:szCs w:val="22"/>
        </w:rPr>
        <w:t xml:space="preserve"> related to its board composition, or the installation and removal of its board members and officers.</w:t>
      </w:r>
      <w:r w:rsidRPr="008A7274" w:rsidR="006B7991">
        <w:rPr>
          <w:szCs w:val="22"/>
        </w:rPr>
        <w:t xml:space="preserve">  MEE also did not submit the supporting affidavit or declaration required by the First LOI.</w:t>
      </w:r>
      <w:r w:rsidR="00197656">
        <w:rPr>
          <w:szCs w:val="22"/>
        </w:rPr>
        <w:t xml:space="preserve">  </w:t>
      </w:r>
    </w:p>
    <w:p w:rsidR="007E0EF9" w:rsidRPr="00827C1B" w:rsidP="00475D37" w14:paraId="73FFB306" w14:textId="190E05DA">
      <w:pPr>
        <w:pStyle w:val="ParaNum"/>
        <w:rPr>
          <w:szCs w:val="22"/>
        </w:rPr>
      </w:pPr>
      <w:r w:rsidRPr="008A7274">
        <w:rPr>
          <w:szCs w:val="22"/>
        </w:rPr>
        <w:t xml:space="preserve">The Second LOI again requested that MEE identify all individuals who </w:t>
      </w:r>
      <w:r w:rsidRPr="008A7274" w:rsidR="005D75E0">
        <w:rPr>
          <w:szCs w:val="22"/>
        </w:rPr>
        <w:t>had</w:t>
      </w:r>
      <w:r w:rsidRPr="008A7274" w:rsidR="0001527D">
        <w:rPr>
          <w:szCs w:val="22"/>
        </w:rPr>
        <w:t xml:space="preserve"> served as officers and directors of MEE since it was first incorporated.</w:t>
      </w:r>
      <w:r>
        <w:rPr>
          <w:rStyle w:val="FootnoteReference"/>
          <w:sz w:val="22"/>
          <w:szCs w:val="22"/>
        </w:rPr>
        <w:footnoteReference w:id="82"/>
      </w:r>
      <w:r w:rsidRPr="00827C1B" w:rsidR="005D75E0">
        <w:rPr>
          <w:szCs w:val="22"/>
        </w:rPr>
        <w:t xml:space="preserve">  It </w:t>
      </w:r>
      <w:r w:rsidRPr="006307CB" w:rsidR="0018414B">
        <w:rPr>
          <w:szCs w:val="22"/>
        </w:rPr>
        <w:t>again</w:t>
      </w:r>
      <w:r w:rsidRPr="006307CB" w:rsidR="005D75E0">
        <w:rPr>
          <w:szCs w:val="22"/>
        </w:rPr>
        <w:t xml:space="preserve"> specified that MEE “must also state the position or positions the person held, and the dates on which the person held those positions.”</w:t>
      </w:r>
      <w:r>
        <w:rPr>
          <w:rStyle w:val="FootnoteReference"/>
          <w:sz w:val="22"/>
          <w:szCs w:val="22"/>
        </w:rPr>
        <w:footnoteReference w:id="83"/>
      </w:r>
      <w:r w:rsidRPr="00827C1B" w:rsidR="005D75E0">
        <w:rPr>
          <w:szCs w:val="22"/>
        </w:rPr>
        <w:t xml:space="preserve">  In addition, it offered the gui</w:t>
      </w:r>
      <w:r w:rsidRPr="008A7274" w:rsidR="005D75E0">
        <w:rPr>
          <w:szCs w:val="22"/>
        </w:rPr>
        <w:t xml:space="preserve">dance that “if John Doe was an officer or director of MEE, </w:t>
      </w:r>
      <w:r w:rsidRPr="008A7274" w:rsidR="007372ED">
        <w:rPr>
          <w:szCs w:val="22"/>
        </w:rPr>
        <w:t>[MEE] would list his name and then identify the position that he held and when he held it (</w:t>
      </w:r>
      <w:r w:rsidRPr="008A7274" w:rsidR="007372ED">
        <w:rPr>
          <w:i/>
          <w:iCs/>
          <w:szCs w:val="22"/>
        </w:rPr>
        <w:t>i.e</w:t>
      </w:r>
      <w:r w:rsidRPr="008A7274" w:rsidR="007372ED">
        <w:rPr>
          <w:szCs w:val="22"/>
        </w:rPr>
        <w:t>., Vice President from January 1, 2019, to December 31, 2020)</w:t>
      </w:r>
      <w:r w:rsidRPr="008A7274" w:rsidR="002E5759">
        <w:rPr>
          <w:szCs w:val="22"/>
        </w:rPr>
        <w:t>.”</w:t>
      </w:r>
      <w:r>
        <w:rPr>
          <w:rStyle w:val="FootnoteReference"/>
          <w:sz w:val="22"/>
          <w:szCs w:val="22"/>
        </w:rPr>
        <w:footnoteReference w:id="84"/>
      </w:r>
      <w:r w:rsidRPr="00827C1B" w:rsidR="00892BE5">
        <w:rPr>
          <w:szCs w:val="22"/>
        </w:rPr>
        <w:t xml:space="preserve">  </w:t>
      </w:r>
      <w:r w:rsidRPr="006307CB" w:rsidR="00263891">
        <w:rPr>
          <w:szCs w:val="22"/>
        </w:rPr>
        <w:t xml:space="preserve">Even </w:t>
      </w:r>
      <w:r w:rsidRPr="006307CB" w:rsidR="00C10735">
        <w:rPr>
          <w:szCs w:val="22"/>
        </w:rPr>
        <w:t xml:space="preserve">though the Second LOI </w:t>
      </w:r>
      <w:r w:rsidRPr="008A7274" w:rsidR="005B0490">
        <w:rPr>
          <w:szCs w:val="22"/>
        </w:rPr>
        <w:t>included</w:t>
      </w:r>
      <w:r w:rsidRPr="008A7274" w:rsidR="00C10735">
        <w:rPr>
          <w:szCs w:val="22"/>
        </w:rPr>
        <w:t xml:space="preserve"> </w:t>
      </w:r>
      <w:r w:rsidRPr="008A7274" w:rsidR="005B0490">
        <w:rPr>
          <w:szCs w:val="22"/>
        </w:rPr>
        <w:t>this specific guidance</w:t>
      </w:r>
      <w:r w:rsidRPr="008A7274" w:rsidR="00523C27">
        <w:rPr>
          <w:szCs w:val="22"/>
        </w:rPr>
        <w:t xml:space="preserve"> and</w:t>
      </w:r>
      <w:r w:rsidRPr="008A7274" w:rsidR="00C10735">
        <w:rPr>
          <w:szCs w:val="22"/>
        </w:rPr>
        <w:t xml:space="preserve"> </w:t>
      </w:r>
      <w:r w:rsidRPr="008A7274" w:rsidR="005B0490">
        <w:rPr>
          <w:szCs w:val="22"/>
        </w:rPr>
        <w:t xml:space="preserve">even though it </w:t>
      </w:r>
      <w:r w:rsidRPr="008A7274" w:rsidR="00C10735">
        <w:rPr>
          <w:szCs w:val="22"/>
        </w:rPr>
        <w:t xml:space="preserve">noted </w:t>
      </w:r>
      <w:r w:rsidRPr="008A7274" w:rsidR="0066004E">
        <w:rPr>
          <w:szCs w:val="22"/>
        </w:rPr>
        <w:t>that</w:t>
      </w:r>
      <w:r w:rsidRPr="008A7274" w:rsidR="007304E5">
        <w:rPr>
          <w:szCs w:val="22"/>
        </w:rPr>
        <w:t>, based on the First LOI Response,</w:t>
      </w:r>
      <w:r w:rsidRPr="008A7274" w:rsidR="0066004E">
        <w:rPr>
          <w:szCs w:val="22"/>
        </w:rPr>
        <w:t xml:space="preserve"> </w:t>
      </w:r>
      <w:r w:rsidRPr="008A7274" w:rsidR="00AD4276">
        <w:rPr>
          <w:szCs w:val="22"/>
        </w:rPr>
        <w:t xml:space="preserve">it appeared </w:t>
      </w:r>
      <w:r w:rsidRPr="008A7274" w:rsidR="0066004E">
        <w:rPr>
          <w:szCs w:val="22"/>
        </w:rPr>
        <w:t xml:space="preserve">MEE had </w:t>
      </w:r>
      <w:r w:rsidRPr="008A7274" w:rsidR="00781C22">
        <w:rPr>
          <w:szCs w:val="22"/>
        </w:rPr>
        <w:t>made false statements to the Commissio</w:t>
      </w:r>
      <w:r w:rsidRPr="008A7274" w:rsidR="00264C5B">
        <w:rPr>
          <w:szCs w:val="22"/>
        </w:rPr>
        <w:t>n</w:t>
      </w:r>
      <w:r w:rsidRPr="008A7274" w:rsidR="003E7BA6">
        <w:rPr>
          <w:szCs w:val="22"/>
        </w:rPr>
        <w:t>, MEE submi</w:t>
      </w:r>
      <w:r w:rsidRPr="008A7274" w:rsidR="00523C27">
        <w:rPr>
          <w:szCs w:val="22"/>
        </w:rPr>
        <w:t>t</w:t>
      </w:r>
      <w:r w:rsidRPr="008A7274" w:rsidR="003E7BA6">
        <w:rPr>
          <w:szCs w:val="22"/>
        </w:rPr>
        <w:t>ted</w:t>
      </w:r>
      <w:r w:rsidRPr="008A7274" w:rsidR="00AD4276">
        <w:rPr>
          <w:szCs w:val="22"/>
        </w:rPr>
        <w:t xml:space="preserve"> a </w:t>
      </w:r>
      <w:r w:rsidRPr="008A7274" w:rsidR="007304E5">
        <w:rPr>
          <w:szCs w:val="22"/>
        </w:rPr>
        <w:t>Second LOI Response</w:t>
      </w:r>
      <w:r w:rsidRPr="008A7274" w:rsidR="00AD4276">
        <w:rPr>
          <w:szCs w:val="22"/>
        </w:rPr>
        <w:t xml:space="preserve"> that contained oblique and unclear language regarding its board composition.</w:t>
      </w:r>
      <w:r>
        <w:rPr>
          <w:rStyle w:val="FootnoteReference"/>
          <w:sz w:val="22"/>
          <w:szCs w:val="22"/>
        </w:rPr>
        <w:footnoteReference w:id="85"/>
      </w:r>
    </w:p>
    <w:p w:rsidR="00E65319" w:rsidRPr="006307CB" w:rsidP="00D34F1D" w14:paraId="60BD6F0B" w14:textId="43808750">
      <w:pPr>
        <w:pStyle w:val="ParaNum"/>
        <w:rPr>
          <w:szCs w:val="22"/>
        </w:rPr>
      </w:pPr>
      <w:r w:rsidRPr="008A7274">
        <w:rPr>
          <w:szCs w:val="22"/>
        </w:rPr>
        <w:t>The Third LOI</w:t>
      </w:r>
      <w:r w:rsidRPr="008A7274" w:rsidR="00D419C9">
        <w:rPr>
          <w:szCs w:val="22"/>
        </w:rPr>
        <w:t xml:space="preserve"> </w:t>
      </w:r>
      <w:r w:rsidRPr="008A7274" w:rsidR="00596BF0">
        <w:rPr>
          <w:szCs w:val="22"/>
        </w:rPr>
        <w:t xml:space="preserve">directed MEE “to explain why Compton—who is listed as an MMF and MEE board member in the Assignment Application—is not included in its list” of board members who supported the </w:t>
      </w:r>
      <w:r w:rsidRPr="008A7274" w:rsidR="0012395D">
        <w:rPr>
          <w:szCs w:val="22"/>
        </w:rPr>
        <w:t>changes made to the MEE board membership on May 29, 2019.</w:t>
      </w:r>
      <w:r>
        <w:rPr>
          <w:rStyle w:val="FootnoteReference"/>
          <w:sz w:val="22"/>
          <w:szCs w:val="22"/>
        </w:rPr>
        <w:footnoteReference w:id="86"/>
      </w:r>
      <w:r w:rsidRPr="00827C1B" w:rsidR="002045D0">
        <w:rPr>
          <w:szCs w:val="22"/>
        </w:rPr>
        <w:t xml:space="preserve">  MEE </w:t>
      </w:r>
      <w:r w:rsidRPr="006307CB" w:rsidR="00D34F1D">
        <w:rPr>
          <w:szCs w:val="22"/>
        </w:rPr>
        <w:t xml:space="preserve">also </w:t>
      </w:r>
      <w:r w:rsidRPr="006307CB" w:rsidR="002045D0">
        <w:rPr>
          <w:szCs w:val="22"/>
        </w:rPr>
        <w:t>was instructed to “indicate whether Compton was an MEE board member on May 29, 2019.”</w:t>
      </w:r>
      <w:r>
        <w:rPr>
          <w:rStyle w:val="FootnoteReference"/>
          <w:sz w:val="22"/>
          <w:szCs w:val="22"/>
        </w:rPr>
        <w:footnoteReference w:id="87"/>
      </w:r>
      <w:r w:rsidRPr="00827C1B" w:rsidR="002045D0">
        <w:rPr>
          <w:szCs w:val="22"/>
        </w:rPr>
        <w:t xml:space="preserve">  </w:t>
      </w:r>
      <w:r w:rsidRPr="006307CB" w:rsidR="007C74FD">
        <w:rPr>
          <w:szCs w:val="22"/>
        </w:rPr>
        <w:t xml:space="preserve">In the Third LOI Response, </w:t>
      </w:r>
      <w:r w:rsidRPr="008A7274" w:rsidR="00552E4A">
        <w:rPr>
          <w:szCs w:val="22"/>
        </w:rPr>
        <w:t xml:space="preserve">MEE </w:t>
      </w:r>
      <w:r w:rsidRPr="008A7274" w:rsidR="0012395D">
        <w:rPr>
          <w:szCs w:val="22"/>
        </w:rPr>
        <w:t>state</w:t>
      </w:r>
      <w:r w:rsidR="00A34B8C">
        <w:rPr>
          <w:szCs w:val="22"/>
        </w:rPr>
        <w:t>d</w:t>
      </w:r>
      <w:r w:rsidRPr="008A7274" w:rsidR="00552E4A">
        <w:rPr>
          <w:szCs w:val="22"/>
        </w:rPr>
        <w:t xml:space="preserve"> that Compton “had passed away” prior to the 5-29-19 Meeting, but avoid</w:t>
      </w:r>
      <w:r w:rsidR="00A34B8C">
        <w:rPr>
          <w:szCs w:val="22"/>
        </w:rPr>
        <w:t>ed</w:t>
      </w:r>
      <w:r w:rsidRPr="008A7274" w:rsidR="00552E4A">
        <w:rPr>
          <w:szCs w:val="22"/>
        </w:rPr>
        <w:t xml:space="preserve"> specifying the date of Compton’s death and </w:t>
      </w:r>
      <w:r w:rsidR="00A34B8C">
        <w:rPr>
          <w:szCs w:val="22"/>
        </w:rPr>
        <w:t>did</w:t>
      </w:r>
      <w:r w:rsidRPr="008A7274" w:rsidR="00A34B8C">
        <w:rPr>
          <w:szCs w:val="22"/>
        </w:rPr>
        <w:t xml:space="preserve"> </w:t>
      </w:r>
      <w:r w:rsidRPr="008A7274" w:rsidR="00552E4A">
        <w:rPr>
          <w:szCs w:val="22"/>
        </w:rPr>
        <w:t xml:space="preserve">not </w:t>
      </w:r>
      <w:r w:rsidRPr="008A7274" w:rsidR="0012395D">
        <w:rPr>
          <w:szCs w:val="22"/>
        </w:rPr>
        <w:t>explai</w:t>
      </w:r>
      <w:r w:rsidRPr="008A7274" w:rsidR="00270EF0">
        <w:rPr>
          <w:szCs w:val="22"/>
        </w:rPr>
        <w:t>n</w:t>
      </w:r>
      <w:r w:rsidRPr="008A7274" w:rsidR="00552E4A">
        <w:rPr>
          <w:szCs w:val="22"/>
        </w:rPr>
        <w:t xml:space="preserve"> why MEE did not list Compton as an initial board member in the Second LOI Response.</w:t>
      </w:r>
      <w:r>
        <w:rPr>
          <w:rStyle w:val="FootnoteReference"/>
          <w:sz w:val="22"/>
          <w:szCs w:val="22"/>
        </w:rPr>
        <w:footnoteReference w:id="88"/>
      </w:r>
      <w:r w:rsidRPr="00827C1B" w:rsidR="00552E4A">
        <w:rPr>
          <w:szCs w:val="22"/>
        </w:rPr>
        <w:t xml:space="preserve">  </w:t>
      </w:r>
    </w:p>
    <w:p w:rsidR="006A364F" w:rsidRPr="006307CB" w:rsidP="00744C88" w14:paraId="4A0334C4" w14:textId="4A37C9B0">
      <w:pPr>
        <w:pStyle w:val="ParaNum"/>
        <w:widowControl/>
        <w:rPr>
          <w:szCs w:val="22"/>
        </w:rPr>
      </w:pPr>
      <w:r>
        <w:rPr>
          <w:szCs w:val="22"/>
        </w:rPr>
        <w:t xml:space="preserve">There are substantial and material questions of fact regarding </w:t>
      </w:r>
      <w:r w:rsidRPr="008A7274">
        <w:rPr>
          <w:szCs w:val="22"/>
        </w:rPr>
        <w:t>whether MEE submitted incomplete responses to the First</w:t>
      </w:r>
      <w:r w:rsidRPr="008A7274" w:rsidR="005A1020">
        <w:rPr>
          <w:szCs w:val="22"/>
        </w:rPr>
        <w:t>,</w:t>
      </w:r>
      <w:r w:rsidRPr="008A7274">
        <w:rPr>
          <w:szCs w:val="22"/>
        </w:rPr>
        <w:t xml:space="preserve"> Second</w:t>
      </w:r>
      <w:r w:rsidRPr="008A7274" w:rsidR="005A1020">
        <w:rPr>
          <w:szCs w:val="22"/>
        </w:rPr>
        <w:t>, and Third</w:t>
      </w:r>
      <w:r w:rsidRPr="008A7274">
        <w:rPr>
          <w:szCs w:val="22"/>
        </w:rPr>
        <w:t xml:space="preserve"> LOIs</w:t>
      </w:r>
      <w:r w:rsidR="00A25B23">
        <w:rPr>
          <w:szCs w:val="22"/>
        </w:rPr>
        <w:t xml:space="preserve"> </w:t>
      </w:r>
      <w:r w:rsidR="00BD2F1A">
        <w:rPr>
          <w:szCs w:val="22"/>
        </w:rPr>
        <w:t>in willful and repeated violation of</w:t>
      </w:r>
      <w:r w:rsidRPr="008A7274">
        <w:rPr>
          <w:szCs w:val="22"/>
        </w:rPr>
        <w:t xml:space="preserve"> section 73.1015 of the </w:t>
      </w:r>
      <w:r w:rsidRPr="008A7274" w:rsidR="00980002">
        <w:rPr>
          <w:szCs w:val="22"/>
        </w:rPr>
        <w:t>R</w:t>
      </w:r>
      <w:r w:rsidRPr="008A7274">
        <w:rPr>
          <w:szCs w:val="22"/>
        </w:rPr>
        <w:t>ules.</w:t>
      </w:r>
      <w:r>
        <w:rPr>
          <w:rStyle w:val="FootnoteReference"/>
          <w:sz w:val="22"/>
          <w:szCs w:val="22"/>
        </w:rPr>
        <w:footnoteReference w:id="89"/>
      </w:r>
      <w:r w:rsidRPr="00827C1B">
        <w:rPr>
          <w:szCs w:val="22"/>
        </w:rPr>
        <w:t xml:space="preserve">  </w:t>
      </w:r>
      <w:r w:rsidR="0038620D">
        <w:t xml:space="preserve">We therefore designate </w:t>
      </w:r>
      <w:r w:rsidRPr="000D54FE" w:rsidR="0038620D">
        <w:t xml:space="preserve">appropriate issues to determine whether </w:t>
      </w:r>
      <w:r w:rsidR="0038620D">
        <w:t>MEE</w:t>
      </w:r>
      <w:r w:rsidRPr="000D54FE" w:rsidR="0038620D">
        <w:t xml:space="preserve"> </w:t>
      </w:r>
      <w:r w:rsidRPr="008A7274" w:rsidR="0038620D">
        <w:rPr>
          <w:szCs w:val="22"/>
        </w:rPr>
        <w:t>submitted incomplete responses to the</w:t>
      </w:r>
      <w:r w:rsidR="006F4CA4">
        <w:rPr>
          <w:szCs w:val="22"/>
        </w:rPr>
        <w:t>se three</w:t>
      </w:r>
      <w:r w:rsidRPr="008A7274" w:rsidR="0038620D">
        <w:rPr>
          <w:szCs w:val="22"/>
        </w:rPr>
        <w:t xml:space="preserve"> LOIs</w:t>
      </w:r>
      <w:r w:rsidRPr="000D54FE" w:rsidR="0038620D">
        <w:t xml:space="preserve"> in willful and repeated violation of the </w:t>
      </w:r>
      <w:r w:rsidR="00E76074">
        <w:t xml:space="preserve">Commission’s </w:t>
      </w:r>
      <w:r w:rsidRPr="000D54FE" w:rsidR="0038620D">
        <w:t>Rules</w:t>
      </w:r>
      <w:r w:rsidR="0038620D">
        <w:t>.</w:t>
      </w:r>
    </w:p>
    <w:p w:rsidR="00FA0BEC" w:rsidRPr="008A7274" w:rsidP="00FA0BEC" w14:paraId="14F8EF8F" w14:textId="6B46D1D6">
      <w:pPr>
        <w:pStyle w:val="Heading2"/>
        <w:rPr>
          <w:szCs w:val="22"/>
        </w:rPr>
      </w:pPr>
      <w:r w:rsidRPr="008A7274">
        <w:rPr>
          <w:szCs w:val="22"/>
        </w:rPr>
        <w:t>Misrepresentation</w:t>
      </w:r>
      <w:r w:rsidRPr="008A7274" w:rsidR="00A91625">
        <w:rPr>
          <w:szCs w:val="22"/>
        </w:rPr>
        <w:t xml:space="preserve"> and/or Lack of Candor</w:t>
      </w:r>
    </w:p>
    <w:p w:rsidR="00F34299" w:rsidRPr="00F34299" w:rsidP="00F34299" w14:paraId="2C453E19" w14:textId="4CBFD343">
      <w:pPr>
        <w:pStyle w:val="ParaNum"/>
        <w:rPr>
          <w:szCs w:val="22"/>
        </w:rPr>
      </w:pPr>
      <w:r>
        <w:rPr>
          <w:szCs w:val="22"/>
        </w:rPr>
        <w:t xml:space="preserve">In addition, we </w:t>
      </w:r>
      <w:r>
        <w:rPr>
          <w:szCs w:val="22"/>
        </w:rPr>
        <w:t xml:space="preserve">find that there are substantial and material questions of fact regarding whether MEE violated section 1.17(a)(1) (or violated </w:t>
      </w:r>
      <w:r w:rsidR="00237D43">
        <w:rPr>
          <w:szCs w:val="22"/>
        </w:rPr>
        <w:t xml:space="preserve">section </w:t>
      </w:r>
      <w:r>
        <w:rPr>
          <w:szCs w:val="22"/>
        </w:rPr>
        <w:t xml:space="preserve">1.17(a)(2)) when it listed </w:t>
      </w:r>
      <w:r w:rsidR="00CF4362">
        <w:rPr>
          <w:szCs w:val="22"/>
        </w:rPr>
        <w:t xml:space="preserve">Worcester, </w:t>
      </w:r>
      <w:r w:rsidRPr="00827C1B" w:rsidR="00CF4362">
        <w:rPr>
          <w:szCs w:val="22"/>
        </w:rPr>
        <w:t xml:space="preserve">Maniaci, Stolarczyk, and </w:t>
      </w:r>
      <w:r w:rsidRPr="006307CB" w:rsidR="00CF4362">
        <w:rPr>
          <w:szCs w:val="22"/>
        </w:rPr>
        <w:t xml:space="preserve">Hazelett </w:t>
      </w:r>
      <w:r w:rsidR="00CF4362">
        <w:rPr>
          <w:szCs w:val="22"/>
        </w:rPr>
        <w:t xml:space="preserve">as MEE’s board members in the Assignment Application.  </w:t>
      </w:r>
      <w:r w:rsidR="00226299">
        <w:rPr>
          <w:szCs w:val="22"/>
        </w:rPr>
        <w:t>We note that the MEE board members listed in the Assignment Application were not those listed in the First LOI Response</w:t>
      </w:r>
      <w:r w:rsidR="008B22E7">
        <w:rPr>
          <w:szCs w:val="22"/>
        </w:rPr>
        <w:t xml:space="preserve"> or in the materials filed with </w:t>
      </w:r>
      <w:r w:rsidR="00DA410C">
        <w:rPr>
          <w:szCs w:val="22"/>
        </w:rPr>
        <w:t>the State of Ohio</w:t>
      </w:r>
      <w:r w:rsidR="00B83611">
        <w:rPr>
          <w:szCs w:val="22"/>
        </w:rPr>
        <w:t xml:space="preserve"> upon MEE’s formation</w:t>
      </w:r>
      <w:r w:rsidR="006118F9">
        <w:rPr>
          <w:szCs w:val="22"/>
        </w:rPr>
        <w:t>,</w:t>
      </w:r>
      <w:r>
        <w:rPr>
          <w:rStyle w:val="FootnoteReference"/>
          <w:szCs w:val="22"/>
        </w:rPr>
        <w:footnoteReference w:id="90"/>
      </w:r>
      <w:r w:rsidR="006118F9">
        <w:rPr>
          <w:szCs w:val="22"/>
        </w:rPr>
        <w:t xml:space="preserve"> and</w:t>
      </w:r>
      <w:r w:rsidR="00226299">
        <w:rPr>
          <w:szCs w:val="22"/>
        </w:rPr>
        <w:t xml:space="preserve"> MEE’s explanation for </w:t>
      </w:r>
      <w:r w:rsidR="006118F9">
        <w:rPr>
          <w:szCs w:val="22"/>
        </w:rPr>
        <w:t>this discrepancy</w:t>
      </w:r>
      <w:r w:rsidR="00226299">
        <w:rPr>
          <w:szCs w:val="22"/>
        </w:rPr>
        <w:t xml:space="preserve"> has changed over time</w:t>
      </w:r>
      <w:r w:rsidR="006118F9">
        <w:rPr>
          <w:szCs w:val="22"/>
        </w:rPr>
        <w:t>.  Moreover</w:t>
      </w:r>
      <w:r w:rsidR="00226299">
        <w:rPr>
          <w:szCs w:val="22"/>
        </w:rPr>
        <w:t>, a</w:t>
      </w:r>
      <w:r w:rsidR="00713023">
        <w:rPr>
          <w:szCs w:val="22"/>
        </w:rPr>
        <w:t xml:space="preserve">s noted in paragraph </w:t>
      </w:r>
      <w:r w:rsidRPr="00DE04AF" w:rsidR="00AE1995">
        <w:rPr>
          <w:szCs w:val="22"/>
        </w:rPr>
        <w:t>29</w:t>
      </w:r>
      <w:r w:rsidRPr="00DE04AF" w:rsidR="00713023">
        <w:rPr>
          <w:szCs w:val="22"/>
        </w:rPr>
        <w:t xml:space="preserve"> below,</w:t>
      </w:r>
      <w:r w:rsidR="00713023">
        <w:rPr>
          <w:szCs w:val="22"/>
        </w:rPr>
        <w:t xml:space="preserve"> questions have arisen regarding the</w:t>
      </w:r>
      <w:r w:rsidR="00376818">
        <w:rPr>
          <w:szCs w:val="22"/>
        </w:rPr>
        <w:t xml:space="preserve"> authenticity of the</w:t>
      </w:r>
      <w:r>
        <w:rPr>
          <w:szCs w:val="22"/>
        </w:rPr>
        <w:t xml:space="preserve"> materials </w:t>
      </w:r>
      <w:r w:rsidR="00376818">
        <w:rPr>
          <w:szCs w:val="22"/>
        </w:rPr>
        <w:t>that MEE submitted</w:t>
      </w:r>
      <w:r>
        <w:rPr>
          <w:szCs w:val="22"/>
        </w:rPr>
        <w:t xml:space="preserve"> </w:t>
      </w:r>
      <w:r w:rsidR="00376818">
        <w:rPr>
          <w:szCs w:val="22"/>
        </w:rPr>
        <w:t>to</w:t>
      </w:r>
      <w:r w:rsidR="00F226EC">
        <w:rPr>
          <w:szCs w:val="22"/>
        </w:rPr>
        <w:t xml:space="preserve"> support its claim that </w:t>
      </w:r>
      <w:r w:rsidR="00713023">
        <w:rPr>
          <w:szCs w:val="22"/>
        </w:rPr>
        <w:t>Worcester, Maniaci, Stolarczyk, and Hazelett</w:t>
      </w:r>
      <w:r w:rsidR="00F226EC">
        <w:rPr>
          <w:szCs w:val="22"/>
        </w:rPr>
        <w:t xml:space="preserve"> were members of the MEE board in May 2019</w:t>
      </w:r>
      <w:r w:rsidR="00713023">
        <w:rPr>
          <w:szCs w:val="22"/>
        </w:rPr>
        <w:t xml:space="preserve">.  </w:t>
      </w:r>
    </w:p>
    <w:p w:rsidR="0058387F" w:rsidP="00EE45D5" w14:paraId="69E88A6B" w14:textId="589A4017">
      <w:pPr>
        <w:pStyle w:val="ParaNum"/>
        <w:widowControl/>
        <w:rPr>
          <w:szCs w:val="22"/>
        </w:rPr>
      </w:pPr>
      <w:r>
        <w:rPr>
          <w:szCs w:val="22"/>
        </w:rPr>
        <w:t xml:space="preserve">We </w:t>
      </w:r>
      <w:r w:rsidR="00F34299">
        <w:rPr>
          <w:szCs w:val="22"/>
        </w:rPr>
        <w:t xml:space="preserve">further </w:t>
      </w:r>
      <w:r>
        <w:rPr>
          <w:szCs w:val="22"/>
        </w:rPr>
        <w:t>find that t</w:t>
      </w:r>
      <w:r w:rsidRPr="00DB05C1" w:rsidR="00074563">
        <w:rPr>
          <w:szCs w:val="22"/>
        </w:rPr>
        <w:t xml:space="preserve">here </w:t>
      </w:r>
      <w:r w:rsidRPr="00DB05C1" w:rsidR="00527E23">
        <w:rPr>
          <w:szCs w:val="22"/>
        </w:rPr>
        <w:t>are</w:t>
      </w:r>
      <w:r w:rsidRPr="00DB05C1" w:rsidR="008E149D">
        <w:rPr>
          <w:szCs w:val="22"/>
        </w:rPr>
        <w:t xml:space="preserve"> substantial and material question</w:t>
      </w:r>
      <w:r w:rsidRPr="00DB05C1" w:rsidR="00527E23">
        <w:rPr>
          <w:szCs w:val="22"/>
        </w:rPr>
        <w:t>s</w:t>
      </w:r>
      <w:r w:rsidRPr="00DB05C1" w:rsidR="008E149D">
        <w:rPr>
          <w:szCs w:val="22"/>
        </w:rPr>
        <w:t xml:space="preserve"> of fact regarding whether</w:t>
      </w:r>
      <w:r w:rsidRPr="007F2E69" w:rsidR="000C6E22">
        <w:rPr>
          <w:szCs w:val="22"/>
        </w:rPr>
        <w:t xml:space="preserve"> </w:t>
      </w:r>
      <w:r w:rsidRPr="00EE45D5" w:rsidR="00FA0BEC">
        <w:rPr>
          <w:szCs w:val="22"/>
        </w:rPr>
        <w:t>MEE</w:t>
      </w:r>
      <w:r w:rsidRPr="00EE45D5" w:rsidR="00402890">
        <w:rPr>
          <w:szCs w:val="22"/>
        </w:rPr>
        <w:t xml:space="preserve">’s </w:t>
      </w:r>
      <w:r w:rsidRPr="00EE45D5" w:rsidR="00074563">
        <w:rPr>
          <w:szCs w:val="22"/>
        </w:rPr>
        <w:t>listing of Compton as a board member in</w:t>
      </w:r>
      <w:r w:rsidRPr="00EE45D5" w:rsidR="000C6E22">
        <w:rPr>
          <w:szCs w:val="22"/>
        </w:rPr>
        <w:t xml:space="preserve"> the Assignment Application </w:t>
      </w:r>
      <w:r w:rsidRPr="00EE45D5" w:rsidR="00EE170D">
        <w:rPr>
          <w:szCs w:val="22"/>
        </w:rPr>
        <w:t>constituted a misrepresentation</w:t>
      </w:r>
      <w:r w:rsidRPr="00EE45D5" w:rsidR="00B05F1A">
        <w:rPr>
          <w:szCs w:val="22"/>
        </w:rPr>
        <w:t xml:space="preserve"> </w:t>
      </w:r>
      <w:r w:rsidRPr="00EE45D5" w:rsidR="007A1673">
        <w:rPr>
          <w:szCs w:val="22"/>
        </w:rPr>
        <w:t>in</w:t>
      </w:r>
      <w:r w:rsidRPr="00EE45D5" w:rsidR="00B05F1A">
        <w:rPr>
          <w:szCs w:val="22"/>
        </w:rPr>
        <w:t xml:space="preserve"> violation</w:t>
      </w:r>
      <w:r w:rsidRPr="00EE45D5" w:rsidR="00FB2AD7">
        <w:rPr>
          <w:szCs w:val="22"/>
        </w:rPr>
        <w:t xml:space="preserve"> of section 1.17(a)(1</w:t>
      </w:r>
      <w:r w:rsidRPr="005E0F4A" w:rsidR="00B05F1A">
        <w:rPr>
          <w:szCs w:val="22"/>
        </w:rPr>
        <w:t>)</w:t>
      </w:r>
      <w:r w:rsidRPr="005E0F4A" w:rsidR="00666151">
        <w:rPr>
          <w:szCs w:val="22"/>
        </w:rPr>
        <w:t xml:space="preserve">, or </w:t>
      </w:r>
      <w:r w:rsidRPr="005E0F4A" w:rsidR="00A76D7C">
        <w:rPr>
          <w:szCs w:val="22"/>
        </w:rPr>
        <w:t>a violation of section 1.17(a)(2)</w:t>
      </w:r>
      <w:r w:rsidRPr="005E0F4A" w:rsidR="00FA0BEC">
        <w:rPr>
          <w:szCs w:val="22"/>
        </w:rPr>
        <w:t xml:space="preserve">.  </w:t>
      </w:r>
      <w:r w:rsidRPr="005E0F4A" w:rsidR="00224DF5">
        <w:rPr>
          <w:szCs w:val="22"/>
        </w:rPr>
        <w:t>We note that</w:t>
      </w:r>
      <w:r w:rsidRPr="005E0F4A" w:rsidR="005D694D">
        <w:rPr>
          <w:szCs w:val="22"/>
        </w:rPr>
        <w:t xml:space="preserve">, at the time MEE filed the Assignment Application, </w:t>
      </w:r>
      <w:r w:rsidRPr="005E0F4A" w:rsidR="002D3D68">
        <w:rPr>
          <w:szCs w:val="22"/>
        </w:rPr>
        <w:t>MEE appears to have been</w:t>
      </w:r>
      <w:r w:rsidRPr="005E0F4A" w:rsidR="005D694D">
        <w:rPr>
          <w:szCs w:val="22"/>
        </w:rPr>
        <w:t xml:space="preserve"> </w:t>
      </w:r>
      <w:r w:rsidRPr="005E0F4A" w:rsidR="00404213">
        <w:rPr>
          <w:szCs w:val="22"/>
        </w:rPr>
        <w:t>aware that</w:t>
      </w:r>
      <w:r w:rsidRPr="005E0F4A" w:rsidR="00AB58C7">
        <w:rPr>
          <w:szCs w:val="22"/>
        </w:rPr>
        <w:t xml:space="preserve"> </w:t>
      </w:r>
      <w:r w:rsidRPr="005E0F4A" w:rsidR="000C6E22">
        <w:rPr>
          <w:szCs w:val="22"/>
        </w:rPr>
        <w:t xml:space="preserve">Compton </w:t>
      </w:r>
      <w:r w:rsidRPr="005E0F4A" w:rsidR="00404213">
        <w:rPr>
          <w:szCs w:val="22"/>
        </w:rPr>
        <w:t>had passed away</w:t>
      </w:r>
      <w:r w:rsidR="003F27B4">
        <w:rPr>
          <w:szCs w:val="22"/>
        </w:rPr>
        <w:t>.  We</w:t>
      </w:r>
      <w:r w:rsidRPr="00DB05C1" w:rsidR="002D3D68">
        <w:rPr>
          <w:szCs w:val="22"/>
        </w:rPr>
        <w:t xml:space="preserve"> find that this raises questions</w:t>
      </w:r>
      <w:r w:rsidRPr="00EE45D5" w:rsidR="000302E9">
        <w:rPr>
          <w:szCs w:val="22"/>
        </w:rPr>
        <w:t xml:space="preserve"> as to whether MEE listed Compton as a board member in the Assignment Application in order to deceive the Commissio</w:t>
      </w:r>
      <w:r w:rsidRPr="00EE45D5" w:rsidR="0076607B">
        <w:rPr>
          <w:szCs w:val="22"/>
        </w:rPr>
        <w:t>n</w:t>
      </w:r>
      <w:r w:rsidRPr="005E0F4A" w:rsidR="005D694D">
        <w:rPr>
          <w:szCs w:val="22"/>
        </w:rPr>
        <w:t>.</w:t>
      </w:r>
      <w:r>
        <w:rPr>
          <w:rStyle w:val="FootnoteReference"/>
          <w:sz w:val="22"/>
          <w:szCs w:val="22"/>
        </w:rPr>
        <w:footnoteReference w:id="91"/>
      </w:r>
      <w:r w:rsidRPr="00DB05C1" w:rsidR="00FA0BEC">
        <w:rPr>
          <w:szCs w:val="22"/>
        </w:rPr>
        <w:t xml:space="preserve"> </w:t>
      </w:r>
      <w:r w:rsidRPr="00EE45D5" w:rsidR="00537CDA">
        <w:rPr>
          <w:szCs w:val="22"/>
        </w:rPr>
        <w:t xml:space="preserve"> </w:t>
      </w:r>
      <w:r w:rsidRPr="00EE45D5" w:rsidR="0043226E">
        <w:rPr>
          <w:szCs w:val="22"/>
        </w:rPr>
        <w:t xml:space="preserve">It </w:t>
      </w:r>
      <w:r w:rsidRPr="00EE45D5" w:rsidR="009758C4">
        <w:rPr>
          <w:szCs w:val="22"/>
        </w:rPr>
        <w:t>also suggests</w:t>
      </w:r>
      <w:r w:rsidR="005A32C4">
        <w:rPr>
          <w:szCs w:val="22"/>
        </w:rPr>
        <w:t xml:space="preserve"> that, at a minimum</w:t>
      </w:r>
      <w:r w:rsidRPr="00DB05C1" w:rsidR="009758C4">
        <w:rPr>
          <w:szCs w:val="22"/>
        </w:rPr>
        <w:t xml:space="preserve">, </w:t>
      </w:r>
      <w:r w:rsidR="005A32C4">
        <w:rPr>
          <w:szCs w:val="22"/>
        </w:rPr>
        <w:t>MEE</w:t>
      </w:r>
      <w:r w:rsidRPr="00DB05C1" w:rsidR="009758C4">
        <w:rPr>
          <w:szCs w:val="22"/>
        </w:rPr>
        <w:t xml:space="preserve"> may </w:t>
      </w:r>
      <w:r w:rsidR="003F27B4">
        <w:rPr>
          <w:szCs w:val="22"/>
        </w:rPr>
        <w:t xml:space="preserve">have </w:t>
      </w:r>
      <w:r w:rsidRPr="00DB05C1" w:rsidR="009758C4">
        <w:rPr>
          <w:szCs w:val="22"/>
        </w:rPr>
        <w:t xml:space="preserve">lacked a reasonable basis for </w:t>
      </w:r>
      <w:r w:rsidRPr="00DB05C1" w:rsidR="00324B11">
        <w:rPr>
          <w:szCs w:val="22"/>
        </w:rPr>
        <w:t xml:space="preserve">believing that its inclusion of Compton in the list of MEE board members </w:t>
      </w:r>
      <w:r w:rsidRPr="00EE45D5" w:rsidR="00324B11">
        <w:rPr>
          <w:szCs w:val="22"/>
        </w:rPr>
        <w:t xml:space="preserve">was correct and not misleading. </w:t>
      </w:r>
      <w:r w:rsidRPr="00EE45D5" w:rsidR="009758C4">
        <w:rPr>
          <w:szCs w:val="22"/>
        </w:rPr>
        <w:t xml:space="preserve"> </w:t>
      </w:r>
      <w:r w:rsidRPr="005E0F4A" w:rsidR="009420D5">
        <w:rPr>
          <w:szCs w:val="22"/>
        </w:rPr>
        <w:t>We note that, even</w:t>
      </w:r>
      <w:r w:rsidRPr="005E0F4A" w:rsidR="00294B41">
        <w:rPr>
          <w:szCs w:val="22"/>
        </w:rPr>
        <w:t xml:space="preserve"> </w:t>
      </w:r>
      <w:r w:rsidRPr="005E0F4A" w:rsidR="00CB2510">
        <w:rPr>
          <w:szCs w:val="22"/>
        </w:rPr>
        <w:t>if</w:t>
      </w:r>
      <w:r w:rsidRPr="005E0F4A" w:rsidR="001621C6">
        <w:rPr>
          <w:szCs w:val="22"/>
        </w:rPr>
        <w:t>, as MEE claims,</w:t>
      </w:r>
      <w:r w:rsidRPr="005E0F4A" w:rsidR="00FA0BEC">
        <w:rPr>
          <w:szCs w:val="22"/>
        </w:rPr>
        <w:t xml:space="preserve"> </w:t>
      </w:r>
      <w:r w:rsidRPr="005E0F4A" w:rsidR="001621C6">
        <w:rPr>
          <w:szCs w:val="22"/>
        </w:rPr>
        <w:t>it</w:t>
      </w:r>
      <w:r w:rsidRPr="005E0F4A" w:rsidR="00FA0BEC">
        <w:rPr>
          <w:szCs w:val="22"/>
        </w:rPr>
        <w:t xml:space="preserve"> </w:t>
      </w:r>
      <w:r w:rsidRPr="005E0F4A" w:rsidR="001621C6">
        <w:rPr>
          <w:szCs w:val="22"/>
        </w:rPr>
        <w:t>pointed</w:t>
      </w:r>
      <w:r w:rsidRPr="005E0F4A" w:rsidR="00A23356">
        <w:rPr>
          <w:szCs w:val="22"/>
        </w:rPr>
        <w:t xml:space="preserve"> Compton’s death out to</w:t>
      </w:r>
      <w:r w:rsidRPr="005E0F4A" w:rsidR="00FA0BEC">
        <w:rPr>
          <w:szCs w:val="22"/>
        </w:rPr>
        <w:t xml:space="preserve"> an “FCC representative,</w:t>
      </w:r>
      <w:r w:rsidRPr="005E0F4A" w:rsidR="007439C4">
        <w:rPr>
          <w:szCs w:val="22"/>
        </w:rPr>
        <w:t>”</w:t>
      </w:r>
      <w:r w:rsidRPr="005E0F4A" w:rsidR="00FA0BEC">
        <w:rPr>
          <w:szCs w:val="22"/>
        </w:rPr>
        <w:t xml:space="preserve"> MEE </w:t>
      </w:r>
      <w:r w:rsidRPr="005E0F4A" w:rsidR="00CB2510">
        <w:rPr>
          <w:szCs w:val="22"/>
        </w:rPr>
        <w:t xml:space="preserve">did not do </w:t>
      </w:r>
      <w:r w:rsidRPr="005E0F4A" w:rsidR="007439C4">
        <w:rPr>
          <w:szCs w:val="22"/>
        </w:rPr>
        <w:t>so</w:t>
      </w:r>
      <w:r w:rsidRPr="005E0F4A" w:rsidR="00FA0BEC">
        <w:rPr>
          <w:szCs w:val="22"/>
        </w:rPr>
        <w:t xml:space="preserve"> prior to filing the Assignment Application</w:t>
      </w:r>
      <w:r w:rsidR="00BD26DC">
        <w:rPr>
          <w:szCs w:val="22"/>
        </w:rPr>
        <w:t>, nor has it</w:t>
      </w:r>
      <w:r w:rsidRPr="005E0F4A" w:rsidR="00FD6719">
        <w:rPr>
          <w:szCs w:val="22"/>
        </w:rPr>
        <w:t xml:space="preserve"> </w:t>
      </w:r>
      <w:r w:rsidRPr="005E0F4A" w:rsidR="004B2381">
        <w:rPr>
          <w:szCs w:val="22"/>
        </w:rPr>
        <w:t xml:space="preserve">adequately </w:t>
      </w:r>
      <w:r w:rsidRPr="005E0F4A" w:rsidR="00FD6719">
        <w:rPr>
          <w:szCs w:val="22"/>
        </w:rPr>
        <w:t>explain</w:t>
      </w:r>
      <w:r w:rsidRPr="005E0F4A" w:rsidR="00CB2510">
        <w:rPr>
          <w:szCs w:val="22"/>
        </w:rPr>
        <w:t>ed</w:t>
      </w:r>
      <w:r w:rsidRPr="005E0F4A" w:rsidR="00FD6719">
        <w:rPr>
          <w:szCs w:val="22"/>
        </w:rPr>
        <w:t xml:space="preserve"> why the Assignment Application nevertheless listed Compton as a board member of MMF and MEE</w:t>
      </w:r>
      <w:r w:rsidRPr="005E0F4A" w:rsidR="00FA0BEC">
        <w:rPr>
          <w:szCs w:val="22"/>
        </w:rPr>
        <w:t>.</w:t>
      </w:r>
      <w:r>
        <w:rPr>
          <w:rStyle w:val="FootnoteReference"/>
          <w:sz w:val="22"/>
          <w:szCs w:val="22"/>
        </w:rPr>
        <w:footnoteReference w:id="92"/>
      </w:r>
      <w:r w:rsidRPr="00DB05C1" w:rsidR="00FA0BEC">
        <w:rPr>
          <w:szCs w:val="22"/>
        </w:rPr>
        <w:t xml:space="preserve">  </w:t>
      </w:r>
    </w:p>
    <w:p w:rsidR="00FA0BEC" w:rsidRPr="008A7274" w:rsidP="007902C7" w14:paraId="236B267D" w14:textId="27208D75">
      <w:pPr>
        <w:pStyle w:val="ParaNum"/>
        <w:widowControl/>
        <w:rPr>
          <w:szCs w:val="22"/>
        </w:rPr>
      </w:pPr>
      <w:r w:rsidRPr="008A7274">
        <w:rPr>
          <w:szCs w:val="22"/>
        </w:rPr>
        <w:t>A</w:t>
      </w:r>
      <w:r w:rsidRPr="008A7274" w:rsidR="00D87A38">
        <w:rPr>
          <w:szCs w:val="22"/>
        </w:rPr>
        <w:t xml:space="preserve"> substantial and material question of fact </w:t>
      </w:r>
      <w:r w:rsidRPr="008A7274">
        <w:rPr>
          <w:szCs w:val="22"/>
        </w:rPr>
        <w:t xml:space="preserve">also exists </w:t>
      </w:r>
      <w:r w:rsidRPr="008A7274" w:rsidR="00D87A38">
        <w:rPr>
          <w:szCs w:val="22"/>
        </w:rPr>
        <w:t>regarding whether</w:t>
      </w:r>
      <w:r w:rsidRPr="008A7274" w:rsidR="00131302">
        <w:rPr>
          <w:szCs w:val="22"/>
        </w:rPr>
        <w:t xml:space="preserve"> </w:t>
      </w:r>
      <w:r w:rsidRPr="008A7274">
        <w:rPr>
          <w:szCs w:val="22"/>
        </w:rPr>
        <w:t xml:space="preserve">MEE lacked candor </w:t>
      </w:r>
      <w:r w:rsidR="00686F5D">
        <w:rPr>
          <w:szCs w:val="22"/>
        </w:rPr>
        <w:t xml:space="preserve">in violation of section 1.17(a)(1) </w:t>
      </w:r>
      <w:r w:rsidR="00DB4C45">
        <w:rPr>
          <w:szCs w:val="22"/>
        </w:rPr>
        <w:t>(</w:t>
      </w:r>
      <w:r w:rsidR="00686F5D">
        <w:rPr>
          <w:szCs w:val="22"/>
        </w:rPr>
        <w:t xml:space="preserve">or </w:t>
      </w:r>
      <w:r w:rsidR="003D2271">
        <w:rPr>
          <w:szCs w:val="22"/>
        </w:rPr>
        <w:t>violated section 1.17(a)(2)</w:t>
      </w:r>
      <w:r w:rsidR="00DB4C45">
        <w:rPr>
          <w:szCs w:val="22"/>
        </w:rPr>
        <w:t>)</w:t>
      </w:r>
      <w:r w:rsidR="003D2271">
        <w:rPr>
          <w:szCs w:val="22"/>
        </w:rPr>
        <w:t xml:space="preserve"> </w:t>
      </w:r>
      <w:r w:rsidRPr="008A7274">
        <w:rPr>
          <w:szCs w:val="22"/>
        </w:rPr>
        <w:t xml:space="preserve">when it failed to disclose Compton’s death in the </w:t>
      </w:r>
      <w:r w:rsidRPr="008A7274" w:rsidR="00EA4276">
        <w:rPr>
          <w:szCs w:val="22"/>
        </w:rPr>
        <w:t xml:space="preserve">First and </w:t>
      </w:r>
      <w:r w:rsidRPr="008A7274">
        <w:rPr>
          <w:szCs w:val="22"/>
        </w:rPr>
        <w:t>Second LOI Response</w:t>
      </w:r>
      <w:r w:rsidRPr="008A7274" w:rsidR="00EA4276">
        <w:rPr>
          <w:szCs w:val="22"/>
        </w:rPr>
        <w:t>s,</w:t>
      </w:r>
      <w:r w:rsidRPr="008A7274">
        <w:rPr>
          <w:szCs w:val="22"/>
        </w:rPr>
        <w:t xml:space="preserve"> and failed to </w:t>
      </w:r>
      <w:r w:rsidRPr="008A7274" w:rsidR="000500F1">
        <w:rPr>
          <w:szCs w:val="22"/>
        </w:rPr>
        <w:t>divulge</w:t>
      </w:r>
      <w:r w:rsidRPr="008A7274">
        <w:rPr>
          <w:szCs w:val="22"/>
        </w:rPr>
        <w:t xml:space="preserve"> the date of Compton’s death in the Third LOI Response.</w:t>
      </w:r>
      <w:r>
        <w:rPr>
          <w:rStyle w:val="FootnoteReference"/>
          <w:szCs w:val="22"/>
        </w:rPr>
        <w:footnoteReference w:id="93"/>
      </w:r>
      <w:r w:rsidRPr="008A7274">
        <w:rPr>
          <w:szCs w:val="22"/>
        </w:rPr>
        <w:t xml:space="preserve">  </w:t>
      </w:r>
      <w:r w:rsidRPr="008A7274" w:rsidR="001400B4">
        <w:rPr>
          <w:szCs w:val="22"/>
        </w:rPr>
        <w:t>Given that MEE divulged the deaths of Maniaci and Hazelett in the First LOI Response</w:t>
      </w:r>
      <w:r w:rsidRPr="008A7274" w:rsidR="007358A5">
        <w:rPr>
          <w:szCs w:val="22"/>
        </w:rPr>
        <w:t xml:space="preserve"> and indicated they had passed away </w:t>
      </w:r>
      <w:r w:rsidRPr="008A7274" w:rsidR="00181B49">
        <w:rPr>
          <w:szCs w:val="22"/>
        </w:rPr>
        <w:t>at some point after May 29, 2019</w:t>
      </w:r>
      <w:r w:rsidRPr="008A7274" w:rsidR="001400B4">
        <w:rPr>
          <w:szCs w:val="22"/>
        </w:rPr>
        <w:t>,</w:t>
      </w:r>
      <w:r>
        <w:rPr>
          <w:rStyle w:val="FootnoteReference"/>
          <w:sz w:val="22"/>
          <w:szCs w:val="22"/>
        </w:rPr>
        <w:footnoteReference w:id="94"/>
      </w:r>
      <w:r w:rsidRPr="00827C1B" w:rsidR="001400B4">
        <w:rPr>
          <w:szCs w:val="22"/>
        </w:rPr>
        <w:t xml:space="preserve"> it appears </w:t>
      </w:r>
      <w:r w:rsidRPr="006307CB">
        <w:rPr>
          <w:szCs w:val="22"/>
        </w:rPr>
        <w:t xml:space="preserve">MEE </w:t>
      </w:r>
      <w:r w:rsidRPr="006307CB" w:rsidR="00CA3BF0">
        <w:rPr>
          <w:szCs w:val="22"/>
        </w:rPr>
        <w:t xml:space="preserve">intentionally </w:t>
      </w:r>
      <w:r w:rsidRPr="008A7274">
        <w:rPr>
          <w:szCs w:val="22"/>
        </w:rPr>
        <w:t xml:space="preserve">avoided mentioning Compton </w:t>
      </w:r>
      <w:r w:rsidRPr="008A7274" w:rsidR="001400B4">
        <w:rPr>
          <w:szCs w:val="22"/>
        </w:rPr>
        <w:t xml:space="preserve">in </w:t>
      </w:r>
      <w:r w:rsidRPr="008A7274" w:rsidR="00181B49">
        <w:rPr>
          <w:szCs w:val="22"/>
        </w:rPr>
        <w:t>the First LOI Response</w:t>
      </w:r>
      <w:r w:rsidRPr="008A7274" w:rsidR="001400B4">
        <w:rPr>
          <w:szCs w:val="22"/>
        </w:rPr>
        <w:t xml:space="preserve"> </w:t>
      </w:r>
      <w:r w:rsidRPr="008A7274" w:rsidR="00EA4276">
        <w:rPr>
          <w:szCs w:val="22"/>
        </w:rPr>
        <w:t xml:space="preserve">and </w:t>
      </w:r>
      <w:r w:rsidRPr="008A7274" w:rsidR="008C3295">
        <w:rPr>
          <w:szCs w:val="22"/>
        </w:rPr>
        <w:t xml:space="preserve">did so </w:t>
      </w:r>
      <w:r w:rsidRPr="008A7274" w:rsidR="00181B49">
        <w:rPr>
          <w:szCs w:val="22"/>
        </w:rPr>
        <w:t xml:space="preserve">again in </w:t>
      </w:r>
      <w:r w:rsidRPr="008A7274" w:rsidR="001400B4">
        <w:rPr>
          <w:szCs w:val="22"/>
        </w:rPr>
        <w:t xml:space="preserve">the </w:t>
      </w:r>
      <w:r w:rsidRPr="008A7274">
        <w:rPr>
          <w:szCs w:val="22"/>
        </w:rPr>
        <w:t>Second LOI Response</w:t>
      </w:r>
      <w:r w:rsidRPr="008A7274" w:rsidR="00CA3BF0">
        <w:rPr>
          <w:szCs w:val="22"/>
        </w:rPr>
        <w:t xml:space="preserve">. </w:t>
      </w:r>
      <w:r w:rsidRPr="008A7274" w:rsidR="00153822">
        <w:rPr>
          <w:szCs w:val="22"/>
        </w:rPr>
        <w:t xml:space="preserve"> </w:t>
      </w:r>
      <w:r w:rsidRPr="008A7274" w:rsidR="00426B84">
        <w:rPr>
          <w:szCs w:val="22"/>
        </w:rPr>
        <w:t xml:space="preserve">Further evidence of </w:t>
      </w:r>
      <w:r w:rsidRPr="008A7274" w:rsidR="00E0507E">
        <w:rPr>
          <w:szCs w:val="22"/>
        </w:rPr>
        <w:t xml:space="preserve">MEE’s apparent </w:t>
      </w:r>
      <w:r w:rsidRPr="008A7274" w:rsidR="00426B84">
        <w:rPr>
          <w:szCs w:val="22"/>
        </w:rPr>
        <w:t>intent to deceive</w:t>
      </w:r>
      <w:r w:rsidRPr="008A7274" w:rsidR="00E0507E">
        <w:rPr>
          <w:szCs w:val="22"/>
        </w:rPr>
        <w:t xml:space="preserve"> the Commission</w:t>
      </w:r>
      <w:r w:rsidRPr="008A7274" w:rsidR="00426B84">
        <w:rPr>
          <w:szCs w:val="22"/>
        </w:rPr>
        <w:t xml:space="preserve"> can be found in the Third LOI Response.  </w:t>
      </w:r>
      <w:r w:rsidRPr="008A7274" w:rsidR="00C028F7">
        <w:rPr>
          <w:szCs w:val="22"/>
        </w:rPr>
        <w:t xml:space="preserve">Therein, despite being instructed to address Compton’s involvement with MEE, </w:t>
      </w:r>
      <w:r w:rsidRPr="008A7274" w:rsidR="00726F6C">
        <w:rPr>
          <w:szCs w:val="22"/>
        </w:rPr>
        <w:t xml:space="preserve">MEE </w:t>
      </w:r>
      <w:r w:rsidRPr="008A7274">
        <w:rPr>
          <w:szCs w:val="22"/>
        </w:rPr>
        <w:t>only acknowledged Compton’s passing</w:t>
      </w:r>
      <w:r w:rsidRPr="008A7274" w:rsidR="00185113">
        <w:rPr>
          <w:szCs w:val="22"/>
        </w:rPr>
        <w:t>, and avoided</w:t>
      </w:r>
      <w:r w:rsidRPr="008A7274">
        <w:rPr>
          <w:szCs w:val="22"/>
        </w:rPr>
        <w:t xml:space="preserve"> </w:t>
      </w:r>
      <w:r w:rsidRPr="008A7274" w:rsidR="00185113">
        <w:rPr>
          <w:szCs w:val="22"/>
        </w:rPr>
        <w:t>stating</w:t>
      </w:r>
      <w:r w:rsidRPr="008A7274">
        <w:rPr>
          <w:szCs w:val="22"/>
        </w:rPr>
        <w:t xml:space="preserve"> when </w:t>
      </w:r>
      <w:r w:rsidRPr="008A7274" w:rsidR="00726F6C">
        <w:rPr>
          <w:szCs w:val="22"/>
        </w:rPr>
        <w:t>Compton</w:t>
      </w:r>
      <w:r w:rsidRPr="008A7274">
        <w:rPr>
          <w:szCs w:val="22"/>
        </w:rPr>
        <w:t xml:space="preserve"> had passed away</w:t>
      </w:r>
      <w:r w:rsidRPr="008A7274" w:rsidR="00C43847">
        <w:rPr>
          <w:szCs w:val="22"/>
        </w:rPr>
        <w:t xml:space="preserve"> or acknowledging that Compton had never been involved with MEE</w:t>
      </w:r>
      <w:r w:rsidRPr="008A7274">
        <w:rPr>
          <w:szCs w:val="22"/>
        </w:rPr>
        <w:t>.</w:t>
      </w:r>
      <w:r>
        <w:rPr>
          <w:rStyle w:val="FootnoteReference"/>
          <w:sz w:val="22"/>
          <w:szCs w:val="22"/>
        </w:rPr>
        <w:footnoteReference w:id="95"/>
      </w:r>
      <w:r w:rsidRPr="00827C1B">
        <w:rPr>
          <w:szCs w:val="22"/>
        </w:rPr>
        <w:t xml:space="preserve">  </w:t>
      </w:r>
      <w:r w:rsidRPr="008A7274" w:rsidR="00C43847">
        <w:rPr>
          <w:szCs w:val="22"/>
        </w:rPr>
        <w:t xml:space="preserve">We </w:t>
      </w:r>
      <w:r w:rsidR="00883674">
        <w:rPr>
          <w:szCs w:val="22"/>
        </w:rPr>
        <w:t xml:space="preserve">assume that MEE </w:t>
      </w:r>
      <w:r w:rsidRPr="008A7274" w:rsidR="00C43847">
        <w:rPr>
          <w:szCs w:val="22"/>
        </w:rPr>
        <w:t>believe</w:t>
      </w:r>
      <w:r w:rsidR="00883674">
        <w:rPr>
          <w:szCs w:val="22"/>
        </w:rPr>
        <w:t>d</w:t>
      </w:r>
      <w:r w:rsidRPr="008A7274" w:rsidR="00C43847">
        <w:rPr>
          <w:szCs w:val="22"/>
        </w:rPr>
        <w:t xml:space="preserve"> it</w:t>
      </w:r>
      <w:r w:rsidRPr="008A7274" w:rsidR="00710724">
        <w:rPr>
          <w:szCs w:val="22"/>
        </w:rPr>
        <w:t xml:space="preserve"> was in </w:t>
      </w:r>
      <w:r w:rsidR="00883674">
        <w:rPr>
          <w:szCs w:val="22"/>
        </w:rPr>
        <w:t>it</w:t>
      </w:r>
      <w:r w:rsidRPr="008A7274" w:rsidR="00883674">
        <w:rPr>
          <w:szCs w:val="22"/>
        </w:rPr>
        <w:t xml:space="preserve">s </w:t>
      </w:r>
      <w:r w:rsidRPr="008A7274" w:rsidR="00710724">
        <w:rPr>
          <w:szCs w:val="22"/>
        </w:rPr>
        <w:t>interest</w:t>
      </w:r>
      <w:r w:rsidRPr="008A7274" w:rsidR="00057048">
        <w:rPr>
          <w:szCs w:val="22"/>
        </w:rPr>
        <w:t xml:space="preserve"> to mislead the Commission about Compton’s death</w:t>
      </w:r>
      <w:r w:rsidRPr="008A7274" w:rsidR="00C77414">
        <w:rPr>
          <w:szCs w:val="22"/>
        </w:rPr>
        <w:t xml:space="preserve"> because</w:t>
      </w:r>
      <w:r w:rsidRPr="008A7274" w:rsidR="00710724">
        <w:rPr>
          <w:szCs w:val="22"/>
        </w:rPr>
        <w:t xml:space="preserve">, by </w:t>
      </w:r>
      <w:r w:rsidRPr="008A7274" w:rsidR="00C77414">
        <w:rPr>
          <w:szCs w:val="22"/>
        </w:rPr>
        <w:t>revealing</w:t>
      </w:r>
      <w:r w:rsidRPr="008A7274" w:rsidR="00ED4107">
        <w:rPr>
          <w:szCs w:val="22"/>
        </w:rPr>
        <w:t xml:space="preserve"> that Compton passed away in 2016</w:t>
      </w:r>
      <w:r w:rsidRPr="008A7274" w:rsidR="00710724">
        <w:rPr>
          <w:szCs w:val="22"/>
        </w:rPr>
        <w:t xml:space="preserve">, MEE would </w:t>
      </w:r>
      <w:r w:rsidRPr="008A7274" w:rsidR="00C43847">
        <w:rPr>
          <w:szCs w:val="22"/>
        </w:rPr>
        <w:t>have made</w:t>
      </w:r>
      <w:r w:rsidRPr="008A7274" w:rsidR="00710724">
        <w:rPr>
          <w:szCs w:val="22"/>
        </w:rPr>
        <w:t xml:space="preserve"> clear to the </w:t>
      </w:r>
      <w:r w:rsidRPr="008A7274" w:rsidR="00C43847">
        <w:rPr>
          <w:szCs w:val="22"/>
        </w:rPr>
        <w:t>Bureau</w:t>
      </w:r>
      <w:r w:rsidRPr="008A7274" w:rsidR="00710724">
        <w:rPr>
          <w:szCs w:val="22"/>
        </w:rPr>
        <w:t xml:space="preserve"> that it had</w:t>
      </w:r>
      <w:r w:rsidRPr="008A7274" w:rsidR="00FD6719">
        <w:rPr>
          <w:szCs w:val="22"/>
        </w:rPr>
        <w:t xml:space="preserve"> engaged in misrepresentation and lack of candor</w:t>
      </w:r>
      <w:r w:rsidRPr="008A7274" w:rsidR="00710724">
        <w:rPr>
          <w:szCs w:val="22"/>
        </w:rPr>
        <w:t xml:space="preserve"> in the Assignment Application and its LOI Responses.</w:t>
      </w:r>
    </w:p>
    <w:p w:rsidR="00B41809" w:rsidP="00045AD1" w14:paraId="4C5B38B9" w14:textId="79BAFF9E">
      <w:pPr>
        <w:pStyle w:val="ParaNum"/>
        <w:rPr>
          <w:szCs w:val="22"/>
        </w:rPr>
      </w:pPr>
      <w:r>
        <w:rPr>
          <w:szCs w:val="22"/>
        </w:rPr>
        <w:t>Moreover, t</w:t>
      </w:r>
      <w:r w:rsidRPr="008A7274" w:rsidR="00283C97">
        <w:rPr>
          <w:szCs w:val="22"/>
        </w:rPr>
        <w:t>here</w:t>
      </w:r>
      <w:r w:rsidRPr="008A7274" w:rsidR="0074593F">
        <w:rPr>
          <w:szCs w:val="22"/>
        </w:rPr>
        <w:t xml:space="preserve"> </w:t>
      </w:r>
      <w:r w:rsidRPr="008A7274" w:rsidR="00283C97">
        <w:rPr>
          <w:szCs w:val="22"/>
        </w:rPr>
        <w:t xml:space="preserve">is a substantial and material question of fact regarding whether </w:t>
      </w:r>
      <w:r w:rsidRPr="008A7274" w:rsidR="007E142F">
        <w:rPr>
          <w:szCs w:val="22"/>
        </w:rPr>
        <w:t xml:space="preserve">MEE </w:t>
      </w:r>
      <w:r w:rsidR="002B20A4">
        <w:rPr>
          <w:szCs w:val="22"/>
        </w:rPr>
        <w:t xml:space="preserve">violated section 1.17(a)(1) by </w:t>
      </w:r>
      <w:r w:rsidRPr="008A7274" w:rsidR="00631390">
        <w:rPr>
          <w:szCs w:val="22"/>
        </w:rPr>
        <w:t>fabricat</w:t>
      </w:r>
      <w:r w:rsidR="002B20A4">
        <w:rPr>
          <w:szCs w:val="22"/>
        </w:rPr>
        <w:t>ing</w:t>
      </w:r>
      <w:r w:rsidRPr="008A7274" w:rsidR="007E142F">
        <w:rPr>
          <w:szCs w:val="22"/>
        </w:rPr>
        <w:t xml:space="preserve"> </w:t>
      </w:r>
      <w:r w:rsidRPr="008A7274" w:rsidR="00277F55">
        <w:rPr>
          <w:szCs w:val="22"/>
        </w:rPr>
        <w:t xml:space="preserve">the materials </w:t>
      </w:r>
      <w:r w:rsidR="002B20A4">
        <w:rPr>
          <w:szCs w:val="22"/>
        </w:rPr>
        <w:t xml:space="preserve">it </w:t>
      </w:r>
      <w:r w:rsidRPr="008A7274" w:rsidR="00277F55">
        <w:rPr>
          <w:szCs w:val="22"/>
        </w:rPr>
        <w:t>submitted with the Third LOI Response</w:t>
      </w:r>
      <w:r w:rsidRPr="008A7274" w:rsidR="00127A61">
        <w:rPr>
          <w:szCs w:val="22"/>
        </w:rPr>
        <w:t xml:space="preserve"> </w:t>
      </w:r>
      <w:r w:rsidRPr="008A7274" w:rsidR="007E142F">
        <w:rPr>
          <w:szCs w:val="22"/>
        </w:rPr>
        <w:t>in a</w:t>
      </w:r>
      <w:r w:rsidRPr="008A7274" w:rsidR="00127A61">
        <w:rPr>
          <w:szCs w:val="22"/>
        </w:rPr>
        <w:t xml:space="preserve"> </w:t>
      </w:r>
      <w:r w:rsidRPr="008A7274" w:rsidR="00127A61">
        <w:rPr>
          <w:i/>
          <w:iCs/>
          <w:szCs w:val="22"/>
        </w:rPr>
        <w:t xml:space="preserve">post </w:t>
      </w:r>
      <w:r w:rsidRPr="008A7274" w:rsidR="00127A61">
        <w:rPr>
          <w:i/>
          <w:iCs/>
          <w:szCs w:val="22"/>
        </w:rPr>
        <w:t>hoc</w:t>
      </w:r>
      <w:r w:rsidRPr="008A7274" w:rsidR="00127A61">
        <w:rPr>
          <w:szCs w:val="22"/>
        </w:rPr>
        <w:t xml:space="preserve"> attempt to </w:t>
      </w:r>
      <w:r w:rsidRPr="008A7274" w:rsidR="00F80AC2">
        <w:rPr>
          <w:szCs w:val="22"/>
        </w:rPr>
        <w:t>provide evidence supporting</w:t>
      </w:r>
      <w:r w:rsidRPr="008A7274" w:rsidR="00127A61">
        <w:rPr>
          <w:szCs w:val="22"/>
        </w:rPr>
        <w:t xml:space="preserve"> the version of events set forth </w:t>
      </w:r>
      <w:r w:rsidRPr="008A7274" w:rsidR="007A58DB">
        <w:rPr>
          <w:szCs w:val="22"/>
        </w:rPr>
        <w:t>therein</w:t>
      </w:r>
      <w:r w:rsidRPr="008A7274" w:rsidR="00FA0BEC">
        <w:rPr>
          <w:szCs w:val="22"/>
        </w:rPr>
        <w:t>.</w:t>
      </w:r>
      <w:r>
        <w:rPr>
          <w:rStyle w:val="FootnoteReference"/>
          <w:sz w:val="22"/>
          <w:szCs w:val="22"/>
        </w:rPr>
        <w:footnoteReference w:id="96"/>
      </w:r>
      <w:r w:rsidRPr="00827C1B" w:rsidR="00FA0BEC">
        <w:rPr>
          <w:szCs w:val="22"/>
        </w:rPr>
        <w:t xml:space="preserve">  </w:t>
      </w:r>
      <w:r w:rsidRPr="006307CB" w:rsidR="00260C59">
        <w:rPr>
          <w:szCs w:val="22"/>
        </w:rPr>
        <w:t>We</w:t>
      </w:r>
      <w:r w:rsidRPr="006307CB" w:rsidR="0011203F">
        <w:rPr>
          <w:szCs w:val="22"/>
        </w:rPr>
        <w:t xml:space="preserve"> </w:t>
      </w:r>
      <w:r w:rsidRPr="008A7274" w:rsidR="00174B24">
        <w:rPr>
          <w:szCs w:val="22"/>
        </w:rPr>
        <w:t xml:space="preserve">find it suspicious that </w:t>
      </w:r>
      <w:r w:rsidRPr="008A7274">
        <w:rPr>
          <w:szCs w:val="22"/>
        </w:rPr>
        <w:t xml:space="preserve">MEE did not submit these materials </w:t>
      </w:r>
      <w:r w:rsidRPr="008A7274" w:rsidR="00260C59">
        <w:rPr>
          <w:szCs w:val="22"/>
        </w:rPr>
        <w:t xml:space="preserve">with </w:t>
      </w:r>
      <w:r w:rsidRPr="008A7274" w:rsidR="00720F2B">
        <w:rPr>
          <w:szCs w:val="22"/>
        </w:rPr>
        <w:t xml:space="preserve">its earlier LOI Responses, </w:t>
      </w:r>
      <w:r w:rsidRPr="008A7274" w:rsidR="001636B5">
        <w:rPr>
          <w:szCs w:val="22"/>
        </w:rPr>
        <w:t>particularly</w:t>
      </w:r>
      <w:r w:rsidRPr="008A7274" w:rsidR="00720F2B">
        <w:rPr>
          <w:szCs w:val="22"/>
        </w:rPr>
        <w:t xml:space="preserve"> the Second LOI Response (which did include </w:t>
      </w:r>
      <w:r w:rsidRPr="008A7274" w:rsidR="0093275A">
        <w:rPr>
          <w:szCs w:val="22"/>
        </w:rPr>
        <w:t>some</w:t>
      </w:r>
      <w:r w:rsidRPr="008A7274" w:rsidR="00720F2B">
        <w:rPr>
          <w:szCs w:val="22"/>
        </w:rPr>
        <w:t xml:space="preserve"> documentation</w:t>
      </w:r>
      <w:r w:rsidRPr="008A7274" w:rsidR="00260C59">
        <w:rPr>
          <w:szCs w:val="22"/>
        </w:rPr>
        <w:t xml:space="preserve">). </w:t>
      </w:r>
      <w:r w:rsidRPr="008A7274" w:rsidR="004B2FEE">
        <w:rPr>
          <w:szCs w:val="22"/>
        </w:rPr>
        <w:t xml:space="preserve"> </w:t>
      </w:r>
      <w:r w:rsidRPr="008A7274" w:rsidR="00260C59">
        <w:rPr>
          <w:szCs w:val="22"/>
        </w:rPr>
        <w:t>I</w:t>
      </w:r>
      <w:r w:rsidRPr="008A7274" w:rsidR="004B2FEE">
        <w:rPr>
          <w:szCs w:val="22"/>
        </w:rPr>
        <w:t>f</w:t>
      </w:r>
      <w:r w:rsidRPr="008A7274" w:rsidR="00C36715">
        <w:rPr>
          <w:szCs w:val="22"/>
        </w:rPr>
        <w:t>, as we suspect,</w:t>
      </w:r>
      <w:r w:rsidRPr="008A7274" w:rsidR="003C633E">
        <w:rPr>
          <w:szCs w:val="22"/>
        </w:rPr>
        <w:t xml:space="preserve"> the bylaws and meeting minutes did not exist </w:t>
      </w:r>
      <w:r w:rsidRPr="008A7274" w:rsidR="007646C1">
        <w:rPr>
          <w:szCs w:val="22"/>
        </w:rPr>
        <w:t xml:space="preserve">at the time MEE submitted </w:t>
      </w:r>
      <w:r w:rsidRPr="008A7274" w:rsidR="00260C59">
        <w:rPr>
          <w:szCs w:val="22"/>
        </w:rPr>
        <w:t>its</w:t>
      </w:r>
      <w:r w:rsidRPr="008A7274" w:rsidR="007646C1">
        <w:rPr>
          <w:szCs w:val="22"/>
        </w:rPr>
        <w:t xml:space="preserve"> earlier LOI Responses, that would explain why MEE did not include them </w:t>
      </w:r>
      <w:r w:rsidRPr="008A7274" w:rsidR="00C36715">
        <w:rPr>
          <w:szCs w:val="22"/>
        </w:rPr>
        <w:t xml:space="preserve">with those responses, </w:t>
      </w:r>
      <w:r w:rsidRPr="008A7274" w:rsidR="007646C1">
        <w:rPr>
          <w:szCs w:val="22"/>
        </w:rPr>
        <w:t>and why</w:t>
      </w:r>
      <w:r w:rsidRPr="008A7274" w:rsidR="00C808A0">
        <w:rPr>
          <w:szCs w:val="22"/>
        </w:rPr>
        <w:t>, in the Second LOI Response,</w:t>
      </w:r>
      <w:r w:rsidRPr="008A7274" w:rsidR="007646C1">
        <w:rPr>
          <w:szCs w:val="22"/>
        </w:rPr>
        <w:t xml:space="preserve"> MEE stated it had provided all materials in its possession</w:t>
      </w:r>
      <w:r w:rsidRPr="008A7274" w:rsidR="00C36715">
        <w:rPr>
          <w:szCs w:val="22"/>
        </w:rPr>
        <w:t>.</w:t>
      </w:r>
      <w:r>
        <w:rPr>
          <w:rStyle w:val="FootnoteReference"/>
          <w:sz w:val="22"/>
          <w:szCs w:val="22"/>
        </w:rPr>
        <w:footnoteReference w:id="97"/>
      </w:r>
      <w:r w:rsidRPr="00827C1B" w:rsidR="007646C1">
        <w:rPr>
          <w:szCs w:val="22"/>
        </w:rPr>
        <w:t xml:space="preserve"> </w:t>
      </w:r>
      <w:r w:rsidRPr="006307CB" w:rsidR="00F356AB">
        <w:rPr>
          <w:szCs w:val="22"/>
        </w:rPr>
        <w:t xml:space="preserve"> </w:t>
      </w:r>
      <w:r w:rsidRPr="006307CB" w:rsidR="00B95BB4">
        <w:rPr>
          <w:szCs w:val="22"/>
        </w:rPr>
        <w:t xml:space="preserve">While MEE </w:t>
      </w:r>
      <w:r w:rsidRPr="008A7274" w:rsidR="00BD03A0">
        <w:rPr>
          <w:szCs w:val="22"/>
        </w:rPr>
        <w:t>states</w:t>
      </w:r>
      <w:r w:rsidRPr="008A7274" w:rsidR="00C36715">
        <w:rPr>
          <w:szCs w:val="22"/>
        </w:rPr>
        <w:t xml:space="preserve"> in the Third LOI Respo</w:t>
      </w:r>
      <w:r w:rsidRPr="008A7274" w:rsidR="00031D9F">
        <w:rPr>
          <w:szCs w:val="22"/>
        </w:rPr>
        <w:t>n</w:t>
      </w:r>
      <w:r w:rsidRPr="008A7274" w:rsidR="00C36715">
        <w:rPr>
          <w:szCs w:val="22"/>
        </w:rPr>
        <w:t>se</w:t>
      </w:r>
      <w:r w:rsidRPr="008A7274" w:rsidR="00BD03A0">
        <w:rPr>
          <w:szCs w:val="22"/>
        </w:rPr>
        <w:t xml:space="preserve"> that</w:t>
      </w:r>
      <w:r w:rsidRPr="008A7274" w:rsidR="00B95BB4">
        <w:rPr>
          <w:szCs w:val="22"/>
        </w:rPr>
        <w:t xml:space="preserve"> </w:t>
      </w:r>
      <w:r w:rsidRPr="008A7274" w:rsidR="00BD03A0">
        <w:rPr>
          <w:szCs w:val="22"/>
        </w:rPr>
        <w:t>it omitted</w:t>
      </w:r>
      <w:r w:rsidRPr="008A7274" w:rsidR="00B95BB4">
        <w:rPr>
          <w:szCs w:val="22"/>
        </w:rPr>
        <w:t xml:space="preserve"> these materials from its earlier responses </w:t>
      </w:r>
      <w:r w:rsidRPr="008A7274" w:rsidR="00BD03A0">
        <w:rPr>
          <w:szCs w:val="22"/>
        </w:rPr>
        <w:t>because it was</w:t>
      </w:r>
      <w:r w:rsidRPr="008A7274" w:rsidR="00260C59">
        <w:rPr>
          <w:szCs w:val="22"/>
        </w:rPr>
        <w:t xml:space="preserve"> </w:t>
      </w:r>
      <w:r w:rsidRPr="008A7274" w:rsidR="00BD03A0">
        <w:rPr>
          <w:szCs w:val="22"/>
        </w:rPr>
        <w:t>“</w:t>
      </w:r>
      <w:r w:rsidRPr="008A7274" w:rsidR="00260C59">
        <w:rPr>
          <w:szCs w:val="22"/>
        </w:rPr>
        <w:t>not aware that the FCC wanted to see them</w:t>
      </w:r>
      <w:r w:rsidRPr="008A7274" w:rsidR="00BD03A0">
        <w:rPr>
          <w:szCs w:val="22"/>
        </w:rPr>
        <w:t>,</w:t>
      </w:r>
      <w:r w:rsidRPr="008A7274" w:rsidR="00260C59">
        <w:rPr>
          <w:szCs w:val="22"/>
        </w:rPr>
        <w:t>”</w:t>
      </w:r>
      <w:r>
        <w:rPr>
          <w:rStyle w:val="FootnoteReference"/>
          <w:sz w:val="22"/>
          <w:szCs w:val="22"/>
        </w:rPr>
        <w:footnoteReference w:id="98"/>
      </w:r>
      <w:r w:rsidRPr="00827C1B" w:rsidR="00BD03A0">
        <w:rPr>
          <w:szCs w:val="22"/>
        </w:rPr>
        <w:t xml:space="preserve"> we find this explanation </w:t>
      </w:r>
      <w:r w:rsidRPr="008A7274" w:rsidR="00260C59">
        <w:rPr>
          <w:szCs w:val="22"/>
        </w:rPr>
        <w:t>unconvincing</w:t>
      </w:r>
      <w:r w:rsidRPr="008A7274" w:rsidR="00BD03A0">
        <w:rPr>
          <w:szCs w:val="22"/>
        </w:rPr>
        <w:t xml:space="preserve">.  </w:t>
      </w:r>
      <w:r w:rsidRPr="008A7274" w:rsidR="00031D9F">
        <w:rPr>
          <w:szCs w:val="22"/>
        </w:rPr>
        <w:t>T</w:t>
      </w:r>
      <w:r w:rsidRPr="008A7274" w:rsidR="00260C59">
        <w:rPr>
          <w:szCs w:val="22"/>
        </w:rPr>
        <w:t>he first two LOIs clearly require</w:t>
      </w:r>
      <w:r w:rsidRPr="008A7274" w:rsidR="00031D9F">
        <w:rPr>
          <w:szCs w:val="22"/>
        </w:rPr>
        <w:t>d</w:t>
      </w:r>
      <w:r w:rsidRPr="008A7274" w:rsidR="00260C59">
        <w:rPr>
          <w:szCs w:val="22"/>
        </w:rPr>
        <w:t xml:space="preserve"> such documents to be produced</w:t>
      </w:r>
      <w:r w:rsidRPr="008A7274" w:rsidR="00031D9F">
        <w:rPr>
          <w:szCs w:val="22"/>
        </w:rPr>
        <w:t>,</w:t>
      </w:r>
      <w:r w:rsidRPr="008A7274" w:rsidR="00936005">
        <w:rPr>
          <w:szCs w:val="22"/>
        </w:rPr>
        <w:t xml:space="preserve"> and</w:t>
      </w:r>
      <w:r w:rsidRPr="008A7274" w:rsidR="00031D9F">
        <w:rPr>
          <w:szCs w:val="22"/>
        </w:rPr>
        <w:t xml:space="preserve"> </w:t>
      </w:r>
      <w:r w:rsidRPr="008A7274" w:rsidR="00260C59">
        <w:rPr>
          <w:szCs w:val="22"/>
        </w:rPr>
        <w:t xml:space="preserve">MEE never indicated any confusion over what was required </w:t>
      </w:r>
      <w:r w:rsidRPr="008A7274" w:rsidR="00031D9F">
        <w:rPr>
          <w:szCs w:val="22"/>
        </w:rPr>
        <w:t>in its responses to those LOIs</w:t>
      </w:r>
      <w:r w:rsidRPr="008A7274" w:rsidR="00260C59">
        <w:rPr>
          <w:szCs w:val="22"/>
        </w:rPr>
        <w:t xml:space="preserve">.  </w:t>
      </w:r>
    </w:p>
    <w:p w:rsidR="0074593F" w:rsidRPr="00383177" w:rsidP="00383177" w14:paraId="3C69EE31" w14:textId="5B075D6B">
      <w:pPr>
        <w:pStyle w:val="ParaNum"/>
        <w:rPr>
          <w:szCs w:val="22"/>
        </w:rPr>
      </w:pPr>
      <w:r w:rsidRPr="00383177">
        <w:rPr>
          <w:szCs w:val="22"/>
        </w:rPr>
        <w:t>Finally, there is a substantial and material question of fact regarding whether</w:t>
      </w:r>
      <w:r w:rsidRPr="00383177" w:rsidR="0034186E">
        <w:rPr>
          <w:szCs w:val="22"/>
        </w:rPr>
        <w:t>, as Phelps alleges,</w:t>
      </w:r>
      <w:r>
        <w:rPr>
          <w:rStyle w:val="FootnoteReference"/>
          <w:sz w:val="22"/>
          <w:szCs w:val="22"/>
        </w:rPr>
        <w:footnoteReference w:id="99"/>
      </w:r>
      <w:r w:rsidRPr="00383177">
        <w:rPr>
          <w:szCs w:val="22"/>
        </w:rPr>
        <w:t xml:space="preserve"> MEE falsely </w:t>
      </w:r>
      <w:r w:rsidRPr="00383177" w:rsidR="00FC5419">
        <w:rPr>
          <w:szCs w:val="22"/>
        </w:rPr>
        <w:t xml:space="preserve">stated that the Station </w:t>
      </w:r>
      <w:r w:rsidRPr="00383177" w:rsidR="0034186E">
        <w:rPr>
          <w:szCs w:val="22"/>
        </w:rPr>
        <w:t xml:space="preserve">is the “last station” </w:t>
      </w:r>
      <w:r w:rsidRPr="00383177" w:rsidR="00830091">
        <w:rPr>
          <w:szCs w:val="22"/>
        </w:rPr>
        <w:t xml:space="preserve">in Marion, Ohio, </w:t>
      </w:r>
      <w:r w:rsidRPr="00383177" w:rsidR="0034186E">
        <w:rPr>
          <w:szCs w:val="22"/>
        </w:rPr>
        <w:t xml:space="preserve">providing local news and weather </w:t>
      </w:r>
      <w:r w:rsidRPr="00383177" w:rsidR="00830091">
        <w:rPr>
          <w:szCs w:val="22"/>
        </w:rPr>
        <w:t>to listeners every hour.</w:t>
      </w:r>
      <w:r>
        <w:rPr>
          <w:rStyle w:val="FootnoteReference"/>
          <w:sz w:val="22"/>
          <w:szCs w:val="22"/>
        </w:rPr>
        <w:footnoteReference w:id="100"/>
      </w:r>
      <w:r w:rsidRPr="00383177" w:rsidR="0050206C">
        <w:rPr>
          <w:szCs w:val="22"/>
        </w:rPr>
        <w:t xml:space="preserve">  Phelps states that</w:t>
      </w:r>
      <w:r w:rsidRPr="00383177" w:rsidR="00721C9C">
        <w:rPr>
          <w:szCs w:val="22"/>
        </w:rPr>
        <w:t xml:space="preserve">, contrary to MEE’s statement, </w:t>
      </w:r>
      <w:r w:rsidRPr="00383177" w:rsidR="00CA3060">
        <w:rPr>
          <w:szCs w:val="22"/>
        </w:rPr>
        <w:t xml:space="preserve">another </w:t>
      </w:r>
      <w:r w:rsidRPr="00383177" w:rsidR="00721C9C">
        <w:rPr>
          <w:szCs w:val="22"/>
        </w:rPr>
        <w:t>three stations</w:t>
      </w:r>
      <w:r w:rsidRPr="00383177" w:rsidR="00BA53B0">
        <w:rPr>
          <w:szCs w:val="22"/>
        </w:rPr>
        <w:t xml:space="preserve"> (WMRN</w:t>
      </w:r>
      <w:r w:rsidRPr="00383177" w:rsidR="00311F51">
        <w:rPr>
          <w:szCs w:val="22"/>
        </w:rPr>
        <w:t>(</w:t>
      </w:r>
      <w:r w:rsidRPr="00383177" w:rsidR="00BA53B0">
        <w:rPr>
          <w:szCs w:val="22"/>
        </w:rPr>
        <w:t>AM</w:t>
      </w:r>
      <w:r w:rsidRPr="00383177" w:rsidR="00311F51">
        <w:rPr>
          <w:szCs w:val="22"/>
        </w:rPr>
        <w:t>)</w:t>
      </w:r>
      <w:r w:rsidRPr="00383177" w:rsidR="00BA53B0">
        <w:rPr>
          <w:szCs w:val="22"/>
        </w:rPr>
        <w:t>, WMRN-FM, and WYNT-FM)</w:t>
      </w:r>
      <w:r w:rsidRPr="00383177" w:rsidR="00721C9C">
        <w:rPr>
          <w:szCs w:val="22"/>
        </w:rPr>
        <w:t xml:space="preserve"> licensed to the community of Marion</w:t>
      </w:r>
      <w:r w:rsidRPr="00383177" w:rsidR="00CA3060">
        <w:rPr>
          <w:szCs w:val="22"/>
        </w:rPr>
        <w:t xml:space="preserve"> provide local news and weather every hour, and an additional two stations </w:t>
      </w:r>
      <w:r w:rsidRPr="00383177" w:rsidR="00BA53B0">
        <w:rPr>
          <w:szCs w:val="22"/>
        </w:rPr>
        <w:t xml:space="preserve">(WDIF-LP, and WZMO-LP) </w:t>
      </w:r>
      <w:r w:rsidRPr="00383177" w:rsidR="00CA3060">
        <w:rPr>
          <w:szCs w:val="22"/>
        </w:rPr>
        <w:t>licensed to Marion provide “weather every hour and local programming throughout their broadcast days.”</w:t>
      </w:r>
      <w:r>
        <w:rPr>
          <w:rStyle w:val="FootnoteReference"/>
          <w:sz w:val="22"/>
          <w:szCs w:val="22"/>
        </w:rPr>
        <w:footnoteReference w:id="101"/>
      </w:r>
      <w:r w:rsidRPr="00383177" w:rsidR="00CA3060">
        <w:rPr>
          <w:szCs w:val="22"/>
        </w:rPr>
        <w:t xml:space="preserve">  </w:t>
      </w:r>
      <w:r w:rsidRPr="00383177" w:rsidR="00DA3557">
        <w:rPr>
          <w:szCs w:val="22"/>
        </w:rPr>
        <w:t xml:space="preserve">MEE has offered no evidence </w:t>
      </w:r>
      <w:r w:rsidRPr="00383177" w:rsidR="00596A60">
        <w:rPr>
          <w:szCs w:val="22"/>
        </w:rPr>
        <w:t xml:space="preserve">demonstrating that Phelps’ statement is incorrect.  However, we note that </w:t>
      </w:r>
      <w:r w:rsidRPr="00383177" w:rsidR="00B26963">
        <w:rPr>
          <w:szCs w:val="22"/>
        </w:rPr>
        <w:t>WYNT-FM actually is licensed to Cal</w:t>
      </w:r>
      <w:r w:rsidRPr="00383177" w:rsidR="002B358C">
        <w:rPr>
          <w:szCs w:val="22"/>
        </w:rPr>
        <w:t>e</w:t>
      </w:r>
      <w:r w:rsidRPr="00383177" w:rsidR="00B26963">
        <w:rPr>
          <w:szCs w:val="22"/>
        </w:rPr>
        <w:t>donia, Ohio</w:t>
      </w:r>
      <w:r w:rsidRPr="00383177" w:rsidR="00EF35EF">
        <w:rPr>
          <w:szCs w:val="22"/>
        </w:rPr>
        <w:t xml:space="preserve">.  </w:t>
      </w:r>
      <w:r w:rsidRPr="00383177" w:rsidR="00596A60">
        <w:rPr>
          <w:szCs w:val="22"/>
        </w:rPr>
        <w:t xml:space="preserve">The </w:t>
      </w:r>
      <w:r w:rsidRPr="00383177" w:rsidR="00EF35EF">
        <w:rPr>
          <w:szCs w:val="22"/>
        </w:rPr>
        <w:t>other four statio</w:t>
      </w:r>
      <w:r w:rsidRPr="00383177" w:rsidR="0071091A">
        <w:rPr>
          <w:szCs w:val="22"/>
        </w:rPr>
        <w:t>n</w:t>
      </w:r>
      <w:r w:rsidRPr="00383177" w:rsidR="00EF35EF">
        <w:rPr>
          <w:szCs w:val="22"/>
        </w:rPr>
        <w:t>s</w:t>
      </w:r>
      <w:r w:rsidRPr="00383177" w:rsidR="00596A60">
        <w:rPr>
          <w:szCs w:val="22"/>
        </w:rPr>
        <w:t xml:space="preserve">, though, </w:t>
      </w:r>
      <w:r w:rsidRPr="00383177" w:rsidR="00EF35EF">
        <w:rPr>
          <w:szCs w:val="22"/>
        </w:rPr>
        <w:t>are licensed to Marion</w:t>
      </w:r>
      <w:r w:rsidRPr="00383177" w:rsidR="00596A60">
        <w:rPr>
          <w:szCs w:val="22"/>
        </w:rPr>
        <w:t>, and,</w:t>
      </w:r>
      <w:r w:rsidRPr="00383177" w:rsidR="0008070E">
        <w:rPr>
          <w:szCs w:val="22"/>
        </w:rPr>
        <w:t xml:space="preserve"> of those, at least one (WZMO-LP) provides hourly news and weather updates.</w:t>
      </w:r>
      <w:r>
        <w:rPr>
          <w:rStyle w:val="FootnoteReference"/>
          <w:sz w:val="22"/>
          <w:szCs w:val="22"/>
        </w:rPr>
        <w:footnoteReference w:id="102"/>
      </w:r>
      <w:r w:rsidRPr="00383177" w:rsidR="00743962">
        <w:rPr>
          <w:szCs w:val="22"/>
        </w:rPr>
        <w:t xml:space="preserve">  </w:t>
      </w:r>
      <w:r w:rsidRPr="00383177" w:rsidR="00596A60">
        <w:rPr>
          <w:szCs w:val="22"/>
        </w:rPr>
        <w:t>Accordingly, we conclude that i</w:t>
      </w:r>
      <w:r w:rsidRPr="00383177" w:rsidR="006B1C06">
        <w:rPr>
          <w:szCs w:val="22"/>
        </w:rPr>
        <w:t xml:space="preserve">t appears </w:t>
      </w:r>
      <w:r w:rsidRPr="00383177" w:rsidR="00E45642">
        <w:rPr>
          <w:szCs w:val="22"/>
        </w:rPr>
        <w:t xml:space="preserve">MEE </w:t>
      </w:r>
      <w:r w:rsidRPr="00383177" w:rsidR="006B1C06">
        <w:rPr>
          <w:szCs w:val="22"/>
        </w:rPr>
        <w:t>knowingly</w:t>
      </w:r>
      <w:r w:rsidRPr="00383177" w:rsidR="00E45642">
        <w:rPr>
          <w:szCs w:val="22"/>
        </w:rPr>
        <w:t xml:space="preserve"> provided false information to the Bureau</w:t>
      </w:r>
      <w:r w:rsidRPr="00383177" w:rsidR="006B1C06">
        <w:rPr>
          <w:szCs w:val="22"/>
        </w:rPr>
        <w:t xml:space="preserve"> in order to bolster its argument that the Station’s license should be renewed.</w:t>
      </w:r>
      <w:r>
        <w:rPr>
          <w:rStyle w:val="FootnoteReference"/>
          <w:szCs w:val="22"/>
        </w:rPr>
        <w:footnoteReference w:id="103"/>
      </w:r>
      <w:r w:rsidRPr="00383177" w:rsidR="00101CC2">
        <w:rPr>
          <w:szCs w:val="22"/>
        </w:rPr>
        <w:t xml:space="preserve">  </w:t>
      </w:r>
    </w:p>
    <w:p w:rsidR="00FC0BF2" w:rsidP="00045AD1" w14:paraId="17363F27" w14:textId="6A0D846E">
      <w:pPr>
        <w:pStyle w:val="ParaNum"/>
        <w:rPr>
          <w:szCs w:val="22"/>
        </w:rPr>
      </w:pPr>
      <w:r w:rsidRPr="00211B59">
        <w:t>We note that Phelps made one additional allegation</w:t>
      </w:r>
      <w:r w:rsidRPr="00211B59">
        <w:rPr>
          <w:b/>
          <w:bCs/>
        </w:rPr>
        <w:t xml:space="preserve"> </w:t>
      </w:r>
      <w:r w:rsidRPr="00211B59">
        <w:t xml:space="preserve">that </w:t>
      </w:r>
      <w:r>
        <w:t xml:space="preserve">MEE had made a false statement, </w:t>
      </w:r>
      <w:r w:rsidRPr="00211B59">
        <w:t xml:space="preserve">but find that Phelps did not raise a substantial and material question of fact </w:t>
      </w:r>
      <w:r w:rsidRPr="00211B59" w:rsidR="00417704">
        <w:t>regarding</w:t>
      </w:r>
      <w:r w:rsidRPr="00211B59">
        <w:t xml:space="preserve"> this allegation.  Specifically, Phelps alleged that MEE made a false statement in the Transfer Application regarding why Worcester resigned from</w:t>
      </w:r>
      <w:r w:rsidRPr="00211B59" w:rsidR="00A54DDD">
        <w:t xml:space="preserve"> the MEE board</w:t>
      </w:r>
      <w:r w:rsidRPr="00211B59">
        <w:t>.</w:t>
      </w:r>
      <w:r>
        <w:rPr>
          <w:rStyle w:val="FootnoteReference"/>
        </w:rPr>
        <w:footnoteReference w:id="104"/>
      </w:r>
      <w:r w:rsidRPr="00211B59">
        <w:t xml:space="preserve">  MEE stated that Worcester’s resignation was voluntary</w:t>
      </w:r>
      <w:r w:rsidRPr="00211B59" w:rsidR="00A54DDD">
        <w:t>,</w:t>
      </w:r>
      <w:r>
        <w:rPr>
          <w:rStyle w:val="FootnoteReference"/>
        </w:rPr>
        <w:footnoteReference w:id="105"/>
      </w:r>
      <w:r w:rsidRPr="00211B59">
        <w:t xml:space="preserve"> but Phelps alleged it was not, citing an Assurance of Discontinuance that Worcester (and Spears and MMF) entered into with the Ohio </w:t>
      </w:r>
      <w:r w:rsidRPr="00211B59" w:rsidR="00A54DDD">
        <w:t>Attorney General</w:t>
      </w:r>
      <w:r w:rsidRPr="00211B59">
        <w:t>.</w:t>
      </w:r>
      <w:r>
        <w:rPr>
          <w:rStyle w:val="FootnoteReference"/>
        </w:rPr>
        <w:footnoteReference w:id="106"/>
      </w:r>
      <w:r w:rsidRPr="00211B59">
        <w:t xml:space="preserve"> </w:t>
      </w:r>
      <w:r w:rsidRPr="00211B59" w:rsidR="00A54DDD">
        <w:t xml:space="preserve"> Because the Assurance of Discontinuance was related to Worcester’s involvement with MMF, not MEE, we find it is not probative of whether Worcester </w:t>
      </w:r>
      <w:r w:rsidRPr="00211B59" w:rsidR="00A54DDD">
        <w:t xml:space="preserve">voluntarily resigned from the MEE board.  Phelps has submitted no other information to support his allegation that </w:t>
      </w:r>
      <w:r w:rsidRPr="00417704" w:rsidR="00A54DDD">
        <w:t>Worcester’s resignation from the MEE board was not voluntary.  Therefore, we find he has not raised a substantial and material question of fact that requires further investigation</w:t>
      </w:r>
      <w:r w:rsidRPr="00417704">
        <w:t xml:space="preserve">.  </w:t>
      </w:r>
    </w:p>
    <w:p w:rsidR="00505B8D" w:rsidRPr="008A7274" w:rsidP="00045AD1" w14:paraId="6B59B01D" w14:textId="6026BE35">
      <w:pPr>
        <w:pStyle w:val="ParaNum"/>
        <w:rPr>
          <w:szCs w:val="22"/>
        </w:rPr>
      </w:pPr>
      <w:r w:rsidRPr="008A7274">
        <w:rPr>
          <w:szCs w:val="22"/>
        </w:rPr>
        <w:t>To summarize,</w:t>
      </w:r>
      <w:r w:rsidRPr="008A7274">
        <w:rPr>
          <w:szCs w:val="22"/>
        </w:rPr>
        <w:t xml:space="preserve"> MEE</w:t>
      </w:r>
      <w:r w:rsidRPr="008A7274" w:rsidR="0079541F">
        <w:rPr>
          <w:szCs w:val="22"/>
        </w:rPr>
        <w:t xml:space="preserve"> appears to have misrepresented</w:t>
      </w:r>
      <w:r w:rsidRPr="008A7274" w:rsidR="00895EAE">
        <w:rPr>
          <w:szCs w:val="22"/>
        </w:rPr>
        <w:t xml:space="preserve"> its board composition</w:t>
      </w:r>
      <w:r w:rsidRPr="008A7274" w:rsidR="0079541F">
        <w:rPr>
          <w:szCs w:val="22"/>
        </w:rPr>
        <w:t xml:space="preserve"> in the Assignment Application.  Then, </w:t>
      </w:r>
      <w:r w:rsidRPr="008A7274" w:rsidR="00895EAE">
        <w:rPr>
          <w:szCs w:val="22"/>
        </w:rPr>
        <w:t xml:space="preserve">when </w:t>
      </w:r>
      <w:r w:rsidRPr="008A7274" w:rsidR="00583B35">
        <w:rPr>
          <w:szCs w:val="22"/>
        </w:rPr>
        <w:t>we</w:t>
      </w:r>
      <w:r w:rsidRPr="008A7274" w:rsidR="008D7E87">
        <w:rPr>
          <w:szCs w:val="22"/>
        </w:rPr>
        <w:t xml:space="preserve"> inquired about its</w:t>
      </w:r>
      <w:r w:rsidRPr="008A7274" w:rsidR="00454FF2">
        <w:rPr>
          <w:szCs w:val="22"/>
        </w:rPr>
        <w:t xml:space="preserve"> board</w:t>
      </w:r>
      <w:r w:rsidRPr="008A7274" w:rsidR="008D7E87">
        <w:rPr>
          <w:szCs w:val="22"/>
        </w:rPr>
        <w:t xml:space="preserve"> </w:t>
      </w:r>
      <w:r w:rsidRPr="008A7274" w:rsidR="00EC4D24">
        <w:rPr>
          <w:szCs w:val="22"/>
        </w:rPr>
        <w:t>composition</w:t>
      </w:r>
      <w:r w:rsidRPr="008A7274" w:rsidR="003B4D0A">
        <w:rPr>
          <w:szCs w:val="22"/>
        </w:rPr>
        <w:t>, MEE offered</w:t>
      </w:r>
      <w:r w:rsidRPr="008A7274">
        <w:rPr>
          <w:szCs w:val="22"/>
        </w:rPr>
        <w:t xml:space="preserve"> </w:t>
      </w:r>
      <w:r w:rsidRPr="008A7274" w:rsidR="003B4D0A">
        <w:rPr>
          <w:szCs w:val="22"/>
        </w:rPr>
        <w:t>different</w:t>
      </w:r>
      <w:r w:rsidRPr="008A7274">
        <w:rPr>
          <w:szCs w:val="22"/>
        </w:rPr>
        <w:t xml:space="preserve"> </w:t>
      </w:r>
      <w:r w:rsidRPr="008A7274">
        <w:rPr>
          <w:szCs w:val="22"/>
          <w:shd w:val="clear" w:color="auto" w:fill="FFFFFF"/>
        </w:rPr>
        <w:t>and, at times inconsistent, explanations</w:t>
      </w:r>
      <w:r w:rsidRPr="008A7274" w:rsidR="00583B35">
        <w:rPr>
          <w:szCs w:val="22"/>
          <w:shd w:val="clear" w:color="auto" w:fill="FFFFFF"/>
        </w:rPr>
        <w:t>.  This</w:t>
      </w:r>
      <w:r w:rsidRPr="008A7274" w:rsidR="00CA2775">
        <w:rPr>
          <w:szCs w:val="22"/>
          <w:shd w:val="clear" w:color="auto" w:fill="FFFFFF"/>
        </w:rPr>
        <w:t xml:space="preserve">, in turn, </w:t>
      </w:r>
      <w:r w:rsidRPr="008A7274" w:rsidR="00375891">
        <w:rPr>
          <w:szCs w:val="22"/>
          <w:shd w:val="clear" w:color="auto" w:fill="FFFFFF"/>
        </w:rPr>
        <w:t>reinforced</w:t>
      </w:r>
      <w:r w:rsidRPr="008A7274" w:rsidR="001A4133">
        <w:rPr>
          <w:szCs w:val="22"/>
          <w:shd w:val="clear" w:color="auto" w:fill="FFFFFF"/>
        </w:rPr>
        <w:t xml:space="preserve"> </w:t>
      </w:r>
      <w:r w:rsidRPr="008A7274">
        <w:rPr>
          <w:szCs w:val="22"/>
          <w:shd w:val="clear" w:color="auto" w:fill="FFFFFF"/>
        </w:rPr>
        <w:t xml:space="preserve">our </w:t>
      </w:r>
      <w:r w:rsidRPr="008A7274" w:rsidR="00375891">
        <w:rPr>
          <w:szCs w:val="22"/>
          <w:shd w:val="clear" w:color="auto" w:fill="FFFFFF"/>
        </w:rPr>
        <w:t xml:space="preserve">initial </w:t>
      </w:r>
      <w:r w:rsidRPr="008A7274">
        <w:rPr>
          <w:szCs w:val="22"/>
          <w:shd w:val="clear" w:color="auto" w:fill="FFFFFF"/>
        </w:rPr>
        <w:t xml:space="preserve">concern that MEE knowingly submitted false information in </w:t>
      </w:r>
      <w:r w:rsidRPr="008A7274" w:rsidR="00AC1013">
        <w:rPr>
          <w:szCs w:val="22"/>
          <w:shd w:val="clear" w:color="auto" w:fill="FFFFFF"/>
        </w:rPr>
        <w:t>the Assignment Application</w:t>
      </w:r>
      <w:r w:rsidRPr="008A7274" w:rsidR="00D77487">
        <w:rPr>
          <w:szCs w:val="22"/>
          <w:shd w:val="clear" w:color="auto" w:fill="FFFFFF"/>
        </w:rPr>
        <w:t>, and engendered</w:t>
      </w:r>
      <w:r w:rsidRPr="008A7274">
        <w:rPr>
          <w:szCs w:val="22"/>
          <w:shd w:val="clear" w:color="auto" w:fill="FFFFFF"/>
        </w:rPr>
        <w:t xml:space="preserve"> </w:t>
      </w:r>
      <w:r w:rsidRPr="008A7274" w:rsidR="00375891">
        <w:rPr>
          <w:szCs w:val="22"/>
          <w:shd w:val="clear" w:color="auto" w:fill="FFFFFF"/>
        </w:rPr>
        <w:t xml:space="preserve">additional </w:t>
      </w:r>
      <w:r w:rsidRPr="008A7274" w:rsidR="00D77487">
        <w:rPr>
          <w:szCs w:val="22"/>
          <w:shd w:val="clear" w:color="auto" w:fill="FFFFFF"/>
        </w:rPr>
        <w:t xml:space="preserve">concerns </w:t>
      </w:r>
      <w:r w:rsidRPr="008A7274">
        <w:rPr>
          <w:szCs w:val="22"/>
          <w:shd w:val="clear" w:color="auto" w:fill="FFFFFF"/>
        </w:rPr>
        <w:t>that</w:t>
      </w:r>
      <w:r w:rsidRPr="008A7274" w:rsidR="00D77487">
        <w:rPr>
          <w:szCs w:val="22"/>
          <w:shd w:val="clear" w:color="auto" w:fill="FFFFFF"/>
        </w:rPr>
        <w:t xml:space="preserve">, in an attempt to </w:t>
      </w:r>
      <w:r w:rsidRPr="008A7274" w:rsidR="00C66756">
        <w:rPr>
          <w:szCs w:val="22"/>
          <w:shd w:val="clear" w:color="auto" w:fill="FFFFFF"/>
        </w:rPr>
        <w:t>cover up its original misrepresentation,</w:t>
      </w:r>
      <w:r w:rsidRPr="008A7274">
        <w:rPr>
          <w:szCs w:val="22"/>
          <w:shd w:val="clear" w:color="auto" w:fill="FFFFFF"/>
        </w:rPr>
        <w:t xml:space="preserve"> </w:t>
      </w:r>
      <w:r w:rsidRPr="008A7274" w:rsidR="00D77487">
        <w:rPr>
          <w:szCs w:val="22"/>
          <w:shd w:val="clear" w:color="auto" w:fill="FFFFFF"/>
        </w:rPr>
        <w:t>MEE made additional misrepresentations to</w:t>
      </w:r>
      <w:r w:rsidR="007D3182">
        <w:rPr>
          <w:szCs w:val="22"/>
          <w:shd w:val="clear" w:color="auto" w:fill="FFFFFF"/>
        </w:rPr>
        <w:t>,</w:t>
      </w:r>
      <w:r w:rsidRPr="008A7274" w:rsidR="00D77487">
        <w:rPr>
          <w:szCs w:val="22"/>
          <w:shd w:val="clear" w:color="auto" w:fill="FFFFFF"/>
        </w:rPr>
        <w:t xml:space="preserve"> or lacked candor with</w:t>
      </w:r>
      <w:r w:rsidR="007D3182">
        <w:rPr>
          <w:szCs w:val="22"/>
          <w:shd w:val="clear" w:color="auto" w:fill="FFFFFF"/>
        </w:rPr>
        <w:t>,</w:t>
      </w:r>
      <w:r w:rsidRPr="008A7274" w:rsidR="00D77487">
        <w:rPr>
          <w:szCs w:val="22"/>
          <w:shd w:val="clear" w:color="auto" w:fill="FFFFFF"/>
        </w:rPr>
        <w:t xml:space="preserve"> the Commission in </w:t>
      </w:r>
      <w:r w:rsidRPr="008A7274">
        <w:rPr>
          <w:szCs w:val="22"/>
          <w:shd w:val="clear" w:color="auto" w:fill="FFFFFF"/>
        </w:rPr>
        <w:t xml:space="preserve">the LOI </w:t>
      </w:r>
      <w:r w:rsidRPr="008A7274" w:rsidR="00D77487">
        <w:rPr>
          <w:szCs w:val="22"/>
          <w:shd w:val="clear" w:color="auto" w:fill="FFFFFF"/>
        </w:rPr>
        <w:t>Responses</w:t>
      </w:r>
      <w:r w:rsidRPr="008A7274">
        <w:rPr>
          <w:szCs w:val="22"/>
          <w:shd w:val="clear" w:color="auto" w:fill="FFFFFF"/>
        </w:rPr>
        <w:t xml:space="preserve">.  </w:t>
      </w:r>
      <w:r w:rsidRPr="008A7274" w:rsidR="00D13B2C">
        <w:rPr>
          <w:szCs w:val="22"/>
          <w:shd w:val="clear" w:color="auto" w:fill="FFFFFF"/>
        </w:rPr>
        <w:t xml:space="preserve">Our </w:t>
      </w:r>
      <w:r w:rsidRPr="008A7274" w:rsidR="00A174F1">
        <w:rPr>
          <w:szCs w:val="22"/>
          <w:shd w:val="clear" w:color="auto" w:fill="FFFFFF"/>
        </w:rPr>
        <w:t xml:space="preserve">concerns about whether MEE is capable of </w:t>
      </w:r>
      <w:r w:rsidRPr="008A7274" w:rsidR="00D13B2C">
        <w:rPr>
          <w:szCs w:val="22"/>
          <w:shd w:val="clear" w:color="auto" w:fill="FFFFFF"/>
        </w:rPr>
        <w:t xml:space="preserve">honesty in future dealings with the Commission are further bolstered by </w:t>
      </w:r>
      <w:r w:rsidRPr="008A7274" w:rsidR="00C8706E">
        <w:rPr>
          <w:szCs w:val="22"/>
          <w:shd w:val="clear" w:color="auto" w:fill="FFFFFF"/>
        </w:rPr>
        <w:t>MEE’s apparent false statement regarding its programming being unique in its community of license.</w:t>
      </w:r>
    </w:p>
    <w:p w:rsidR="000F450B" w:rsidRPr="008A7274" w:rsidP="000F450B" w14:paraId="71C58927" w14:textId="77777777">
      <w:pPr>
        <w:pStyle w:val="Heading2"/>
        <w:rPr>
          <w:szCs w:val="22"/>
        </w:rPr>
      </w:pPr>
      <w:r w:rsidRPr="008A7274">
        <w:rPr>
          <w:szCs w:val="22"/>
        </w:rPr>
        <w:t>Failure to File Required Form</w:t>
      </w:r>
    </w:p>
    <w:p w:rsidR="00FA0BEC" w:rsidRPr="008A7274" w:rsidP="00045AD1" w14:paraId="3DD7D5C2" w14:textId="395E9BD7">
      <w:pPr>
        <w:pStyle w:val="ParaNum"/>
        <w:rPr>
          <w:szCs w:val="22"/>
        </w:rPr>
      </w:pPr>
      <w:r>
        <w:rPr>
          <w:szCs w:val="22"/>
        </w:rPr>
        <w:t xml:space="preserve">We find that </w:t>
      </w:r>
      <w:r w:rsidRPr="006307CB">
        <w:rPr>
          <w:szCs w:val="22"/>
        </w:rPr>
        <w:t xml:space="preserve">a </w:t>
      </w:r>
      <w:r w:rsidRPr="008A7274">
        <w:rPr>
          <w:szCs w:val="22"/>
        </w:rPr>
        <w:t>question of fact exists regarding whether MEE intentionally chose not to notify the Commission</w:t>
      </w:r>
      <w:r w:rsidR="00403C28">
        <w:rPr>
          <w:szCs w:val="22"/>
        </w:rPr>
        <w:t xml:space="preserve"> that a </w:t>
      </w:r>
      <w:r w:rsidRPr="00FD58CE" w:rsidR="00403C28">
        <w:rPr>
          <w:i/>
          <w:iCs/>
          <w:szCs w:val="22"/>
        </w:rPr>
        <w:t>pro forma</w:t>
      </w:r>
      <w:r w:rsidR="00403C28">
        <w:rPr>
          <w:szCs w:val="22"/>
        </w:rPr>
        <w:t xml:space="preserve"> transfer of control of MEE occurred in May 2019</w:t>
      </w:r>
      <w:r w:rsidRPr="008A7274">
        <w:rPr>
          <w:szCs w:val="22"/>
        </w:rPr>
        <w:t xml:space="preserve">.  </w:t>
      </w:r>
      <w:r w:rsidRPr="008A7274" w:rsidR="000F450B">
        <w:rPr>
          <w:szCs w:val="22"/>
        </w:rPr>
        <w:t>If</w:t>
      </w:r>
      <w:r w:rsidRPr="008A7274" w:rsidR="00836A68">
        <w:rPr>
          <w:szCs w:val="22"/>
        </w:rPr>
        <w:t xml:space="preserve">, as MEE asserts in the LOI Responses, </w:t>
      </w:r>
      <w:r w:rsidRPr="008A7274" w:rsidR="00734A66">
        <w:rPr>
          <w:szCs w:val="22"/>
        </w:rPr>
        <w:t>its</w:t>
      </w:r>
      <w:r w:rsidRPr="008A7274" w:rsidR="000F450B">
        <w:rPr>
          <w:szCs w:val="22"/>
        </w:rPr>
        <w:t xml:space="preserve"> entire board turned over </w:t>
      </w:r>
      <w:r w:rsidRPr="008A7274" w:rsidR="00836A68">
        <w:rPr>
          <w:szCs w:val="22"/>
        </w:rPr>
        <w:t>between May 28, and</w:t>
      </w:r>
      <w:r w:rsidRPr="008A7274" w:rsidR="000F450B">
        <w:rPr>
          <w:szCs w:val="22"/>
        </w:rPr>
        <w:t xml:space="preserve"> May 29, 2019, then MEE should have filed a </w:t>
      </w:r>
      <w:r w:rsidRPr="008A7274" w:rsidR="000F450B">
        <w:rPr>
          <w:i/>
          <w:iCs/>
          <w:szCs w:val="22"/>
        </w:rPr>
        <w:t xml:space="preserve">pro forma </w:t>
      </w:r>
      <w:r w:rsidRPr="008A7274" w:rsidR="000F450B">
        <w:rPr>
          <w:szCs w:val="22"/>
        </w:rPr>
        <w:t xml:space="preserve">transfer of control application </w:t>
      </w:r>
      <w:r w:rsidRPr="008A7274" w:rsidR="00ED253B">
        <w:rPr>
          <w:szCs w:val="22"/>
        </w:rPr>
        <w:t>within 30 days of this event</w:t>
      </w:r>
      <w:r w:rsidRPr="008A7274" w:rsidR="000F450B">
        <w:rPr>
          <w:szCs w:val="22"/>
        </w:rPr>
        <w:t>.</w:t>
      </w:r>
      <w:r>
        <w:rPr>
          <w:rStyle w:val="FootnoteReference"/>
          <w:sz w:val="22"/>
          <w:szCs w:val="22"/>
        </w:rPr>
        <w:footnoteReference w:id="107"/>
      </w:r>
      <w:r w:rsidRPr="00827C1B" w:rsidR="000F450B">
        <w:rPr>
          <w:szCs w:val="22"/>
        </w:rPr>
        <w:t xml:space="preserve">  It did not</w:t>
      </w:r>
      <w:r w:rsidRPr="006307CB" w:rsidR="005C751F">
        <w:rPr>
          <w:szCs w:val="22"/>
        </w:rPr>
        <w:t xml:space="preserve"> do so despite the fact that it</w:t>
      </w:r>
      <w:r w:rsidRPr="006307CB" w:rsidR="000F450B">
        <w:rPr>
          <w:szCs w:val="22"/>
        </w:rPr>
        <w:t xml:space="preserve"> was aware of the nee</w:t>
      </w:r>
      <w:r w:rsidRPr="008A7274" w:rsidR="000F450B">
        <w:rPr>
          <w:szCs w:val="22"/>
        </w:rPr>
        <w:t xml:space="preserve">d to file </w:t>
      </w:r>
      <w:r w:rsidRPr="008A7274" w:rsidR="00A6449C">
        <w:rPr>
          <w:szCs w:val="22"/>
        </w:rPr>
        <w:t>such an application</w:t>
      </w:r>
      <w:r w:rsidRPr="008A7274" w:rsidR="000F450B">
        <w:rPr>
          <w:szCs w:val="22"/>
        </w:rPr>
        <w:t xml:space="preserve"> based both on the conversation with an “FCC representative” that it mentions in the Third LOI Response,</w:t>
      </w:r>
      <w:r>
        <w:rPr>
          <w:rStyle w:val="FootnoteReference"/>
          <w:sz w:val="22"/>
          <w:szCs w:val="22"/>
        </w:rPr>
        <w:footnoteReference w:id="108"/>
      </w:r>
      <w:r w:rsidRPr="00827C1B" w:rsidR="000F450B">
        <w:rPr>
          <w:szCs w:val="22"/>
        </w:rPr>
        <w:t xml:space="preserve"> and based on the fact that it filed an </w:t>
      </w:r>
      <w:r w:rsidRPr="006307CB" w:rsidR="000F450B">
        <w:rPr>
          <w:szCs w:val="22"/>
        </w:rPr>
        <w:t xml:space="preserve">unnecessary </w:t>
      </w:r>
      <w:r w:rsidRPr="008A7274" w:rsidR="000F450B">
        <w:rPr>
          <w:i/>
          <w:iCs/>
          <w:szCs w:val="22"/>
        </w:rPr>
        <w:t>pro forma</w:t>
      </w:r>
      <w:r w:rsidRPr="008A7274" w:rsidR="000F450B">
        <w:rPr>
          <w:szCs w:val="22"/>
        </w:rPr>
        <w:t xml:space="preserve"> transfer of control application when Worcester </w:t>
      </w:r>
      <w:r w:rsidRPr="008A7274" w:rsidR="005C751F">
        <w:rPr>
          <w:szCs w:val="22"/>
        </w:rPr>
        <w:t xml:space="preserve">allegedly </w:t>
      </w:r>
      <w:r w:rsidRPr="008A7274" w:rsidR="000F450B">
        <w:rPr>
          <w:szCs w:val="22"/>
        </w:rPr>
        <w:t xml:space="preserve">resigned as President and board member on May 28, 2019, and Craft </w:t>
      </w:r>
      <w:r w:rsidRPr="008A7274" w:rsidR="005C751F">
        <w:rPr>
          <w:szCs w:val="22"/>
        </w:rPr>
        <w:t xml:space="preserve">allegedly </w:t>
      </w:r>
      <w:r w:rsidRPr="008A7274" w:rsidR="000F450B">
        <w:rPr>
          <w:szCs w:val="22"/>
        </w:rPr>
        <w:t>took her place as President.</w:t>
      </w:r>
      <w:r>
        <w:rPr>
          <w:rStyle w:val="FootnoteReference"/>
          <w:sz w:val="22"/>
          <w:szCs w:val="22"/>
        </w:rPr>
        <w:footnoteReference w:id="109"/>
      </w:r>
      <w:r w:rsidRPr="00827C1B" w:rsidR="000F450B">
        <w:rPr>
          <w:szCs w:val="22"/>
        </w:rPr>
        <w:t xml:space="preserve">  </w:t>
      </w:r>
      <w:r w:rsidRPr="006307CB" w:rsidR="006A2EBF">
        <w:rPr>
          <w:szCs w:val="22"/>
        </w:rPr>
        <w:t xml:space="preserve">MEE </w:t>
      </w:r>
      <w:r w:rsidRPr="006307CB" w:rsidR="002B1506">
        <w:rPr>
          <w:szCs w:val="22"/>
        </w:rPr>
        <w:t>admits as much in the Third LOI Response</w:t>
      </w:r>
      <w:r w:rsidRPr="008A7274" w:rsidR="00175595">
        <w:rPr>
          <w:szCs w:val="22"/>
        </w:rPr>
        <w:t>.</w:t>
      </w:r>
      <w:r>
        <w:rPr>
          <w:rStyle w:val="FootnoteReference"/>
          <w:sz w:val="22"/>
          <w:szCs w:val="22"/>
        </w:rPr>
        <w:footnoteReference w:id="110"/>
      </w:r>
      <w:r w:rsidRPr="00827C1B" w:rsidR="00175595">
        <w:rPr>
          <w:szCs w:val="22"/>
        </w:rPr>
        <w:t xml:space="preserve">  </w:t>
      </w:r>
      <w:r w:rsidRPr="006307CB" w:rsidR="00013880">
        <w:rPr>
          <w:szCs w:val="22"/>
        </w:rPr>
        <w:t xml:space="preserve">Thus, </w:t>
      </w:r>
      <w:r w:rsidRPr="006307CB" w:rsidR="00F26144">
        <w:rPr>
          <w:szCs w:val="22"/>
        </w:rPr>
        <w:t xml:space="preserve">a </w:t>
      </w:r>
      <w:r w:rsidRPr="008A7274" w:rsidR="00354E13">
        <w:rPr>
          <w:szCs w:val="22"/>
        </w:rPr>
        <w:t xml:space="preserve">question of </w:t>
      </w:r>
      <w:r w:rsidRPr="008A7274" w:rsidR="00F26144">
        <w:rPr>
          <w:szCs w:val="22"/>
        </w:rPr>
        <w:t>fact exists regarding whether</w:t>
      </w:r>
      <w:r w:rsidRPr="008A7274" w:rsidR="00013880">
        <w:rPr>
          <w:szCs w:val="22"/>
        </w:rPr>
        <w:t xml:space="preserve"> MEE </w:t>
      </w:r>
      <w:r w:rsidRPr="008A7274" w:rsidR="006E017E">
        <w:rPr>
          <w:szCs w:val="22"/>
        </w:rPr>
        <w:t>intentionally</w:t>
      </w:r>
      <w:r w:rsidRPr="008A7274" w:rsidR="00013880">
        <w:rPr>
          <w:szCs w:val="22"/>
        </w:rPr>
        <w:t xml:space="preserve"> chose not to </w:t>
      </w:r>
      <w:r w:rsidRPr="008A7274" w:rsidR="00B62B3C">
        <w:rPr>
          <w:szCs w:val="22"/>
        </w:rPr>
        <w:t>notify the Commission</w:t>
      </w:r>
      <w:r w:rsidRPr="008A7274" w:rsidR="00AC0AAE">
        <w:rPr>
          <w:szCs w:val="22"/>
        </w:rPr>
        <w:t xml:space="preserve">.  </w:t>
      </w:r>
      <w:r w:rsidRPr="008A7274" w:rsidR="00460885">
        <w:rPr>
          <w:szCs w:val="22"/>
        </w:rPr>
        <w:t xml:space="preserve">We </w:t>
      </w:r>
      <w:r w:rsidRPr="008A7274" w:rsidR="00354E13">
        <w:rPr>
          <w:szCs w:val="22"/>
        </w:rPr>
        <w:t xml:space="preserve">find that this question of fact is both substantial and material, and thus should be examined in the hearing proceeding.  </w:t>
      </w:r>
      <w:r w:rsidRPr="008A7274" w:rsidR="00B23EDC">
        <w:rPr>
          <w:szCs w:val="22"/>
        </w:rPr>
        <w:t>We reach this conclusion because, i</w:t>
      </w:r>
      <w:r w:rsidRPr="008A7274" w:rsidR="00354E13">
        <w:rPr>
          <w:szCs w:val="22"/>
        </w:rPr>
        <w:t xml:space="preserve">f </w:t>
      </w:r>
      <w:r w:rsidRPr="008A7274" w:rsidR="00743DD2">
        <w:rPr>
          <w:szCs w:val="22"/>
        </w:rPr>
        <w:t>MEE</w:t>
      </w:r>
      <w:r w:rsidRPr="008A7274" w:rsidR="00AC0AAE">
        <w:rPr>
          <w:szCs w:val="22"/>
        </w:rPr>
        <w:t xml:space="preserve"> intentionally ignored the notice requirement set forth in section 73.865, </w:t>
      </w:r>
      <w:r w:rsidRPr="008A7274" w:rsidR="00743DD2">
        <w:rPr>
          <w:szCs w:val="22"/>
        </w:rPr>
        <w:t>that</w:t>
      </w:r>
      <w:r w:rsidRPr="008A7274" w:rsidR="00AC0AAE">
        <w:rPr>
          <w:szCs w:val="22"/>
        </w:rPr>
        <w:t xml:space="preserve"> would </w:t>
      </w:r>
      <w:r w:rsidRPr="008A7274" w:rsidR="00B14F80">
        <w:rPr>
          <w:szCs w:val="22"/>
        </w:rPr>
        <w:t xml:space="preserve">demonstrate </w:t>
      </w:r>
      <w:r w:rsidRPr="008A7274" w:rsidR="00354E13">
        <w:rPr>
          <w:szCs w:val="22"/>
        </w:rPr>
        <w:t>a</w:t>
      </w:r>
      <w:r w:rsidRPr="008A7274" w:rsidR="007E5DF2">
        <w:rPr>
          <w:szCs w:val="22"/>
        </w:rPr>
        <w:t xml:space="preserve"> propensity for ignoring Commission rules and requirements</w:t>
      </w:r>
      <w:r w:rsidRPr="008A7274" w:rsidR="00055559">
        <w:rPr>
          <w:szCs w:val="22"/>
        </w:rPr>
        <w:t xml:space="preserve">, and could render serious a </w:t>
      </w:r>
      <w:r w:rsidRPr="008A7274" w:rsidR="00EF3D59">
        <w:rPr>
          <w:szCs w:val="22"/>
        </w:rPr>
        <w:t xml:space="preserve">rule </w:t>
      </w:r>
      <w:r w:rsidRPr="008A7274" w:rsidR="00055559">
        <w:rPr>
          <w:szCs w:val="22"/>
        </w:rPr>
        <w:t>violation that might otherwise be considered minor</w:t>
      </w:r>
      <w:r w:rsidRPr="008A7274" w:rsidR="007E5DF2">
        <w:rPr>
          <w:szCs w:val="22"/>
        </w:rPr>
        <w:t>.</w:t>
      </w:r>
      <w:r w:rsidRPr="008A7274" w:rsidR="00055559">
        <w:rPr>
          <w:szCs w:val="22"/>
        </w:rPr>
        <w:t xml:space="preserve">  </w:t>
      </w:r>
    </w:p>
    <w:p w:rsidR="0031260A" w:rsidRPr="008A7274" w:rsidP="0031260A" w14:paraId="3E2F6F31" w14:textId="5AA65FE6">
      <w:pPr>
        <w:pStyle w:val="Heading2"/>
        <w:rPr>
          <w:szCs w:val="22"/>
        </w:rPr>
      </w:pPr>
      <w:r w:rsidRPr="008A7274">
        <w:rPr>
          <w:szCs w:val="22"/>
        </w:rPr>
        <w:t>Unauthorized Operations</w:t>
      </w:r>
    </w:p>
    <w:p w:rsidR="002706F1" w:rsidRPr="008A7274" w:rsidP="002706F1" w14:paraId="455142BC" w14:textId="32A7C2C7">
      <w:pPr>
        <w:pStyle w:val="ParaNum"/>
        <w:rPr>
          <w:szCs w:val="22"/>
        </w:rPr>
      </w:pPr>
      <w:r w:rsidRPr="008A7274">
        <w:rPr>
          <w:szCs w:val="22"/>
        </w:rPr>
        <w:t>We reject Phelps’ argument that MEE violate</w:t>
      </w:r>
      <w:r w:rsidRPr="008A7274" w:rsidR="00FB7FF0">
        <w:rPr>
          <w:szCs w:val="22"/>
        </w:rPr>
        <w:t>d</w:t>
      </w:r>
      <w:r w:rsidRPr="008A7274">
        <w:rPr>
          <w:szCs w:val="22"/>
        </w:rPr>
        <w:t xml:space="preserve"> section 301 of the Act, which prohibits any person from transmitting signals by radio “except under and in accordance with this chapter and with a license . . . granted under the provisions of this chapter.”</w:t>
      </w:r>
      <w:r>
        <w:rPr>
          <w:rStyle w:val="FootnoteReference"/>
          <w:sz w:val="22"/>
          <w:szCs w:val="22"/>
        </w:rPr>
        <w:footnoteReference w:id="111"/>
      </w:r>
      <w:r w:rsidRPr="00827C1B">
        <w:rPr>
          <w:szCs w:val="22"/>
        </w:rPr>
        <w:t xml:space="preserve">  Phelps argues that MEE violated section 301 of the Act because it lacked authority to operate the Station between February 12, 2021</w:t>
      </w:r>
      <w:r w:rsidRPr="008A7274" w:rsidR="00FB7FF0">
        <w:rPr>
          <w:szCs w:val="22"/>
        </w:rPr>
        <w:t xml:space="preserve"> (when we dismissed the Renewal Application)</w:t>
      </w:r>
      <w:r w:rsidRPr="008A7274">
        <w:rPr>
          <w:szCs w:val="22"/>
        </w:rPr>
        <w:t>, and February 16, 2021 (when we returned the Renewal Application to pending status), but kept the Station on the air.</w:t>
      </w:r>
      <w:r>
        <w:rPr>
          <w:rStyle w:val="FootnoteReference"/>
          <w:sz w:val="22"/>
          <w:szCs w:val="22"/>
        </w:rPr>
        <w:footnoteReference w:id="112"/>
      </w:r>
      <w:r w:rsidRPr="00827C1B">
        <w:rPr>
          <w:szCs w:val="22"/>
        </w:rPr>
        <w:t xml:space="preserve">  However, Phelps ignores section 307(c)(3) of the Act, which applies to renewal applications and provides that, “[p]</w:t>
      </w:r>
      <w:r w:rsidRPr="008A7274">
        <w:rPr>
          <w:szCs w:val="22"/>
        </w:rPr>
        <w:t xml:space="preserve">ending any administrative or judicial hearing and final decision on such an application and the disposition of any petition for rehearing pursuant to section 405 or section 402 of [the Act], the Commission shall continue such license in </w:t>
      </w:r>
      <w:r w:rsidRPr="008A7274">
        <w:rPr>
          <w:szCs w:val="22"/>
        </w:rPr>
        <w:t>effect.”</w:t>
      </w:r>
      <w:r>
        <w:rPr>
          <w:rStyle w:val="FootnoteReference"/>
          <w:sz w:val="22"/>
          <w:szCs w:val="22"/>
        </w:rPr>
        <w:footnoteReference w:id="113"/>
      </w:r>
      <w:r w:rsidRPr="00827C1B">
        <w:rPr>
          <w:szCs w:val="22"/>
        </w:rPr>
        <w:t xml:space="preserve">  Because there had been no final decision regarding the Renewal Application, the Station’s license continu</w:t>
      </w:r>
      <w:r w:rsidRPr="008A7274">
        <w:rPr>
          <w:szCs w:val="22"/>
        </w:rPr>
        <w:t>ed in effect, and no unauthorized operation occurred</w:t>
      </w:r>
      <w:r w:rsidRPr="008A7274" w:rsidR="00831A58">
        <w:rPr>
          <w:szCs w:val="22"/>
        </w:rPr>
        <w:t xml:space="preserve"> between February 12, and 16, 2021</w:t>
      </w:r>
      <w:r w:rsidRPr="008A7274">
        <w:rPr>
          <w:szCs w:val="22"/>
        </w:rPr>
        <w:t>.</w:t>
      </w:r>
      <w:r w:rsidR="00A33986">
        <w:rPr>
          <w:szCs w:val="22"/>
        </w:rPr>
        <w:t xml:space="preserve">  </w:t>
      </w:r>
      <w:r w:rsidRPr="008A7274">
        <w:rPr>
          <w:szCs w:val="22"/>
        </w:rPr>
        <w:t xml:space="preserve">  </w:t>
      </w:r>
    </w:p>
    <w:p w:rsidR="003F32EA" w:rsidRPr="003F32EA" w:rsidP="003F32EA" w14:paraId="2E06EAFF" w14:textId="77777777">
      <w:pPr>
        <w:pStyle w:val="Heading1"/>
        <w:rPr>
          <w:szCs w:val="22"/>
        </w:rPr>
      </w:pPr>
      <w:r w:rsidRPr="008A7274">
        <w:t>procedures for hearing</w:t>
      </w:r>
    </w:p>
    <w:p w:rsidR="00286F80" w:rsidRPr="00827C1B" w:rsidP="00045AD1" w14:paraId="1996E0B4" w14:textId="4E9B11CE">
      <w:pPr>
        <w:pStyle w:val="ParaNum"/>
        <w:rPr>
          <w:szCs w:val="22"/>
        </w:rPr>
      </w:pPr>
      <w:r w:rsidRPr="008A7274">
        <w:rPr>
          <w:i/>
          <w:szCs w:val="22"/>
        </w:rPr>
        <w:t>Restricted Proceeding</w:t>
      </w:r>
      <w:r w:rsidRPr="008A7274">
        <w:rPr>
          <w:i/>
          <w:snapToGrid/>
          <w:kern w:val="0"/>
          <w:szCs w:val="22"/>
        </w:rPr>
        <w:t>.</w:t>
      </w:r>
      <w:r w:rsidRPr="008A7274">
        <w:rPr>
          <w:snapToGrid/>
          <w:kern w:val="0"/>
          <w:szCs w:val="22"/>
        </w:rPr>
        <w:t xml:space="preserve">  This hearing </w:t>
      </w:r>
      <w:r w:rsidRPr="008A7274">
        <w:rPr>
          <w:szCs w:val="22"/>
        </w:rPr>
        <w:t xml:space="preserve">proceeding is a “restricted” proceeding pursuant to section 1.1208 of the Rules and thus </w:t>
      </w:r>
      <w:r w:rsidRPr="008A7274">
        <w:rPr>
          <w:i/>
          <w:szCs w:val="22"/>
        </w:rPr>
        <w:t>ex parte</w:t>
      </w:r>
      <w:r w:rsidRPr="008A7274">
        <w:rPr>
          <w:szCs w:val="22"/>
        </w:rPr>
        <w:t xml:space="preserve"> presentations to or from Commission decision-making personnel, including the presiding officer and her staff and </w:t>
      </w:r>
      <w:r w:rsidRPr="008A7274" w:rsidR="0003279D">
        <w:rPr>
          <w:szCs w:val="22"/>
        </w:rPr>
        <w:t>Bureau staff</w:t>
      </w:r>
      <w:r w:rsidRPr="008A7274">
        <w:rPr>
          <w:szCs w:val="22"/>
        </w:rPr>
        <w:t>, are prohibited, except as otherwise provided in the Rules.</w:t>
      </w:r>
      <w:r>
        <w:rPr>
          <w:szCs w:val="22"/>
          <w:vertAlign w:val="superscript"/>
        </w:rPr>
        <w:footnoteReference w:id="114"/>
      </w:r>
    </w:p>
    <w:p w:rsidR="00286F80" w:rsidRPr="008A7274" w:rsidP="003F32EA" w14:paraId="4C371E19" w14:textId="12F412A7">
      <w:pPr>
        <w:pStyle w:val="ParaNum"/>
        <w:widowControl/>
        <w:rPr>
          <w:szCs w:val="22"/>
        </w:rPr>
      </w:pPr>
      <w:r w:rsidRPr="008A7274">
        <w:rPr>
          <w:i/>
          <w:iCs/>
          <w:szCs w:val="22"/>
        </w:rPr>
        <w:t xml:space="preserve">Electronic Filing of Documents.  </w:t>
      </w:r>
      <w:r w:rsidRPr="008A7274">
        <w:rPr>
          <w:iCs/>
          <w:szCs w:val="22"/>
        </w:rPr>
        <w:t>All</w:t>
      </w:r>
      <w:r w:rsidRPr="008A7274">
        <w:rPr>
          <w:szCs w:val="22"/>
        </w:rPr>
        <w:t xml:space="preserve"> pleadings in this proceeding, including written submissions such as letters, discovery requests and objections and written responses thereto, excluding confidential and/or other protected material, must be filed in MB Docket No. 2</w:t>
      </w:r>
      <w:r w:rsidR="0053620F">
        <w:rPr>
          <w:szCs w:val="22"/>
        </w:rPr>
        <w:t>2</w:t>
      </w:r>
      <w:r w:rsidRPr="008A7274">
        <w:rPr>
          <w:szCs w:val="22"/>
        </w:rPr>
        <w:t>-</w:t>
      </w:r>
      <w:r w:rsidR="002D52D3">
        <w:rPr>
          <w:szCs w:val="22"/>
        </w:rPr>
        <w:t>76</w:t>
      </w:r>
      <w:r w:rsidRPr="008A7274">
        <w:rPr>
          <w:szCs w:val="22"/>
        </w:rPr>
        <w:t xml:space="preserve"> using ECFS.</w:t>
      </w:r>
      <w:r>
        <w:rPr>
          <w:szCs w:val="22"/>
          <w:vertAlign w:val="superscript"/>
        </w:rPr>
        <w:footnoteReference w:id="115"/>
      </w:r>
      <w:r w:rsidRPr="00827C1B">
        <w:rPr>
          <w:szCs w:val="22"/>
        </w:rPr>
        <w:t xml:space="preserve">  ECFS shall also act as the repository for records of actions taken in this proceeding, excluding confidential and/or other protected material, by the presiding officer and the Commission.</w:t>
      </w:r>
      <w:r w:rsidRPr="008A7274">
        <w:rPr>
          <w:szCs w:val="22"/>
        </w:rPr>
        <w:t xml:space="preserve">  Documents responsive to any party’s requests for production of documents should not be filed on ECFS.  Such responsive documents shall be served directly on counsel for the party requesting the documents and produced either in hard copy or in electronic form (</w:t>
      </w:r>
      <w:r w:rsidRPr="008A7274">
        <w:rPr>
          <w:i/>
          <w:iCs/>
          <w:szCs w:val="22"/>
        </w:rPr>
        <w:t>e.g</w:t>
      </w:r>
      <w:r w:rsidRPr="008A7274">
        <w:rPr>
          <w:szCs w:val="22"/>
        </w:rPr>
        <w:t>., hard drive, thumb drive) with files named in such a way as it is clear how the documents are organized.</w:t>
      </w:r>
    </w:p>
    <w:p w:rsidR="00286F80" w:rsidRPr="008A7274" w:rsidP="00045AD1" w14:paraId="798A9492" w14:textId="3E79D3D2">
      <w:pPr>
        <w:pStyle w:val="ParaNum"/>
        <w:rPr>
          <w:szCs w:val="22"/>
        </w:rPr>
      </w:pPr>
      <w:r w:rsidRPr="008A7274">
        <w:rPr>
          <w:i/>
          <w:iCs/>
          <w:szCs w:val="22"/>
        </w:rPr>
        <w:t>Case Caption</w:t>
      </w:r>
      <w:r w:rsidRPr="008A7274">
        <w:rPr>
          <w:szCs w:val="22"/>
        </w:rPr>
        <w:t>.  The caption of any pleading filed in this proceeding, as well as all letters, documents, or other written submissions including discovery requests and objections and responses thereto, shall indicate whether it is to be acted upon by the Commission or the presiding officer.</w:t>
      </w:r>
      <w:r>
        <w:rPr>
          <w:szCs w:val="22"/>
          <w:vertAlign w:val="superscript"/>
        </w:rPr>
        <w:footnoteReference w:id="116"/>
      </w:r>
      <w:r w:rsidRPr="00827C1B">
        <w:rPr>
          <w:szCs w:val="22"/>
        </w:rPr>
        <w:t xml:space="preserve">  The presiding officer shall be identified by name.</w:t>
      </w:r>
    </w:p>
    <w:p w:rsidR="00286F80" w:rsidRPr="006307CB" w:rsidP="00045AD1" w14:paraId="5472B008" w14:textId="4E59F850">
      <w:pPr>
        <w:pStyle w:val="ParaNum"/>
        <w:rPr>
          <w:szCs w:val="22"/>
        </w:rPr>
      </w:pPr>
      <w:r w:rsidRPr="008A7274">
        <w:rPr>
          <w:i/>
          <w:iCs/>
          <w:szCs w:val="22"/>
        </w:rPr>
        <w:t>Service.</w:t>
      </w:r>
      <w:r w:rsidRPr="008A7274">
        <w:rPr>
          <w:szCs w:val="22"/>
        </w:rPr>
        <w:t xml:space="preserve">  Electronic service on the Enforcement Bureau shall be made using the following email address:  </w:t>
      </w:r>
      <w:hyperlink r:id="rId5" w:history="1">
        <w:r w:rsidRPr="008A7274">
          <w:rPr>
            <w:szCs w:val="22"/>
            <w:u w:val="single"/>
          </w:rPr>
          <w:t>EBHearings@fcc.gov</w:t>
        </w:r>
      </w:hyperlink>
      <w:r w:rsidRPr="00827C1B">
        <w:rPr>
          <w:szCs w:val="22"/>
        </w:rPr>
        <w:t>.</w:t>
      </w:r>
    </w:p>
    <w:p w:rsidR="002F58AE" w:rsidRPr="008A7274" w:rsidP="00860538" w14:paraId="1B606530" w14:textId="4A232F3A">
      <w:pPr>
        <w:pStyle w:val="Heading1"/>
        <w:rPr>
          <w:rFonts w:ascii="Times New Roman" w:hAnsi="Times New Roman"/>
          <w:szCs w:val="22"/>
        </w:rPr>
      </w:pPr>
      <w:r w:rsidRPr="008A7274">
        <w:rPr>
          <w:rFonts w:ascii="Times New Roman" w:hAnsi="Times New Roman"/>
          <w:szCs w:val="22"/>
        </w:rPr>
        <w:t>ordering clauses</w:t>
      </w:r>
    </w:p>
    <w:p w:rsidR="004A6BE5" w:rsidRPr="008A7274" w:rsidP="00045AD1" w14:paraId="5D9D81F2" w14:textId="5F9595EE">
      <w:pPr>
        <w:pStyle w:val="ParaNum"/>
        <w:rPr>
          <w:szCs w:val="22"/>
        </w:rPr>
      </w:pPr>
      <w:r w:rsidRPr="00827C1B">
        <w:rPr>
          <w:szCs w:val="22"/>
        </w:rPr>
        <w:t xml:space="preserve">ACCORDINGLY, IT IS ORDERED that, pursuant to sections 309(e), and </w:t>
      </w:r>
      <w:r w:rsidRPr="00827C1B" w:rsidR="00CE7631">
        <w:rPr>
          <w:szCs w:val="22"/>
        </w:rPr>
        <w:t>309</w:t>
      </w:r>
      <w:r w:rsidRPr="006307CB">
        <w:rPr>
          <w:szCs w:val="22"/>
        </w:rPr>
        <w:t>(</w:t>
      </w:r>
      <w:r w:rsidRPr="006307CB" w:rsidR="00CE7631">
        <w:rPr>
          <w:szCs w:val="22"/>
        </w:rPr>
        <w:t>k</w:t>
      </w:r>
      <w:r w:rsidRPr="008A7274">
        <w:rPr>
          <w:szCs w:val="22"/>
        </w:rPr>
        <w:t>) of the Communications Act of 1934, as amended,</w:t>
      </w:r>
      <w:r>
        <w:rPr>
          <w:rStyle w:val="FootnoteReference"/>
          <w:sz w:val="22"/>
          <w:szCs w:val="22"/>
        </w:rPr>
        <w:footnoteReference w:id="117"/>
      </w:r>
      <w:r w:rsidRPr="00827C1B">
        <w:rPr>
          <w:szCs w:val="22"/>
        </w:rPr>
        <w:t xml:space="preserve"> and </w:t>
      </w:r>
      <w:r w:rsidRPr="006307CB" w:rsidR="003F4616">
        <w:rPr>
          <w:szCs w:val="22"/>
        </w:rPr>
        <w:t xml:space="preserve">section </w:t>
      </w:r>
      <w:r w:rsidRPr="006307CB">
        <w:rPr>
          <w:szCs w:val="22"/>
        </w:rPr>
        <w:t>1.221(a) of the Commission’s Rules,</w:t>
      </w:r>
      <w:r>
        <w:rPr>
          <w:rStyle w:val="FootnoteReference"/>
          <w:sz w:val="22"/>
          <w:szCs w:val="22"/>
        </w:rPr>
        <w:footnoteReference w:id="118"/>
      </w:r>
      <w:r w:rsidRPr="00827C1B">
        <w:rPr>
          <w:szCs w:val="22"/>
        </w:rPr>
        <w:t xml:space="preserve"> </w:t>
      </w:r>
      <w:r w:rsidRPr="006307CB" w:rsidR="00F32821">
        <w:rPr>
          <w:szCs w:val="22"/>
        </w:rPr>
        <w:t>t</w:t>
      </w:r>
      <w:r w:rsidRPr="006307CB" w:rsidR="003C4922">
        <w:rPr>
          <w:szCs w:val="22"/>
          <w:shd w:val="clear" w:color="auto" w:fill="FFFFFF"/>
        </w:rPr>
        <w:t>he captioned application of The Marion Education Exchange for renewal of license of station WWGH-LP, M</w:t>
      </w:r>
      <w:r w:rsidRPr="008A7274" w:rsidR="00183140">
        <w:rPr>
          <w:szCs w:val="22"/>
          <w:shd w:val="clear" w:color="auto" w:fill="FFFFFF"/>
        </w:rPr>
        <w:t>a</w:t>
      </w:r>
      <w:r w:rsidRPr="008A7274" w:rsidR="003C4922">
        <w:rPr>
          <w:szCs w:val="22"/>
          <w:shd w:val="clear" w:color="auto" w:fill="FFFFFF"/>
        </w:rPr>
        <w:t>rion, Ohio, IS DESIGNATED FOR HEARING</w:t>
      </w:r>
      <w:r w:rsidRPr="008A7274" w:rsidR="001A74D6">
        <w:rPr>
          <w:szCs w:val="22"/>
          <w:shd w:val="clear" w:color="auto" w:fill="FFFFFF"/>
        </w:rPr>
        <w:t xml:space="preserve"> in a proceeding before the FCC Administrative Law Judge</w:t>
      </w:r>
      <w:r w:rsidRPr="008A7274" w:rsidR="003C4922">
        <w:rPr>
          <w:szCs w:val="22"/>
          <w:shd w:val="clear" w:color="auto" w:fill="FFFFFF"/>
        </w:rPr>
        <w:t>, at a time and place to be specified in a subsequent</w:t>
      </w:r>
      <w:r w:rsidRPr="008A7274" w:rsidR="00694313">
        <w:rPr>
          <w:szCs w:val="22"/>
          <w:shd w:val="clear" w:color="auto" w:fill="FFFFFF"/>
        </w:rPr>
        <w:t xml:space="preserve"> </w:t>
      </w:r>
      <w:r w:rsidRPr="008A7274" w:rsidR="004D657A">
        <w:rPr>
          <w:rStyle w:val="ssit"/>
          <w:szCs w:val="22"/>
          <w:bdr w:val="none" w:sz="0" w:space="0" w:color="auto" w:frame="1"/>
          <w:shd w:val="clear" w:color="auto" w:fill="FFFFFF"/>
        </w:rPr>
        <w:t>orde</w:t>
      </w:r>
      <w:r w:rsidRPr="008A7274" w:rsidR="00A90F75">
        <w:rPr>
          <w:rStyle w:val="ssit"/>
          <w:szCs w:val="22"/>
          <w:bdr w:val="none" w:sz="0" w:space="0" w:color="auto" w:frame="1"/>
          <w:shd w:val="clear" w:color="auto" w:fill="FFFFFF"/>
        </w:rPr>
        <w:t>r</w:t>
      </w:r>
      <w:r w:rsidRPr="008A7274" w:rsidR="00A90F75">
        <w:rPr>
          <w:szCs w:val="22"/>
          <w:shd w:val="clear" w:color="auto" w:fill="FFFFFF"/>
        </w:rPr>
        <w:t xml:space="preserve">, </w:t>
      </w:r>
      <w:r w:rsidRPr="008A7274" w:rsidR="003C4922">
        <w:rPr>
          <w:szCs w:val="22"/>
          <w:shd w:val="clear" w:color="auto" w:fill="FFFFFF"/>
        </w:rPr>
        <w:t>upon the following issues</w:t>
      </w:r>
      <w:r w:rsidRPr="008A7274">
        <w:rPr>
          <w:szCs w:val="22"/>
        </w:rPr>
        <w:t>:</w:t>
      </w:r>
    </w:p>
    <w:p w:rsidR="00ED3E56" w:rsidRPr="008A7274" w:rsidP="002D05EB" w14:paraId="6A165DD5" w14:textId="682A2331">
      <w:pPr>
        <w:pStyle w:val="ParaNum"/>
        <w:numPr>
          <w:ilvl w:val="0"/>
          <w:numId w:val="0"/>
        </w:numPr>
        <w:ind w:left="1440" w:right="720" w:hanging="630"/>
        <w:rPr>
          <w:szCs w:val="22"/>
        </w:rPr>
      </w:pPr>
      <w:r w:rsidRPr="008A7274">
        <w:rPr>
          <w:szCs w:val="22"/>
        </w:rPr>
        <w:t>(a)</w:t>
      </w:r>
      <w:r w:rsidRPr="008A7274" w:rsidR="002D05EB">
        <w:rPr>
          <w:szCs w:val="22"/>
        </w:rPr>
        <w:tab/>
      </w:r>
      <w:r w:rsidRPr="008A7274" w:rsidR="00951B74">
        <w:rPr>
          <w:szCs w:val="22"/>
        </w:rPr>
        <w:t xml:space="preserve">To determine whether </w:t>
      </w:r>
      <w:r w:rsidRPr="008A7274" w:rsidR="00450C0D">
        <w:rPr>
          <w:szCs w:val="22"/>
        </w:rPr>
        <w:t>The</w:t>
      </w:r>
      <w:r w:rsidRPr="008A7274" w:rsidR="00951B74">
        <w:rPr>
          <w:szCs w:val="22"/>
        </w:rPr>
        <w:t xml:space="preserve"> Marion Education Exchange </w:t>
      </w:r>
      <w:r w:rsidRPr="008A7274" w:rsidR="0034091F">
        <w:rPr>
          <w:szCs w:val="22"/>
        </w:rPr>
        <w:t>violated section 73.1015 of the Commission’s rules by failing to fully and completely respond to Commission letters of inquiry</w:t>
      </w:r>
      <w:r w:rsidRPr="008A7274" w:rsidR="00450C0D">
        <w:rPr>
          <w:szCs w:val="22"/>
        </w:rPr>
        <w:t>.</w:t>
      </w:r>
    </w:p>
    <w:p w:rsidR="004A6BE5" w:rsidRPr="008A7274" w:rsidP="009D4476" w14:paraId="7E8F1067" w14:textId="7F66C281">
      <w:pPr>
        <w:pStyle w:val="ParaNum"/>
        <w:widowControl/>
        <w:numPr>
          <w:ilvl w:val="0"/>
          <w:numId w:val="0"/>
        </w:numPr>
        <w:ind w:left="1440" w:right="720" w:hanging="634"/>
        <w:rPr>
          <w:szCs w:val="22"/>
        </w:rPr>
      </w:pPr>
      <w:r w:rsidRPr="008A7274">
        <w:rPr>
          <w:szCs w:val="22"/>
        </w:rPr>
        <w:t>(b)</w:t>
      </w:r>
      <w:r w:rsidRPr="008A7274" w:rsidR="002D05EB">
        <w:rPr>
          <w:szCs w:val="22"/>
        </w:rPr>
        <w:tab/>
      </w:r>
      <w:r w:rsidRPr="008A7274">
        <w:rPr>
          <w:szCs w:val="22"/>
        </w:rPr>
        <w:t xml:space="preserve">To determine whether The Marion Education Exchange </w:t>
      </w:r>
      <w:r w:rsidR="00B602C5">
        <w:rPr>
          <w:szCs w:val="22"/>
        </w:rPr>
        <w:t>violated section 1.17 of the Commission’s rules</w:t>
      </w:r>
      <w:r w:rsidRPr="008A7274" w:rsidR="00B602C5">
        <w:rPr>
          <w:szCs w:val="22"/>
        </w:rPr>
        <w:t xml:space="preserve"> </w:t>
      </w:r>
      <w:r w:rsidR="00B602C5">
        <w:rPr>
          <w:szCs w:val="22"/>
        </w:rPr>
        <w:t xml:space="preserve">by </w:t>
      </w:r>
      <w:r w:rsidR="001D651F">
        <w:rPr>
          <w:szCs w:val="22"/>
        </w:rPr>
        <w:t>making</w:t>
      </w:r>
      <w:r w:rsidRPr="008A7274" w:rsidR="001D651F">
        <w:rPr>
          <w:szCs w:val="22"/>
        </w:rPr>
        <w:t xml:space="preserve"> </w:t>
      </w:r>
      <w:r w:rsidRPr="008A7274" w:rsidR="00951B74">
        <w:rPr>
          <w:szCs w:val="22"/>
        </w:rPr>
        <w:t xml:space="preserve">misrepresentations </w:t>
      </w:r>
      <w:r w:rsidRPr="008A7274">
        <w:rPr>
          <w:szCs w:val="22"/>
        </w:rPr>
        <w:t>to</w:t>
      </w:r>
      <w:r w:rsidR="001D651F">
        <w:rPr>
          <w:szCs w:val="22"/>
        </w:rPr>
        <w:t>,</w:t>
      </w:r>
      <w:r w:rsidRPr="008A7274">
        <w:rPr>
          <w:szCs w:val="22"/>
        </w:rPr>
        <w:t xml:space="preserve"> </w:t>
      </w:r>
      <w:r w:rsidRPr="008A7274" w:rsidR="009D3FBE">
        <w:rPr>
          <w:szCs w:val="22"/>
        </w:rPr>
        <w:t>and/</w:t>
      </w:r>
      <w:r w:rsidRPr="008A7274" w:rsidR="00951B74">
        <w:rPr>
          <w:szCs w:val="22"/>
        </w:rPr>
        <w:t xml:space="preserve">or </w:t>
      </w:r>
      <w:r w:rsidR="007F38E8">
        <w:rPr>
          <w:szCs w:val="22"/>
        </w:rPr>
        <w:t>lacking</w:t>
      </w:r>
      <w:r w:rsidRPr="008A7274" w:rsidR="007F38E8">
        <w:rPr>
          <w:szCs w:val="22"/>
        </w:rPr>
        <w:t xml:space="preserve"> </w:t>
      </w:r>
      <w:r w:rsidRPr="008A7274">
        <w:rPr>
          <w:szCs w:val="22"/>
        </w:rPr>
        <w:t>candor with</w:t>
      </w:r>
      <w:r w:rsidR="007F38E8">
        <w:rPr>
          <w:szCs w:val="22"/>
        </w:rPr>
        <w:t>,</w:t>
      </w:r>
      <w:r w:rsidRPr="008A7274">
        <w:rPr>
          <w:szCs w:val="22"/>
        </w:rPr>
        <w:t xml:space="preserve"> the Commission</w:t>
      </w:r>
      <w:r w:rsidRPr="008A7274" w:rsidR="009D3FBE">
        <w:rPr>
          <w:szCs w:val="22"/>
        </w:rPr>
        <w:t xml:space="preserve"> both in the application </w:t>
      </w:r>
      <w:r w:rsidRPr="008A7274" w:rsidR="00FE0DEE">
        <w:rPr>
          <w:szCs w:val="22"/>
        </w:rPr>
        <w:t>for consent to assignment of the license of</w:t>
      </w:r>
      <w:r w:rsidRPr="008A7274" w:rsidR="00606AE3">
        <w:rPr>
          <w:szCs w:val="22"/>
        </w:rPr>
        <w:t xml:space="preserve"> WWGH-LP, Marion, Ohio, and in its responses to letters of inquiry sent by </w:t>
      </w:r>
      <w:r w:rsidRPr="008A7274" w:rsidR="00212E60">
        <w:rPr>
          <w:szCs w:val="22"/>
        </w:rPr>
        <w:t>the Media Bureau</w:t>
      </w:r>
      <w:r w:rsidRPr="008A7274" w:rsidR="00606AE3">
        <w:rPr>
          <w:szCs w:val="22"/>
        </w:rPr>
        <w:t xml:space="preserve"> on </w:t>
      </w:r>
      <w:r w:rsidRPr="008A7274" w:rsidR="00212E60">
        <w:rPr>
          <w:szCs w:val="22"/>
        </w:rPr>
        <w:t>December 8, 2020, February 17, 2021</w:t>
      </w:r>
      <w:r w:rsidRPr="008A7274" w:rsidR="00606AE3">
        <w:rPr>
          <w:szCs w:val="22"/>
        </w:rPr>
        <w:t xml:space="preserve">, and </w:t>
      </w:r>
      <w:r w:rsidRPr="008A7274" w:rsidR="002D05EB">
        <w:rPr>
          <w:szCs w:val="22"/>
        </w:rPr>
        <w:t>March 30, 2021</w:t>
      </w:r>
      <w:r w:rsidRPr="008A7274" w:rsidR="0015436A">
        <w:rPr>
          <w:szCs w:val="22"/>
        </w:rPr>
        <w:t>.</w:t>
      </w:r>
    </w:p>
    <w:p w:rsidR="000902EF" w:rsidRPr="008A7274" w:rsidP="00827C1B" w14:paraId="6A11584F" w14:textId="5A48C755">
      <w:pPr>
        <w:pStyle w:val="ParaNum"/>
        <w:numPr>
          <w:ilvl w:val="0"/>
          <w:numId w:val="0"/>
        </w:numPr>
        <w:ind w:left="1440" w:right="720" w:hanging="630"/>
        <w:rPr>
          <w:szCs w:val="22"/>
        </w:rPr>
      </w:pPr>
      <w:r w:rsidRPr="008A7274">
        <w:rPr>
          <w:szCs w:val="22"/>
        </w:rPr>
        <w:t>(</w:t>
      </w:r>
      <w:r w:rsidRPr="008A7274" w:rsidR="004F5318">
        <w:rPr>
          <w:szCs w:val="22"/>
        </w:rPr>
        <w:t>c</w:t>
      </w:r>
      <w:r w:rsidRPr="008A7274">
        <w:rPr>
          <w:szCs w:val="22"/>
        </w:rPr>
        <w:t>)</w:t>
      </w:r>
      <w:r w:rsidRPr="008A7274" w:rsidR="002D05EB">
        <w:rPr>
          <w:szCs w:val="22"/>
        </w:rPr>
        <w:tab/>
      </w:r>
      <w:r w:rsidRPr="008A7274" w:rsidR="00C82D96">
        <w:rPr>
          <w:szCs w:val="22"/>
        </w:rPr>
        <w:t xml:space="preserve">To determine whether </w:t>
      </w:r>
      <w:r w:rsidRPr="008A7274">
        <w:rPr>
          <w:szCs w:val="22"/>
        </w:rPr>
        <w:t>T</w:t>
      </w:r>
      <w:r w:rsidRPr="008A7274" w:rsidR="00C82D96">
        <w:rPr>
          <w:szCs w:val="22"/>
        </w:rPr>
        <w:t xml:space="preserve">he Marion Education Exchange </w:t>
      </w:r>
      <w:r w:rsidR="000F1DA2">
        <w:rPr>
          <w:szCs w:val="22"/>
        </w:rPr>
        <w:t>violated</w:t>
      </w:r>
      <w:r w:rsidRPr="008A7274" w:rsidR="000F1DA2">
        <w:rPr>
          <w:szCs w:val="22"/>
        </w:rPr>
        <w:t xml:space="preserve"> </w:t>
      </w:r>
      <w:r w:rsidRPr="008A7274" w:rsidR="00356B44">
        <w:rPr>
          <w:szCs w:val="22"/>
        </w:rPr>
        <w:t xml:space="preserve">section 73.865 of the Commission’s rules </w:t>
      </w:r>
      <w:r w:rsidR="00192E84">
        <w:rPr>
          <w:szCs w:val="22"/>
        </w:rPr>
        <w:t xml:space="preserve">by failing to </w:t>
      </w:r>
      <w:r w:rsidRPr="008A7274" w:rsidR="003064D5">
        <w:rPr>
          <w:szCs w:val="22"/>
        </w:rPr>
        <w:t>notify</w:t>
      </w:r>
      <w:r w:rsidRPr="008A7274" w:rsidR="00C82D96">
        <w:rPr>
          <w:szCs w:val="22"/>
        </w:rPr>
        <w:t xml:space="preserve"> the Commission </w:t>
      </w:r>
      <w:r w:rsidRPr="008A7274" w:rsidR="002D05EB">
        <w:rPr>
          <w:szCs w:val="22"/>
        </w:rPr>
        <w:t>of the</w:t>
      </w:r>
      <w:r w:rsidRPr="008A7274" w:rsidR="00C82D96">
        <w:rPr>
          <w:szCs w:val="22"/>
        </w:rPr>
        <w:t xml:space="preserve"> </w:t>
      </w:r>
      <w:r w:rsidRPr="008A7274" w:rsidR="00C82D96">
        <w:rPr>
          <w:i/>
          <w:iCs/>
          <w:szCs w:val="22"/>
        </w:rPr>
        <w:t>pro forma</w:t>
      </w:r>
      <w:r w:rsidRPr="008A7274" w:rsidR="00C82D96">
        <w:rPr>
          <w:szCs w:val="22"/>
        </w:rPr>
        <w:t xml:space="preserve"> </w:t>
      </w:r>
      <w:r w:rsidRPr="008A7274" w:rsidR="00300F1E">
        <w:rPr>
          <w:szCs w:val="22"/>
        </w:rPr>
        <w:t xml:space="preserve">transfer of control </w:t>
      </w:r>
      <w:r w:rsidRPr="008A7274" w:rsidR="00045AD1">
        <w:rPr>
          <w:szCs w:val="22"/>
        </w:rPr>
        <w:t xml:space="preserve">that appears to have </w:t>
      </w:r>
      <w:r w:rsidRPr="008A7274" w:rsidR="004F5318">
        <w:rPr>
          <w:szCs w:val="22"/>
        </w:rPr>
        <w:t xml:space="preserve">occurred </w:t>
      </w:r>
      <w:r w:rsidRPr="008A7274" w:rsidR="00045AD1">
        <w:rPr>
          <w:szCs w:val="22"/>
        </w:rPr>
        <w:t>on</w:t>
      </w:r>
      <w:r w:rsidRPr="008A7274" w:rsidR="00300F1E">
        <w:rPr>
          <w:szCs w:val="22"/>
        </w:rPr>
        <w:t xml:space="preserve"> May </w:t>
      </w:r>
      <w:r w:rsidRPr="008A7274" w:rsidR="00045AD1">
        <w:rPr>
          <w:szCs w:val="22"/>
        </w:rPr>
        <w:t xml:space="preserve">29, </w:t>
      </w:r>
      <w:r w:rsidRPr="008A7274" w:rsidR="00300F1E">
        <w:rPr>
          <w:szCs w:val="22"/>
        </w:rPr>
        <w:t>2019</w:t>
      </w:r>
      <w:r w:rsidR="000F1DA2">
        <w:rPr>
          <w:szCs w:val="22"/>
        </w:rPr>
        <w:t>, and, if so, whether it did so intentionally</w:t>
      </w:r>
      <w:r w:rsidRPr="008A7274" w:rsidR="00300F1E">
        <w:rPr>
          <w:szCs w:val="22"/>
        </w:rPr>
        <w:t xml:space="preserve">.  </w:t>
      </w:r>
    </w:p>
    <w:p w:rsidR="004A6BE5" w:rsidRPr="008A7274" w:rsidP="00045AD1" w14:paraId="36CBADEC" w14:textId="655E8D3D">
      <w:pPr>
        <w:pStyle w:val="ParaNum"/>
        <w:numPr>
          <w:ilvl w:val="0"/>
          <w:numId w:val="0"/>
        </w:numPr>
        <w:ind w:left="1440" w:right="720" w:hanging="630"/>
        <w:rPr>
          <w:szCs w:val="22"/>
        </w:rPr>
      </w:pPr>
      <w:r w:rsidRPr="008A7274">
        <w:rPr>
          <w:szCs w:val="22"/>
        </w:rPr>
        <w:t>(</w:t>
      </w:r>
      <w:r w:rsidRPr="008A7274" w:rsidR="00643A52">
        <w:rPr>
          <w:szCs w:val="22"/>
        </w:rPr>
        <w:t>d</w:t>
      </w:r>
      <w:r w:rsidRPr="008A7274">
        <w:rPr>
          <w:szCs w:val="22"/>
        </w:rPr>
        <w:t>)</w:t>
      </w:r>
      <w:r w:rsidRPr="008A7274" w:rsidR="00045AD1">
        <w:rPr>
          <w:szCs w:val="22"/>
        </w:rPr>
        <w:tab/>
      </w:r>
      <w:r w:rsidRPr="008A7274" w:rsidR="00694313">
        <w:rPr>
          <w:szCs w:val="22"/>
        </w:rPr>
        <w:t xml:space="preserve">To determine, in light of the evidence adduced pursuant to the specified issues, if the captioned application for renewal of license for station </w:t>
      </w:r>
      <w:r w:rsidRPr="008A7274" w:rsidR="004F5318">
        <w:rPr>
          <w:szCs w:val="22"/>
        </w:rPr>
        <w:t>WWGH-LP</w:t>
      </w:r>
      <w:r w:rsidRPr="008A7274" w:rsidR="00694313">
        <w:rPr>
          <w:szCs w:val="22"/>
        </w:rPr>
        <w:t xml:space="preserve"> should be granted.</w:t>
      </w:r>
    </w:p>
    <w:p w:rsidR="00B0417A" w:rsidRPr="006307CB" w:rsidP="006D6D56" w14:paraId="7BEB3CC1" w14:textId="3726517A">
      <w:pPr>
        <w:pStyle w:val="ParaNum"/>
        <w:rPr>
          <w:szCs w:val="22"/>
        </w:rPr>
      </w:pPr>
      <w:bookmarkStart w:id="1" w:name="_Hlk67046752"/>
      <w:r w:rsidRPr="008A7274">
        <w:rPr>
          <w:szCs w:val="22"/>
        </w:rPr>
        <w:t xml:space="preserve">IT IS FURTHER ORDERED that, in addition to </w:t>
      </w:r>
      <w:r w:rsidRPr="008A7274" w:rsidR="00045AD1">
        <w:rPr>
          <w:szCs w:val="22"/>
        </w:rPr>
        <w:t>resolving</w:t>
      </w:r>
      <w:r w:rsidRPr="008A7274">
        <w:rPr>
          <w:szCs w:val="22"/>
        </w:rPr>
        <w:t xml:space="preserve"> the foregoing issues, </w:t>
      </w:r>
      <w:r w:rsidRPr="008A7274" w:rsidR="006D6D56">
        <w:rPr>
          <w:szCs w:val="22"/>
        </w:rPr>
        <w:t>the hearing</w:t>
      </w:r>
      <w:r w:rsidRPr="008A7274">
        <w:rPr>
          <w:szCs w:val="22"/>
        </w:rPr>
        <w:t xml:space="preserve"> shall </w:t>
      </w:r>
      <w:r w:rsidRPr="008A7274" w:rsidR="00A87385">
        <w:rPr>
          <w:szCs w:val="22"/>
        </w:rPr>
        <w:t>determine</w:t>
      </w:r>
      <w:r w:rsidRPr="008A7274">
        <w:rPr>
          <w:szCs w:val="22"/>
        </w:rPr>
        <w:t xml:space="preserve">, pursuant to </w:t>
      </w:r>
      <w:r w:rsidR="00F00052">
        <w:rPr>
          <w:szCs w:val="22"/>
        </w:rPr>
        <w:t>s</w:t>
      </w:r>
      <w:r w:rsidRPr="008A7274">
        <w:rPr>
          <w:szCs w:val="22"/>
        </w:rPr>
        <w:t>ection 503(b)(1) of</w:t>
      </w:r>
      <w:r w:rsidRPr="008A7274" w:rsidR="00BC2314">
        <w:rPr>
          <w:szCs w:val="22"/>
        </w:rPr>
        <w:t xml:space="preserve"> </w:t>
      </w:r>
      <w:r w:rsidRPr="008A7274" w:rsidR="00DC1155">
        <w:rPr>
          <w:szCs w:val="22"/>
        </w:rPr>
        <w:t xml:space="preserve">the </w:t>
      </w:r>
      <w:r w:rsidRPr="008A7274" w:rsidR="006D6D56">
        <w:rPr>
          <w:szCs w:val="22"/>
        </w:rPr>
        <w:t>Communications</w:t>
      </w:r>
      <w:r w:rsidRPr="008A7274" w:rsidR="00DC1155">
        <w:rPr>
          <w:szCs w:val="22"/>
        </w:rPr>
        <w:t xml:space="preserve"> Act of 1934, as amended</w:t>
      </w:r>
      <w:r w:rsidRPr="008A7274">
        <w:rPr>
          <w:szCs w:val="22"/>
        </w:rPr>
        <w:t>,</w:t>
      </w:r>
      <w:r>
        <w:rPr>
          <w:rStyle w:val="FootnoteReference"/>
          <w:sz w:val="22"/>
          <w:szCs w:val="22"/>
        </w:rPr>
        <w:footnoteReference w:id="119"/>
      </w:r>
      <w:r w:rsidRPr="00827C1B">
        <w:rPr>
          <w:szCs w:val="22"/>
        </w:rPr>
        <w:t xml:space="preserve"> whether an ORDER OF FORFEITURE should be issued against </w:t>
      </w:r>
      <w:r w:rsidRPr="006307CB" w:rsidR="00DC1155">
        <w:rPr>
          <w:szCs w:val="22"/>
        </w:rPr>
        <w:t>The Marion Education Exchange</w:t>
      </w:r>
      <w:r w:rsidRPr="008A7274">
        <w:rPr>
          <w:szCs w:val="22"/>
        </w:rPr>
        <w:t xml:space="preserve"> in an amount not to exceed the statutory limit</w:t>
      </w:r>
      <w:r w:rsidR="006E4067">
        <w:rPr>
          <w:szCs w:val="22"/>
        </w:rPr>
        <w:t xml:space="preserve"> of $55,052</w:t>
      </w:r>
      <w:r w:rsidRPr="008A7274">
        <w:rPr>
          <w:szCs w:val="22"/>
        </w:rPr>
        <w:t xml:space="preserve"> </w:t>
      </w:r>
      <w:r w:rsidR="00046E64">
        <w:rPr>
          <w:szCs w:val="22"/>
        </w:rPr>
        <w:t>f</w:t>
      </w:r>
      <w:r w:rsidR="00046E64">
        <w:t xml:space="preserve">or each violation </w:t>
      </w:r>
      <w:r w:rsidR="00732C5A">
        <w:t>(</w:t>
      </w:r>
      <w:r w:rsidR="00046E64">
        <w:t>or each day of a continuing violation</w:t>
      </w:r>
      <w:r w:rsidR="00732C5A">
        <w:rPr>
          <w:szCs w:val="22"/>
        </w:rPr>
        <w:t xml:space="preserve">) </w:t>
      </w:r>
      <w:r w:rsidRPr="008A7274">
        <w:rPr>
          <w:szCs w:val="22"/>
        </w:rPr>
        <w:t xml:space="preserve">of each Commission rule section above for which the statute of limitations in </w:t>
      </w:r>
      <w:r w:rsidR="00F00052">
        <w:rPr>
          <w:szCs w:val="22"/>
        </w:rPr>
        <w:t>s</w:t>
      </w:r>
      <w:r w:rsidRPr="008A7274">
        <w:rPr>
          <w:szCs w:val="22"/>
        </w:rPr>
        <w:t xml:space="preserve">ection 503(b)(6) of the </w:t>
      </w:r>
      <w:r w:rsidRPr="008A7274" w:rsidR="00A87385">
        <w:rPr>
          <w:szCs w:val="22"/>
        </w:rPr>
        <w:t xml:space="preserve">Communications </w:t>
      </w:r>
      <w:r w:rsidRPr="008A7274">
        <w:rPr>
          <w:szCs w:val="22"/>
        </w:rPr>
        <w:t>Act</w:t>
      </w:r>
      <w:r w:rsidRPr="008A7274" w:rsidR="00A87385">
        <w:rPr>
          <w:szCs w:val="22"/>
        </w:rPr>
        <w:t xml:space="preserve"> of 1934, as amended</w:t>
      </w:r>
      <w:r w:rsidRPr="008A7274">
        <w:rPr>
          <w:szCs w:val="22"/>
        </w:rPr>
        <w:t>,</w:t>
      </w:r>
      <w:r>
        <w:rPr>
          <w:rStyle w:val="FootnoteReference"/>
          <w:sz w:val="22"/>
          <w:szCs w:val="22"/>
        </w:rPr>
        <w:footnoteReference w:id="120"/>
      </w:r>
      <w:r w:rsidRPr="00827C1B">
        <w:rPr>
          <w:szCs w:val="22"/>
        </w:rPr>
        <w:t xml:space="preserve"> has not lapsed.</w:t>
      </w:r>
    </w:p>
    <w:p w:rsidR="002807A6" w:rsidRPr="00827C1B" w:rsidP="003F32EA" w14:paraId="67966B25" w14:textId="541095FA">
      <w:pPr>
        <w:pStyle w:val="ParaNum"/>
        <w:widowControl/>
        <w:rPr>
          <w:szCs w:val="22"/>
        </w:rPr>
      </w:pPr>
      <w:r w:rsidRPr="008A7274">
        <w:rPr>
          <w:szCs w:val="22"/>
        </w:rPr>
        <w:t xml:space="preserve">IT IS FURTHER ORDERED, that, in connection with the possible forfeiture liability noted above, this document constitutes notice pursuant to </w:t>
      </w:r>
      <w:r w:rsidR="00F00052">
        <w:rPr>
          <w:szCs w:val="22"/>
        </w:rPr>
        <w:t>s</w:t>
      </w:r>
      <w:r w:rsidRPr="008A7274">
        <w:rPr>
          <w:szCs w:val="22"/>
        </w:rPr>
        <w:t>ection 503(b)(</w:t>
      </w:r>
      <w:r w:rsidRPr="008A7274" w:rsidR="005C6FBA">
        <w:rPr>
          <w:szCs w:val="22"/>
        </w:rPr>
        <w:t>4</w:t>
      </w:r>
      <w:r w:rsidRPr="008A7274">
        <w:rPr>
          <w:szCs w:val="22"/>
        </w:rPr>
        <w:t>) of the Communications Act of 1934, as amended.</w:t>
      </w:r>
      <w:r>
        <w:rPr>
          <w:rStyle w:val="FootnoteReference"/>
          <w:sz w:val="22"/>
          <w:szCs w:val="22"/>
        </w:rPr>
        <w:footnoteReference w:id="121"/>
      </w:r>
    </w:p>
    <w:p w:rsidR="004A6BE5" w:rsidRPr="008A7274" w:rsidP="00045AD1" w14:paraId="3EDBF8F9" w14:textId="78CD48B2">
      <w:pPr>
        <w:pStyle w:val="ParaNum"/>
        <w:rPr>
          <w:szCs w:val="22"/>
        </w:rPr>
      </w:pPr>
      <w:r w:rsidRPr="008A7274">
        <w:rPr>
          <w:szCs w:val="22"/>
        </w:rPr>
        <w:t>IT IS FURTHER ORDERED that, pursuant to section</w:t>
      </w:r>
      <w:r w:rsidR="003D5B26">
        <w:rPr>
          <w:szCs w:val="22"/>
        </w:rPr>
        <w:t>s 309(e), 309(k),</w:t>
      </w:r>
      <w:r w:rsidRPr="008A7274">
        <w:rPr>
          <w:szCs w:val="22"/>
        </w:rPr>
        <w:t xml:space="preserve"> 312(c) of the Communications Act of 1934, as amended, and section 1.221(c) of the Commission’s Rules,</w:t>
      </w:r>
      <w:r>
        <w:rPr>
          <w:rStyle w:val="FootnoteReference"/>
          <w:sz w:val="22"/>
          <w:szCs w:val="22"/>
        </w:rPr>
        <w:footnoteReference w:id="122"/>
      </w:r>
      <w:r w:rsidRPr="00827C1B">
        <w:rPr>
          <w:szCs w:val="22"/>
        </w:rPr>
        <w:t xml:space="preserve"> in order to avail </w:t>
      </w:r>
      <w:r w:rsidRPr="006307CB" w:rsidR="00942450">
        <w:rPr>
          <w:szCs w:val="22"/>
        </w:rPr>
        <w:t>itself</w:t>
      </w:r>
      <w:r w:rsidRPr="008A7274">
        <w:rPr>
          <w:szCs w:val="22"/>
        </w:rPr>
        <w:t xml:space="preserve"> of the opportunity to be heard and the right to present evidence at a hearing in </w:t>
      </w:r>
      <w:r w:rsidR="00260F83">
        <w:rPr>
          <w:szCs w:val="22"/>
        </w:rPr>
        <w:t>this</w:t>
      </w:r>
      <w:r w:rsidRPr="008A7274" w:rsidR="00260F83">
        <w:rPr>
          <w:szCs w:val="22"/>
        </w:rPr>
        <w:t xml:space="preserve"> </w:t>
      </w:r>
      <w:r w:rsidRPr="008A7274">
        <w:rPr>
          <w:szCs w:val="22"/>
        </w:rPr>
        <w:t xml:space="preserve">proceeding, </w:t>
      </w:r>
      <w:r w:rsidRPr="008A7274" w:rsidR="00942450">
        <w:rPr>
          <w:szCs w:val="22"/>
        </w:rPr>
        <w:t>The Marion Education Exchange</w:t>
      </w:r>
      <w:r w:rsidRPr="008A7274">
        <w:rPr>
          <w:szCs w:val="22"/>
        </w:rPr>
        <w:t xml:space="preserve">, </w:t>
      </w:r>
      <w:r w:rsidRPr="008A7274" w:rsidR="00942450">
        <w:rPr>
          <w:szCs w:val="22"/>
        </w:rPr>
        <w:t>itself</w:t>
      </w:r>
      <w:r w:rsidRPr="008A7274">
        <w:rPr>
          <w:szCs w:val="22"/>
        </w:rPr>
        <w:t xml:space="preserve"> or by </w:t>
      </w:r>
      <w:r w:rsidR="00870B1B">
        <w:rPr>
          <w:szCs w:val="22"/>
        </w:rPr>
        <w:t>its</w:t>
      </w:r>
      <w:r w:rsidRPr="008A7274" w:rsidR="00870B1B">
        <w:rPr>
          <w:szCs w:val="22"/>
        </w:rPr>
        <w:t xml:space="preserve"> </w:t>
      </w:r>
      <w:r w:rsidRPr="008A7274">
        <w:rPr>
          <w:szCs w:val="22"/>
        </w:rPr>
        <w:t xml:space="preserve">attorney, SHALL FILE </w:t>
      </w:r>
      <w:r w:rsidR="00870B1B">
        <w:rPr>
          <w:szCs w:val="22"/>
        </w:rPr>
        <w:t xml:space="preserve">with the Commission, </w:t>
      </w:r>
      <w:r w:rsidRPr="008A7274">
        <w:rPr>
          <w:szCs w:val="22"/>
        </w:rPr>
        <w:t xml:space="preserve">within 20 </w:t>
      </w:r>
      <w:r w:rsidR="00870B1B">
        <w:rPr>
          <w:szCs w:val="22"/>
        </w:rPr>
        <w:t xml:space="preserve">calendar </w:t>
      </w:r>
      <w:r w:rsidRPr="008A7274">
        <w:rPr>
          <w:szCs w:val="22"/>
        </w:rPr>
        <w:t xml:space="preserve">days of the </w:t>
      </w:r>
      <w:r w:rsidR="008B69FE">
        <w:rPr>
          <w:szCs w:val="22"/>
        </w:rPr>
        <w:t>mailing</w:t>
      </w:r>
      <w:r w:rsidRPr="008A7274" w:rsidR="008B69FE">
        <w:rPr>
          <w:szCs w:val="22"/>
        </w:rPr>
        <w:t xml:space="preserve"> </w:t>
      </w:r>
      <w:r w:rsidRPr="008A7274">
        <w:rPr>
          <w:szCs w:val="22"/>
        </w:rPr>
        <w:t xml:space="preserve">of this </w:t>
      </w:r>
      <w:r w:rsidRPr="008A7274">
        <w:rPr>
          <w:i/>
          <w:iCs/>
          <w:szCs w:val="22"/>
        </w:rPr>
        <w:t>Hearing Designation Order, Notice of Opportunity for Hearing</w:t>
      </w:r>
      <w:r w:rsidRPr="008A7274">
        <w:rPr>
          <w:szCs w:val="22"/>
        </w:rPr>
        <w:t>,</w:t>
      </w:r>
      <w:r w:rsidRPr="008A7274" w:rsidR="00942450">
        <w:rPr>
          <w:szCs w:val="22"/>
        </w:rPr>
        <w:t xml:space="preserve"> </w:t>
      </w:r>
      <w:r w:rsidRPr="008A7274" w:rsidR="00942450">
        <w:rPr>
          <w:i/>
          <w:iCs/>
          <w:szCs w:val="22"/>
        </w:rPr>
        <w:t>and Notice of Apparent Liability for Forfeiture</w:t>
      </w:r>
      <w:r w:rsidR="004B388A">
        <w:rPr>
          <w:i/>
          <w:iCs/>
          <w:szCs w:val="22"/>
        </w:rPr>
        <w:t>,</w:t>
      </w:r>
      <w:r w:rsidRPr="008A7274">
        <w:rPr>
          <w:i/>
          <w:iCs/>
          <w:szCs w:val="22"/>
        </w:rPr>
        <w:t xml:space="preserve"> </w:t>
      </w:r>
      <w:r w:rsidRPr="008A7274">
        <w:rPr>
          <w:szCs w:val="22"/>
        </w:rPr>
        <w:t xml:space="preserve">a written appearance stating </w:t>
      </w:r>
      <w:r w:rsidRPr="008A7274" w:rsidR="00942450">
        <w:rPr>
          <w:szCs w:val="22"/>
        </w:rPr>
        <w:t>its</w:t>
      </w:r>
      <w:r w:rsidRPr="008A7274">
        <w:rPr>
          <w:szCs w:val="22"/>
        </w:rPr>
        <w:t xml:space="preserve"> intention to appear at the hearing and present evidence on the issues specified above.</w:t>
      </w:r>
      <w:bookmarkEnd w:id="1"/>
    </w:p>
    <w:p w:rsidR="004A6BE5" w:rsidRPr="008A7274" w:rsidP="00045AD1" w14:paraId="17EB31D1" w14:textId="2882B5BF">
      <w:pPr>
        <w:pStyle w:val="ParaNum"/>
        <w:rPr>
          <w:szCs w:val="22"/>
        </w:rPr>
      </w:pPr>
      <w:bookmarkStart w:id="2" w:name="_Hlk67047491"/>
      <w:r w:rsidRPr="008A7274">
        <w:rPr>
          <w:szCs w:val="22"/>
        </w:rPr>
        <w:t xml:space="preserve">IT IS FURTHER ORDERED, </w:t>
      </w:r>
      <w:r w:rsidR="00401C6C">
        <w:rPr>
          <w:szCs w:val="22"/>
        </w:rPr>
        <w:t xml:space="preserve">that </w:t>
      </w:r>
      <w:r w:rsidRPr="008A7274">
        <w:rPr>
          <w:szCs w:val="22"/>
        </w:rPr>
        <w:t>pursuant to section 1.221(c) of the Commission’s Rules,</w:t>
      </w:r>
      <w:r>
        <w:rPr>
          <w:rStyle w:val="FootnoteReference"/>
          <w:sz w:val="22"/>
          <w:szCs w:val="22"/>
        </w:rPr>
        <w:footnoteReference w:id="123"/>
      </w:r>
      <w:r w:rsidRPr="00827C1B">
        <w:rPr>
          <w:szCs w:val="22"/>
        </w:rPr>
        <w:t xml:space="preserve"> if </w:t>
      </w:r>
      <w:r w:rsidRPr="006307CB" w:rsidR="00942450">
        <w:rPr>
          <w:szCs w:val="22"/>
        </w:rPr>
        <w:t xml:space="preserve">The Marion </w:t>
      </w:r>
      <w:r w:rsidRPr="008A7274" w:rsidR="009378B4">
        <w:rPr>
          <w:szCs w:val="22"/>
        </w:rPr>
        <w:t>Education</w:t>
      </w:r>
      <w:r w:rsidRPr="008A7274" w:rsidR="00942450">
        <w:rPr>
          <w:szCs w:val="22"/>
        </w:rPr>
        <w:t xml:space="preserve"> Exchange</w:t>
      </w:r>
      <w:r w:rsidRPr="008A7274">
        <w:rPr>
          <w:szCs w:val="22"/>
        </w:rPr>
        <w:t xml:space="preserve"> fails to file a written appearance </w:t>
      </w:r>
      <w:r w:rsidR="007273F9">
        <w:rPr>
          <w:szCs w:val="22"/>
        </w:rPr>
        <w:t xml:space="preserve">within the time specified above, or has not filed prior to expiration of that time </w:t>
      </w:r>
      <w:r w:rsidRPr="008A7274">
        <w:rPr>
          <w:szCs w:val="22"/>
        </w:rPr>
        <w:t>a petition to dismiss without prejudice, or a petition to accept, for good cause shown</w:t>
      </w:r>
      <w:r w:rsidR="004B388A">
        <w:rPr>
          <w:szCs w:val="22"/>
        </w:rPr>
        <w:t>,</w:t>
      </w:r>
      <w:r w:rsidR="00792242">
        <w:rPr>
          <w:szCs w:val="22"/>
        </w:rPr>
        <w:t xml:space="preserve"> </w:t>
      </w:r>
      <w:r w:rsidR="003A5941">
        <w:rPr>
          <w:szCs w:val="22"/>
        </w:rPr>
        <w:t>such</w:t>
      </w:r>
      <w:r w:rsidR="00792242">
        <w:rPr>
          <w:szCs w:val="22"/>
        </w:rPr>
        <w:t xml:space="preserve"> written appearance</w:t>
      </w:r>
      <w:r w:rsidR="003A5941">
        <w:rPr>
          <w:szCs w:val="22"/>
        </w:rPr>
        <w:t xml:space="preserve"> beyond expiration of said 20 day</w:t>
      </w:r>
      <w:r w:rsidR="00F359BA">
        <w:rPr>
          <w:szCs w:val="22"/>
        </w:rPr>
        <w:t xml:space="preserve">s, </w:t>
      </w:r>
      <w:r w:rsidR="00534D11">
        <w:rPr>
          <w:szCs w:val="22"/>
        </w:rPr>
        <w:t>the pending application will be dismissed with prejudice for failure to prosecute</w:t>
      </w:r>
      <w:r w:rsidRPr="008A7274">
        <w:rPr>
          <w:szCs w:val="22"/>
        </w:rPr>
        <w:t>.</w:t>
      </w:r>
    </w:p>
    <w:bookmarkEnd w:id="2"/>
    <w:p w:rsidR="004A6BE5" w:rsidRPr="008A7274" w:rsidP="00045AD1" w14:paraId="34E2CBBC" w14:textId="5DE48A2F">
      <w:pPr>
        <w:pStyle w:val="ParaNum"/>
        <w:rPr>
          <w:szCs w:val="22"/>
        </w:rPr>
      </w:pPr>
      <w:r w:rsidRPr="008A7274">
        <w:rPr>
          <w:szCs w:val="22"/>
        </w:rPr>
        <w:t>IT IS FURTHER ORDERED that</w:t>
      </w:r>
      <w:r w:rsidRPr="008A7274" w:rsidR="005C2D9F">
        <w:rPr>
          <w:szCs w:val="22"/>
        </w:rPr>
        <w:t>, pursuant to section 1.221(d) of the Commission’s rules,</w:t>
      </w:r>
      <w:r>
        <w:rPr>
          <w:rStyle w:val="FootnoteReference"/>
          <w:sz w:val="22"/>
          <w:szCs w:val="22"/>
        </w:rPr>
        <w:footnoteReference w:id="124"/>
      </w:r>
      <w:r w:rsidRPr="00827C1B">
        <w:rPr>
          <w:szCs w:val="22"/>
        </w:rPr>
        <w:t xml:space="preserve"> the Chief, Enforcement Bureau, IS MADE A PARTY to this proceeding without the need to file a written appearance.</w:t>
      </w:r>
    </w:p>
    <w:p w:rsidR="004A6BE5" w:rsidRPr="008A7274" w:rsidP="009D4476" w14:paraId="789FFA79" w14:textId="0D4F63B7">
      <w:pPr>
        <w:pStyle w:val="ParaNum"/>
        <w:widowControl/>
        <w:rPr>
          <w:szCs w:val="22"/>
        </w:rPr>
      </w:pPr>
      <w:r w:rsidRPr="008A7274">
        <w:rPr>
          <w:szCs w:val="22"/>
        </w:rPr>
        <w:t>IT IS FURTHER ORDERED that, in accordance with section 309(e) of the Communications Act of 1934, as amended, and section 1.254 of the Commission’s Rules,</w:t>
      </w:r>
      <w:r>
        <w:rPr>
          <w:rStyle w:val="FootnoteReference"/>
          <w:sz w:val="22"/>
          <w:szCs w:val="22"/>
        </w:rPr>
        <w:footnoteReference w:id="125"/>
      </w:r>
      <w:r w:rsidRPr="00827C1B">
        <w:rPr>
          <w:szCs w:val="22"/>
        </w:rPr>
        <w:t xml:space="preserve"> the burden of proceeding with the introduction of evidence and the burden of proof with respect to the issues </w:t>
      </w:r>
      <w:r w:rsidRPr="008A7274" w:rsidR="00DF50F8">
        <w:rPr>
          <w:szCs w:val="22"/>
        </w:rPr>
        <w:t>listed in paragr</w:t>
      </w:r>
      <w:r w:rsidRPr="009D4476" w:rsidR="00DF50F8">
        <w:rPr>
          <w:szCs w:val="22"/>
        </w:rPr>
        <w:t xml:space="preserve">aph </w:t>
      </w:r>
      <w:r w:rsidRPr="009D4476" w:rsidR="007762D1">
        <w:rPr>
          <w:szCs w:val="22"/>
        </w:rPr>
        <w:t>3</w:t>
      </w:r>
      <w:r w:rsidRPr="009D4476" w:rsidR="003030BC">
        <w:rPr>
          <w:szCs w:val="22"/>
        </w:rPr>
        <w:t>9</w:t>
      </w:r>
      <w:r w:rsidRPr="009D4476" w:rsidR="007762D1">
        <w:rPr>
          <w:szCs w:val="22"/>
        </w:rPr>
        <w:t xml:space="preserve"> </w:t>
      </w:r>
      <w:r w:rsidRPr="008A7274">
        <w:rPr>
          <w:szCs w:val="22"/>
        </w:rPr>
        <w:t xml:space="preserve">SHALL BE upon </w:t>
      </w:r>
      <w:r w:rsidRPr="008A7274" w:rsidR="008A1CCB">
        <w:rPr>
          <w:szCs w:val="22"/>
        </w:rPr>
        <w:t>The Marion Education Exchange</w:t>
      </w:r>
      <w:r w:rsidRPr="008A7274">
        <w:rPr>
          <w:szCs w:val="22"/>
        </w:rPr>
        <w:t>.</w:t>
      </w:r>
    </w:p>
    <w:p w:rsidR="004A6BE5" w:rsidRPr="008A7274" w:rsidP="00045AD1" w14:paraId="2C58ED91" w14:textId="2C810D6C">
      <w:pPr>
        <w:pStyle w:val="ParaNum"/>
        <w:rPr>
          <w:szCs w:val="22"/>
        </w:rPr>
      </w:pPr>
      <w:r w:rsidRPr="008A7274">
        <w:rPr>
          <w:szCs w:val="22"/>
        </w:rPr>
        <w:t xml:space="preserve">IT IS FURTHER ORDERED that a copy of each document filed in this proceeding subsequent to the date of adoption of this </w:t>
      </w:r>
      <w:r w:rsidRPr="008A7274">
        <w:rPr>
          <w:i/>
          <w:iCs/>
          <w:szCs w:val="22"/>
        </w:rPr>
        <w:t>Hearing Designation Order, Notice of Opportunity for Hearin</w:t>
      </w:r>
      <w:r w:rsidRPr="008A7274" w:rsidR="008A1CCB">
        <w:rPr>
          <w:i/>
          <w:iCs/>
          <w:szCs w:val="22"/>
        </w:rPr>
        <w:t xml:space="preserve">g, and Notice of Apparent Liability for Forfeiture </w:t>
      </w:r>
      <w:r w:rsidRPr="008A7274">
        <w:rPr>
          <w:szCs w:val="22"/>
        </w:rPr>
        <w:t xml:space="preserve">SHALL BE SERVED on the counsel of record appearing </w:t>
      </w:r>
      <w:r w:rsidRPr="008A7274">
        <w:rPr>
          <w:szCs w:val="22"/>
        </w:rPr>
        <w:t>on behalf of the Chief, Enforcement Bureau.  Parties may inquire as to the identity of such counsel by calling the Investigations &amp; Hearings Division of the Enforcement Bureau at (202) 418-1420.  Such service copy SHALL BE ADDRESSED to the named counsel of record, Investigations &amp; Hearings Division, Enforcement Bureau, Federal Communications Commission, 45 L Street, NE, Washington, DC 20554.</w:t>
      </w:r>
    </w:p>
    <w:p w:rsidR="004A6BE5" w:rsidRPr="00827C1B" w:rsidP="00045AD1" w14:paraId="6A9EA605" w14:textId="3983380E">
      <w:pPr>
        <w:pStyle w:val="ParaNum"/>
        <w:rPr>
          <w:szCs w:val="22"/>
        </w:rPr>
      </w:pPr>
      <w:r w:rsidRPr="008A7274">
        <w:rPr>
          <w:szCs w:val="22"/>
        </w:rPr>
        <w:t xml:space="preserve">IT IS FURTHER ORDERED, that </w:t>
      </w:r>
      <w:r w:rsidRPr="008A7274" w:rsidR="008A1CCB">
        <w:rPr>
          <w:szCs w:val="22"/>
        </w:rPr>
        <w:t>The Marion Education Exchange</w:t>
      </w:r>
      <w:r w:rsidRPr="008A7274">
        <w:rPr>
          <w:szCs w:val="22"/>
        </w:rPr>
        <w:t>, pursuant to section 311(a)(2) of the Communications Act of 1934, as amended, and section 73.3594 of the Commission’s Rules,</w:t>
      </w:r>
      <w:r>
        <w:rPr>
          <w:rStyle w:val="FootnoteReference"/>
          <w:sz w:val="22"/>
          <w:szCs w:val="22"/>
        </w:rPr>
        <w:footnoteReference w:id="126"/>
      </w:r>
      <w:r w:rsidRPr="00827C1B">
        <w:rPr>
          <w:szCs w:val="22"/>
        </w:rPr>
        <w:t xml:space="preserve"> </w:t>
      </w:r>
      <w:r w:rsidR="00836C6C">
        <w:rPr>
          <w:szCs w:val="22"/>
        </w:rPr>
        <w:t xml:space="preserve">SHALL </w:t>
      </w:r>
      <w:r w:rsidRPr="00827C1B">
        <w:rPr>
          <w:szCs w:val="22"/>
        </w:rPr>
        <w:t xml:space="preserve">GIVE NOTICE of the hearing within the time and in the manner prescribed in such Rule, and shall advise the Commission of the publication </w:t>
      </w:r>
      <w:r w:rsidRPr="008A7274">
        <w:rPr>
          <w:szCs w:val="22"/>
        </w:rPr>
        <w:t xml:space="preserve">of such </w:t>
      </w:r>
      <w:r w:rsidR="00C464E2">
        <w:rPr>
          <w:szCs w:val="22"/>
        </w:rPr>
        <w:t>notice</w:t>
      </w:r>
      <w:r w:rsidRPr="008A7274" w:rsidR="00C464E2">
        <w:rPr>
          <w:szCs w:val="22"/>
        </w:rPr>
        <w:t xml:space="preserve"> </w:t>
      </w:r>
      <w:r w:rsidRPr="008A7274">
        <w:rPr>
          <w:szCs w:val="22"/>
        </w:rPr>
        <w:t>as mandated by section 73.3594 of the Commission’s Rules.</w:t>
      </w:r>
      <w:r>
        <w:rPr>
          <w:rStyle w:val="FootnoteReference"/>
          <w:sz w:val="22"/>
          <w:szCs w:val="22"/>
        </w:rPr>
        <w:footnoteReference w:id="127"/>
      </w:r>
    </w:p>
    <w:p w:rsidR="004A6BE5" w:rsidRPr="008A7274" w:rsidP="003F32EA" w14:paraId="6353FF8E" w14:textId="7FA508C2">
      <w:pPr>
        <w:pStyle w:val="ParaNum"/>
        <w:widowControl/>
        <w:rPr>
          <w:szCs w:val="22"/>
        </w:rPr>
      </w:pPr>
      <w:r w:rsidRPr="008A7274">
        <w:rPr>
          <w:szCs w:val="22"/>
        </w:rPr>
        <w:t xml:space="preserve">IT IS FURTHER ORDERED that a copy of this </w:t>
      </w:r>
      <w:r w:rsidRPr="008A7274">
        <w:rPr>
          <w:i/>
          <w:iCs/>
          <w:szCs w:val="22"/>
        </w:rPr>
        <w:t>Hearing Designation Order, Notice of Opportunity for Hearing</w:t>
      </w:r>
      <w:r w:rsidRPr="008A7274" w:rsidR="008A1CCB">
        <w:rPr>
          <w:i/>
          <w:iCs/>
          <w:szCs w:val="22"/>
        </w:rPr>
        <w:t>, and Notice of Apparent Liability for Forfeiture</w:t>
      </w:r>
      <w:r w:rsidRPr="008A7274">
        <w:rPr>
          <w:szCs w:val="22"/>
        </w:rPr>
        <w:t xml:space="preserve"> </w:t>
      </w:r>
      <w:r w:rsidRPr="008A7274">
        <w:rPr>
          <w:szCs w:val="22"/>
        </w:rPr>
        <w:t xml:space="preserve">shall be sent via Certified Mail, Return Receipt Requested, and by regular first-class mail to </w:t>
      </w:r>
      <w:r w:rsidRPr="008A7274" w:rsidR="00CD08B6">
        <w:rPr>
          <w:szCs w:val="22"/>
        </w:rPr>
        <w:t>The Marion Education Exchange, PO Box 43302</w:t>
      </w:r>
      <w:r w:rsidRPr="008A7274" w:rsidR="001071B7">
        <w:rPr>
          <w:szCs w:val="22"/>
        </w:rPr>
        <w:t>, M</w:t>
      </w:r>
      <w:r w:rsidRPr="008A7274" w:rsidR="00CD08B6">
        <w:rPr>
          <w:szCs w:val="22"/>
        </w:rPr>
        <w:t>arion, OH 43302</w:t>
      </w:r>
      <w:r w:rsidRPr="008A7274" w:rsidR="001071B7">
        <w:rPr>
          <w:szCs w:val="22"/>
        </w:rPr>
        <w:t xml:space="preserve">, and </w:t>
      </w:r>
      <w:r w:rsidRPr="008A7274" w:rsidR="003532C8">
        <w:rPr>
          <w:szCs w:val="22"/>
        </w:rPr>
        <w:t>Shawn Craft</w:t>
      </w:r>
      <w:r w:rsidRPr="008A7274">
        <w:rPr>
          <w:szCs w:val="22"/>
        </w:rPr>
        <w:t xml:space="preserve">, </w:t>
      </w:r>
      <w:r w:rsidRPr="008A7274" w:rsidR="000569D8">
        <w:rPr>
          <w:szCs w:val="22"/>
        </w:rPr>
        <w:t>1366 Montego Drive</w:t>
      </w:r>
      <w:r w:rsidRPr="008A7274">
        <w:rPr>
          <w:szCs w:val="22"/>
        </w:rPr>
        <w:t xml:space="preserve">, </w:t>
      </w:r>
      <w:r w:rsidRPr="008A7274" w:rsidR="000569D8">
        <w:rPr>
          <w:szCs w:val="22"/>
        </w:rPr>
        <w:t>Marion</w:t>
      </w:r>
      <w:r w:rsidRPr="008A7274">
        <w:rPr>
          <w:szCs w:val="22"/>
        </w:rPr>
        <w:t xml:space="preserve">, </w:t>
      </w:r>
      <w:r w:rsidRPr="008A7274" w:rsidR="000569D8">
        <w:rPr>
          <w:szCs w:val="22"/>
        </w:rPr>
        <w:t xml:space="preserve">OH </w:t>
      </w:r>
      <w:r w:rsidRPr="008A7274" w:rsidR="004919A4">
        <w:rPr>
          <w:szCs w:val="22"/>
        </w:rPr>
        <w:t>43302</w:t>
      </w:r>
      <w:r w:rsidRPr="008A7274">
        <w:rPr>
          <w:szCs w:val="22"/>
        </w:rPr>
        <w:t>.</w:t>
      </w:r>
    </w:p>
    <w:p w:rsidR="002F58AE" w:rsidRPr="008A7274" w:rsidP="00045AD1" w14:paraId="3230A42F" w14:textId="1589E4CF">
      <w:pPr>
        <w:pStyle w:val="ParaNum"/>
        <w:rPr>
          <w:szCs w:val="22"/>
        </w:rPr>
      </w:pPr>
      <w:r w:rsidRPr="008A7274">
        <w:rPr>
          <w:szCs w:val="22"/>
        </w:rPr>
        <w:t xml:space="preserve">IT IS FURTHER ORDERED that the Secretary of the Commission shall cause to have this </w:t>
      </w:r>
      <w:r w:rsidRPr="008A7274">
        <w:rPr>
          <w:i/>
          <w:iCs/>
          <w:szCs w:val="22"/>
        </w:rPr>
        <w:t>Hearing Designation Order, Notice of Opportunity for Hearin</w:t>
      </w:r>
      <w:r w:rsidRPr="008A7274" w:rsidR="008A1CCB">
        <w:rPr>
          <w:i/>
          <w:iCs/>
          <w:szCs w:val="22"/>
        </w:rPr>
        <w:t xml:space="preserve">g, and Notice of Apparent Liability for Forfeiture, </w:t>
      </w:r>
      <w:r w:rsidRPr="008A7274">
        <w:rPr>
          <w:szCs w:val="22"/>
        </w:rPr>
        <w:t>or a summary thereof published in the Federal Register.</w:t>
      </w:r>
    </w:p>
    <w:p w:rsidR="005767B9" w:rsidRPr="008A7274" w:rsidP="00544629" w14:paraId="76AAEF34" w14:textId="77777777">
      <w:pPr>
        <w:rPr>
          <w:szCs w:val="22"/>
        </w:rPr>
      </w:pPr>
      <w:r w:rsidRPr="008A7274">
        <w:rPr>
          <w:szCs w:val="22"/>
        </w:rPr>
        <w:tab/>
      </w:r>
      <w:r w:rsidRPr="008A7274">
        <w:rPr>
          <w:szCs w:val="22"/>
        </w:rPr>
        <w:tab/>
      </w:r>
      <w:r w:rsidRPr="008A7274">
        <w:rPr>
          <w:szCs w:val="22"/>
        </w:rPr>
        <w:tab/>
      </w:r>
      <w:r w:rsidRPr="008A7274">
        <w:rPr>
          <w:szCs w:val="22"/>
        </w:rPr>
        <w:tab/>
      </w:r>
      <w:r w:rsidRPr="008A7274">
        <w:rPr>
          <w:szCs w:val="22"/>
        </w:rPr>
        <w:tab/>
      </w:r>
      <w:r w:rsidRPr="008A7274">
        <w:rPr>
          <w:szCs w:val="22"/>
        </w:rPr>
        <w:tab/>
        <w:t>FEDERAL COMMUNICATIONS COMMISSION</w:t>
      </w:r>
    </w:p>
    <w:p w:rsidR="005767B9" w:rsidRPr="008A7274" w:rsidP="00544629" w14:paraId="16A78F69" w14:textId="77777777">
      <w:pPr>
        <w:rPr>
          <w:szCs w:val="22"/>
        </w:rPr>
      </w:pPr>
    </w:p>
    <w:p w:rsidR="005767B9" w:rsidRPr="008A7274" w:rsidP="00544629" w14:paraId="353569D0" w14:textId="77777777">
      <w:pPr>
        <w:rPr>
          <w:szCs w:val="22"/>
        </w:rPr>
      </w:pPr>
    </w:p>
    <w:p w:rsidR="005767B9" w:rsidRPr="008A7274" w:rsidP="00544629" w14:paraId="5D293304" w14:textId="77777777">
      <w:pPr>
        <w:rPr>
          <w:szCs w:val="22"/>
        </w:rPr>
      </w:pPr>
    </w:p>
    <w:p w:rsidR="005767B9" w:rsidRPr="008A7274" w:rsidP="00544629" w14:paraId="10971438" w14:textId="77777777">
      <w:pPr>
        <w:rPr>
          <w:szCs w:val="22"/>
        </w:rPr>
      </w:pPr>
    </w:p>
    <w:p w:rsidR="005767B9" w:rsidRPr="008A7274" w:rsidP="00544629" w14:paraId="0EEF742D" w14:textId="4AC2826E">
      <w:pPr>
        <w:rPr>
          <w:szCs w:val="22"/>
        </w:rPr>
      </w:pPr>
      <w:r w:rsidRPr="008A7274">
        <w:rPr>
          <w:szCs w:val="22"/>
        </w:rPr>
        <w:tab/>
      </w:r>
      <w:r w:rsidRPr="008A7274">
        <w:rPr>
          <w:szCs w:val="22"/>
        </w:rPr>
        <w:tab/>
      </w:r>
      <w:r w:rsidRPr="008A7274">
        <w:rPr>
          <w:szCs w:val="22"/>
        </w:rPr>
        <w:tab/>
      </w:r>
      <w:r w:rsidRPr="008A7274">
        <w:rPr>
          <w:szCs w:val="22"/>
        </w:rPr>
        <w:tab/>
      </w:r>
      <w:r w:rsidRPr="008A7274">
        <w:rPr>
          <w:szCs w:val="22"/>
        </w:rPr>
        <w:tab/>
      </w:r>
      <w:r w:rsidRPr="008A7274">
        <w:rPr>
          <w:szCs w:val="22"/>
        </w:rPr>
        <w:tab/>
      </w:r>
      <w:r w:rsidR="006E4045">
        <w:rPr>
          <w:szCs w:val="22"/>
        </w:rPr>
        <w:t>Holly Saurer</w:t>
      </w:r>
    </w:p>
    <w:p w:rsidR="005767B9" w:rsidRPr="008A7274" w:rsidP="004919A4" w14:paraId="63F57E94" w14:textId="41ED5AB4">
      <w:pPr>
        <w:rPr>
          <w:szCs w:val="22"/>
        </w:rPr>
      </w:pPr>
      <w:r w:rsidRPr="008A7274">
        <w:rPr>
          <w:szCs w:val="22"/>
        </w:rPr>
        <w:tab/>
      </w:r>
      <w:r w:rsidRPr="008A7274">
        <w:rPr>
          <w:szCs w:val="22"/>
        </w:rPr>
        <w:tab/>
      </w:r>
      <w:r w:rsidRPr="008A7274">
        <w:rPr>
          <w:szCs w:val="22"/>
        </w:rPr>
        <w:tab/>
      </w:r>
      <w:r w:rsidRPr="008A7274">
        <w:rPr>
          <w:szCs w:val="22"/>
        </w:rPr>
        <w:tab/>
      </w:r>
      <w:r w:rsidRPr="008A7274">
        <w:rPr>
          <w:szCs w:val="22"/>
        </w:rPr>
        <w:tab/>
      </w:r>
      <w:r w:rsidRPr="008A7274">
        <w:rPr>
          <w:szCs w:val="22"/>
        </w:rPr>
        <w:tab/>
      </w:r>
      <w:r w:rsidRPr="008A7274" w:rsidR="00CB6B03">
        <w:rPr>
          <w:szCs w:val="22"/>
        </w:rPr>
        <w:t>Chief, 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629" w:rsidP="0055614C" w14:paraId="3C16DB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544629" w14:paraId="53F1F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629" w:rsidP="0055614C" w14:paraId="2F6B65FE" w14:textId="386A4B2F">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544629" w14:paraId="463491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629" w14:paraId="16882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61AC" w14:paraId="46E729DD" w14:textId="77777777">
      <w:r>
        <w:separator/>
      </w:r>
    </w:p>
  </w:footnote>
  <w:footnote w:type="continuationSeparator" w:id="1">
    <w:p w:rsidR="001961AC" w:rsidP="00C721AC" w14:paraId="3A8C7876" w14:textId="77777777">
      <w:pPr>
        <w:spacing w:before="120"/>
        <w:rPr>
          <w:sz w:val="20"/>
        </w:rPr>
      </w:pPr>
      <w:r>
        <w:rPr>
          <w:sz w:val="20"/>
        </w:rPr>
        <w:t xml:space="preserve">(Continued from previous page)  </w:t>
      </w:r>
      <w:r>
        <w:rPr>
          <w:sz w:val="20"/>
        </w:rPr>
        <w:separator/>
      </w:r>
    </w:p>
  </w:footnote>
  <w:footnote w:type="continuationNotice" w:id="2">
    <w:p w:rsidR="001961AC" w:rsidRPr="00D2611D" w:rsidP="00D2611D" w14:paraId="2F6912EC" w14:textId="77777777">
      <w:pPr>
        <w:pStyle w:val="Footer"/>
      </w:pPr>
    </w:p>
  </w:footnote>
  <w:footnote w:id="3">
    <w:p w:rsidR="00544629" w:rsidRPr="006307CB" w:rsidP="00303FF4" w14:paraId="4F12DB95" w14:textId="200C2665">
      <w:pPr>
        <w:pStyle w:val="FootnoteText"/>
      </w:pPr>
      <w:r w:rsidRPr="006307CB">
        <w:rPr>
          <w:rStyle w:val="FootnoteReference"/>
        </w:rPr>
        <w:footnoteRef/>
      </w:r>
      <w:r w:rsidRPr="006307CB">
        <w:t xml:space="preserve"> </w:t>
      </w:r>
      <w:r w:rsidRPr="006307CB" w:rsidR="00A91D36">
        <w:rPr>
          <w:szCs w:val="22"/>
        </w:rPr>
        <w:t xml:space="preserve">This </w:t>
      </w:r>
      <w:r w:rsidRPr="006307CB" w:rsidR="00A91D36">
        <w:rPr>
          <w:i/>
          <w:iCs/>
          <w:szCs w:val="22"/>
        </w:rPr>
        <w:t xml:space="preserve">Hearing Designation Order, Notice of Opportunity for Hearing, and Notice of Apparent Liability for Forfeiture </w:t>
      </w:r>
      <w:r w:rsidRPr="006307CB" w:rsidR="00A91D36">
        <w:rPr>
          <w:szCs w:val="22"/>
        </w:rPr>
        <w:t>is issued by the Chief, Media Bureau pursuant to sections 309(e), 309(k) and 503(b) of the Act, and the Bureau’s delegated authority under 47 CFR § 0.283.</w:t>
      </w:r>
    </w:p>
  </w:footnote>
  <w:footnote w:id="4">
    <w:p w:rsidR="008779AB" w14:paraId="578834B1" w14:textId="0D4090BC">
      <w:pPr>
        <w:pStyle w:val="FootnoteText"/>
      </w:pPr>
      <w:r>
        <w:rPr>
          <w:rStyle w:val="FootnoteReference"/>
        </w:rPr>
        <w:footnoteRef/>
      </w:r>
      <w:r>
        <w:t xml:space="preserve"> </w:t>
      </w:r>
      <w:r w:rsidRPr="00F630F5" w:rsidR="00E42F7A">
        <w:rPr>
          <w:i/>
          <w:iCs/>
        </w:rPr>
        <w:t>See</w:t>
      </w:r>
      <w:r w:rsidR="006F05C1">
        <w:t xml:space="preserve"> </w:t>
      </w:r>
      <w:r w:rsidR="00CA1EF0">
        <w:t xml:space="preserve">Ohio Secretary of State, </w:t>
      </w:r>
      <w:r w:rsidRPr="00D44C8F" w:rsidR="006F05C1">
        <w:rPr>
          <w:i/>
          <w:iCs/>
        </w:rPr>
        <w:t>Business Details and Filings</w:t>
      </w:r>
      <w:r w:rsidRPr="00D44C8F" w:rsidR="00CA1EF0">
        <w:rPr>
          <w:i/>
          <w:iCs/>
        </w:rPr>
        <w:t xml:space="preserve"> (Entity #:  4330904)</w:t>
      </w:r>
      <w:r w:rsidR="006F05C1">
        <w:t>,</w:t>
      </w:r>
      <w:r w:rsidR="00E42F7A">
        <w:t xml:space="preserve"> </w:t>
      </w:r>
      <w:hyperlink r:id="rId1" w:history="1">
        <w:r w:rsidRPr="00F274D6" w:rsidR="00F630F5">
          <w:rPr>
            <w:rStyle w:val="Hyperlink"/>
          </w:rPr>
          <w:t>https://businesssearch.ohiosos.gov/</w:t>
        </w:r>
      </w:hyperlink>
      <w:r w:rsidR="00D44C8F">
        <w:t xml:space="preserve"> </w:t>
      </w:r>
      <w:r w:rsidR="00F630F5">
        <w:t xml:space="preserve">(last visited </w:t>
      </w:r>
      <w:r w:rsidR="00554CB7">
        <w:t>Feb.</w:t>
      </w:r>
      <w:r w:rsidR="00F630F5">
        <w:t>. 2, 202</w:t>
      </w:r>
      <w:r w:rsidR="00554CB7">
        <w:t>2</w:t>
      </w:r>
      <w:r w:rsidR="00F630F5">
        <w:t>).</w:t>
      </w:r>
    </w:p>
  </w:footnote>
  <w:footnote w:id="5">
    <w:p w:rsidR="00544629" w:rsidRPr="006307CB" w:rsidP="00C67715" w14:paraId="1EA53268" w14:textId="53CAB04E">
      <w:pPr>
        <w:pStyle w:val="FootnoteText"/>
      </w:pPr>
      <w:r w:rsidRPr="006307CB">
        <w:rPr>
          <w:rStyle w:val="FootnoteReference"/>
        </w:rPr>
        <w:footnoteRef/>
      </w:r>
      <w:r w:rsidRPr="006307CB">
        <w:t xml:space="preserve"> File No. BALL-20190509AAH (Assignment Application).  </w:t>
      </w:r>
      <w:r w:rsidRPr="006307CB">
        <w:rPr>
          <w:rFonts w:eastAsia="Calibri"/>
          <w:noProof/>
        </w:rPr>
        <w:t xml:space="preserve">MEE and MMF utilized FCC Form 316, which is available to applicants only if the assignment is a </w:t>
      </w:r>
      <w:r w:rsidRPr="006307CB">
        <w:rPr>
          <w:rFonts w:eastAsia="Calibri"/>
          <w:i/>
          <w:iCs/>
          <w:noProof/>
        </w:rPr>
        <w:t>pro forma</w:t>
      </w:r>
      <w:r w:rsidRPr="006307CB">
        <w:rPr>
          <w:rFonts w:eastAsia="Calibri"/>
          <w:noProof/>
        </w:rPr>
        <w:t xml:space="preserve"> transaction or an involuntary transaction.  </w:t>
      </w:r>
      <w:r w:rsidRPr="006307CB">
        <w:rPr>
          <w:i/>
          <w:iCs/>
        </w:rPr>
        <w:t>See</w:t>
      </w:r>
      <w:r w:rsidRPr="006307CB">
        <w:t xml:space="preserve"> Instructions to FCC Form 316, Application for Consent to Assign Broadcast Station Construction Permit or License or Transfer Control of Entity Holding Broadcast Station Construction Permit or License, General Instruction A.  </w:t>
      </w:r>
      <w:r w:rsidRPr="006307CB">
        <w:rPr>
          <w:i/>
          <w:iCs/>
        </w:rPr>
        <w:t>See also</w:t>
      </w:r>
      <w:r w:rsidRPr="006307CB">
        <w:t xml:space="preserve"> Instructions—Form 2100, Schedule 316—Application for Consent to Assign Broadcast Station Construction Permit or License or Transfer Control of Entity Holding Broadcast Station Construction Permit or License, General Instructions.  Under our Rules, an involuntary transaction involves a death or legal disability of a licensee or person controlling a licensee, a situation that is not presented here.  </w:t>
      </w:r>
      <w:r w:rsidRPr="006307CB">
        <w:rPr>
          <w:i/>
          <w:iCs/>
        </w:rPr>
        <w:t>See</w:t>
      </w:r>
      <w:r w:rsidRPr="006307CB">
        <w:t xml:space="preserve"> 47 CFR § 73.3541.</w:t>
      </w:r>
    </w:p>
  </w:footnote>
  <w:footnote w:id="6">
    <w:p w:rsidR="00544629" w:rsidRPr="006307CB" w14:paraId="4687F58C" w14:textId="54F337A8">
      <w:pPr>
        <w:pStyle w:val="FootnoteText"/>
      </w:pPr>
      <w:r>
        <w:rPr>
          <w:rStyle w:val="FootnoteReference"/>
        </w:rPr>
        <w:footnoteRef/>
      </w:r>
      <w:r>
        <w:t xml:space="preserve"> </w:t>
      </w:r>
      <w:r w:rsidRPr="006307CB">
        <w:t>Assignment Application at Exh. 12.</w:t>
      </w:r>
    </w:p>
  </w:footnote>
  <w:footnote w:id="7">
    <w:p w:rsidR="00544629" w:rsidRPr="006307CB" w14:paraId="24E5B724" w14:textId="17F2F8D3">
      <w:pPr>
        <w:pStyle w:val="FootnoteText"/>
      </w:pPr>
      <w:r w:rsidRPr="006307CB">
        <w:rPr>
          <w:rStyle w:val="FootnoteReference"/>
        </w:rPr>
        <w:footnoteRef/>
      </w:r>
      <w:r w:rsidRPr="006307CB">
        <w:t xml:space="preserve"> </w:t>
      </w:r>
      <w:r w:rsidRPr="006307CB">
        <w:rPr>
          <w:i/>
          <w:iCs/>
        </w:rPr>
        <w:t>Id</w:t>
      </w:r>
      <w:r w:rsidRPr="006307CB">
        <w:t>.</w:t>
      </w:r>
    </w:p>
  </w:footnote>
  <w:footnote w:id="8">
    <w:p w:rsidR="00544629" w:rsidRPr="006307CB" w:rsidP="009C4882" w14:paraId="5226A521" w14:textId="77777777">
      <w:pPr>
        <w:pStyle w:val="FootnoteText"/>
      </w:pPr>
      <w:r w:rsidRPr="006307CB">
        <w:rPr>
          <w:rStyle w:val="FootnoteReference"/>
        </w:rPr>
        <w:footnoteRef/>
      </w:r>
      <w:r w:rsidRPr="006307CB">
        <w:t xml:space="preserve"> </w:t>
      </w:r>
      <w:r w:rsidRPr="006307CB">
        <w:rPr>
          <w:i/>
          <w:iCs/>
        </w:rPr>
        <w:t>Broadcast Actions</w:t>
      </w:r>
      <w:r w:rsidRPr="006307CB">
        <w:t>, Public Notice, Report No. 49494, at 4 (MB May 24, 2019).</w:t>
      </w:r>
    </w:p>
  </w:footnote>
  <w:footnote w:id="9">
    <w:p w:rsidR="00170F49" w14:paraId="261624F4" w14:textId="1E52EEFD">
      <w:pPr>
        <w:pStyle w:val="FootnoteText"/>
      </w:pPr>
      <w:r>
        <w:rPr>
          <w:rStyle w:val="FootnoteReference"/>
        </w:rPr>
        <w:footnoteRef/>
      </w:r>
      <w:r>
        <w:t xml:space="preserve"> </w:t>
      </w:r>
      <w:r w:rsidRPr="00BA35EA" w:rsidR="00BA35EA">
        <w:rPr>
          <w:i/>
          <w:iCs/>
        </w:rPr>
        <w:t>See</w:t>
      </w:r>
      <w:r w:rsidR="00BA35EA">
        <w:t xml:space="preserve"> </w:t>
      </w:r>
      <w:r w:rsidR="002371BA">
        <w:t xml:space="preserve">Assignment Application at Exh. 12 and </w:t>
      </w:r>
      <w:r w:rsidRPr="006307CB" w:rsidR="00BA35EA">
        <w:t>Response of Spencer Phelps, Application File No. 0000115702</w:t>
      </w:r>
      <w:r w:rsidR="00BA35EA">
        <w:t>, at 3, Exh. 2</w:t>
      </w:r>
      <w:r w:rsidRPr="006307CB" w:rsidR="00BA35EA">
        <w:t xml:space="preserve"> (rec’d April 20, 2021)</w:t>
      </w:r>
      <w:r w:rsidRPr="008A7274" w:rsidR="00BA35EA">
        <w:t xml:space="preserve"> (Third LOI Reply). </w:t>
      </w:r>
    </w:p>
  </w:footnote>
  <w:footnote w:id="10">
    <w:p w:rsidR="00544629" w:rsidRPr="006307CB" w:rsidP="00296DF7" w14:paraId="6E1BC524" w14:textId="77777777">
      <w:pPr>
        <w:pStyle w:val="FootnoteText"/>
      </w:pPr>
      <w:r w:rsidRPr="006307CB">
        <w:rPr>
          <w:rStyle w:val="FootnoteReference"/>
        </w:rPr>
        <w:footnoteRef/>
      </w:r>
      <w:r w:rsidRPr="006307CB">
        <w:t xml:space="preserve"> File No. BTCL-20190528AAN.</w:t>
      </w:r>
    </w:p>
  </w:footnote>
  <w:footnote w:id="11">
    <w:p w:rsidR="00544629" w:rsidRPr="006307CB" w:rsidP="00296DF7" w14:paraId="3A66ECD7" w14:textId="77777777">
      <w:pPr>
        <w:pStyle w:val="FootnoteText"/>
      </w:pPr>
      <w:r w:rsidRPr="006307CB">
        <w:rPr>
          <w:rStyle w:val="FootnoteReference"/>
        </w:rPr>
        <w:footnoteRef/>
      </w:r>
      <w:r w:rsidRPr="006307CB">
        <w:t xml:space="preserve"> </w:t>
      </w:r>
      <w:r w:rsidRPr="006307CB">
        <w:rPr>
          <w:i/>
          <w:iCs/>
        </w:rPr>
        <w:t>Broadcast Actions</w:t>
      </w:r>
      <w:r w:rsidRPr="006307CB">
        <w:t>, Public Notice, Report No. 49592, at 1 (MB July 16, 2019).</w:t>
      </w:r>
    </w:p>
  </w:footnote>
  <w:footnote w:id="12">
    <w:p w:rsidR="00544629" w:rsidRPr="006307CB" w:rsidP="001E4C45" w14:paraId="3200233A" w14:textId="77777777">
      <w:pPr>
        <w:pStyle w:val="FootnoteText"/>
      </w:pPr>
      <w:r w:rsidRPr="006307CB">
        <w:rPr>
          <w:rStyle w:val="FootnoteReference"/>
        </w:rPr>
        <w:footnoteRef/>
      </w:r>
      <w:r w:rsidRPr="006307CB">
        <w:t xml:space="preserve"> Application File No. 0000115702.</w:t>
      </w:r>
    </w:p>
  </w:footnote>
  <w:footnote w:id="13">
    <w:p w:rsidR="00544629" w:rsidRPr="006307CB" w:rsidP="001E4C45" w14:paraId="4A5427D6" w14:textId="266CEAA9">
      <w:pPr>
        <w:pStyle w:val="FootnoteText"/>
      </w:pPr>
      <w:r w:rsidRPr="006307CB">
        <w:rPr>
          <w:rStyle w:val="FootnoteReference"/>
        </w:rPr>
        <w:footnoteRef/>
      </w:r>
      <w:r w:rsidRPr="006307CB">
        <w:t xml:space="preserve"> Informal Objection of Spencer Phelps, Application File No. 0000115702 (filed July 22, 2020)</w:t>
      </w:r>
      <w:r w:rsidR="00643FC7">
        <w:t xml:space="preserve"> (Informal Objection)</w:t>
      </w:r>
      <w:r w:rsidRPr="006307CB">
        <w:t xml:space="preserve">.  </w:t>
      </w:r>
    </w:p>
  </w:footnote>
  <w:footnote w:id="14">
    <w:p w:rsidR="00544629" w:rsidRPr="00693156" w:rsidP="00746A00" w14:paraId="1F976A83" w14:textId="0DDA2562">
      <w:pPr>
        <w:pStyle w:val="FootnoteText"/>
        <w:rPr>
          <w:b/>
          <w:bCs/>
          <w:color w:val="0070C0"/>
        </w:rPr>
      </w:pPr>
      <w:r w:rsidRPr="006307CB">
        <w:rPr>
          <w:rStyle w:val="FootnoteReference"/>
        </w:rPr>
        <w:footnoteRef/>
      </w:r>
      <w:r w:rsidRPr="006307CB">
        <w:t xml:space="preserve"> Phelps also alleged that MMF made false statements and certifications, and included misleading language in its portions of the Assignment Application.  </w:t>
      </w:r>
      <w:r w:rsidR="00A84364">
        <w:t>Informal Objection</w:t>
      </w:r>
      <w:r w:rsidR="00643FC7">
        <w:t xml:space="preserve"> at 3.  </w:t>
      </w:r>
      <w:r w:rsidRPr="006307CB">
        <w:t xml:space="preserve">We do not discuss these allegations further because they relate to the Station’s former licensee, and are not relevant to our renewal inquiry.  Section 309(k) of the Act limits that inquiry to whether, during the preceding license term, (1) the station served the public interest, convenience, and necessity, (2) “there have been no serious violations </w:t>
      </w:r>
      <w:r w:rsidRPr="006307CB">
        <w:rPr>
          <w:i/>
          <w:iCs/>
        </w:rPr>
        <w:t>by the licensee</w:t>
      </w:r>
      <w:r w:rsidRPr="006307CB">
        <w:t xml:space="preserve">” of the Act or the Rules, and (3) “there have been no other violations </w:t>
      </w:r>
      <w:r w:rsidRPr="006307CB">
        <w:rPr>
          <w:i/>
          <w:iCs/>
        </w:rPr>
        <w:t>by the licensee</w:t>
      </w:r>
      <w:r w:rsidRPr="006307CB">
        <w:t>” of the Act or the Rules “which, taken together, would constitute a pattern of abuse.”  47 CFR § 309(k)(1)</w:t>
      </w:r>
      <w:r w:rsidR="00C17B7A">
        <w:t xml:space="preserve"> (emphasis added)</w:t>
      </w:r>
      <w:r w:rsidRPr="006307CB">
        <w:t xml:space="preserve">.  </w:t>
      </w:r>
      <w:r w:rsidRPr="00417704" w:rsidR="00417704">
        <w:t>We note that Phelps does not claim that MMF holds any FCC licenses at this time</w:t>
      </w:r>
      <w:r w:rsidR="00417704">
        <w:t>.</w:t>
      </w:r>
    </w:p>
  </w:footnote>
  <w:footnote w:id="15">
    <w:p w:rsidR="008C76DB" w14:paraId="26BB343F" w14:textId="106C7F6D">
      <w:pPr>
        <w:pStyle w:val="FootnoteText"/>
      </w:pPr>
      <w:r>
        <w:rPr>
          <w:rStyle w:val="FootnoteReference"/>
        </w:rPr>
        <w:footnoteRef/>
      </w:r>
      <w:r>
        <w:t xml:space="preserve"> </w:t>
      </w:r>
      <w:r w:rsidR="00F97328">
        <w:t>Informal Objection at 4.</w:t>
      </w:r>
    </w:p>
  </w:footnote>
  <w:footnote w:id="16">
    <w:p w:rsidR="00462255" w:rsidP="00462255" w14:paraId="266D0251" w14:textId="77777777">
      <w:pPr>
        <w:pStyle w:val="FootnoteText"/>
      </w:pPr>
      <w:r>
        <w:rPr>
          <w:rStyle w:val="FootnoteReference"/>
        </w:rPr>
        <w:footnoteRef/>
      </w:r>
      <w:r>
        <w:t xml:space="preserve"> </w:t>
      </w:r>
      <w:r w:rsidRPr="00BA1A5D">
        <w:rPr>
          <w:i/>
          <w:iCs/>
        </w:rPr>
        <w:t>Id</w:t>
      </w:r>
      <w:r>
        <w:t>. at Exh. 6.</w:t>
      </w:r>
    </w:p>
  </w:footnote>
  <w:footnote w:id="17">
    <w:p w:rsidR="00544629" w:rsidRPr="006307CB" w:rsidP="001E4C45" w14:paraId="38C45FDD" w14:textId="6762235F">
      <w:pPr>
        <w:pStyle w:val="FootnoteText"/>
      </w:pPr>
      <w:r w:rsidRPr="006307CB">
        <w:rPr>
          <w:rStyle w:val="FootnoteReference"/>
        </w:rPr>
        <w:footnoteRef/>
      </w:r>
      <w:r w:rsidRPr="006307CB">
        <w:t xml:space="preserve"> Letter from Albert Shuldiner, Chief, Audio Division, to Shawn Craft, Marion Education Exchange, Application File No. 0000115702 (dated Dec. 8, 2020)</w:t>
      </w:r>
      <w:r w:rsidR="008B0654">
        <w:t xml:space="preserve"> (</w:t>
      </w:r>
      <w:r w:rsidRPr="00DB05C1" w:rsidR="008B0654">
        <w:t>First LOI</w:t>
      </w:r>
      <w:r w:rsidR="008B0654">
        <w:t>)</w:t>
      </w:r>
      <w:r w:rsidRPr="006307CB">
        <w:t>.</w:t>
      </w:r>
    </w:p>
  </w:footnote>
  <w:footnote w:id="18">
    <w:p w:rsidR="00544629" w:rsidRPr="006307CB" w14:paraId="34E1CE27" w14:textId="0F8EA442">
      <w:pPr>
        <w:pStyle w:val="FootnoteText"/>
      </w:pPr>
      <w:r w:rsidRPr="006307CB">
        <w:rPr>
          <w:rStyle w:val="FootnoteReference"/>
        </w:rPr>
        <w:footnoteRef/>
      </w:r>
      <w:r w:rsidRPr="006307CB">
        <w:t xml:space="preserve"> Letter from Albert Shuldiner, Chief, Audio Division, to Shawn Craft, Marion Education Exchange, Application File No. 0000115702 (dated Feb. 12, 2021).</w:t>
      </w:r>
    </w:p>
  </w:footnote>
  <w:footnote w:id="19">
    <w:p w:rsidR="00544629" w:rsidRPr="006307CB" w:rsidP="00311494" w14:paraId="6297A536" w14:textId="77777777">
      <w:pPr>
        <w:pStyle w:val="FootnoteText"/>
      </w:pPr>
      <w:r w:rsidRPr="006307CB">
        <w:rPr>
          <w:rStyle w:val="FootnoteReference"/>
        </w:rPr>
        <w:footnoteRef/>
      </w:r>
      <w:r w:rsidRPr="006307CB">
        <w:t xml:space="preserve"> Petition for Reconsideration of The Marion Education Exchange, File No. BLL-20140616AEW (rec’d Feb. 16, 2021) (First LOI Response).  </w:t>
      </w:r>
    </w:p>
  </w:footnote>
  <w:footnote w:id="20">
    <w:p w:rsidR="00544629" w:rsidRPr="006307CB" w14:paraId="1AAA18C4" w14:textId="75BB6BBC">
      <w:pPr>
        <w:pStyle w:val="FootnoteText"/>
      </w:pPr>
      <w:r w:rsidRPr="006307CB">
        <w:rPr>
          <w:rStyle w:val="FootnoteReference"/>
        </w:rPr>
        <w:footnoteRef/>
      </w:r>
      <w:r w:rsidRPr="006307CB">
        <w:t xml:space="preserve"> The reinstatement was required by section 307(c)(3) of the Act, which states that the filing of a renewal application continues a station’s license in effect.  47 U.S.C. 307(c)(3).  This continuance runs through “any hearing and final decision on such an application and the disposition of any petition for rehearing.”  </w:t>
      </w:r>
      <w:r w:rsidRPr="006307CB">
        <w:rPr>
          <w:i/>
          <w:iCs/>
        </w:rPr>
        <w:t>Id</w:t>
      </w:r>
      <w:r w:rsidRPr="006307CB">
        <w:t>.</w:t>
      </w:r>
    </w:p>
  </w:footnote>
  <w:footnote w:id="21">
    <w:p w:rsidR="006A5380" w14:paraId="66BB069B" w14:textId="534BC335">
      <w:pPr>
        <w:pStyle w:val="FootnoteText"/>
      </w:pPr>
      <w:r>
        <w:rPr>
          <w:rStyle w:val="FootnoteReference"/>
        </w:rPr>
        <w:footnoteRef/>
      </w:r>
      <w:r>
        <w:t xml:space="preserve"> </w:t>
      </w:r>
      <w:r w:rsidRPr="005F7FDF" w:rsidR="005F7FDF">
        <w:t>First LOI Response</w:t>
      </w:r>
      <w:r w:rsidR="005F7FDF">
        <w:rPr>
          <w:i/>
          <w:iCs/>
        </w:rPr>
        <w:t xml:space="preserve"> </w:t>
      </w:r>
      <w:r w:rsidR="00A13807">
        <w:t>at para. 7.</w:t>
      </w:r>
    </w:p>
  </w:footnote>
  <w:footnote w:id="22">
    <w:p w:rsidR="00544629" w:rsidRPr="006307CB" w14:paraId="6D8B265E" w14:textId="73A49DD0">
      <w:pPr>
        <w:pStyle w:val="FootnoteText"/>
      </w:pPr>
      <w:r w:rsidRPr="006307CB">
        <w:rPr>
          <w:rStyle w:val="FootnoteReference"/>
        </w:rPr>
        <w:footnoteRef/>
      </w:r>
      <w:r w:rsidRPr="006307CB">
        <w:t xml:space="preserve"> </w:t>
      </w:r>
      <w:r w:rsidRPr="006307CB">
        <w:rPr>
          <w:i/>
          <w:iCs/>
        </w:rPr>
        <w:t>Id</w:t>
      </w:r>
      <w:r w:rsidRPr="006307CB">
        <w:t>.</w:t>
      </w:r>
    </w:p>
  </w:footnote>
  <w:footnote w:id="23">
    <w:p w:rsidR="00544629" w:rsidRPr="006307CB" w:rsidP="000B34D6" w14:paraId="0D981BE6" w14:textId="18E69AA9">
      <w:pPr>
        <w:pStyle w:val="FootnoteText"/>
      </w:pPr>
      <w:r w:rsidRPr="006307CB">
        <w:rPr>
          <w:rStyle w:val="FootnoteReference"/>
        </w:rPr>
        <w:footnoteRef/>
      </w:r>
      <w:r w:rsidRPr="006307CB">
        <w:t xml:space="preserve"> </w:t>
      </w:r>
      <w:r w:rsidRPr="006307CB">
        <w:rPr>
          <w:i/>
          <w:iCs/>
        </w:rPr>
        <w:t>Id</w:t>
      </w:r>
      <w:r w:rsidRPr="006307CB">
        <w:t>.</w:t>
      </w:r>
    </w:p>
  </w:footnote>
  <w:footnote w:id="24">
    <w:p w:rsidR="006E07ED" w:rsidRPr="006307CB" w:rsidP="006E07ED" w14:paraId="4ECF94C5" w14:textId="77777777">
      <w:pPr>
        <w:pStyle w:val="FootnoteText"/>
      </w:pPr>
      <w:r w:rsidRPr="006307CB">
        <w:rPr>
          <w:rStyle w:val="FootnoteReference"/>
        </w:rPr>
        <w:footnoteRef/>
      </w:r>
      <w:r w:rsidRPr="006307CB">
        <w:t xml:space="preserve"> </w:t>
      </w:r>
      <w:r w:rsidRPr="006307CB">
        <w:rPr>
          <w:i/>
          <w:iCs/>
        </w:rPr>
        <w:t>Id</w:t>
      </w:r>
      <w:r w:rsidRPr="006307CB">
        <w:t>. at para. 8.</w:t>
      </w:r>
    </w:p>
  </w:footnote>
  <w:footnote w:id="25">
    <w:p w:rsidR="00544629" w:rsidRPr="006307CB" w:rsidP="0027632E" w14:paraId="04E6049B" w14:textId="145852D4">
      <w:pPr>
        <w:pStyle w:val="FootnoteText"/>
      </w:pPr>
      <w:r w:rsidRPr="006307CB">
        <w:rPr>
          <w:rStyle w:val="FootnoteReference"/>
        </w:rPr>
        <w:footnoteRef/>
      </w:r>
      <w:r w:rsidRPr="006307CB">
        <w:t xml:space="preserve"> </w:t>
      </w:r>
      <w:r w:rsidRPr="006307CB">
        <w:rPr>
          <w:i/>
          <w:iCs/>
        </w:rPr>
        <w:t>Id</w:t>
      </w:r>
      <w:r w:rsidRPr="006307CB">
        <w:t>. at para. 9.</w:t>
      </w:r>
    </w:p>
  </w:footnote>
  <w:footnote w:id="26">
    <w:p w:rsidR="00544629" w:rsidRPr="006307CB" w:rsidP="00962D66" w14:paraId="4F96EE59" w14:textId="51ACFBCF">
      <w:pPr>
        <w:pStyle w:val="FootnoteText"/>
      </w:pPr>
      <w:r w:rsidRPr="006307CB">
        <w:rPr>
          <w:rStyle w:val="FootnoteReference"/>
        </w:rPr>
        <w:footnoteRef/>
      </w:r>
      <w:r w:rsidRPr="006307CB">
        <w:t xml:space="preserve"> </w:t>
      </w:r>
      <w:r w:rsidRPr="006307CB">
        <w:rPr>
          <w:i/>
          <w:iCs/>
        </w:rPr>
        <w:t xml:space="preserve">See </w:t>
      </w:r>
      <w:r w:rsidRPr="006307CB">
        <w:t>Betty Jane Compton</w:t>
      </w:r>
      <w:r>
        <w:t xml:space="preserve">, </w:t>
      </w:r>
      <w:hyperlink r:id="rId2" w:history="1">
        <w:r w:rsidRPr="00F00E43">
          <w:rPr>
            <w:rStyle w:val="Hyperlink"/>
          </w:rPr>
          <w:t>https://www.legacy.com/us/obituaries/marionstar/name/betty-compton-obituary?pid=182411328</w:t>
        </w:r>
      </w:hyperlink>
      <w:r>
        <w:t xml:space="preserve"> </w:t>
      </w:r>
      <w:r w:rsidRPr="006307CB">
        <w:t xml:space="preserve">(last visited June 24, 2021).  Notably, Compton was the grandmother of Scott Spears, who is not a board member of MEE but is </w:t>
      </w:r>
      <w:r w:rsidR="00417704">
        <w:t xml:space="preserve">one of </w:t>
      </w:r>
      <w:r w:rsidRPr="006307CB">
        <w:t>the Station’s general manager</w:t>
      </w:r>
      <w:r w:rsidR="003030BC">
        <w:t>s</w:t>
      </w:r>
      <w:r w:rsidR="00615549">
        <w:t xml:space="preserve">, and was </w:t>
      </w:r>
      <w:r w:rsidR="005F2AFD">
        <w:t>a board member and officer of MMF</w:t>
      </w:r>
      <w:r w:rsidRPr="006307CB">
        <w:t xml:space="preserve">.  </w:t>
      </w:r>
      <w:r w:rsidRPr="006307CB">
        <w:rPr>
          <w:i/>
          <w:iCs/>
        </w:rPr>
        <w:t>Id</w:t>
      </w:r>
      <w:r w:rsidRPr="006307CB">
        <w:t>. (stating Compton was survived by, among others, her grandson Scott Spears); WWGH Radio 107.1 FM, Our General Managers,</w:t>
      </w:r>
      <w:r>
        <w:t xml:space="preserve"> </w:t>
      </w:r>
      <w:hyperlink r:id="rId3" w:history="1">
        <w:r w:rsidRPr="006D5C17">
          <w:rPr>
            <w:rStyle w:val="Hyperlink"/>
          </w:rPr>
          <w:t>http://wwgh1071.com/2016/</w:t>
        </w:r>
      </w:hyperlink>
      <w:r>
        <w:t xml:space="preserve"> </w:t>
      </w:r>
      <w:r w:rsidRPr="006307CB">
        <w:t xml:space="preserve">(last visited </w:t>
      </w:r>
      <w:r w:rsidR="00021FDB">
        <w:t>Feb.</w:t>
      </w:r>
      <w:r w:rsidRPr="006307CB" w:rsidR="00021FDB">
        <w:t xml:space="preserve"> </w:t>
      </w:r>
      <w:r w:rsidRPr="006307CB">
        <w:t>2</w:t>
      </w:r>
      <w:r w:rsidR="00021FDB">
        <w:t>2</w:t>
      </w:r>
      <w:r w:rsidRPr="006307CB">
        <w:t>, 202</w:t>
      </w:r>
      <w:r w:rsidR="00021FDB">
        <w:t>2</w:t>
      </w:r>
      <w:r w:rsidRPr="006307CB">
        <w:t xml:space="preserve">). </w:t>
      </w:r>
      <w:r w:rsidR="009C0C6C">
        <w:t xml:space="preserve"> </w:t>
      </w:r>
      <w:r w:rsidR="007F700E">
        <w:t xml:space="preserve">Spears </w:t>
      </w:r>
      <w:r w:rsidR="00285198">
        <w:t>resigned from his positions as an officer and board member of MMF on May 7, 2019</w:t>
      </w:r>
      <w:r w:rsidR="00A9013D">
        <w:t xml:space="preserve">, and has </w:t>
      </w:r>
      <w:r w:rsidR="007F700E">
        <w:t xml:space="preserve">entered into an agreement with the Attorney General for the State of Ohio that </w:t>
      </w:r>
      <w:r w:rsidR="008731A1">
        <w:t xml:space="preserve">bars </w:t>
      </w:r>
      <w:r w:rsidR="00D420D2">
        <w:t>him from holding a position as an officer, trustee or employee of MMF or any other charitable organization or charitable trust in the State of Ohio</w:t>
      </w:r>
      <w:r w:rsidR="00285198">
        <w:t xml:space="preserve">.  </w:t>
      </w:r>
      <w:r w:rsidRPr="009B7318" w:rsidR="00E34864">
        <w:rPr>
          <w:i/>
          <w:iCs/>
        </w:rPr>
        <w:t xml:space="preserve">See </w:t>
      </w:r>
      <w:r w:rsidRPr="009B7318" w:rsidR="00F43478">
        <w:rPr>
          <w:i/>
          <w:iCs/>
        </w:rPr>
        <w:t>State of Ohio v. Marion Midget Football</w:t>
      </w:r>
      <w:r w:rsidR="00F43478">
        <w:t>,</w:t>
      </w:r>
      <w:r w:rsidR="009B7318">
        <w:t xml:space="preserve"> </w:t>
      </w:r>
      <w:r w:rsidR="00F43478">
        <w:t>Case No. 19-MS-000263</w:t>
      </w:r>
      <w:r w:rsidR="009B7318">
        <w:t>, Assurance of Discontinuance</w:t>
      </w:r>
      <w:r w:rsidR="005B283E">
        <w:t xml:space="preserve"> (</w:t>
      </w:r>
      <w:r w:rsidR="00334D6D">
        <w:t>Franklin County Court C.P.</w:t>
      </w:r>
      <w:r w:rsidR="005B283E">
        <w:t xml:space="preserve"> 2019) (available at </w:t>
      </w:r>
      <w:hyperlink r:id="rId4" w:history="1">
        <w:r w:rsidRPr="00127942" w:rsidR="00417704">
          <w:rPr>
            <w:rStyle w:val="Hyperlink"/>
          </w:rPr>
          <w:t>https://fcdcfcjs.co.franklin.oh.us/CaseInformationOnline/imageLinkProcessor.pdf?coords=yILz9Qf8L6iM0f3fDVRn1ghmHHy0%2BTsKIggyI2EeKE%2Fiq905PJnpIQxoSY7TsjShW7vR8o%2F6cQCbHe8n%2Flx4P4KevdnP9AKITQtVJk1hmnbp7w29JkKT0L92Ah24gDBY1M2rlzfnO7VDtxzYaF5h2maYkmMVEgxcCkDpSN4G%2Fig%3D</w:t>
        </w:r>
      </w:hyperlink>
      <w:r w:rsidR="005B283E">
        <w:t>)</w:t>
      </w:r>
      <w:r w:rsidR="00417704">
        <w:t xml:space="preserve"> (Assurance)</w:t>
      </w:r>
      <w:r w:rsidR="005B283E">
        <w:t>.</w:t>
      </w:r>
      <w:r w:rsidR="009B7318">
        <w:t xml:space="preserve"> </w:t>
      </w:r>
      <w:r w:rsidR="00F268DC">
        <w:t>Spears is not a party to this proceeding</w:t>
      </w:r>
      <w:r w:rsidR="00694FED">
        <w:t xml:space="preserve">.  However, </w:t>
      </w:r>
      <w:r w:rsidR="00F268DC">
        <w:t>he has made</w:t>
      </w:r>
      <w:r w:rsidR="00694FED">
        <w:t xml:space="preserve"> </w:t>
      </w:r>
      <w:r w:rsidRPr="006307CB" w:rsidR="00F268DC">
        <w:t xml:space="preserve">email submissions </w:t>
      </w:r>
      <w:r w:rsidR="00F268DC">
        <w:t>to the Commission regarding</w:t>
      </w:r>
      <w:r w:rsidRPr="006307CB" w:rsidR="00F268DC">
        <w:t xml:space="preserve"> the merits of the case.  </w:t>
      </w:r>
    </w:p>
  </w:footnote>
  <w:footnote w:id="27">
    <w:p w:rsidR="001C2BED" w:rsidRPr="006307CB" w:rsidP="001C2BED" w14:paraId="66C8234E" w14:textId="77777777">
      <w:pPr>
        <w:pStyle w:val="FootnoteText"/>
      </w:pPr>
      <w:r w:rsidRPr="006307CB">
        <w:rPr>
          <w:rStyle w:val="FootnoteReference"/>
        </w:rPr>
        <w:footnoteRef/>
      </w:r>
      <w:r w:rsidRPr="006307CB">
        <w:t xml:space="preserve"> First LOI Response at para. 12.</w:t>
      </w:r>
    </w:p>
  </w:footnote>
  <w:footnote w:id="28">
    <w:p w:rsidR="00544629" w:rsidRPr="006307CB" w:rsidP="00962D66" w14:paraId="6C42A891" w14:textId="2841C805">
      <w:pPr>
        <w:pStyle w:val="FootnoteText"/>
      </w:pPr>
      <w:r w:rsidRPr="006307CB">
        <w:rPr>
          <w:rStyle w:val="FootnoteReference"/>
        </w:rPr>
        <w:footnoteRef/>
      </w:r>
      <w:r w:rsidRPr="006307CB">
        <w:t xml:space="preserve"> Response of Spencer Phelps, File No. BLL-20140616AEW (rec’d Feb. 17, 2021)</w:t>
      </w:r>
      <w:r w:rsidR="005233A6">
        <w:t xml:space="preserve"> (First LOI Reply)</w:t>
      </w:r>
      <w:r w:rsidRPr="006307CB">
        <w:t xml:space="preserve">.  </w:t>
      </w:r>
    </w:p>
  </w:footnote>
  <w:footnote w:id="29">
    <w:p w:rsidR="00544629" w:rsidRPr="006307CB" w:rsidP="00A96297" w14:paraId="243D6F62" w14:textId="7C8E85F0">
      <w:pPr>
        <w:pStyle w:val="FootnoteText"/>
      </w:pPr>
      <w:r w:rsidRPr="006307CB">
        <w:rPr>
          <w:rStyle w:val="FootnoteReference"/>
        </w:rPr>
        <w:footnoteRef/>
      </w:r>
      <w:r w:rsidRPr="006307CB">
        <w:t xml:space="preserve"> </w:t>
      </w:r>
      <w:r w:rsidRPr="006307CB">
        <w:rPr>
          <w:i/>
          <w:iCs/>
        </w:rPr>
        <w:t>Id</w:t>
      </w:r>
      <w:r w:rsidRPr="006307CB">
        <w:t>.</w:t>
      </w:r>
    </w:p>
  </w:footnote>
  <w:footnote w:id="30">
    <w:p w:rsidR="00544629" w:rsidRPr="006307CB" w14:paraId="22BD0C84" w14:textId="534C530E">
      <w:pPr>
        <w:pStyle w:val="FootnoteText"/>
      </w:pPr>
      <w:r w:rsidRPr="006307CB">
        <w:rPr>
          <w:rStyle w:val="FootnoteReference"/>
        </w:rPr>
        <w:footnoteRef/>
      </w:r>
      <w:r w:rsidRPr="006307CB">
        <w:t xml:space="preserve"> </w:t>
      </w:r>
      <w:r w:rsidRPr="00291360" w:rsidR="00B02A1F">
        <w:rPr>
          <w:i/>
          <w:iCs/>
        </w:rPr>
        <w:t>Id</w:t>
      </w:r>
      <w:r w:rsidR="00B02A1F">
        <w:t>.</w:t>
      </w:r>
      <w:r w:rsidRPr="006307CB">
        <w:t xml:space="preserve"> at paras. 2-4.</w:t>
      </w:r>
    </w:p>
  </w:footnote>
  <w:footnote w:id="31">
    <w:p w:rsidR="00544629" w:rsidRPr="006307CB" w:rsidP="00A96297" w14:paraId="20B52AD7" w14:textId="483C9C14">
      <w:pPr>
        <w:pStyle w:val="FootnoteText"/>
      </w:pPr>
      <w:r w:rsidRPr="006307CB">
        <w:rPr>
          <w:rStyle w:val="FootnoteReference"/>
        </w:rPr>
        <w:footnoteRef/>
      </w:r>
      <w:r w:rsidRPr="006307CB">
        <w:t xml:space="preserve"> </w:t>
      </w:r>
      <w:r w:rsidRPr="006307CB">
        <w:rPr>
          <w:i/>
          <w:iCs/>
        </w:rPr>
        <w:t>Id</w:t>
      </w:r>
      <w:r w:rsidRPr="006307CB">
        <w:t xml:space="preserve">. at paras. 2-3, 12. </w:t>
      </w:r>
    </w:p>
  </w:footnote>
  <w:footnote w:id="32">
    <w:p w:rsidR="00544629" w:rsidRPr="006307CB" w:rsidP="00962D66" w14:paraId="5449B384" w14:textId="0D23E0A5">
      <w:pPr>
        <w:pStyle w:val="FootnoteText"/>
        <w:rPr>
          <w:b/>
          <w:bCs/>
        </w:rPr>
      </w:pPr>
      <w:r w:rsidRPr="006307CB">
        <w:rPr>
          <w:rStyle w:val="FootnoteReference"/>
        </w:rPr>
        <w:footnoteRef/>
      </w:r>
      <w:r w:rsidRPr="006307CB">
        <w:t xml:space="preserve"> Letter from Albert Shuldiner, Chief, Audio Division, to Shawn Craft, The Marion Educ. Exchange, Application File No. 0000115702 (dated Feb. 26, 2021) (Second LOI).</w:t>
      </w:r>
    </w:p>
  </w:footnote>
  <w:footnote w:id="33">
    <w:p w:rsidR="00544629" w:rsidRPr="006307CB" w:rsidP="00962D66" w14:paraId="2A78BE13" w14:textId="0045C233">
      <w:pPr>
        <w:pStyle w:val="FootnoteText"/>
      </w:pPr>
      <w:r w:rsidRPr="006307CB">
        <w:rPr>
          <w:rStyle w:val="FootnoteReference"/>
        </w:rPr>
        <w:footnoteRef/>
      </w:r>
      <w:r w:rsidRPr="006307CB">
        <w:t xml:space="preserve"> </w:t>
      </w:r>
      <w:r w:rsidRPr="008A7274">
        <w:rPr>
          <w:rFonts w:eastAsia="Calibri"/>
          <w:noProof/>
        </w:rPr>
        <w:t xml:space="preserve">Specifically, we directed MEE to identify all individuals who had served as officers and directors of MEE and state the position(s) each person held, and the dates on which the person held the position(s). </w:t>
      </w:r>
      <w:r w:rsidRPr="008A7274">
        <w:t xml:space="preserve"> Second LOI at 1.  We also required MEE to submit copies of all </w:t>
      </w:r>
      <w:r w:rsidRPr="008A7274">
        <w:rPr>
          <w:rFonts w:eastAsia="Calibri"/>
          <w:noProof/>
        </w:rPr>
        <w:t>corporate materials that related to</w:t>
      </w:r>
      <w:r w:rsidR="00B6416F">
        <w:rPr>
          <w:rFonts w:eastAsia="Calibri"/>
          <w:noProof/>
        </w:rPr>
        <w:t>,</w:t>
      </w:r>
      <w:r w:rsidRPr="008A7274">
        <w:rPr>
          <w:rFonts w:eastAsia="Calibri"/>
          <w:noProof/>
        </w:rPr>
        <w:t xml:space="preserve"> or included information regarding MEE’s board composition, or the appointment, resignation, or termination of MEE officers or directors.  </w:t>
      </w:r>
      <w:r w:rsidRPr="008A7274">
        <w:rPr>
          <w:rFonts w:eastAsia="Calibri"/>
          <w:i/>
          <w:iCs/>
          <w:noProof/>
        </w:rPr>
        <w:t>Id</w:t>
      </w:r>
      <w:r w:rsidRPr="008A7274">
        <w:rPr>
          <w:rFonts w:eastAsia="Calibri"/>
          <w:noProof/>
        </w:rPr>
        <w:t xml:space="preserve">.  </w:t>
      </w:r>
    </w:p>
  </w:footnote>
  <w:footnote w:id="34">
    <w:p w:rsidR="00544629" w:rsidRPr="008A7274" w:rsidP="009D0011" w14:paraId="65ED33F7" w14:textId="77777777">
      <w:pPr>
        <w:pStyle w:val="FootnoteText"/>
      </w:pPr>
      <w:r w:rsidRPr="006307CB">
        <w:rPr>
          <w:rStyle w:val="FootnoteReference"/>
        </w:rPr>
        <w:footnoteRef/>
      </w:r>
      <w:r w:rsidRPr="006307CB">
        <w:t xml:space="preserve"> </w:t>
      </w:r>
      <w:r w:rsidRPr="006307CB">
        <w:rPr>
          <w:i/>
          <w:iCs/>
        </w:rPr>
        <w:t>Id</w:t>
      </w:r>
      <w:r w:rsidRPr="006307CB">
        <w:t>. at 2.</w:t>
      </w:r>
    </w:p>
  </w:footnote>
  <w:footnote w:id="35">
    <w:p w:rsidR="00544629" w:rsidRPr="008A7274" w:rsidP="00373574" w14:paraId="1E93D5A4" w14:textId="27229FA2">
      <w:pPr>
        <w:pStyle w:val="FootnoteText"/>
      </w:pPr>
      <w:r w:rsidRPr="006307CB">
        <w:rPr>
          <w:rStyle w:val="FootnoteReference"/>
        </w:rPr>
        <w:footnoteRef/>
      </w:r>
      <w:r w:rsidRPr="006307CB">
        <w:t xml:space="preserve"> </w:t>
      </w:r>
      <w:r w:rsidRPr="006307CB">
        <w:rPr>
          <w:i/>
          <w:iCs/>
        </w:rPr>
        <w:t>Id</w:t>
      </w:r>
      <w:r w:rsidRPr="006307CB">
        <w:t>.</w:t>
      </w:r>
    </w:p>
  </w:footnote>
  <w:footnote w:id="36">
    <w:p w:rsidR="00DF43AF" w14:paraId="117648FF" w14:textId="49B2C5EE">
      <w:pPr>
        <w:pStyle w:val="FootnoteText"/>
      </w:pPr>
      <w:r>
        <w:rPr>
          <w:rStyle w:val="FootnoteReference"/>
        </w:rPr>
        <w:footnoteRef/>
      </w:r>
      <w:r>
        <w:t xml:space="preserve"> </w:t>
      </w:r>
      <w:r w:rsidR="00FC3CAD">
        <w:t xml:space="preserve">This document had previously been provided to us by Phelps.  </w:t>
      </w:r>
      <w:r w:rsidRPr="007E2830" w:rsidR="00FC3CAD">
        <w:rPr>
          <w:i/>
          <w:iCs/>
        </w:rPr>
        <w:t>See</w:t>
      </w:r>
      <w:r w:rsidR="00FC3CAD">
        <w:t xml:space="preserve"> Informal Objection </w:t>
      </w:r>
      <w:r w:rsidR="007E2830">
        <w:t>at Exh. 6.</w:t>
      </w:r>
    </w:p>
  </w:footnote>
  <w:footnote w:id="37">
    <w:p w:rsidR="00544629" w:rsidRPr="008A7274" w:rsidP="00AD191C" w14:paraId="547DF15F" w14:textId="582FB009">
      <w:pPr>
        <w:pStyle w:val="FootnoteText"/>
      </w:pPr>
      <w:r w:rsidRPr="006307CB">
        <w:rPr>
          <w:rStyle w:val="FootnoteReference"/>
        </w:rPr>
        <w:footnoteRef/>
      </w:r>
      <w:r w:rsidRPr="006307CB">
        <w:t xml:space="preserve"> Response of The Marion Educ. Exchange</w:t>
      </w:r>
      <w:r w:rsidRPr="008A7274">
        <w:t>, Application File No. 0000115702 (dated Mar. 10, 2021) (Second LOI Response).  As required, the declaration was made under penalty of perjury.</w:t>
      </w:r>
    </w:p>
  </w:footnote>
  <w:footnote w:id="38">
    <w:p w:rsidR="00544629" w:rsidRPr="008A7274" w:rsidP="00044809" w14:paraId="3B6D51DC" w14:textId="1CC84EC2">
      <w:pPr>
        <w:pStyle w:val="FootnoteText"/>
      </w:pPr>
      <w:r w:rsidRPr="006307CB">
        <w:rPr>
          <w:rStyle w:val="FootnoteReference"/>
        </w:rPr>
        <w:footnoteRef/>
      </w:r>
      <w:r w:rsidRPr="006307CB">
        <w:t xml:space="preserve"> </w:t>
      </w:r>
      <w:r w:rsidRPr="006307CB">
        <w:rPr>
          <w:i/>
          <w:iCs/>
        </w:rPr>
        <w:t>Id</w:t>
      </w:r>
      <w:r w:rsidRPr="006307CB">
        <w:t xml:space="preserve">. at </w:t>
      </w:r>
      <w:r w:rsidRPr="008A7274">
        <w:t>para. 1.</w:t>
      </w:r>
    </w:p>
  </w:footnote>
  <w:footnote w:id="39">
    <w:p w:rsidR="00544629" w:rsidRPr="008A7274" w:rsidP="00044809" w14:paraId="3856498E" w14:textId="51DA39F3">
      <w:pPr>
        <w:pStyle w:val="FootnoteText"/>
      </w:pPr>
      <w:r w:rsidRPr="006307CB">
        <w:rPr>
          <w:rStyle w:val="FootnoteReference"/>
        </w:rPr>
        <w:footnoteRef/>
      </w:r>
      <w:r w:rsidRPr="006307CB">
        <w:t xml:space="preserve"> </w:t>
      </w:r>
      <w:r w:rsidRPr="006307CB">
        <w:rPr>
          <w:i/>
          <w:iCs/>
        </w:rPr>
        <w:t>Id</w:t>
      </w:r>
      <w:r w:rsidRPr="006307CB">
        <w:t>. at para. 4.</w:t>
      </w:r>
    </w:p>
  </w:footnote>
  <w:footnote w:id="40">
    <w:p w:rsidR="00544629" w:rsidRPr="008A7274" w:rsidP="00BB3882" w14:paraId="71C831B6" w14:textId="624BDB42">
      <w:pPr>
        <w:pStyle w:val="FootnoteText"/>
      </w:pPr>
      <w:r w:rsidRPr="006307CB">
        <w:rPr>
          <w:rStyle w:val="FootnoteReference"/>
        </w:rPr>
        <w:footnoteRef/>
      </w:r>
      <w:r w:rsidRPr="006307CB">
        <w:t xml:space="preserve"> </w:t>
      </w:r>
      <w:r w:rsidRPr="006307CB">
        <w:rPr>
          <w:i/>
          <w:iCs/>
        </w:rPr>
        <w:t>Id</w:t>
      </w:r>
      <w:r w:rsidRPr="006307CB">
        <w:t>. at para. 5.</w:t>
      </w:r>
    </w:p>
  </w:footnote>
  <w:footnote w:id="41">
    <w:p w:rsidR="00544629" w:rsidRPr="008A7274" w:rsidP="00BE0368" w14:paraId="76A4047E" w14:textId="77777777">
      <w:pPr>
        <w:pStyle w:val="FootnoteText"/>
      </w:pPr>
      <w:r w:rsidRPr="006307CB">
        <w:rPr>
          <w:rStyle w:val="FootnoteReference"/>
        </w:rPr>
        <w:footnoteRef/>
      </w:r>
      <w:r w:rsidRPr="006307CB">
        <w:t xml:space="preserve"> </w:t>
      </w:r>
      <w:r w:rsidRPr="006307CB">
        <w:rPr>
          <w:i/>
          <w:iCs/>
        </w:rPr>
        <w:t>Id</w:t>
      </w:r>
      <w:r w:rsidRPr="006307CB">
        <w:t>. at para. 4.</w:t>
      </w:r>
    </w:p>
  </w:footnote>
  <w:footnote w:id="42">
    <w:p w:rsidR="00544629" w:rsidRPr="008A7274" w:rsidP="00BE0368" w14:paraId="0D4D4053" w14:textId="77777777">
      <w:pPr>
        <w:pStyle w:val="FootnoteText"/>
      </w:pPr>
      <w:r w:rsidRPr="006307CB">
        <w:rPr>
          <w:rStyle w:val="FootnoteReference"/>
        </w:rPr>
        <w:footnoteRef/>
      </w:r>
      <w:r w:rsidRPr="006307CB">
        <w:t xml:space="preserve"> </w:t>
      </w:r>
      <w:r w:rsidRPr="006307CB">
        <w:rPr>
          <w:i/>
          <w:iCs/>
        </w:rPr>
        <w:t>Id</w:t>
      </w:r>
      <w:r w:rsidRPr="006307CB">
        <w:t>. at para. 1.</w:t>
      </w:r>
    </w:p>
  </w:footnote>
  <w:footnote w:id="43">
    <w:p w:rsidR="00544629" w:rsidRPr="008A7274" w:rsidP="00BE0368" w14:paraId="67A96F04" w14:textId="77777777">
      <w:pPr>
        <w:pStyle w:val="FootnoteText"/>
      </w:pPr>
      <w:r w:rsidRPr="006307CB">
        <w:rPr>
          <w:rStyle w:val="FootnoteReference"/>
        </w:rPr>
        <w:footnoteRef/>
      </w:r>
      <w:r w:rsidRPr="006307CB">
        <w:t xml:space="preserve"> </w:t>
      </w:r>
      <w:r w:rsidRPr="006307CB">
        <w:rPr>
          <w:i/>
          <w:iCs/>
        </w:rPr>
        <w:t>Id</w:t>
      </w:r>
      <w:r w:rsidRPr="006307CB">
        <w:t>.</w:t>
      </w:r>
    </w:p>
  </w:footnote>
  <w:footnote w:id="44">
    <w:p w:rsidR="00544629" w:rsidRPr="008A7274" w:rsidP="00962D66" w14:paraId="7520A0B0" w14:textId="45A50409">
      <w:pPr>
        <w:pStyle w:val="FootnoteText"/>
      </w:pPr>
      <w:r w:rsidRPr="006307CB">
        <w:rPr>
          <w:rStyle w:val="FootnoteReference"/>
        </w:rPr>
        <w:footnoteRef/>
      </w:r>
      <w:r w:rsidRPr="006307CB">
        <w:t xml:space="preserve"> Response to Reply of WWGH</w:t>
      </w:r>
      <w:r w:rsidRPr="008A7274">
        <w:t xml:space="preserve"> of Spencer Phelps, Application File No. 0000115702 (rec’d Mar. 11, 2021) (Second LOI Reply).  Phelps noted that MEE had not clearly provided names and dates for each of its current and former board members and officers.  </w:t>
      </w:r>
      <w:r w:rsidRPr="008A7274">
        <w:rPr>
          <w:i/>
          <w:iCs/>
        </w:rPr>
        <w:t>Id</w:t>
      </w:r>
      <w:r w:rsidRPr="008A7274">
        <w:t xml:space="preserve">. at 1, 2.  Phelps also noted that MEE </w:t>
      </w:r>
      <w:r>
        <w:t xml:space="preserve">had not submitted any </w:t>
      </w:r>
      <w:r w:rsidRPr="008A7274">
        <w:t>corporate documents or meeting minutes</w:t>
      </w:r>
      <w:r>
        <w:t>, as had been requested</w:t>
      </w:r>
      <w:r w:rsidRPr="008A7274">
        <w:t xml:space="preserve">.  </w:t>
      </w:r>
      <w:r w:rsidRPr="008A7274">
        <w:rPr>
          <w:i/>
          <w:iCs/>
        </w:rPr>
        <w:t>Id</w:t>
      </w:r>
      <w:r w:rsidRPr="008A7274">
        <w:t xml:space="preserve">. at 2.  Phelps acknowledged that MEE indicated it did not have these materials but questioned the veracity of that statement given that Ohio law required MEE to prepare and keep such materials.  </w:t>
      </w:r>
      <w:r w:rsidRPr="008A7274">
        <w:rPr>
          <w:i/>
          <w:iCs/>
        </w:rPr>
        <w:t>Id</w:t>
      </w:r>
      <w:r w:rsidRPr="008A7274">
        <w:t xml:space="preserve">. </w:t>
      </w:r>
    </w:p>
  </w:footnote>
  <w:footnote w:id="45">
    <w:p w:rsidR="00544629" w14:paraId="6390701C" w14:textId="744503B2">
      <w:pPr>
        <w:pStyle w:val="FootnoteText"/>
      </w:pPr>
      <w:r w:rsidRPr="006307CB">
        <w:rPr>
          <w:rStyle w:val="FootnoteReference"/>
        </w:rPr>
        <w:footnoteRef/>
      </w:r>
      <w:r w:rsidRPr="006307CB">
        <w:t xml:space="preserve"> Specifically, Phelps questioned</w:t>
      </w:r>
      <w:r w:rsidRPr="008A7274">
        <w:t xml:space="preserve"> (1) why Compton was not discussed in the First and Second LOI Responses but was listed as an MEE Board member in the Assignment Application, </w:t>
      </w:r>
      <w:r w:rsidRPr="008A7274">
        <w:rPr>
          <w:i/>
          <w:iCs/>
        </w:rPr>
        <w:t>id</w:t>
      </w:r>
      <w:r w:rsidRPr="008A7274">
        <w:t xml:space="preserve">. at 2, (2) how Craft, Sims, Coble and Tackett could incorporate MEE on April 29, 2019, but not be MEE board members on May 9, 2019, </w:t>
      </w:r>
      <w:r w:rsidRPr="008A7274">
        <w:rPr>
          <w:i/>
          <w:iCs/>
        </w:rPr>
        <w:t>id</w:t>
      </w:r>
      <w:r w:rsidRPr="008A7274">
        <w:t xml:space="preserve">. at 2, (3) why the Initial Articles of Incorporation that MEE filed with the State of Ohio listed one set of names but the Assignment Application listed another completely different set of names, </w:t>
      </w:r>
      <w:r w:rsidRPr="008A7274">
        <w:rPr>
          <w:i/>
          <w:iCs/>
        </w:rPr>
        <w:t>id</w:t>
      </w:r>
      <w:r w:rsidRPr="008A7274">
        <w:t xml:space="preserve">. at 2-3, (4) how the MEE board could be changed if the only people at the 5-29-19 Meeting (Craft, Tackett, Coble and Sims) had no voting rights, </w:t>
      </w:r>
      <w:r w:rsidRPr="008A7274">
        <w:rPr>
          <w:i/>
          <w:iCs/>
        </w:rPr>
        <w:t>id</w:t>
      </w:r>
      <w:r w:rsidRPr="008A7274">
        <w:t xml:space="preserve">. at 6, 7, and (5) how MEE could claim that the Station was the last station in Marion, Ohio to provide local news and weather every hour.  </w:t>
      </w:r>
      <w:r w:rsidRPr="008A7274">
        <w:rPr>
          <w:i/>
          <w:iCs/>
        </w:rPr>
        <w:t>Id.</w:t>
      </w:r>
      <w:r w:rsidRPr="008A7274">
        <w:t xml:space="preserve"> at 8.</w:t>
      </w:r>
    </w:p>
  </w:footnote>
  <w:footnote w:id="46">
    <w:p w:rsidR="00544629" w:rsidRPr="008A7274" w:rsidP="00962D66" w14:paraId="7FC16C35" w14:textId="3611420E">
      <w:pPr>
        <w:pStyle w:val="FootnoteText"/>
      </w:pPr>
      <w:r>
        <w:rPr>
          <w:rStyle w:val="FootnoteReference"/>
        </w:rPr>
        <w:footnoteRef/>
      </w:r>
      <w:r>
        <w:t xml:space="preserve"> </w:t>
      </w:r>
      <w:r w:rsidRPr="006307CB">
        <w:t xml:space="preserve">Letter from Albert Shuldiner, Chief, Audio Division, to Shawn Craft, Marion Education Exchange, Application </w:t>
      </w:r>
      <w:r w:rsidRPr="008A7274">
        <w:t>File No. 0000115702 (dated Mar. 30, 2021) (Third LOI).</w:t>
      </w:r>
    </w:p>
  </w:footnote>
  <w:footnote w:id="47">
    <w:p w:rsidR="00544629" w:rsidRPr="006307CB" w14:paraId="72794FD7" w14:textId="3992BBF9">
      <w:pPr>
        <w:pStyle w:val="FootnoteText"/>
      </w:pPr>
      <w:r w:rsidRPr="006307CB">
        <w:rPr>
          <w:rStyle w:val="FootnoteReference"/>
        </w:rPr>
        <w:footnoteRef/>
      </w:r>
      <w:r w:rsidRPr="006307CB">
        <w:t xml:space="preserve"> </w:t>
      </w:r>
      <w:r w:rsidRPr="008A7274">
        <w:rPr>
          <w:rFonts w:eastAsia="Calibri"/>
          <w:szCs w:val="22"/>
        </w:rPr>
        <w:t xml:space="preserve">The Third LOI requested information regarding (1) MEE’s board composition since its incorporation in 2019, (2) the process by which MEE’s board was installed, and the process for changes to the board, (3) MEE officers since its incorporation, and any overlap of MEE and MMF officers, (4) the process by which MEE officers are installed, and the process by which changes to MEE officers are effected, and (5) the 5-29-19 Meeting held by Craft, Sims, Coble, Tackett.  </w:t>
      </w:r>
      <w:r w:rsidRPr="008A7274">
        <w:rPr>
          <w:rFonts w:eastAsia="Calibri"/>
          <w:i/>
          <w:iCs/>
          <w:szCs w:val="22"/>
        </w:rPr>
        <w:t>Id</w:t>
      </w:r>
      <w:r w:rsidRPr="008A7274">
        <w:rPr>
          <w:rFonts w:eastAsia="Calibri"/>
          <w:szCs w:val="22"/>
        </w:rPr>
        <w:t>. at 3-4.</w:t>
      </w:r>
    </w:p>
  </w:footnote>
  <w:footnote w:id="48">
    <w:p w:rsidR="00544629" w:rsidRPr="006307CB" w:rsidP="00962D66" w14:paraId="3A61193A" w14:textId="24014BEF">
      <w:pPr>
        <w:pStyle w:val="FootnoteText"/>
      </w:pPr>
      <w:r w:rsidRPr="006307CB">
        <w:rPr>
          <w:rStyle w:val="FootnoteReference"/>
        </w:rPr>
        <w:footnoteRef/>
      </w:r>
      <w:r w:rsidRPr="006307CB">
        <w:t xml:space="preserve"> </w:t>
      </w:r>
      <w:r w:rsidRPr="008A7274">
        <w:rPr>
          <w:rFonts w:eastAsia="Calibri"/>
          <w:szCs w:val="22"/>
        </w:rPr>
        <w:t xml:space="preserve">The Third LOI required MEE to explain why it did not list Compton as an initial MEE board member in the Second LOI Response, why it was unable to provide any meeting minutes, emails or other documentation to support statements it made in its First and Second LOI Responses, and why it did not file a </w:t>
      </w:r>
      <w:r w:rsidRPr="008A7274">
        <w:rPr>
          <w:rFonts w:eastAsia="Calibri"/>
          <w:i/>
          <w:iCs/>
          <w:szCs w:val="22"/>
        </w:rPr>
        <w:t>pro forma</w:t>
      </w:r>
      <w:r w:rsidRPr="008A7274">
        <w:rPr>
          <w:rFonts w:eastAsia="Calibri"/>
          <w:szCs w:val="22"/>
        </w:rPr>
        <w:t xml:space="preserve"> transfer of control application after the changes made to its board at the 5-29-19 Meeting.  </w:t>
      </w:r>
      <w:r w:rsidRPr="008A7274">
        <w:rPr>
          <w:rFonts w:eastAsia="Calibri"/>
          <w:i/>
          <w:iCs/>
          <w:szCs w:val="22"/>
        </w:rPr>
        <w:t>Id</w:t>
      </w:r>
      <w:r w:rsidRPr="008A7274">
        <w:rPr>
          <w:rFonts w:eastAsia="Calibri"/>
          <w:szCs w:val="22"/>
        </w:rPr>
        <w:t>. at 5.</w:t>
      </w:r>
    </w:p>
  </w:footnote>
  <w:footnote w:id="49">
    <w:p w:rsidR="00544629" w:rsidRPr="008A7274" w:rsidP="00962D66" w14:paraId="3A11962B" w14:textId="7A0A387D">
      <w:pPr>
        <w:pStyle w:val="FootnoteText"/>
      </w:pPr>
      <w:r w:rsidRPr="006307CB">
        <w:rPr>
          <w:rStyle w:val="FootnoteReference"/>
        </w:rPr>
        <w:footnoteRef/>
      </w:r>
      <w:r w:rsidRPr="006307CB">
        <w:t xml:space="preserve"> Response of The Marion Education Exchange, Application File No. 0000115702 (rec’d April. 13 2021) (Third LOI Response)</w:t>
      </w:r>
      <w:r w:rsidRPr="008A7274">
        <w:t>.</w:t>
      </w:r>
    </w:p>
  </w:footnote>
  <w:footnote w:id="50">
    <w:p w:rsidR="00544629" w:rsidRPr="008A7274" w:rsidP="005C675C" w14:paraId="19EBDBE5" w14:textId="389FCC8E">
      <w:pPr>
        <w:pStyle w:val="FootnoteText"/>
      </w:pPr>
      <w:r w:rsidRPr="006307CB">
        <w:rPr>
          <w:rStyle w:val="FootnoteReference"/>
        </w:rPr>
        <w:footnoteRef/>
      </w:r>
      <w:r w:rsidRPr="006307CB">
        <w:t xml:space="preserve"> </w:t>
      </w:r>
      <w:r w:rsidRPr="006307CB">
        <w:rPr>
          <w:i/>
          <w:iCs/>
        </w:rPr>
        <w:t>Id</w:t>
      </w:r>
      <w:r w:rsidRPr="008A7274">
        <w:t>. at 1.</w:t>
      </w:r>
    </w:p>
  </w:footnote>
  <w:footnote w:id="51">
    <w:p w:rsidR="00544629" w:rsidRPr="008A7274" w:rsidP="005C675C" w14:paraId="35FC8E4C" w14:textId="530092B7">
      <w:pPr>
        <w:pStyle w:val="FootnoteText"/>
      </w:pPr>
      <w:r w:rsidRPr="006307CB">
        <w:rPr>
          <w:rStyle w:val="FootnoteReference"/>
        </w:rPr>
        <w:footnoteRef/>
      </w:r>
      <w:r w:rsidRPr="006307CB">
        <w:t xml:space="preserve"> </w:t>
      </w:r>
      <w:r w:rsidRPr="006307CB">
        <w:rPr>
          <w:i/>
          <w:iCs/>
        </w:rPr>
        <w:t>Id</w:t>
      </w:r>
      <w:r w:rsidRPr="008A7274">
        <w:t>.</w:t>
      </w:r>
    </w:p>
  </w:footnote>
  <w:footnote w:id="52">
    <w:p w:rsidR="00544629" w:rsidRPr="008A7274" w:rsidP="005C675C" w14:paraId="1B027A7D" w14:textId="49742E7A">
      <w:pPr>
        <w:pStyle w:val="FootnoteText"/>
      </w:pPr>
      <w:r w:rsidRPr="006307CB">
        <w:rPr>
          <w:rStyle w:val="FootnoteReference"/>
        </w:rPr>
        <w:footnoteRef/>
      </w:r>
      <w:r w:rsidRPr="006307CB">
        <w:t xml:space="preserve"> </w:t>
      </w:r>
      <w:r w:rsidRPr="006307CB">
        <w:rPr>
          <w:i/>
          <w:iCs/>
        </w:rPr>
        <w:t>Id</w:t>
      </w:r>
      <w:r w:rsidRPr="008A7274">
        <w:t>. at 1-2.</w:t>
      </w:r>
    </w:p>
  </w:footnote>
  <w:footnote w:id="53">
    <w:p w:rsidR="00544629" w:rsidRPr="008A7274" w:rsidP="005C675C" w14:paraId="32E29DD8" w14:textId="653C6101">
      <w:pPr>
        <w:pStyle w:val="FootnoteText"/>
      </w:pPr>
      <w:r w:rsidRPr="006307CB">
        <w:rPr>
          <w:rStyle w:val="FootnoteReference"/>
        </w:rPr>
        <w:footnoteRef/>
      </w:r>
      <w:r w:rsidRPr="006307CB">
        <w:t xml:space="preserve"> </w:t>
      </w:r>
      <w:r w:rsidRPr="006307CB">
        <w:rPr>
          <w:i/>
          <w:iCs/>
        </w:rPr>
        <w:t>Id</w:t>
      </w:r>
      <w:r w:rsidRPr="008A7274">
        <w:t>. at 1.</w:t>
      </w:r>
    </w:p>
  </w:footnote>
  <w:footnote w:id="54">
    <w:p w:rsidR="00544629" w:rsidRPr="008A7274" w:rsidP="005C675C" w14:paraId="6EA5AEC9" w14:textId="251C0C5C">
      <w:pPr>
        <w:pStyle w:val="FootnoteText"/>
      </w:pPr>
      <w:r w:rsidRPr="006307CB">
        <w:rPr>
          <w:rStyle w:val="FootnoteReference"/>
        </w:rPr>
        <w:footnoteRef/>
      </w:r>
      <w:r w:rsidRPr="006307CB">
        <w:t xml:space="preserve"> </w:t>
      </w:r>
      <w:r w:rsidRPr="006307CB">
        <w:rPr>
          <w:i/>
          <w:iCs/>
        </w:rPr>
        <w:t>Id</w:t>
      </w:r>
      <w:r w:rsidRPr="008A7274">
        <w:t>.</w:t>
      </w:r>
    </w:p>
  </w:footnote>
  <w:footnote w:id="55">
    <w:p w:rsidR="00544629" w:rsidRPr="008A7274" w:rsidP="00AA16BC" w14:paraId="1CA6924C" w14:textId="26E59C2A">
      <w:pPr>
        <w:pStyle w:val="FootnoteText"/>
      </w:pPr>
      <w:r w:rsidRPr="006307CB">
        <w:rPr>
          <w:rStyle w:val="FootnoteReference"/>
        </w:rPr>
        <w:footnoteRef/>
      </w:r>
      <w:r w:rsidRPr="006307CB">
        <w:t xml:space="preserve"> </w:t>
      </w:r>
      <w:r w:rsidRPr="006307CB">
        <w:rPr>
          <w:i/>
          <w:iCs/>
        </w:rPr>
        <w:t>Id</w:t>
      </w:r>
      <w:r w:rsidRPr="008A7274">
        <w:t>. at 2.</w:t>
      </w:r>
    </w:p>
  </w:footnote>
  <w:footnote w:id="56">
    <w:p w:rsidR="00544629" w:rsidRPr="008A7274" w:rsidP="00AA16BC" w14:paraId="31302CB8" w14:textId="5559ECE2">
      <w:pPr>
        <w:pStyle w:val="FootnoteText"/>
      </w:pPr>
      <w:r w:rsidRPr="006307CB">
        <w:rPr>
          <w:rStyle w:val="FootnoteReference"/>
        </w:rPr>
        <w:footnoteRef/>
      </w:r>
      <w:r w:rsidRPr="006307CB">
        <w:t xml:space="preserve"> </w:t>
      </w:r>
      <w:r w:rsidRPr="006307CB">
        <w:rPr>
          <w:i/>
          <w:iCs/>
        </w:rPr>
        <w:t>Id</w:t>
      </w:r>
      <w:r w:rsidRPr="008A7274">
        <w:t>.</w:t>
      </w:r>
    </w:p>
  </w:footnote>
  <w:footnote w:id="57">
    <w:p w:rsidR="00544629" w:rsidRPr="008A7274" w:rsidP="00AA16BC" w14:paraId="23EA6612" w14:textId="6964C179">
      <w:pPr>
        <w:pStyle w:val="FootnoteText"/>
      </w:pPr>
      <w:r w:rsidRPr="006307CB">
        <w:rPr>
          <w:rStyle w:val="FootnoteReference"/>
        </w:rPr>
        <w:footnoteRef/>
      </w:r>
      <w:r w:rsidRPr="006307CB">
        <w:t xml:space="preserve"> </w:t>
      </w:r>
      <w:r w:rsidRPr="006307CB">
        <w:rPr>
          <w:i/>
          <w:iCs/>
        </w:rPr>
        <w:t>Id</w:t>
      </w:r>
      <w:r w:rsidRPr="008A7274">
        <w:t>.</w:t>
      </w:r>
    </w:p>
  </w:footnote>
  <w:footnote w:id="58">
    <w:p w:rsidR="00544629" w:rsidRPr="008A7274" w:rsidP="00AA16BC" w14:paraId="7D497620" w14:textId="1F529F9B">
      <w:pPr>
        <w:pStyle w:val="FootnoteText"/>
      </w:pPr>
      <w:r w:rsidRPr="006307CB">
        <w:rPr>
          <w:rStyle w:val="FootnoteReference"/>
        </w:rPr>
        <w:footnoteRef/>
      </w:r>
      <w:r w:rsidRPr="006307CB">
        <w:t xml:space="preserve"> </w:t>
      </w:r>
      <w:r w:rsidRPr="006307CB">
        <w:rPr>
          <w:i/>
          <w:iCs/>
        </w:rPr>
        <w:t>Id</w:t>
      </w:r>
      <w:r w:rsidRPr="008A7274">
        <w:t>.</w:t>
      </w:r>
    </w:p>
  </w:footnote>
  <w:footnote w:id="59">
    <w:p w:rsidR="00544629" w:rsidRPr="008A7274" w:rsidP="00AA16BC" w14:paraId="211784D4" w14:textId="524BF40F">
      <w:pPr>
        <w:pStyle w:val="FootnoteText"/>
      </w:pPr>
      <w:r w:rsidRPr="006307CB">
        <w:rPr>
          <w:rStyle w:val="FootnoteReference"/>
        </w:rPr>
        <w:footnoteRef/>
      </w:r>
      <w:r w:rsidRPr="006307CB">
        <w:t xml:space="preserve"> </w:t>
      </w:r>
      <w:r w:rsidRPr="006307CB">
        <w:rPr>
          <w:i/>
          <w:iCs/>
        </w:rPr>
        <w:t>Id</w:t>
      </w:r>
      <w:r w:rsidRPr="008A7274">
        <w:t>.</w:t>
      </w:r>
    </w:p>
  </w:footnote>
  <w:footnote w:id="60">
    <w:p w:rsidR="00544629" w:rsidRPr="008A7274" w:rsidP="00AA16BC" w14:paraId="3C6D9092" w14:textId="6927BA67">
      <w:pPr>
        <w:pStyle w:val="FootnoteText"/>
      </w:pPr>
      <w:r w:rsidRPr="006307CB">
        <w:rPr>
          <w:rStyle w:val="FootnoteReference"/>
        </w:rPr>
        <w:footnoteRef/>
      </w:r>
      <w:r w:rsidRPr="006307CB">
        <w:t xml:space="preserve"> </w:t>
      </w:r>
      <w:r w:rsidRPr="006307CB">
        <w:rPr>
          <w:i/>
          <w:iCs/>
        </w:rPr>
        <w:t>Id</w:t>
      </w:r>
      <w:r w:rsidRPr="008A7274">
        <w:t>.</w:t>
      </w:r>
    </w:p>
  </w:footnote>
  <w:footnote w:id="61">
    <w:p w:rsidR="00544629" w:rsidRPr="008A7274" w:rsidP="00A46E0C" w14:paraId="053D874E" w14:textId="702F46DC">
      <w:pPr>
        <w:pStyle w:val="FootnoteText"/>
      </w:pPr>
      <w:r w:rsidRPr="006307CB">
        <w:rPr>
          <w:rStyle w:val="FootnoteReference"/>
        </w:rPr>
        <w:footnoteRef/>
      </w:r>
      <w:r w:rsidRPr="006307CB">
        <w:t xml:space="preserve"> </w:t>
      </w:r>
      <w:r w:rsidRPr="006307CB">
        <w:rPr>
          <w:i/>
          <w:iCs/>
        </w:rPr>
        <w:t>Id</w:t>
      </w:r>
      <w:r w:rsidRPr="008A7274">
        <w:t>. at 3.</w:t>
      </w:r>
    </w:p>
  </w:footnote>
  <w:footnote w:id="62">
    <w:p w:rsidR="00544629" w:rsidRPr="008A7274" w:rsidP="00962D66" w14:paraId="4CCF5A07" w14:textId="321B18BA">
      <w:pPr>
        <w:pStyle w:val="FootnoteText"/>
      </w:pPr>
      <w:r w:rsidRPr="006307CB">
        <w:rPr>
          <w:rStyle w:val="FootnoteReference"/>
        </w:rPr>
        <w:footnoteRef/>
      </w:r>
      <w:r w:rsidRPr="006307CB">
        <w:t xml:space="preserve"> </w:t>
      </w:r>
      <w:r w:rsidRPr="00E240A3" w:rsidR="00D72B11">
        <w:t>Third LOI Reply</w:t>
      </w:r>
      <w:r w:rsidRPr="008A7274">
        <w:t xml:space="preserve">. at 3, Exh. 2.  </w:t>
      </w:r>
    </w:p>
  </w:footnote>
  <w:footnote w:id="63">
    <w:p w:rsidR="00544629" w:rsidRPr="008A7274" w14:paraId="2CC71260" w14:textId="5D7DF93E">
      <w:pPr>
        <w:pStyle w:val="FootnoteText"/>
      </w:pPr>
      <w:r w:rsidRPr="006307CB">
        <w:rPr>
          <w:rStyle w:val="FootnoteReference"/>
        </w:rPr>
        <w:footnoteRef/>
      </w:r>
      <w:r w:rsidRPr="006307CB">
        <w:t xml:space="preserve"> </w:t>
      </w:r>
      <w:r w:rsidRPr="006307CB">
        <w:rPr>
          <w:i/>
          <w:iCs/>
        </w:rPr>
        <w:t>Id</w:t>
      </w:r>
      <w:r w:rsidRPr="008A7274">
        <w:t>. at 2, 6.</w:t>
      </w:r>
    </w:p>
  </w:footnote>
  <w:footnote w:id="64">
    <w:p w:rsidR="00B60833" w:rsidRPr="008A7274" w:rsidP="00B60833" w14:paraId="77B5D474" w14:textId="77777777">
      <w:pPr>
        <w:pStyle w:val="FootnoteText"/>
      </w:pPr>
      <w:r w:rsidRPr="006307CB">
        <w:rPr>
          <w:rStyle w:val="FootnoteReference"/>
        </w:rPr>
        <w:footnoteRef/>
      </w:r>
      <w:r w:rsidRPr="006307CB">
        <w:t xml:space="preserve"> 47 U.S.C. § 309(k)(1).</w:t>
      </w:r>
    </w:p>
  </w:footnote>
  <w:footnote w:id="65">
    <w:p w:rsidR="00B60833" w:rsidRPr="008A7274" w:rsidP="00B60833" w14:paraId="15A44DFF" w14:textId="77777777">
      <w:pPr>
        <w:pStyle w:val="FootnoteText"/>
      </w:pPr>
      <w:r w:rsidRPr="006307CB">
        <w:rPr>
          <w:rStyle w:val="FootnoteReference"/>
        </w:rPr>
        <w:footnoteRef/>
      </w:r>
      <w:r w:rsidRPr="006307CB">
        <w:t xml:space="preserve"> </w:t>
      </w:r>
      <w:r w:rsidRPr="006307CB">
        <w:rPr>
          <w:i/>
          <w:iCs/>
        </w:rPr>
        <w:t>Id</w:t>
      </w:r>
      <w:r w:rsidRPr="008A7274">
        <w:t>. § 309(k)(2).</w:t>
      </w:r>
    </w:p>
  </w:footnote>
  <w:footnote w:id="66">
    <w:p w:rsidR="00B60833" w:rsidRPr="008A7274" w:rsidP="00B60833" w14:paraId="5B50D9D2" w14:textId="77777777">
      <w:pPr>
        <w:pStyle w:val="FootnoteText"/>
      </w:pPr>
      <w:r w:rsidRPr="006307CB">
        <w:rPr>
          <w:rStyle w:val="FootnoteReference"/>
        </w:rPr>
        <w:footnoteRef/>
      </w:r>
      <w:r w:rsidRPr="006307CB">
        <w:t xml:space="preserve"> </w:t>
      </w:r>
      <w:r w:rsidRPr="006307CB">
        <w:rPr>
          <w:i/>
          <w:iCs/>
        </w:rPr>
        <w:t>Id</w:t>
      </w:r>
      <w:r w:rsidRPr="008A7274">
        <w:t>. § 309(k)(3).</w:t>
      </w:r>
    </w:p>
  </w:footnote>
  <w:footnote w:id="67">
    <w:p w:rsidR="003C29F0" w:rsidRPr="008A7274" w:rsidP="003C29F0" w14:paraId="1CEE38AC" w14:textId="519915D0">
      <w:pPr>
        <w:pStyle w:val="FootnoteText"/>
      </w:pPr>
      <w:r w:rsidRPr="006307CB">
        <w:rPr>
          <w:rStyle w:val="FootnoteReference"/>
        </w:rPr>
        <w:footnoteRef/>
      </w:r>
      <w:r w:rsidRPr="006307CB">
        <w:t xml:space="preserve"> </w:t>
      </w:r>
      <w:r w:rsidRPr="006307CB">
        <w:rPr>
          <w:i/>
          <w:iCs/>
        </w:rPr>
        <w:t xml:space="preserve">See </w:t>
      </w:r>
      <w:r w:rsidRPr="008A7274">
        <w:rPr>
          <w:i/>
          <w:iCs/>
        </w:rPr>
        <w:t xml:space="preserve">Contemporary Media, Inc. v. FCC, </w:t>
      </w:r>
      <w:r w:rsidRPr="008A7274">
        <w:t>214 F.3d 187, 193 (D.C. Cir. 2000) (</w:t>
      </w:r>
      <w:r w:rsidRPr="008A7274">
        <w:rPr>
          <w:i/>
          <w:iCs/>
        </w:rPr>
        <w:t>Contemporary Media</w:t>
      </w:r>
      <w:r w:rsidRPr="008A7274">
        <w:t>);</w:t>
      </w:r>
      <w:r w:rsidRPr="008A7274">
        <w:rPr>
          <w:i/>
          <w:iCs/>
        </w:rPr>
        <w:t xml:space="preserve"> </w:t>
      </w:r>
      <w:r w:rsidRPr="00931562" w:rsidR="00931562">
        <w:rPr>
          <w:i/>
          <w:iCs/>
        </w:rPr>
        <w:t>Policy Regarding Character Qualifications in Broadcast Licensing</w:t>
      </w:r>
      <w:r w:rsidR="00931562">
        <w:rPr>
          <w:i/>
          <w:iCs/>
        </w:rPr>
        <w:t>,</w:t>
      </w:r>
      <w:r w:rsidR="00931562">
        <w:t xml:space="preserve"> </w:t>
      </w:r>
      <w:r w:rsidR="00E05F7A">
        <w:t>Report, Order and Policy Statement</w:t>
      </w:r>
      <w:r w:rsidRPr="008A7274">
        <w:rPr>
          <w:i/>
          <w:iCs/>
        </w:rPr>
        <w:t xml:space="preserve">, </w:t>
      </w:r>
      <w:r w:rsidRPr="008A7274">
        <w:t xml:space="preserve">102 F.C.C.2d </w:t>
      </w:r>
      <w:r w:rsidR="00FC6B0E">
        <w:t>1179,</w:t>
      </w:r>
      <w:r w:rsidRPr="008A7274" w:rsidR="00FC6B0E">
        <w:t xml:space="preserve"> </w:t>
      </w:r>
      <w:r w:rsidRPr="008A7274">
        <w:t>1209-10, para. 58</w:t>
      </w:r>
      <w:r w:rsidR="00FC6B0E">
        <w:t xml:space="preserve"> (1986) (</w:t>
      </w:r>
      <w:r w:rsidRPr="00FC6B0E" w:rsidR="00FC6B0E">
        <w:rPr>
          <w:i/>
          <w:iCs/>
        </w:rPr>
        <w:t>Character Policy Statement</w:t>
      </w:r>
      <w:r w:rsidR="00FC6B0E">
        <w:t>)</w:t>
      </w:r>
      <w:r w:rsidR="00AD4C1E">
        <w:t xml:space="preserve">, </w:t>
      </w:r>
      <w:r w:rsidRPr="008A7274" w:rsidR="00AD4C1E">
        <w:rPr>
          <w:i/>
          <w:iCs/>
        </w:rPr>
        <w:t>recon. granted in part and denied in part</w:t>
      </w:r>
      <w:r w:rsidRPr="008A7274" w:rsidR="00AD4C1E">
        <w:t>, Memorandum Opinion and Order, 1 FCC Rcd 421 (1986) (subsequent history omitted)</w:t>
      </w:r>
      <w:r w:rsidRPr="008A7274">
        <w:t>.</w:t>
      </w:r>
    </w:p>
  </w:footnote>
  <w:footnote w:id="68">
    <w:p w:rsidR="003C29F0" w:rsidP="003C29F0" w14:paraId="7A00E00B" w14:textId="77777777">
      <w:pPr>
        <w:pStyle w:val="FootnoteText"/>
      </w:pPr>
      <w:r>
        <w:rPr>
          <w:rStyle w:val="FootnoteReference"/>
        </w:rPr>
        <w:footnoteRef/>
      </w:r>
      <w:r>
        <w:t xml:space="preserve"> </w:t>
      </w:r>
      <w:r w:rsidRPr="00E05222">
        <w:rPr>
          <w:i/>
          <w:iCs/>
        </w:rPr>
        <w:t>Entertainment Media Trust</w:t>
      </w:r>
      <w:r w:rsidRPr="00E05222">
        <w:t>, Hearing Designation Order and Notice of Opportunity for Hearing, MB Docket No. 19-156, 34 FCC Rcd 4351, 4370, para. 58 (MB 2019).</w:t>
      </w:r>
    </w:p>
  </w:footnote>
  <w:footnote w:id="69">
    <w:p w:rsidR="003C29F0" w:rsidP="003C29F0" w14:paraId="0EA003BB" w14:textId="77777777">
      <w:pPr>
        <w:pStyle w:val="FootnoteText"/>
      </w:pPr>
      <w:r w:rsidRPr="005673E8">
        <w:rPr>
          <w:rStyle w:val="FootnoteReference"/>
        </w:rPr>
        <w:footnoteRef/>
      </w:r>
      <w:r w:rsidRPr="005673E8">
        <w:t xml:space="preserve"> </w:t>
      </w:r>
      <w:r w:rsidRPr="005673E8">
        <w:rPr>
          <w:i/>
          <w:iCs/>
        </w:rPr>
        <w:t>Character Policy Statement</w:t>
      </w:r>
      <w:r w:rsidRPr="005673E8">
        <w:t>, 102 FCC 2d at 1209-11, paras. 5</w:t>
      </w:r>
      <w:r w:rsidRPr="00152972">
        <w:t xml:space="preserve">4-61.  The fundamental importance of truthfulness and candor </w:t>
      </w:r>
      <w:r w:rsidRPr="00F805FA">
        <w:t xml:space="preserve">on the part of applicants and licensees in their dealings with the Commission is well established.  </w:t>
      </w:r>
      <w:r w:rsidRPr="005673E8">
        <w:rPr>
          <w:i/>
          <w:iCs/>
        </w:rPr>
        <w:t>See FCC v. WOKO, Inc</w:t>
      </w:r>
      <w:r w:rsidRPr="005673E8">
        <w:t>., 329 U.S. 223 (1946) (</w:t>
      </w:r>
      <w:r w:rsidRPr="005673E8">
        <w:rPr>
          <w:i/>
          <w:iCs/>
        </w:rPr>
        <w:t>WOKO</w:t>
      </w:r>
      <w:r w:rsidRPr="005673E8">
        <w:t xml:space="preserve">); </w:t>
      </w:r>
      <w:r w:rsidRPr="005673E8">
        <w:rPr>
          <w:i/>
          <w:iCs/>
        </w:rPr>
        <w:t>Nick J. Chaconas</w:t>
      </w:r>
      <w:r w:rsidRPr="005673E8">
        <w:t xml:space="preserve">, </w:t>
      </w:r>
      <w:r w:rsidRPr="00152972">
        <w:t xml:space="preserve">Decision, </w:t>
      </w:r>
      <w:r w:rsidRPr="00DB05C1">
        <w:rPr>
          <w:shd w:val="clear" w:color="auto" w:fill="FFFFFF"/>
        </w:rPr>
        <w:t xml:space="preserve">Docket No. 18391, </w:t>
      </w:r>
      <w:r w:rsidRPr="00152972">
        <w:t>28</w:t>
      </w:r>
      <w:r w:rsidRPr="005673E8">
        <w:t xml:space="preserve"> FCC 2d 231 (1971); </w:t>
      </w:r>
      <w:r w:rsidRPr="005673E8">
        <w:rPr>
          <w:i/>
          <w:iCs/>
        </w:rPr>
        <w:t>Lebanon Valley Radio, Inc</w:t>
      </w:r>
      <w:r w:rsidRPr="005673E8">
        <w:t xml:space="preserve">., Decision, </w:t>
      </w:r>
      <w:r>
        <w:t xml:space="preserve">Docket No. 15835, </w:t>
      </w:r>
      <w:r w:rsidRPr="005673E8">
        <w:t>35 FCC 2d 243 (Rev. Bd 1972).</w:t>
      </w:r>
    </w:p>
  </w:footnote>
  <w:footnote w:id="70">
    <w:p w:rsidR="003C29F0" w:rsidRPr="008A7274" w:rsidP="003C29F0" w14:paraId="2BBBC89E" w14:textId="0ED0E37B">
      <w:pPr>
        <w:pStyle w:val="FootnoteText"/>
      </w:pPr>
      <w:r w:rsidRPr="006307CB">
        <w:rPr>
          <w:rStyle w:val="FootnoteReference"/>
        </w:rPr>
        <w:footnoteRef/>
      </w:r>
      <w:r w:rsidRPr="006307CB">
        <w:t xml:space="preserve"> </w:t>
      </w:r>
      <w:r w:rsidRPr="006307CB">
        <w:rPr>
          <w:i/>
          <w:iCs/>
        </w:rPr>
        <w:t>See</w:t>
      </w:r>
      <w:r w:rsidR="00C17B7A">
        <w:rPr>
          <w:i/>
          <w:iCs/>
        </w:rPr>
        <w:t>,</w:t>
      </w:r>
      <w:r w:rsidRPr="006307CB">
        <w:rPr>
          <w:i/>
          <w:iCs/>
        </w:rPr>
        <w:t xml:space="preserve"> e.g., WOKO</w:t>
      </w:r>
      <w:r w:rsidRPr="008A7274">
        <w:t xml:space="preserve">, 329 U.S. </w:t>
      </w:r>
      <w:r>
        <w:t>at</w:t>
      </w:r>
      <w:r w:rsidRPr="008A7274">
        <w:t xml:space="preserve"> 225-27; </w:t>
      </w:r>
      <w:r w:rsidRPr="008A7274">
        <w:rPr>
          <w:i/>
          <w:iCs/>
        </w:rPr>
        <w:t>Contemporary Media</w:t>
      </w:r>
      <w:r w:rsidRPr="008A7274">
        <w:t xml:space="preserve">, 214 F.3d at 196; </w:t>
      </w:r>
      <w:r w:rsidRPr="008A7274">
        <w:rPr>
          <w:i/>
          <w:iCs/>
        </w:rPr>
        <w:t>Schoenbohm v. FCC</w:t>
      </w:r>
      <w:r w:rsidRPr="008A7274">
        <w:t xml:space="preserve">, 204 F.3d 243, 247 (D.C. Cir. 2000); </w:t>
      </w:r>
      <w:r w:rsidRPr="008A7274">
        <w:rPr>
          <w:i/>
          <w:iCs/>
        </w:rPr>
        <w:t>Swan Creek Communications, Inc. v. FCC</w:t>
      </w:r>
      <w:r w:rsidRPr="008A7274">
        <w:t>, 39 F.3d 1217, 1221-24 (D.C. Cir. 1994)</w:t>
      </w:r>
      <w:r>
        <w:t xml:space="preserve"> (</w:t>
      </w:r>
      <w:r w:rsidRPr="00787E1B">
        <w:rPr>
          <w:i/>
          <w:iCs/>
        </w:rPr>
        <w:t>Swan Creek</w:t>
      </w:r>
      <w:r>
        <w:t>)</w:t>
      </w:r>
      <w:r w:rsidRPr="008A7274">
        <w:t xml:space="preserve">; </w:t>
      </w:r>
      <w:r w:rsidRPr="008A7274">
        <w:rPr>
          <w:i/>
          <w:iCs/>
        </w:rPr>
        <w:t>Garden State Broad</w:t>
      </w:r>
      <w:r w:rsidR="0037012B">
        <w:rPr>
          <w:i/>
          <w:iCs/>
        </w:rPr>
        <w:t>.</w:t>
      </w:r>
      <w:r w:rsidRPr="008A7274">
        <w:rPr>
          <w:i/>
          <w:iCs/>
        </w:rPr>
        <w:t xml:space="preserve"> Ltd. v. FCC</w:t>
      </w:r>
      <w:r w:rsidRPr="008A7274">
        <w:t>, 996 F.2d 386, 393-94 (D.C. Cir. 1993).</w:t>
      </w:r>
    </w:p>
  </w:footnote>
  <w:footnote w:id="71">
    <w:p w:rsidR="003C29F0" w:rsidP="003C29F0" w14:paraId="5E0C2B44" w14:textId="77777777">
      <w:pPr>
        <w:pStyle w:val="FootnoteText"/>
      </w:pPr>
      <w:r>
        <w:rPr>
          <w:rStyle w:val="FootnoteReference"/>
        </w:rPr>
        <w:footnoteRef/>
      </w:r>
      <w:r>
        <w:t xml:space="preserve"> </w:t>
      </w:r>
      <w:r w:rsidRPr="008F68A0">
        <w:rPr>
          <w:i/>
          <w:iCs/>
        </w:rPr>
        <w:t>Id</w:t>
      </w:r>
      <w:r>
        <w:t>.</w:t>
      </w:r>
      <w:r w:rsidRPr="006307CB">
        <w:t xml:space="preserve"> § 1.17</w:t>
      </w:r>
      <w:r>
        <w:t xml:space="preserve">(a)(1).  </w:t>
      </w:r>
    </w:p>
  </w:footnote>
  <w:footnote w:id="72">
    <w:p w:rsidR="003C29F0" w:rsidRPr="00322557" w:rsidP="003C29F0" w14:paraId="13E4AFB0" w14:textId="5B7C32D6">
      <w:pPr>
        <w:pStyle w:val="FootnoteText"/>
      </w:pPr>
      <w:r w:rsidRPr="006307CB">
        <w:rPr>
          <w:rStyle w:val="FootnoteReference"/>
        </w:rPr>
        <w:footnoteRef/>
      </w:r>
      <w:r w:rsidRPr="006307CB">
        <w:t xml:space="preserve"> </w:t>
      </w:r>
      <w:r w:rsidRPr="00F77D15">
        <w:rPr>
          <w:i/>
          <w:iCs/>
        </w:rPr>
        <w:t>See</w:t>
      </w:r>
      <w:r>
        <w:t xml:space="preserve"> </w:t>
      </w:r>
      <w:r w:rsidRPr="00F77D15">
        <w:rPr>
          <w:i/>
          <w:iCs/>
        </w:rPr>
        <w:t>Fox River Broad., Inc.,</w:t>
      </w:r>
      <w:r w:rsidRPr="00F77D15">
        <w:t xml:space="preserve"> Order, 93 FCC 2d 127, 129, para. 6 (1983) (</w:t>
      </w:r>
      <w:r w:rsidRPr="00F77D15">
        <w:rPr>
          <w:i/>
          <w:iCs/>
        </w:rPr>
        <w:t>Fox River</w:t>
      </w:r>
      <w:r w:rsidRPr="00F77D15">
        <w:t xml:space="preserve">); </w:t>
      </w:r>
      <w:r w:rsidRPr="00F77D15">
        <w:rPr>
          <w:i/>
          <w:iCs/>
        </w:rPr>
        <w:t>San Francisco Unified Sch. Dist.,</w:t>
      </w:r>
      <w:r w:rsidRPr="00F77D15">
        <w:t xml:space="preserve"> Hearing Designation Order and Notice of Apparent Liability for Forfeiture, 19 FCC Rcd 13326, 13334, nn.40-41 (2004) (subsequent history omitted); </w:t>
      </w:r>
      <w:r w:rsidRPr="00F77D15">
        <w:rPr>
          <w:i/>
          <w:iCs/>
        </w:rPr>
        <w:t>Discussion Radio, Inc</w:t>
      </w:r>
      <w:r w:rsidRPr="00F77D15">
        <w:t xml:space="preserve">., Memorandum Opinion and Order and Notice of Apparent Liability, 19 FCC Rcd 7433, 7435 (2004) </w:t>
      </w:r>
      <w:r w:rsidRPr="00322557">
        <w:t>(</w:t>
      </w:r>
      <w:r w:rsidRPr="00322557">
        <w:rPr>
          <w:i/>
          <w:iCs/>
        </w:rPr>
        <w:t>Discussion Radio</w:t>
      </w:r>
      <w:r w:rsidRPr="00322557">
        <w:t>).</w:t>
      </w:r>
    </w:p>
  </w:footnote>
  <w:footnote w:id="73">
    <w:p w:rsidR="003C29F0" w:rsidP="003C29F0" w14:paraId="4734C090" w14:textId="77777777">
      <w:pPr>
        <w:pStyle w:val="FootnoteText"/>
      </w:pPr>
      <w:r w:rsidRPr="00322557">
        <w:rPr>
          <w:rStyle w:val="FootnoteReference"/>
        </w:rPr>
        <w:footnoteRef/>
      </w:r>
      <w:r w:rsidRPr="00322557">
        <w:t xml:space="preserve"> </w:t>
      </w:r>
      <w:r w:rsidRPr="00322557">
        <w:rPr>
          <w:i/>
          <w:iCs/>
        </w:rPr>
        <w:t>See Fox River</w:t>
      </w:r>
      <w:r w:rsidRPr="00322557">
        <w:t>, 93 FCC 2d at 129</w:t>
      </w:r>
      <w:r>
        <w:t>, para. 6</w:t>
      </w:r>
      <w:r w:rsidRPr="00322557">
        <w:t xml:space="preserve">; </w:t>
      </w:r>
      <w:r w:rsidRPr="00322557">
        <w:rPr>
          <w:i/>
          <w:iCs/>
        </w:rPr>
        <w:t>Discussion Radio</w:t>
      </w:r>
      <w:r w:rsidRPr="00322557">
        <w:t>, 19 FCC Rcd at 7435</w:t>
      </w:r>
      <w:r>
        <w:t>, para. 7</w:t>
      </w:r>
      <w:r w:rsidRPr="00322557">
        <w:t>.</w:t>
      </w:r>
    </w:p>
  </w:footnote>
  <w:footnote w:id="74">
    <w:p w:rsidR="003C29F0" w:rsidRPr="00A63446" w:rsidP="003C29F0" w14:paraId="4DCC350B" w14:textId="77777777">
      <w:pPr>
        <w:pStyle w:val="FootnoteText"/>
      </w:pPr>
      <w:r w:rsidRPr="00CC4D3C">
        <w:rPr>
          <w:rStyle w:val="FootnoteReference"/>
        </w:rPr>
        <w:footnoteRef/>
      </w:r>
      <w:r w:rsidRPr="00CC4D3C">
        <w:t xml:space="preserve"> </w:t>
      </w:r>
      <w:r w:rsidRPr="00CC4D3C">
        <w:rPr>
          <w:i/>
          <w:iCs/>
        </w:rPr>
        <w:t>Swan Creek</w:t>
      </w:r>
      <w:r w:rsidRPr="00CC4D3C">
        <w:t xml:space="preserve">, 39 F.3d at 1222; </w:t>
      </w:r>
      <w:r w:rsidRPr="00CC4D3C">
        <w:rPr>
          <w:i/>
          <w:iCs/>
        </w:rPr>
        <w:t>Discussion Radio</w:t>
      </w:r>
      <w:r w:rsidRPr="00CC4D3C">
        <w:t xml:space="preserve">, 19 FCC </w:t>
      </w:r>
      <w:r w:rsidRPr="00A63446">
        <w:t>Rcd at 7435, para. 7.</w:t>
      </w:r>
    </w:p>
  </w:footnote>
  <w:footnote w:id="75">
    <w:p w:rsidR="003C29F0" w:rsidP="003C29F0" w14:paraId="2E1BD3F1" w14:textId="386040E9">
      <w:pPr>
        <w:pStyle w:val="FootnoteText"/>
      </w:pPr>
      <w:r w:rsidRPr="00CC4D3C">
        <w:rPr>
          <w:rStyle w:val="FootnoteReference"/>
        </w:rPr>
        <w:footnoteRef/>
      </w:r>
      <w:r w:rsidRPr="00CC4D3C">
        <w:t xml:space="preserve"> </w:t>
      </w:r>
      <w:r w:rsidRPr="00CC4D3C">
        <w:rPr>
          <w:i/>
          <w:iCs/>
        </w:rPr>
        <w:t>See Discussion Radio</w:t>
      </w:r>
      <w:r w:rsidRPr="00CC4D3C">
        <w:t xml:space="preserve">, 19 FCC Rcd 7435, para. 7; </w:t>
      </w:r>
      <w:r w:rsidRPr="00CC4D3C">
        <w:rPr>
          <w:i/>
          <w:iCs/>
        </w:rPr>
        <w:t>Black Television Workshop of Los Angeles, Inc.</w:t>
      </w:r>
      <w:r w:rsidRPr="00CC4D3C">
        <w:t>, Decision, 8 FCC Rcd 4192, 4198, n.41 (1993) (</w:t>
      </w:r>
      <w:r w:rsidRPr="00CC4D3C">
        <w:rPr>
          <w:i/>
          <w:iCs/>
        </w:rPr>
        <w:t>citing California Public Broad. Forum v. FCC</w:t>
      </w:r>
      <w:r w:rsidRPr="00CC4D3C">
        <w:t>, 752 F.2d 670, 679 (D.C. Cir. 1985)</w:t>
      </w:r>
      <w:r>
        <w:t>)</w:t>
      </w:r>
      <w:r w:rsidRPr="00CC4D3C">
        <w:t xml:space="preserve">; </w:t>
      </w:r>
      <w:r w:rsidRPr="00CC4D3C">
        <w:rPr>
          <w:i/>
          <w:iCs/>
        </w:rPr>
        <w:t>Joseph Bahr</w:t>
      </w:r>
      <w:r w:rsidRPr="00CC4D3C">
        <w:t>, Memorandum Opinion and Order, 10 FCC Rcd 32, 33, para. 6 (Rev. Bd. 1994).</w:t>
      </w:r>
    </w:p>
  </w:footnote>
  <w:footnote w:id="76">
    <w:p w:rsidR="003C29F0" w:rsidRPr="008A7274" w:rsidP="003C29F0" w14:paraId="7C9EA26F" w14:textId="77777777">
      <w:pPr>
        <w:pStyle w:val="FootnoteText"/>
      </w:pPr>
      <w:r w:rsidRPr="006307CB">
        <w:rPr>
          <w:rStyle w:val="FootnoteReference"/>
        </w:rPr>
        <w:footnoteRef/>
      </w:r>
      <w:r w:rsidRPr="006307CB">
        <w:t xml:space="preserve">  </w:t>
      </w:r>
      <w:r w:rsidRPr="008A7274">
        <w:rPr>
          <w:i/>
          <w:iCs/>
        </w:rPr>
        <w:t>Leflore Broad. Co., Inc. v. FCC</w:t>
      </w:r>
      <w:r w:rsidRPr="008A7274">
        <w:t xml:space="preserve">, 636 F.2d 454, 462 (D.C. Cir. 1980); </w:t>
      </w:r>
      <w:r w:rsidRPr="008A7274">
        <w:rPr>
          <w:i/>
          <w:iCs/>
        </w:rPr>
        <w:t xml:space="preserve">American Int'l Dev., Inc., </w:t>
      </w:r>
      <w:r w:rsidRPr="008A7274">
        <w:t xml:space="preserve">Memorandum Opinion and Order, </w:t>
      </w:r>
      <w:r>
        <w:t xml:space="preserve">BC Docket No. 78-40, </w:t>
      </w:r>
      <w:r w:rsidRPr="008A7274">
        <w:t xml:space="preserve">86 FCC 2d 808, 816, n.39 (1981), </w:t>
      </w:r>
      <w:r w:rsidRPr="008A7274">
        <w:rPr>
          <w:i/>
          <w:iCs/>
        </w:rPr>
        <w:t>aff'd sub nom. KXIV, Inc. v. FCC</w:t>
      </w:r>
      <w:r w:rsidRPr="008A7274">
        <w:t>, 704 F.2d 1294 (D.C. Cir. 1983).</w:t>
      </w:r>
    </w:p>
  </w:footnote>
  <w:footnote w:id="77">
    <w:p w:rsidR="003C29F0" w:rsidRPr="005B0E8E" w:rsidP="003C29F0" w14:paraId="6CCA6D04" w14:textId="77777777">
      <w:pPr>
        <w:pStyle w:val="FootnoteText"/>
      </w:pPr>
      <w:r w:rsidRPr="00773D34">
        <w:rPr>
          <w:rStyle w:val="FootnoteReference"/>
        </w:rPr>
        <w:footnoteRef/>
      </w:r>
      <w:r w:rsidRPr="00773D34">
        <w:t xml:space="preserve"> 47 CFR</w:t>
      </w:r>
      <w:r w:rsidRPr="005B0E8E">
        <w:t xml:space="preserve"> § 1.17(a)(2).</w:t>
      </w:r>
    </w:p>
  </w:footnote>
  <w:footnote w:id="78">
    <w:p w:rsidR="003C29F0" w:rsidP="003C29F0" w14:paraId="2CC5137D" w14:textId="7B9DE5F3">
      <w:pPr>
        <w:pStyle w:val="FootnoteText"/>
      </w:pPr>
      <w:r w:rsidRPr="00773D34">
        <w:rPr>
          <w:rStyle w:val="FootnoteReference"/>
        </w:rPr>
        <w:footnoteRef/>
      </w:r>
      <w:r w:rsidRPr="00773D34">
        <w:t xml:space="preserve"> </w:t>
      </w:r>
      <w:r w:rsidRPr="005B0E8E">
        <w:rPr>
          <w:i/>
          <w:iCs/>
        </w:rPr>
        <w:t xml:space="preserve">See Amendment of Section 1.17 of the Commission’s Rules Concerning Truthful Statements to the Commission, </w:t>
      </w:r>
      <w:r w:rsidRPr="005B0E8E">
        <w:t xml:space="preserve">Report and Order, </w:t>
      </w:r>
      <w:r w:rsidRPr="008F68A0">
        <w:t>18 FCC Rcd 4016</w:t>
      </w:r>
      <w:r w:rsidRPr="005B0E8E">
        <w:t xml:space="preserve">, 4017, para. 4 (2003) (stating that the revision to section 1.17 was intended to “prohibit incorrect statements or omissions that are the result of negligence, as well as an intent to deceive”), </w:t>
      </w:r>
      <w:r w:rsidRPr="005B0E8E">
        <w:rPr>
          <w:i/>
          <w:iCs/>
        </w:rPr>
        <w:t>recons. denied</w:t>
      </w:r>
      <w:r w:rsidRPr="005B0E8E">
        <w:t xml:space="preserve">, Memorandum Opinion and Order, 19 FCC Rcd 5790, </w:t>
      </w:r>
      <w:r w:rsidRPr="005B0E8E">
        <w:rPr>
          <w:i/>
          <w:iCs/>
        </w:rPr>
        <w:t>further recons. denied</w:t>
      </w:r>
      <w:r w:rsidRPr="005B0E8E">
        <w:t>, Memorandum Opinion and Order, 20 FCC Rcd 1250 (2004).</w:t>
      </w:r>
    </w:p>
  </w:footnote>
  <w:footnote w:id="79">
    <w:p w:rsidR="00544629" w:rsidRPr="008A7274" w14:paraId="5730E041" w14:textId="440E7231">
      <w:pPr>
        <w:pStyle w:val="FootnoteText"/>
      </w:pPr>
      <w:r w:rsidRPr="006307CB">
        <w:rPr>
          <w:rStyle w:val="FootnoteReference"/>
        </w:rPr>
        <w:footnoteRef/>
      </w:r>
      <w:r w:rsidRPr="006307CB">
        <w:t xml:space="preserve"> We note that Phelps made </w:t>
      </w:r>
      <w:r w:rsidRPr="008A7274">
        <w:t xml:space="preserve">three other allegations related to MEE.  We have reviewed these allegations but concluded that we need not address them further.  Specifically, we find that Phelps failed to substantiate his claim that MEE should have but did not discuss whether two officers of MMF were serving as board members or officers of MEE.  Second LOI Reply at 2.  Likewise, Phelps has offered no evidence to support his claim that submissions made to the Commission by MEE and signed by Craft actually were authored by Spears.  First LOI Reply at paras. 13-16.  Third LOI Reply at 4-5.  Finally, we find immaterial Phelps’ allegation that MEE has failed to comply with the laws of the State of Ohio related to non-profit corporations.  Second LOI Reply at 2.  It is well settled that the Commission does not consider unadjudicated misconduct in evaluating a licensee’s character qualifications.  </w:t>
      </w:r>
      <w:r w:rsidR="00AD4C1E">
        <w:rPr>
          <w:i/>
          <w:iCs/>
        </w:rPr>
        <w:t>Character Policy Statement</w:t>
      </w:r>
      <w:r w:rsidRPr="008A7274">
        <w:t xml:space="preserve">, 102 FCC 2d </w:t>
      </w:r>
      <w:r w:rsidR="00AD4C1E">
        <w:t>at</w:t>
      </w:r>
      <w:r w:rsidRPr="008A7274">
        <w:t xml:space="preserve"> 1205, para. 48 &amp; n. 60.  Further, even if these alleged violations had been adjudicated, Phelps has not shown that they involve the type of non-FCC misconduct relevant to the Commission’s evaluation of a licensee’s character qualifications.  </w:t>
      </w:r>
      <w:r w:rsidRPr="008A7274">
        <w:rPr>
          <w:i/>
          <w:iCs/>
        </w:rPr>
        <w:t>Id</w:t>
      </w:r>
      <w:r w:rsidRPr="008A7274">
        <w:t>. at 1195, para. 34.</w:t>
      </w:r>
    </w:p>
  </w:footnote>
  <w:footnote w:id="80">
    <w:p w:rsidR="001D310A" w14:paraId="73DC7D19" w14:textId="6B038D65">
      <w:pPr>
        <w:pStyle w:val="FootnoteText"/>
      </w:pPr>
      <w:r>
        <w:rPr>
          <w:rStyle w:val="FootnoteReference"/>
        </w:rPr>
        <w:footnoteRef/>
      </w:r>
      <w:r>
        <w:t xml:space="preserve"> 47 CFR § 73.1015.  </w:t>
      </w:r>
      <w:r w:rsidR="007408A3">
        <w:t>Section 73.1015</w:t>
      </w:r>
      <w:r w:rsidRPr="008A7274" w:rsidR="007408A3">
        <w:t xml:space="preserve"> applies to MEE</w:t>
      </w:r>
      <w:r w:rsidR="000A1383">
        <w:t xml:space="preserve"> </w:t>
      </w:r>
      <w:r w:rsidRPr="008A7274" w:rsidR="007408A3">
        <w:t>pursuant to 47 CFR §§ 73.801 and 73.1001(c).</w:t>
      </w:r>
    </w:p>
  </w:footnote>
  <w:footnote w:id="81">
    <w:p w:rsidR="00143272" w14:paraId="02B36DB9" w14:textId="0284BDAB">
      <w:pPr>
        <w:pStyle w:val="FootnoteText"/>
      </w:pPr>
      <w:r>
        <w:rPr>
          <w:rStyle w:val="FootnoteReference"/>
        </w:rPr>
        <w:footnoteRef/>
      </w:r>
      <w:r>
        <w:t xml:space="preserve"> </w:t>
      </w:r>
      <w:r w:rsidRPr="009D20FA" w:rsidR="009D20FA">
        <w:rPr>
          <w:i/>
          <w:iCs/>
        </w:rPr>
        <w:t>See, e.g</w:t>
      </w:r>
      <w:r w:rsidR="009D20FA">
        <w:t xml:space="preserve">., </w:t>
      </w:r>
      <w:r w:rsidRPr="009D20FA" w:rsidR="003D50D3">
        <w:rPr>
          <w:i/>
          <w:iCs/>
        </w:rPr>
        <w:t>Kenai Educ. Media</w:t>
      </w:r>
      <w:r w:rsidR="003D50D3">
        <w:t xml:space="preserve">, </w:t>
      </w:r>
      <w:r w:rsidR="00535450">
        <w:t xml:space="preserve">Order, </w:t>
      </w:r>
      <w:r w:rsidR="004B5CB9">
        <w:t>34 FCC Rcd 4865, 4869, para. 3</w:t>
      </w:r>
      <w:r w:rsidR="00535450">
        <w:t xml:space="preserve"> (2019)</w:t>
      </w:r>
      <w:r w:rsidR="002973DC">
        <w:t xml:space="preserve">; </w:t>
      </w:r>
      <w:r w:rsidRPr="00602137" w:rsidR="009F6851">
        <w:rPr>
          <w:i/>
          <w:iCs/>
        </w:rPr>
        <w:t>Fox Television Stations, Inc</w:t>
      </w:r>
      <w:r w:rsidR="009F6851">
        <w:t xml:space="preserve">., </w:t>
      </w:r>
      <w:r w:rsidR="009D20FA">
        <w:t xml:space="preserve">Notice of Apparent Liability for Forfeiture, </w:t>
      </w:r>
      <w:r w:rsidR="002973DC">
        <w:t>25 FCC Rcd 7</w:t>
      </w:r>
      <w:r w:rsidR="00784A1E">
        <w:t>074, 7078, para. 10</w:t>
      </w:r>
      <w:r w:rsidR="009D20FA">
        <w:t xml:space="preserve"> (EB 2010)</w:t>
      </w:r>
      <w:r w:rsidR="00784A1E">
        <w:t>.</w:t>
      </w:r>
    </w:p>
  </w:footnote>
  <w:footnote w:id="82">
    <w:p w:rsidR="00544629" w:rsidRPr="006307CB" w14:paraId="78AB3045" w14:textId="3056186C">
      <w:pPr>
        <w:pStyle w:val="FootnoteText"/>
      </w:pPr>
      <w:r w:rsidRPr="006307CB">
        <w:rPr>
          <w:rStyle w:val="FootnoteReference"/>
        </w:rPr>
        <w:footnoteRef/>
      </w:r>
      <w:r w:rsidRPr="006307CB">
        <w:t xml:space="preserve"> Second LOI at 1.</w:t>
      </w:r>
    </w:p>
  </w:footnote>
  <w:footnote w:id="83">
    <w:p w:rsidR="00544629" w:rsidRPr="008A7274" w14:paraId="2E3A5379" w14:textId="2526D52E">
      <w:pPr>
        <w:pStyle w:val="FootnoteText"/>
      </w:pPr>
      <w:r w:rsidRPr="006307CB">
        <w:rPr>
          <w:rStyle w:val="FootnoteReference"/>
        </w:rPr>
        <w:footnoteRef/>
      </w:r>
      <w:r w:rsidRPr="006307CB">
        <w:t xml:space="preserve"> </w:t>
      </w:r>
      <w:r w:rsidRPr="006307CB">
        <w:rPr>
          <w:i/>
          <w:iCs/>
        </w:rPr>
        <w:t>Id</w:t>
      </w:r>
      <w:r w:rsidRPr="008A7274">
        <w:t>.</w:t>
      </w:r>
    </w:p>
  </w:footnote>
  <w:footnote w:id="84">
    <w:p w:rsidR="00544629" w:rsidRPr="008A7274" w14:paraId="24DA3CD9" w14:textId="3F548566">
      <w:pPr>
        <w:pStyle w:val="FootnoteText"/>
      </w:pPr>
      <w:r w:rsidRPr="006307CB">
        <w:rPr>
          <w:rStyle w:val="FootnoteReference"/>
        </w:rPr>
        <w:footnoteRef/>
      </w:r>
      <w:r w:rsidRPr="006307CB">
        <w:t xml:space="preserve"> </w:t>
      </w:r>
      <w:r w:rsidRPr="006307CB">
        <w:rPr>
          <w:i/>
          <w:iCs/>
        </w:rPr>
        <w:t>Id</w:t>
      </w:r>
      <w:r w:rsidRPr="008A7274">
        <w:t>.</w:t>
      </w:r>
    </w:p>
  </w:footnote>
  <w:footnote w:id="85">
    <w:p w:rsidR="00544629" w:rsidRPr="008A7274" w:rsidP="00AC56DE" w14:paraId="473E9F89" w14:textId="230835E1">
      <w:pPr>
        <w:pStyle w:val="FootnoteText"/>
      </w:pPr>
      <w:r w:rsidRPr="006307CB">
        <w:rPr>
          <w:rStyle w:val="FootnoteReference"/>
        </w:rPr>
        <w:footnoteRef/>
      </w:r>
      <w:r w:rsidRPr="006307CB">
        <w:t xml:space="preserve"> The Second LOI Response also may have</w:t>
      </w:r>
      <w:r w:rsidRPr="008A7274">
        <w:t xml:space="preserve"> omitted relevant materials within MEE’s possession.  Specifically, if the bylaws and meeting minutes submitted with the Third LOI are determined to be genuine, </w:t>
      </w:r>
      <w:r w:rsidRPr="008A7274">
        <w:rPr>
          <w:i/>
          <w:iCs/>
        </w:rPr>
        <w:t>see</w:t>
      </w:r>
      <w:r w:rsidRPr="008A7274">
        <w:t xml:space="preserve"> </w:t>
      </w:r>
      <w:r w:rsidRPr="008A7274">
        <w:rPr>
          <w:i/>
          <w:iCs/>
        </w:rPr>
        <w:t>infra</w:t>
      </w:r>
      <w:r w:rsidRPr="008A7274">
        <w:t xml:space="preserve"> para. </w:t>
      </w:r>
      <w:r w:rsidRPr="00C1516F">
        <w:t>2</w:t>
      </w:r>
      <w:r w:rsidRPr="00C1516F" w:rsidR="00AE1995">
        <w:t>9</w:t>
      </w:r>
      <w:r w:rsidRPr="00C1516F">
        <w:t>,</w:t>
      </w:r>
      <w:r w:rsidRPr="008A7274">
        <w:t xml:space="preserve"> these materials should have accompanied the First LOI Response and/or the Second LOI Response.  </w:t>
      </w:r>
    </w:p>
  </w:footnote>
  <w:footnote w:id="86">
    <w:p w:rsidR="00544629" w:rsidRPr="008A7274" w14:paraId="31249438" w14:textId="309BBD19">
      <w:pPr>
        <w:pStyle w:val="FootnoteText"/>
      </w:pPr>
      <w:r w:rsidRPr="006307CB">
        <w:rPr>
          <w:rStyle w:val="FootnoteReference"/>
        </w:rPr>
        <w:footnoteRef/>
      </w:r>
      <w:r w:rsidRPr="006307CB">
        <w:t xml:space="preserve"> Third LOI at 5, and n.18.</w:t>
      </w:r>
    </w:p>
  </w:footnote>
  <w:footnote w:id="87">
    <w:p w:rsidR="00544629" w:rsidRPr="008A7274" w14:paraId="0E640EBD" w14:textId="6B5CA166">
      <w:pPr>
        <w:pStyle w:val="FootnoteText"/>
      </w:pPr>
      <w:r w:rsidRPr="006307CB">
        <w:rPr>
          <w:rStyle w:val="FootnoteReference"/>
        </w:rPr>
        <w:footnoteRef/>
      </w:r>
      <w:r w:rsidRPr="006307CB">
        <w:t xml:space="preserve"> </w:t>
      </w:r>
      <w:r w:rsidRPr="006307CB">
        <w:rPr>
          <w:i/>
          <w:iCs/>
        </w:rPr>
        <w:t>Id</w:t>
      </w:r>
      <w:r w:rsidRPr="008A7274">
        <w:t>. at 5.</w:t>
      </w:r>
    </w:p>
  </w:footnote>
  <w:footnote w:id="88">
    <w:p w:rsidR="00544629" w:rsidRPr="008A7274" w:rsidP="00552E4A" w14:paraId="71E8093D" w14:textId="7B0CF6C1">
      <w:pPr>
        <w:pStyle w:val="FootnoteText"/>
      </w:pPr>
      <w:r w:rsidRPr="006307CB">
        <w:rPr>
          <w:rStyle w:val="FootnoteReference"/>
        </w:rPr>
        <w:footnoteRef/>
      </w:r>
      <w:r w:rsidRPr="006307CB">
        <w:t xml:space="preserve"> Third LOI Response at </w:t>
      </w:r>
      <w:r w:rsidRPr="008A7274">
        <w:t>2.</w:t>
      </w:r>
    </w:p>
  </w:footnote>
  <w:footnote w:id="89">
    <w:p w:rsidR="00544629" w:rsidRPr="008A7274" w14:paraId="1A782582" w14:textId="4F9239C6">
      <w:pPr>
        <w:pStyle w:val="FootnoteText"/>
      </w:pPr>
      <w:r w:rsidRPr="006307CB">
        <w:rPr>
          <w:rStyle w:val="FootnoteReference"/>
        </w:rPr>
        <w:footnoteRef/>
      </w:r>
      <w:r w:rsidRPr="006307CB">
        <w:t xml:space="preserve"> 47 CFR § 73.1015</w:t>
      </w:r>
      <w:r w:rsidR="004E3261">
        <w:t>.</w:t>
      </w:r>
    </w:p>
  </w:footnote>
  <w:footnote w:id="90">
    <w:p w:rsidR="00B83611" w14:paraId="61DE0898" w14:textId="0D07C133">
      <w:pPr>
        <w:pStyle w:val="FootnoteText"/>
      </w:pPr>
      <w:r>
        <w:rPr>
          <w:rStyle w:val="FootnoteReference"/>
        </w:rPr>
        <w:footnoteRef/>
      </w:r>
      <w:r>
        <w:t xml:space="preserve"> </w:t>
      </w:r>
      <w:r w:rsidRPr="00F630F5" w:rsidR="00554CB7">
        <w:rPr>
          <w:i/>
          <w:iCs/>
        </w:rPr>
        <w:t>See</w:t>
      </w:r>
      <w:r w:rsidR="00554CB7">
        <w:t xml:space="preserve"> Ohio Secretary of State, </w:t>
      </w:r>
      <w:r w:rsidRPr="00D44C8F" w:rsidR="00554CB7">
        <w:rPr>
          <w:i/>
          <w:iCs/>
        </w:rPr>
        <w:t>Business Details and Filings (Entity #:  4330904)</w:t>
      </w:r>
      <w:r w:rsidR="00554CB7">
        <w:t xml:space="preserve">, </w:t>
      </w:r>
      <w:hyperlink r:id="rId1" w:history="1">
        <w:r w:rsidRPr="00F274D6" w:rsidR="00554CB7">
          <w:rPr>
            <w:rStyle w:val="Hyperlink"/>
          </w:rPr>
          <w:t>https://businesssearch.ohiosos.gov/</w:t>
        </w:r>
      </w:hyperlink>
      <w:r w:rsidR="00554CB7">
        <w:t xml:space="preserve"> (last visited Feb. 2, 2022).</w:t>
      </w:r>
    </w:p>
  </w:footnote>
  <w:footnote w:id="91">
    <w:p w:rsidR="00544629" w:rsidRPr="000477BC" w:rsidP="0023025E" w14:paraId="730BDD1A" w14:textId="1C110512">
      <w:pPr>
        <w:pStyle w:val="FootnoteText"/>
        <w:rPr>
          <w:color w:val="0070C0"/>
        </w:rPr>
      </w:pPr>
      <w:r w:rsidRPr="006307CB">
        <w:rPr>
          <w:rStyle w:val="FootnoteReference"/>
        </w:rPr>
        <w:footnoteRef/>
      </w:r>
      <w:r w:rsidRPr="006307CB">
        <w:t xml:space="preserve"> The Assignment Application was filed on</w:t>
      </w:r>
      <w:r w:rsidRPr="008A7274">
        <w:t xml:space="preserve"> May 9, 2019.  Compton—the grandmother of one of the Station’s </w:t>
      </w:r>
      <w:r w:rsidR="00285CF7">
        <w:t xml:space="preserve"> general </w:t>
      </w:r>
      <w:r w:rsidRPr="008A7274">
        <w:t xml:space="preserve">managers—passed away in November 2016.  </w:t>
      </w:r>
      <w:r w:rsidRPr="008A7274">
        <w:rPr>
          <w:i/>
          <w:iCs/>
        </w:rPr>
        <w:t>See supra</w:t>
      </w:r>
      <w:r w:rsidR="00085C6E">
        <w:rPr>
          <w:i/>
          <w:iCs/>
        </w:rPr>
        <w:t>,</w:t>
      </w:r>
      <w:r w:rsidRPr="008A7274">
        <w:t xml:space="preserve"> </w:t>
      </w:r>
      <w:r w:rsidRPr="007012AE" w:rsidR="00085C6E">
        <w:t xml:space="preserve">para. 2 and </w:t>
      </w:r>
      <w:r w:rsidRPr="007012AE">
        <w:t>note 2</w:t>
      </w:r>
      <w:r w:rsidRPr="007012AE" w:rsidR="007E2B72">
        <w:t>4</w:t>
      </w:r>
      <w:r w:rsidRPr="007012AE">
        <w:rPr>
          <w:b/>
          <w:bCs/>
        </w:rPr>
        <w:t>.</w:t>
      </w:r>
    </w:p>
  </w:footnote>
  <w:footnote w:id="92">
    <w:p w:rsidR="00544629" w:rsidRPr="008A7274" w14:paraId="436B4030" w14:textId="35478EF0">
      <w:pPr>
        <w:pStyle w:val="FootnoteText"/>
      </w:pPr>
      <w:r w:rsidRPr="006307CB">
        <w:rPr>
          <w:rStyle w:val="FootnoteReference"/>
        </w:rPr>
        <w:footnoteRef/>
      </w:r>
      <w:r w:rsidRPr="006307CB">
        <w:t xml:space="preserve"> Third LOI Response at 2 (discussing the </w:t>
      </w:r>
      <w:r w:rsidR="004729AB">
        <w:t>5-29-19</w:t>
      </w:r>
      <w:r w:rsidRPr="006307CB">
        <w:t xml:space="preserve"> </w:t>
      </w:r>
      <w:r w:rsidR="004729AB">
        <w:t>M</w:t>
      </w:r>
      <w:r w:rsidRPr="006307CB">
        <w:t>eeting</w:t>
      </w:r>
      <w:r w:rsidRPr="008A7274">
        <w:t xml:space="preserve">, and a conversation with an “FCC representative” which took place after that meeting).  Even if this conversation had taken place before the Assignment Application was filed, MEE does not claim that the “FCC representative” ever advised it to list a dead person as a member of its board.  </w:t>
      </w:r>
    </w:p>
  </w:footnote>
  <w:footnote w:id="93">
    <w:p w:rsidR="00454033" w14:paraId="7D1904F3" w14:textId="4ECC66AF">
      <w:pPr>
        <w:pStyle w:val="FootnoteText"/>
      </w:pPr>
      <w:r>
        <w:rPr>
          <w:rStyle w:val="FootnoteReference"/>
        </w:rPr>
        <w:footnoteRef/>
      </w:r>
      <w:r>
        <w:t xml:space="preserve"> </w:t>
      </w:r>
      <w:r w:rsidR="0081248F">
        <w:t>See 47 CFR § 73.1015 (providing that statements of fact made in response to Commission inquiries or correspondence are subject to section 1.17 of the Rules).</w:t>
      </w:r>
    </w:p>
  </w:footnote>
  <w:footnote w:id="94">
    <w:p w:rsidR="00544629" w:rsidRPr="006307CB" w14:paraId="44AB1F39" w14:textId="4BF4CB9C">
      <w:pPr>
        <w:pStyle w:val="FootnoteText"/>
      </w:pPr>
      <w:r w:rsidRPr="006307CB">
        <w:rPr>
          <w:rStyle w:val="FootnoteReference"/>
        </w:rPr>
        <w:footnoteRef/>
      </w:r>
      <w:r w:rsidRPr="006307CB">
        <w:t xml:space="preserve"> First LOI Response at para. 8.</w:t>
      </w:r>
    </w:p>
  </w:footnote>
  <w:footnote w:id="95">
    <w:p w:rsidR="00544629" w:rsidRPr="008A7274" w14:paraId="28E114CF" w14:textId="634C8512">
      <w:pPr>
        <w:pStyle w:val="FootnoteText"/>
      </w:pPr>
      <w:r w:rsidRPr="006307CB">
        <w:rPr>
          <w:rStyle w:val="FootnoteReference"/>
        </w:rPr>
        <w:footnoteRef/>
      </w:r>
      <w:r w:rsidRPr="006307CB">
        <w:t xml:space="preserve"> Third LOI Response at 2 (stating “Compton . . . had passed away prior to” the </w:t>
      </w:r>
      <w:r w:rsidRPr="008A7274">
        <w:t>installment of new board members on May 29, 2019).</w:t>
      </w:r>
    </w:p>
  </w:footnote>
  <w:footnote w:id="96">
    <w:p w:rsidR="00544629" w:rsidRPr="008A7274" w14:paraId="1341A36A" w14:textId="72C8E774">
      <w:pPr>
        <w:pStyle w:val="FootnoteText"/>
      </w:pPr>
      <w:r w:rsidRPr="006307CB">
        <w:rPr>
          <w:rStyle w:val="FootnoteReference"/>
        </w:rPr>
        <w:footnoteRef/>
      </w:r>
      <w:r w:rsidRPr="006307CB">
        <w:t xml:space="preserve"> Phelps alleges that MEE created the materials submitted with the Third LOI Response only after receiving the Third LOI</w:t>
      </w:r>
      <w:r w:rsidRPr="008A7274">
        <w:t xml:space="preserve">, and did so </w:t>
      </w:r>
      <w:r w:rsidR="004B388A">
        <w:t xml:space="preserve">in </w:t>
      </w:r>
      <w:r w:rsidRPr="008A7274">
        <w:t>order to back up the claims it makes in the Third LOI Response regarding the initial MEE board and the replacement of those initial board members on May 29, 2019.  Third LOI Reply at 2.</w:t>
      </w:r>
    </w:p>
  </w:footnote>
  <w:footnote w:id="97">
    <w:p w:rsidR="00544629" w:rsidRPr="008A7274" w:rsidP="0073066B" w14:paraId="5B1D37F1" w14:textId="43865368">
      <w:pPr>
        <w:pStyle w:val="ParaNum"/>
        <w:numPr>
          <w:ilvl w:val="0"/>
          <w:numId w:val="0"/>
        </w:numPr>
        <w:rPr>
          <w:sz w:val="20"/>
        </w:rPr>
      </w:pPr>
      <w:r w:rsidRPr="006307CB">
        <w:rPr>
          <w:rStyle w:val="FootnoteReference"/>
        </w:rPr>
        <w:footnoteRef/>
      </w:r>
      <w:r w:rsidRPr="006307CB">
        <w:t xml:space="preserve"> </w:t>
      </w:r>
      <w:r w:rsidRPr="006307CB">
        <w:rPr>
          <w:sz w:val="20"/>
        </w:rPr>
        <w:t>We note that, if it is determined that</w:t>
      </w:r>
      <w:r w:rsidRPr="008A7274">
        <w:rPr>
          <w:sz w:val="20"/>
        </w:rPr>
        <w:t xml:space="preserve"> the materials were created on the dates indicated by MEE, then it appears MEE falsely stated—in the Second LOI Response—that it had provided all materials in its possession</w:t>
      </w:r>
      <w:r w:rsidR="00027185">
        <w:rPr>
          <w:sz w:val="20"/>
        </w:rPr>
        <w:t xml:space="preserve"> in violation of either section 1.17(a)(1) or </w:t>
      </w:r>
      <w:r w:rsidR="008F2FEF">
        <w:rPr>
          <w:sz w:val="20"/>
        </w:rPr>
        <w:t>1.17(a)(2)</w:t>
      </w:r>
      <w:r w:rsidRPr="008A7274">
        <w:rPr>
          <w:sz w:val="20"/>
        </w:rPr>
        <w:t xml:space="preserve">.  </w:t>
      </w:r>
    </w:p>
  </w:footnote>
  <w:footnote w:id="98">
    <w:p w:rsidR="00544629" w:rsidRPr="006307CB" w14:paraId="17C977EF" w14:textId="2C1CEB46">
      <w:pPr>
        <w:pStyle w:val="FootnoteText"/>
      </w:pPr>
      <w:r w:rsidRPr="006307CB">
        <w:rPr>
          <w:rStyle w:val="FootnoteReference"/>
        </w:rPr>
        <w:footnoteRef/>
      </w:r>
      <w:r w:rsidRPr="006307CB">
        <w:t xml:space="preserve"> Third LOI Response at 3.</w:t>
      </w:r>
    </w:p>
  </w:footnote>
  <w:footnote w:id="99">
    <w:p w:rsidR="00544629" w:rsidRPr="008A7274" w14:paraId="3CC9CE52" w14:textId="0037E975">
      <w:pPr>
        <w:pStyle w:val="FootnoteText"/>
      </w:pPr>
      <w:r w:rsidRPr="006307CB">
        <w:rPr>
          <w:rStyle w:val="FootnoteReference"/>
        </w:rPr>
        <w:footnoteRef/>
      </w:r>
      <w:r w:rsidRPr="006307CB">
        <w:t xml:space="preserve"> First LOI Reply at </w:t>
      </w:r>
      <w:r w:rsidRPr="008A7274">
        <w:t>paras. 2-4; Second LOI Reply at 8; Third LOI Reply at 6.</w:t>
      </w:r>
    </w:p>
  </w:footnote>
  <w:footnote w:id="100">
    <w:p w:rsidR="00544629" w:rsidRPr="006307CB" w14:paraId="1AFB0E2B" w14:textId="51FE72D1">
      <w:pPr>
        <w:pStyle w:val="FootnoteText"/>
      </w:pPr>
      <w:r w:rsidRPr="006307CB">
        <w:rPr>
          <w:rStyle w:val="FootnoteReference"/>
        </w:rPr>
        <w:footnoteRef/>
      </w:r>
      <w:r w:rsidRPr="006307CB">
        <w:t xml:space="preserve"> First LOI Response at para. 12.</w:t>
      </w:r>
    </w:p>
  </w:footnote>
  <w:footnote w:id="101">
    <w:p w:rsidR="00544629" w:rsidRPr="006307CB" w14:paraId="1D1A9197" w14:textId="332D591E">
      <w:pPr>
        <w:pStyle w:val="FootnoteText"/>
      </w:pPr>
      <w:r w:rsidRPr="006307CB">
        <w:rPr>
          <w:rStyle w:val="FootnoteReference"/>
        </w:rPr>
        <w:footnoteRef/>
      </w:r>
      <w:r w:rsidRPr="006307CB">
        <w:t xml:space="preserve"> Second LOI Reply at 8.</w:t>
      </w:r>
    </w:p>
  </w:footnote>
  <w:footnote w:id="102">
    <w:p w:rsidR="00544629" w:rsidRPr="008A7274" w14:paraId="16C04480" w14:textId="790C8EEB">
      <w:pPr>
        <w:pStyle w:val="FootnoteText"/>
      </w:pPr>
      <w:r w:rsidRPr="006307CB">
        <w:rPr>
          <w:rStyle w:val="FootnoteReference"/>
        </w:rPr>
        <w:footnoteRef/>
      </w:r>
      <w:r w:rsidRPr="006307CB">
        <w:t xml:space="preserve"> WZMO 104.7 Marion Community Radio, Program Schedule,</w:t>
      </w:r>
      <w:r>
        <w:t xml:space="preserve"> </w:t>
      </w:r>
      <w:hyperlink r:id="rId5" w:history="1">
        <w:r w:rsidRPr="000A5EE2">
          <w:rPr>
            <w:rStyle w:val="Hyperlink"/>
          </w:rPr>
          <w:t>http://wzmofm.com/program-schedule/</w:t>
        </w:r>
      </w:hyperlink>
      <w:r>
        <w:t xml:space="preserve"> </w:t>
      </w:r>
      <w:r w:rsidRPr="008A7274">
        <w:t xml:space="preserve">(last visited </w:t>
      </w:r>
      <w:r w:rsidR="0035258F">
        <w:t>Feb.</w:t>
      </w:r>
      <w:r w:rsidRPr="008A7274" w:rsidR="0035258F">
        <w:t xml:space="preserve"> </w:t>
      </w:r>
      <w:r w:rsidRPr="008A7274">
        <w:t>2</w:t>
      </w:r>
      <w:r w:rsidR="0035258F">
        <w:t>2</w:t>
      </w:r>
      <w:r w:rsidRPr="008A7274">
        <w:t>, 202</w:t>
      </w:r>
      <w:r w:rsidR="0035258F">
        <w:t>2</w:t>
      </w:r>
      <w:r w:rsidRPr="008A7274">
        <w:t>).</w:t>
      </w:r>
    </w:p>
  </w:footnote>
  <w:footnote w:id="103">
    <w:p w:rsidR="005A1E4E" w14:paraId="4497C928" w14:textId="367E963D">
      <w:pPr>
        <w:pStyle w:val="FootnoteText"/>
      </w:pPr>
      <w:r>
        <w:rPr>
          <w:rStyle w:val="FootnoteReference"/>
        </w:rPr>
        <w:footnoteRef/>
      </w:r>
      <w:r>
        <w:t xml:space="preserve"> We note that this information was not “material factual information” </w:t>
      </w:r>
      <w:r w:rsidR="00EE3D9C">
        <w:t>and thus MEE’s provision of this incorrect informat</w:t>
      </w:r>
      <w:r w:rsidR="001D4095">
        <w:t>ion would not fall within the scope of section 1.17 of the Rul</w:t>
      </w:r>
      <w:r w:rsidR="00213272">
        <w:t xml:space="preserve">es, which covers only the provision of incorrect </w:t>
      </w:r>
      <w:r w:rsidRPr="00213272" w:rsidR="00213272">
        <w:rPr>
          <w:i/>
          <w:iCs/>
        </w:rPr>
        <w:t>material</w:t>
      </w:r>
      <w:r w:rsidR="00213272">
        <w:t xml:space="preserve"> factual information.  However, as noted </w:t>
      </w:r>
      <w:r w:rsidRPr="00DB05C1" w:rsidR="00213272">
        <w:rPr>
          <w:i/>
          <w:iCs/>
        </w:rPr>
        <w:t>infra</w:t>
      </w:r>
      <w:r w:rsidR="00213272">
        <w:t xml:space="preserve"> </w:t>
      </w:r>
      <w:r w:rsidRPr="006E3DC1" w:rsidR="00213272">
        <w:t>para. 3</w:t>
      </w:r>
      <w:r w:rsidRPr="006E3DC1" w:rsidR="003030BC">
        <w:t>2</w:t>
      </w:r>
      <w:r w:rsidRPr="006E3DC1" w:rsidR="00A413DE">
        <w:t>, it is</w:t>
      </w:r>
      <w:r w:rsidR="00A413DE">
        <w:t xml:space="preserve"> probative of whether MEE is </w:t>
      </w:r>
      <w:r w:rsidRPr="008A7274" w:rsidR="00A413DE">
        <w:rPr>
          <w:szCs w:val="22"/>
          <w:shd w:val="clear" w:color="auto" w:fill="FFFFFF"/>
        </w:rPr>
        <w:t>capable of honesty in future dealings with the Commission</w:t>
      </w:r>
      <w:r w:rsidR="00A413DE">
        <w:rPr>
          <w:szCs w:val="22"/>
          <w:shd w:val="clear" w:color="auto" w:fill="FFFFFF"/>
        </w:rPr>
        <w:t>.</w:t>
      </w:r>
    </w:p>
  </w:footnote>
  <w:footnote w:id="104">
    <w:p w:rsidR="00FC0BF2" w14:paraId="5272C776" w14:textId="66F731F1">
      <w:pPr>
        <w:pStyle w:val="FootnoteText"/>
      </w:pPr>
      <w:r>
        <w:rPr>
          <w:rStyle w:val="FootnoteReference"/>
        </w:rPr>
        <w:footnoteRef/>
      </w:r>
      <w:r>
        <w:t xml:space="preserve"> </w:t>
      </w:r>
      <w:r w:rsidRPr="00A54DDD" w:rsidR="00A54DDD">
        <w:t>Informal Objection</w:t>
      </w:r>
      <w:r>
        <w:t xml:space="preserve"> at 4.</w:t>
      </w:r>
    </w:p>
  </w:footnote>
  <w:footnote w:id="105">
    <w:p w:rsidR="00A54DDD" w14:paraId="65E1CA8E" w14:textId="034C4DBA">
      <w:pPr>
        <w:pStyle w:val="FootnoteText"/>
      </w:pPr>
      <w:r>
        <w:rPr>
          <w:rStyle w:val="FootnoteReference"/>
        </w:rPr>
        <w:footnoteRef/>
      </w:r>
      <w:r>
        <w:t xml:space="preserve"> Transfer Application, Section I (General Information), Item 4, and Exh. 5. </w:t>
      </w:r>
    </w:p>
  </w:footnote>
  <w:footnote w:id="106">
    <w:p w:rsidR="00A54DDD" w14:paraId="5A79DB66" w14:textId="3B336518">
      <w:pPr>
        <w:pStyle w:val="FootnoteText"/>
      </w:pPr>
      <w:r>
        <w:rPr>
          <w:rStyle w:val="FootnoteReference"/>
        </w:rPr>
        <w:footnoteRef/>
      </w:r>
      <w:r>
        <w:t xml:space="preserve"> Informal Objection at 4 (arguing that Worcester “was ordered by the State of Ohio to leave the organization”</w:t>
      </w:r>
      <w:r w:rsidR="00417704">
        <w:t xml:space="preserve"> and citing Assurance</w:t>
      </w:r>
      <w:r>
        <w:t xml:space="preserve">).  </w:t>
      </w:r>
    </w:p>
  </w:footnote>
  <w:footnote w:id="107">
    <w:p w:rsidR="00544629" w:rsidRPr="008A7274" w:rsidP="000F450B" w14:paraId="19F708AA" w14:textId="77777777">
      <w:pPr>
        <w:pStyle w:val="FootnoteText"/>
      </w:pPr>
      <w:r w:rsidRPr="008A7274">
        <w:rPr>
          <w:rStyle w:val="FootnoteReference"/>
        </w:rPr>
        <w:footnoteRef/>
      </w:r>
      <w:r w:rsidRPr="008A7274">
        <w:t xml:space="preserve"> 47 CFR § 73.865(d).</w:t>
      </w:r>
    </w:p>
  </w:footnote>
  <w:footnote w:id="108">
    <w:p w:rsidR="00544629" w:rsidRPr="008A7274" w14:paraId="06228888" w14:textId="49C6A06D">
      <w:pPr>
        <w:pStyle w:val="FootnoteText"/>
      </w:pPr>
      <w:r w:rsidRPr="008A7274">
        <w:rPr>
          <w:rStyle w:val="FootnoteReference"/>
        </w:rPr>
        <w:footnoteRef/>
      </w:r>
      <w:r w:rsidRPr="008A7274">
        <w:t xml:space="preserve"> Third LOI Response at 2 (“When the transfer was being filed with the FCC[,] [Compton’s death] was pointed out to an FCC representative.  The FCC representative explained that a certain percentage of board members had to change for this to be an issue as it would not effect [sic] the voting quorum.”).</w:t>
      </w:r>
    </w:p>
  </w:footnote>
  <w:footnote w:id="109">
    <w:p w:rsidR="00544629" w:rsidRPr="008A7274" w14:paraId="76A5B4F8" w14:textId="695C2C3A">
      <w:pPr>
        <w:pStyle w:val="FootnoteText"/>
      </w:pPr>
      <w:r w:rsidRPr="008A7274">
        <w:rPr>
          <w:rStyle w:val="FootnoteReference"/>
        </w:rPr>
        <w:footnoteRef/>
      </w:r>
      <w:r w:rsidRPr="008A7274">
        <w:t xml:space="preserve"> File No. BTCL-20190528AAN.</w:t>
      </w:r>
    </w:p>
  </w:footnote>
  <w:footnote w:id="110">
    <w:p w:rsidR="00544629" w:rsidRPr="008A7274" w14:paraId="2842AF56" w14:textId="5F464DA7">
      <w:pPr>
        <w:pStyle w:val="FootnoteText"/>
      </w:pPr>
      <w:r w:rsidRPr="008A7274">
        <w:rPr>
          <w:rStyle w:val="FootnoteReference"/>
        </w:rPr>
        <w:footnoteRef/>
      </w:r>
      <w:r w:rsidRPr="008A7274">
        <w:t xml:space="preserve"> MEE indicates that a </w:t>
      </w:r>
      <w:r w:rsidRPr="00DB05C1">
        <w:rPr>
          <w:i/>
          <w:iCs/>
        </w:rPr>
        <w:t>pro forma</w:t>
      </w:r>
      <w:r w:rsidRPr="008A7274">
        <w:t xml:space="preserve"> transfer of control application “was not filed, because we had hoped that some of the original board members might have been able to return” rather than because MEE was unaware of the need to file such an application.  Third LOI Response at 3.  </w:t>
      </w:r>
    </w:p>
  </w:footnote>
  <w:footnote w:id="111">
    <w:p w:rsidR="00544629" w:rsidRPr="008A7274" w14:paraId="56C22767" w14:textId="18E2B78B">
      <w:pPr>
        <w:pStyle w:val="FootnoteText"/>
      </w:pPr>
      <w:r w:rsidRPr="008A7274">
        <w:rPr>
          <w:rStyle w:val="FootnoteReference"/>
        </w:rPr>
        <w:footnoteRef/>
      </w:r>
      <w:r w:rsidRPr="008A7274">
        <w:t xml:space="preserve"> 47 U.S.C. § 301.</w:t>
      </w:r>
    </w:p>
  </w:footnote>
  <w:footnote w:id="112">
    <w:p w:rsidR="00544629" w:rsidRPr="008A7274" w:rsidP="002706F1" w14:paraId="597A0F32" w14:textId="5CD920AE">
      <w:pPr>
        <w:pStyle w:val="FootnoteText"/>
      </w:pPr>
      <w:r w:rsidRPr="008A7274">
        <w:rPr>
          <w:rStyle w:val="FootnoteReference"/>
        </w:rPr>
        <w:footnoteRef/>
      </w:r>
      <w:r w:rsidRPr="008A7274">
        <w:t xml:space="preserve"> First LOI Reply at paras. 2-3, 12.</w:t>
      </w:r>
    </w:p>
  </w:footnote>
  <w:footnote w:id="113">
    <w:p w:rsidR="00544629" w:rsidRPr="008A7274" w:rsidP="002706F1" w14:paraId="3AA5D665" w14:textId="77777777">
      <w:pPr>
        <w:pStyle w:val="FootnoteText"/>
      </w:pPr>
      <w:r w:rsidRPr="008A7274">
        <w:rPr>
          <w:rStyle w:val="FootnoteReference"/>
        </w:rPr>
        <w:footnoteRef/>
      </w:r>
      <w:r w:rsidRPr="008A7274">
        <w:t xml:space="preserve"> 47 U.S.C. § 307(c)(3).</w:t>
      </w:r>
    </w:p>
  </w:footnote>
  <w:footnote w:id="114">
    <w:p w:rsidR="00544629" w:rsidRPr="008A7274" w:rsidP="00E43997" w14:paraId="17F2FE38" w14:textId="7E3F2ED2">
      <w:pPr>
        <w:pStyle w:val="FootnoteText"/>
        <w:widowControl w:val="0"/>
      </w:pPr>
      <w:r w:rsidRPr="008A7274">
        <w:rPr>
          <w:rStyle w:val="FootnoteReference"/>
        </w:rPr>
        <w:footnoteRef/>
      </w:r>
      <w:r w:rsidRPr="008A7274">
        <w:t xml:space="preserve"> </w:t>
      </w:r>
      <w:r w:rsidRPr="008A7274">
        <w:rPr>
          <w:i/>
        </w:rPr>
        <w:t>Id</w:t>
      </w:r>
      <w:r w:rsidRPr="008A7274">
        <w:t xml:space="preserve">. § 1.1208 (“Proceedings in which </w:t>
      </w:r>
      <w:r w:rsidRPr="008A7274">
        <w:rPr>
          <w:i/>
          <w:iCs/>
        </w:rPr>
        <w:t>ex parte</w:t>
      </w:r>
      <w:r w:rsidRPr="008A7274">
        <w:t xml:space="preserve"> presentations are prohibited, referred to as ‘restricted’ proceedings, include . . . all proceedings that have been designated for hearing . . .”).  </w:t>
      </w:r>
      <w:r w:rsidRPr="008A7274">
        <w:rPr>
          <w:i/>
        </w:rPr>
        <w:t>See also</w:t>
      </w:r>
      <w:r w:rsidRPr="008A7274">
        <w:t xml:space="preserve"> </w:t>
      </w:r>
      <w:r w:rsidRPr="008A7274">
        <w:rPr>
          <w:i/>
          <w:iCs/>
        </w:rPr>
        <w:t>id</w:t>
      </w:r>
      <w:r w:rsidRPr="008A7274">
        <w:t xml:space="preserve">. §§ 1.1202(b) (describing what constitutes an </w:t>
      </w:r>
      <w:r w:rsidRPr="008A7274">
        <w:rPr>
          <w:i/>
        </w:rPr>
        <w:t>ex parte</w:t>
      </w:r>
      <w:r w:rsidRPr="008A7274">
        <w:t xml:space="preserve"> presentation), 1.1204 (exceptions).</w:t>
      </w:r>
    </w:p>
  </w:footnote>
  <w:footnote w:id="115">
    <w:p w:rsidR="00544629" w:rsidRPr="008A7274" w:rsidP="006F6C61" w14:paraId="4F9BB79E" w14:textId="5583F0B4">
      <w:pPr>
        <w:pStyle w:val="FootnoteText"/>
        <w:widowControl w:val="0"/>
      </w:pPr>
      <w:r w:rsidRPr="008A7274">
        <w:rPr>
          <w:rStyle w:val="FootnoteReference"/>
        </w:rPr>
        <w:footnoteRef/>
      </w:r>
      <w:r w:rsidRPr="008A7274">
        <w:t xml:space="preserve"> </w:t>
      </w:r>
      <w:r w:rsidRPr="008A7274">
        <w:rPr>
          <w:i/>
          <w:iCs/>
        </w:rPr>
        <w:t>Id</w:t>
      </w:r>
      <w:r w:rsidRPr="008A7274">
        <w:t>. § 1.51.</w:t>
      </w:r>
    </w:p>
  </w:footnote>
  <w:footnote w:id="116">
    <w:p w:rsidR="00544629" w:rsidRPr="008A7274" w:rsidP="00157C88" w14:paraId="516405F2" w14:textId="5B9A8C58">
      <w:pPr>
        <w:pStyle w:val="FootnoteText"/>
        <w:widowControl w:val="0"/>
      </w:pPr>
      <w:r w:rsidRPr="008A7274">
        <w:rPr>
          <w:rStyle w:val="FootnoteReference"/>
        </w:rPr>
        <w:footnoteRef/>
      </w:r>
      <w:r w:rsidRPr="008A7274">
        <w:t xml:space="preserve"> </w:t>
      </w:r>
      <w:r w:rsidRPr="008A7274">
        <w:rPr>
          <w:i/>
          <w:iCs/>
        </w:rPr>
        <w:t>Id.</w:t>
      </w:r>
      <w:r w:rsidRPr="008A7274">
        <w:t xml:space="preserve"> § 1.209.</w:t>
      </w:r>
    </w:p>
  </w:footnote>
  <w:footnote w:id="117">
    <w:p w:rsidR="00544629" w:rsidRPr="008A7274" w:rsidP="004A6BE5" w14:paraId="4CD26AE7" w14:textId="21657A54">
      <w:pPr>
        <w:pStyle w:val="FootnoteText"/>
      </w:pPr>
      <w:r w:rsidRPr="008A7274">
        <w:rPr>
          <w:rStyle w:val="FootnoteReference"/>
        </w:rPr>
        <w:footnoteRef/>
      </w:r>
      <w:r w:rsidRPr="008A7274">
        <w:t xml:space="preserve"> 47 U.S.C. § 309(e), (k).</w:t>
      </w:r>
    </w:p>
  </w:footnote>
  <w:footnote w:id="118">
    <w:p w:rsidR="00544629" w:rsidRPr="008A7274" w:rsidP="004A6BE5" w14:paraId="3F5BF290" w14:textId="7C76CB04">
      <w:pPr>
        <w:pStyle w:val="FootnoteText"/>
      </w:pPr>
      <w:r w:rsidRPr="008A7274">
        <w:rPr>
          <w:rStyle w:val="FootnoteReference"/>
        </w:rPr>
        <w:footnoteRef/>
      </w:r>
      <w:r w:rsidRPr="008A7274">
        <w:t xml:space="preserve"> 47 CFR § 1.221(a).</w:t>
      </w:r>
    </w:p>
  </w:footnote>
  <w:footnote w:id="119">
    <w:p w:rsidR="00544629" w:rsidRPr="008A7274" w:rsidP="00DC1155" w14:paraId="1451B2D0" w14:textId="51A78A23">
      <w:pPr>
        <w:pStyle w:val="FootnoteText"/>
      </w:pPr>
      <w:r w:rsidRPr="008A7274">
        <w:rPr>
          <w:rStyle w:val="FootnoteReference"/>
        </w:rPr>
        <w:footnoteRef/>
      </w:r>
      <w:r w:rsidRPr="008A7274">
        <w:t xml:space="preserve"> 47 U.S.C. § 503(b).</w:t>
      </w:r>
    </w:p>
  </w:footnote>
  <w:footnote w:id="120">
    <w:p w:rsidR="00544629" w:rsidRPr="008A7274" w14:paraId="4F9ADDD7" w14:textId="33CB56F0">
      <w:pPr>
        <w:pStyle w:val="FootnoteText"/>
      </w:pPr>
      <w:r w:rsidRPr="008A7274">
        <w:rPr>
          <w:rStyle w:val="FootnoteReference"/>
        </w:rPr>
        <w:footnoteRef/>
      </w:r>
      <w:r w:rsidRPr="008A7274">
        <w:t xml:space="preserve"> </w:t>
      </w:r>
      <w:r w:rsidRPr="008A7274">
        <w:rPr>
          <w:i/>
          <w:iCs/>
        </w:rPr>
        <w:t>Id</w:t>
      </w:r>
      <w:r w:rsidRPr="008A7274">
        <w:t>. § 503(b)(6)</w:t>
      </w:r>
    </w:p>
  </w:footnote>
  <w:footnote w:id="121">
    <w:p w:rsidR="00544629" w:rsidRPr="008A7274" w14:paraId="2C2865E9" w14:textId="6723B902">
      <w:pPr>
        <w:pStyle w:val="FootnoteText"/>
      </w:pPr>
      <w:r w:rsidRPr="008A7274">
        <w:rPr>
          <w:rStyle w:val="FootnoteReference"/>
        </w:rPr>
        <w:footnoteRef/>
      </w:r>
      <w:r w:rsidRPr="008A7274">
        <w:t xml:space="preserve"> </w:t>
      </w:r>
      <w:r w:rsidRPr="008A7274">
        <w:rPr>
          <w:i/>
          <w:iCs/>
        </w:rPr>
        <w:t>Id</w:t>
      </w:r>
      <w:r w:rsidRPr="008A7274">
        <w:t>. § 503(b)(4).</w:t>
      </w:r>
    </w:p>
  </w:footnote>
  <w:footnote w:id="122">
    <w:p w:rsidR="00544629" w:rsidRPr="008A7274" w:rsidP="004A6BE5" w14:paraId="45756590" w14:textId="75341C00">
      <w:pPr>
        <w:pStyle w:val="FootnoteText"/>
      </w:pPr>
      <w:r w:rsidRPr="008A7274">
        <w:rPr>
          <w:rStyle w:val="FootnoteReference"/>
        </w:rPr>
        <w:footnoteRef/>
      </w:r>
      <w:r w:rsidRPr="008A7274">
        <w:t xml:space="preserve"> </w:t>
      </w:r>
      <w:r w:rsidRPr="008A7274">
        <w:rPr>
          <w:i/>
          <w:iCs/>
        </w:rPr>
        <w:t>Id.</w:t>
      </w:r>
      <w:r w:rsidRPr="008A7274">
        <w:t xml:space="preserve"> § 312(c); 47 CFR § 1.221(c).</w:t>
      </w:r>
    </w:p>
  </w:footnote>
  <w:footnote w:id="123">
    <w:p w:rsidR="00544629" w:rsidRPr="008A7274" w:rsidP="004A6BE5" w14:paraId="43C62AB1" w14:textId="6B233245">
      <w:pPr>
        <w:pStyle w:val="FootnoteText"/>
      </w:pPr>
      <w:r w:rsidRPr="008A7274">
        <w:rPr>
          <w:rStyle w:val="FootnoteReference"/>
        </w:rPr>
        <w:footnoteRef/>
      </w:r>
      <w:r w:rsidRPr="008A7274">
        <w:t xml:space="preserve"> 47 CFR § 1.221(c).</w:t>
      </w:r>
    </w:p>
  </w:footnote>
  <w:footnote w:id="124">
    <w:p w:rsidR="00544629" w:rsidRPr="008A7274" w14:paraId="23961F44" w14:textId="070D57D2">
      <w:pPr>
        <w:pStyle w:val="FootnoteText"/>
      </w:pPr>
      <w:r w:rsidRPr="008A7274">
        <w:rPr>
          <w:rStyle w:val="FootnoteReference"/>
        </w:rPr>
        <w:footnoteRef/>
      </w:r>
      <w:r w:rsidRPr="008A7274">
        <w:t xml:space="preserve"> </w:t>
      </w:r>
      <w:r w:rsidRPr="002F3CEE">
        <w:rPr>
          <w:i/>
          <w:iCs/>
        </w:rPr>
        <w:t>Id</w:t>
      </w:r>
      <w:r w:rsidRPr="008A7274">
        <w:t>. § 1.221(d).</w:t>
      </w:r>
    </w:p>
  </w:footnote>
  <w:footnote w:id="125">
    <w:p w:rsidR="00544629" w:rsidRPr="008A7274" w:rsidP="004A6BE5" w14:paraId="28D780A9" w14:textId="77777777">
      <w:pPr>
        <w:pStyle w:val="FootnoteText"/>
      </w:pPr>
      <w:r w:rsidRPr="008A7274">
        <w:rPr>
          <w:rStyle w:val="FootnoteReference"/>
        </w:rPr>
        <w:footnoteRef/>
      </w:r>
      <w:r w:rsidRPr="008A7274">
        <w:t xml:space="preserve"> 47 U.S.C. § 309(e); 47 CFR § 1.254.</w:t>
      </w:r>
    </w:p>
  </w:footnote>
  <w:footnote w:id="126">
    <w:p w:rsidR="00544629" w:rsidRPr="008A7274" w:rsidP="004A6BE5" w14:paraId="6E6F8E96" w14:textId="77777777">
      <w:pPr>
        <w:pStyle w:val="FootnoteText"/>
      </w:pPr>
      <w:r w:rsidRPr="008A7274">
        <w:rPr>
          <w:rStyle w:val="FootnoteReference"/>
        </w:rPr>
        <w:footnoteRef/>
      </w:r>
      <w:r w:rsidRPr="008A7274">
        <w:t xml:space="preserve"> 47 U.S.C. § 311(a)(2); 47 CFR § 73.3594.</w:t>
      </w:r>
    </w:p>
  </w:footnote>
  <w:footnote w:id="127">
    <w:p w:rsidR="00544629" w:rsidRPr="008A7274" w:rsidP="004A6BE5" w14:paraId="48BDFD5D" w14:textId="77777777">
      <w:pPr>
        <w:pStyle w:val="FootnoteText"/>
      </w:pPr>
      <w:r w:rsidRPr="008A7274">
        <w:rPr>
          <w:rStyle w:val="FootnoteReference"/>
        </w:rPr>
        <w:footnoteRef/>
      </w:r>
      <w:r w:rsidRPr="008A7274">
        <w:t xml:space="preserve"> 47 CFR § 73.3594(b).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629" w:rsidP="00810B6F" w14:paraId="1681876A" w14:textId="3015B3E4">
    <w:pPr>
      <w:pStyle w:val="Header"/>
      <w:rPr>
        <w:b w:val="0"/>
      </w:rPr>
    </w:pPr>
    <w:r>
      <w:tab/>
    </w:r>
    <w:r>
      <w:t>Federal Communications Commission</w:t>
    </w:r>
    <w:r>
      <w:tab/>
      <w:t>DA 2</w:t>
    </w:r>
    <w:r w:rsidR="0083279A">
      <w:t>2</w:t>
    </w:r>
    <w:r>
      <w:t>-</w:t>
    </w:r>
    <w:r w:rsidR="002D52D3">
      <w:t>187</w:t>
    </w:r>
  </w:p>
  <w:p w:rsidR="00544629" w14:paraId="02349C91" w14:textId="3E3BDC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44629" w14:paraId="37671C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629" w:rsidP="00810B6F" w14:paraId="1B74DF18" w14:textId="29D08BD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83279A">
      <w:rPr>
        <w:spacing w:val="-2"/>
      </w:rPr>
      <w:t>2</w:t>
    </w:r>
    <w:r>
      <w:rPr>
        <w:spacing w:val="-2"/>
      </w:rPr>
      <w:t>-</w:t>
    </w:r>
    <w:r w:rsidR="002D52D3">
      <w:rPr>
        <w:spacing w:val="-2"/>
      </w:rPr>
      <w:t>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0207"/>
    <w:rsid w:val="0000042A"/>
    <w:rsid w:val="000005E5"/>
    <w:rsid w:val="00000CA3"/>
    <w:rsid w:val="000013CA"/>
    <w:rsid w:val="00002404"/>
    <w:rsid w:val="00003E4A"/>
    <w:rsid w:val="0000404E"/>
    <w:rsid w:val="00004330"/>
    <w:rsid w:val="00004F91"/>
    <w:rsid w:val="000056A1"/>
    <w:rsid w:val="00006BF2"/>
    <w:rsid w:val="00006DA0"/>
    <w:rsid w:val="00007185"/>
    <w:rsid w:val="000075C4"/>
    <w:rsid w:val="000078A4"/>
    <w:rsid w:val="00007922"/>
    <w:rsid w:val="00007E13"/>
    <w:rsid w:val="0001010E"/>
    <w:rsid w:val="00011B50"/>
    <w:rsid w:val="00011BCA"/>
    <w:rsid w:val="00012221"/>
    <w:rsid w:val="00012C4F"/>
    <w:rsid w:val="00013790"/>
    <w:rsid w:val="00013880"/>
    <w:rsid w:val="0001527A"/>
    <w:rsid w:val="0001527D"/>
    <w:rsid w:val="000154DB"/>
    <w:rsid w:val="00015D3E"/>
    <w:rsid w:val="0001724E"/>
    <w:rsid w:val="0001730A"/>
    <w:rsid w:val="000178DC"/>
    <w:rsid w:val="00017A15"/>
    <w:rsid w:val="00017A48"/>
    <w:rsid w:val="00020567"/>
    <w:rsid w:val="00021EC0"/>
    <w:rsid w:val="00021FDB"/>
    <w:rsid w:val="0002214F"/>
    <w:rsid w:val="00022708"/>
    <w:rsid w:val="00023F60"/>
    <w:rsid w:val="000240FB"/>
    <w:rsid w:val="00024275"/>
    <w:rsid w:val="000254D2"/>
    <w:rsid w:val="00026A77"/>
    <w:rsid w:val="00026AFE"/>
    <w:rsid w:val="000270FD"/>
    <w:rsid w:val="00027185"/>
    <w:rsid w:val="000302E9"/>
    <w:rsid w:val="00031A17"/>
    <w:rsid w:val="00031D15"/>
    <w:rsid w:val="00031D9F"/>
    <w:rsid w:val="00032022"/>
    <w:rsid w:val="0003279D"/>
    <w:rsid w:val="00032F0E"/>
    <w:rsid w:val="000347A3"/>
    <w:rsid w:val="00036039"/>
    <w:rsid w:val="00037F1D"/>
    <w:rsid w:val="00037F90"/>
    <w:rsid w:val="0004177D"/>
    <w:rsid w:val="00041B51"/>
    <w:rsid w:val="000421CD"/>
    <w:rsid w:val="00043B06"/>
    <w:rsid w:val="00044254"/>
    <w:rsid w:val="00044809"/>
    <w:rsid w:val="0004560A"/>
    <w:rsid w:val="00045A22"/>
    <w:rsid w:val="00045AD1"/>
    <w:rsid w:val="00046E64"/>
    <w:rsid w:val="00047132"/>
    <w:rsid w:val="00047463"/>
    <w:rsid w:val="000477BC"/>
    <w:rsid w:val="000479B1"/>
    <w:rsid w:val="00047E90"/>
    <w:rsid w:val="00047EC7"/>
    <w:rsid w:val="000500DA"/>
    <w:rsid w:val="000500F1"/>
    <w:rsid w:val="00052898"/>
    <w:rsid w:val="00052C65"/>
    <w:rsid w:val="00052FF3"/>
    <w:rsid w:val="00053CA8"/>
    <w:rsid w:val="00054A61"/>
    <w:rsid w:val="00054C74"/>
    <w:rsid w:val="00054E4F"/>
    <w:rsid w:val="000551ED"/>
    <w:rsid w:val="00055559"/>
    <w:rsid w:val="000569D8"/>
    <w:rsid w:val="00057048"/>
    <w:rsid w:val="0005749F"/>
    <w:rsid w:val="000576E2"/>
    <w:rsid w:val="00057A02"/>
    <w:rsid w:val="000610DA"/>
    <w:rsid w:val="0006144A"/>
    <w:rsid w:val="0006171B"/>
    <w:rsid w:val="000623FA"/>
    <w:rsid w:val="00062909"/>
    <w:rsid w:val="00063229"/>
    <w:rsid w:val="00063430"/>
    <w:rsid w:val="00065227"/>
    <w:rsid w:val="00065E0B"/>
    <w:rsid w:val="0006626E"/>
    <w:rsid w:val="0006692F"/>
    <w:rsid w:val="00067CC1"/>
    <w:rsid w:val="0007001D"/>
    <w:rsid w:val="00070020"/>
    <w:rsid w:val="000708D4"/>
    <w:rsid w:val="000714B5"/>
    <w:rsid w:val="00072064"/>
    <w:rsid w:val="00072278"/>
    <w:rsid w:val="000723EC"/>
    <w:rsid w:val="00072675"/>
    <w:rsid w:val="000728A1"/>
    <w:rsid w:val="00072A77"/>
    <w:rsid w:val="00072C94"/>
    <w:rsid w:val="000733E1"/>
    <w:rsid w:val="000736C6"/>
    <w:rsid w:val="000740FC"/>
    <w:rsid w:val="00074563"/>
    <w:rsid w:val="00074BD0"/>
    <w:rsid w:val="0007546C"/>
    <w:rsid w:val="0007624B"/>
    <w:rsid w:val="00077B69"/>
    <w:rsid w:val="00080329"/>
    <w:rsid w:val="0008070E"/>
    <w:rsid w:val="000819D5"/>
    <w:rsid w:val="000824D5"/>
    <w:rsid w:val="000824FA"/>
    <w:rsid w:val="00083517"/>
    <w:rsid w:val="00084BF7"/>
    <w:rsid w:val="0008598B"/>
    <w:rsid w:val="00085C6E"/>
    <w:rsid w:val="0008714A"/>
    <w:rsid w:val="000875BF"/>
    <w:rsid w:val="00087814"/>
    <w:rsid w:val="00087FB2"/>
    <w:rsid w:val="000902EF"/>
    <w:rsid w:val="00090C03"/>
    <w:rsid w:val="000916EE"/>
    <w:rsid w:val="0009187F"/>
    <w:rsid w:val="00091AE3"/>
    <w:rsid w:val="00091FF3"/>
    <w:rsid w:val="00092D62"/>
    <w:rsid w:val="000938D1"/>
    <w:rsid w:val="000940E6"/>
    <w:rsid w:val="00094217"/>
    <w:rsid w:val="00094BFB"/>
    <w:rsid w:val="00094D30"/>
    <w:rsid w:val="00096720"/>
    <w:rsid w:val="0009696B"/>
    <w:rsid w:val="00096D8C"/>
    <w:rsid w:val="000972E1"/>
    <w:rsid w:val="000A074B"/>
    <w:rsid w:val="000A0B67"/>
    <w:rsid w:val="000A0EB2"/>
    <w:rsid w:val="000A1383"/>
    <w:rsid w:val="000A18D1"/>
    <w:rsid w:val="000A55FD"/>
    <w:rsid w:val="000A5C6F"/>
    <w:rsid w:val="000A5EE2"/>
    <w:rsid w:val="000B05AE"/>
    <w:rsid w:val="000B0FEA"/>
    <w:rsid w:val="000B1534"/>
    <w:rsid w:val="000B2669"/>
    <w:rsid w:val="000B34D6"/>
    <w:rsid w:val="000B4852"/>
    <w:rsid w:val="000B49A8"/>
    <w:rsid w:val="000B5908"/>
    <w:rsid w:val="000B59B1"/>
    <w:rsid w:val="000B6275"/>
    <w:rsid w:val="000B6AD2"/>
    <w:rsid w:val="000C0B65"/>
    <w:rsid w:val="000C157C"/>
    <w:rsid w:val="000C1B64"/>
    <w:rsid w:val="000C1F2B"/>
    <w:rsid w:val="000C28AF"/>
    <w:rsid w:val="000C4069"/>
    <w:rsid w:val="000C463E"/>
    <w:rsid w:val="000C5478"/>
    <w:rsid w:val="000C5AFD"/>
    <w:rsid w:val="000C5D90"/>
    <w:rsid w:val="000C5F57"/>
    <w:rsid w:val="000C6155"/>
    <w:rsid w:val="000C6A2E"/>
    <w:rsid w:val="000C6E22"/>
    <w:rsid w:val="000C77F7"/>
    <w:rsid w:val="000D0048"/>
    <w:rsid w:val="000D08AF"/>
    <w:rsid w:val="000D1EA4"/>
    <w:rsid w:val="000D23E1"/>
    <w:rsid w:val="000D27E6"/>
    <w:rsid w:val="000D31E9"/>
    <w:rsid w:val="000D37FE"/>
    <w:rsid w:val="000D38E0"/>
    <w:rsid w:val="000D3CE4"/>
    <w:rsid w:val="000D448E"/>
    <w:rsid w:val="000D54FE"/>
    <w:rsid w:val="000D5BDF"/>
    <w:rsid w:val="000D6D57"/>
    <w:rsid w:val="000D6D6C"/>
    <w:rsid w:val="000E05FE"/>
    <w:rsid w:val="000E1E3D"/>
    <w:rsid w:val="000E2502"/>
    <w:rsid w:val="000E25E7"/>
    <w:rsid w:val="000E2E2A"/>
    <w:rsid w:val="000E3443"/>
    <w:rsid w:val="000E3D42"/>
    <w:rsid w:val="000E4FD3"/>
    <w:rsid w:val="000E5697"/>
    <w:rsid w:val="000E71F2"/>
    <w:rsid w:val="000E7A81"/>
    <w:rsid w:val="000E7C42"/>
    <w:rsid w:val="000F0242"/>
    <w:rsid w:val="000F0410"/>
    <w:rsid w:val="000F1DA2"/>
    <w:rsid w:val="000F273F"/>
    <w:rsid w:val="000F350C"/>
    <w:rsid w:val="000F3961"/>
    <w:rsid w:val="000F450B"/>
    <w:rsid w:val="000F4CAA"/>
    <w:rsid w:val="000F5AC9"/>
    <w:rsid w:val="000F6506"/>
    <w:rsid w:val="000F707B"/>
    <w:rsid w:val="0010004D"/>
    <w:rsid w:val="00101CC2"/>
    <w:rsid w:val="001024DB"/>
    <w:rsid w:val="00102790"/>
    <w:rsid w:val="00102966"/>
    <w:rsid w:val="001032A7"/>
    <w:rsid w:val="00103D22"/>
    <w:rsid w:val="00104296"/>
    <w:rsid w:val="00104B48"/>
    <w:rsid w:val="001058BC"/>
    <w:rsid w:val="00106042"/>
    <w:rsid w:val="001067DB"/>
    <w:rsid w:val="001071B7"/>
    <w:rsid w:val="00110145"/>
    <w:rsid w:val="001102DD"/>
    <w:rsid w:val="0011151E"/>
    <w:rsid w:val="00111A69"/>
    <w:rsid w:val="0011203F"/>
    <w:rsid w:val="001124A8"/>
    <w:rsid w:val="00112F96"/>
    <w:rsid w:val="00113F31"/>
    <w:rsid w:val="0011441E"/>
    <w:rsid w:val="00114A7D"/>
    <w:rsid w:val="00114B54"/>
    <w:rsid w:val="00115A50"/>
    <w:rsid w:val="001160C8"/>
    <w:rsid w:val="00117AF3"/>
    <w:rsid w:val="001200FB"/>
    <w:rsid w:val="00121023"/>
    <w:rsid w:val="001225C7"/>
    <w:rsid w:val="00122BD5"/>
    <w:rsid w:val="0012395D"/>
    <w:rsid w:val="00125D6E"/>
    <w:rsid w:val="00126461"/>
    <w:rsid w:val="00126622"/>
    <w:rsid w:val="00126D56"/>
    <w:rsid w:val="001277D7"/>
    <w:rsid w:val="001278B1"/>
    <w:rsid w:val="00127942"/>
    <w:rsid w:val="00127A61"/>
    <w:rsid w:val="00127F31"/>
    <w:rsid w:val="00130058"/>
    <w:rsid w:val="00130321"/>
    <w:rsid w:val="00130451"/>
    <w:rsid w:val="001306F6"/>
    <w:rsid w:val="00131302"/>
    <w:rsid w:val="0013376D"/>
    <w:rsid w:val="00133CBF"/>
    <w:rsid w:val="00133DE6"/>
    <w:rsid w:val="00133F79"/>
    <w:rsid w:val="001342E3"/>
    <w:rsid w:val="0013594A"/>
    <w:rsid w:val="001400B4"/>
    <w:rsid w:val="00140E06"/>
    <w:rsid w:val="001415CA"/>
    <w:rsid w:val="0014218E"/>
    <w:rsid w:val="00143241"/>
    <w:rsid w:val="00143272"/>
    <w:rsid w:val="00143BE9"/>
    <w:rsid w:val="00144B2D"/>
    <w:rsid w:val="00146945"/>
    <w:rsid w:val="00146F3A"/>
    <w:rsid w:val="001508AC"/>
    <w:rsid w:val="00150D4A"/>
    <w:rsid w:val="00150E67"/>
    <w:rsid w:val="00152972"/>
    <w:rsid w:val="00152FD1"/>
    <w:rsid w:val="00153822"/>
    <w:rsid w:val="0015436A"/>
    <w:rsid w:val="00156DBA"/>
    <w:rsid w:val="00157872"/>
    <w:rsid w:val="00157C5C"/>
    <w:rsid w:val="00157C67"/>
    <w:rsid w:val="00157C88"/>
    <w:rsid w:val="00157D76"/>
    <w:rsid w:val="001621C6"/>
    <w:rsid w:val="0016257E"/>
    <w:rsid w:val="00162590"/>
    <w:rsid w:val="00162A1D"/>
    <w:rsid w:val="001636B5"/>
    <w:rsid w:val="00163D74"/>
    <w:rsid w:val="001641F8"/>
    <w:rsid w:val="0016442F"/>
    <w:rsid w:val="00166C95"/>
    <w:rsid w:val="001672AE"/>
    <w:rsid w:val="001678CC"/>
    <w:rsid w:val="00167A3F"/>
    <w:rsid w:val="00170615"/>
    <w:rsid w:val="00170F49"/>
    <w:rsid w:val="00172C61"/>
    <w:rsid w:val="00173EFE"/>
    <w:rsid w:val="00174AC8"/>
    <w:rsid w:val="00174B24"/>
    <w:rsid w:val="00174BFB"/>
    <w:rsid w:val="00174D3A"/>
    <w:rsid w:val="00175595"/>
    <w:rsid w:val="00175F5C"/>
    <w:rsid w:val="00177CD7"/>
    <w:rsid w:val="00177DB1"/>
    <w:rsid w:val="00180C18"/>
    <w:rsid w:val="00180DB6"/>
    <w:rsid w:val="00181B49"/>
    <w:rsid w:val="0018263F"/>
    <w:rsid w:val="00182F6C"/>
    <w:rsid w:val="00183140"/>
    <w:rsid w:val="001834B7"/>
    <w:rsid w:val="0018414B"/>
    <w:rsid w:val="00185113"/>
    <w:rsid w:val="001854DA"/>
    <w:rsid w:val="00185744"/>
    <w:rsid w:val="00185CF3"/>
    <w:rsid w:val="00186374"/>
    <w:rsid w:val="00186772"/>
    <w:rsid w:val="00186A24"/>
    <w:rsid w:val="0018711F"/>
    <w:rsid w:val="001874F2"/>
    <w:rsid w:val="00190720"/>
    <w:rsid w:val="00190D72"/>
    <w:rsid w:val="0019167D"/>
    <w:rsid w:val="00192E84"/>
    <w:rsid w:val="00194419"/>
    <w:rsid w:val="00194A66"/>
    <w:rsid w:val="00195617"/>
    <w:rsid w:val="001961AC"/>
    <w:rsid w:val="0019726A"/>
    <w:rsid w:val="00197656"/>
    <w:rsid w:val="00197AA1"/>
    <w:rsid w:val="00197E88"/>
    <w:rsid w:val="001A004E"/>
    <w:rsid w:val="001A0A14"/>
    <w:rsid w:val="001A2959"/>
    <w:rsid w:val="001A2C6D"/>
    <w:rsid w:val="001A4133"/>
    <w:rsid w:val="001A46C4"/>
    <w:rsid w:val="001A4788"/>
    <w:rsid w:val="001A51A9"/>
    <w:rsid w:val="001A54B9"/>
    <w:rsid w:val="001A59D4"/>
    <w:rsid w:val="001A74D6"/>
    <w:rsid w:val="001B0696"/>
    <w:rsid w:val="001B09F0"/>
    <w:rsid w:val="001B428C"/>
    <w:rsid w:val="001B59F9"/>
    <w:rsid w:val="001C076D"/>
    <w:rsid w:val="001C1031"/>
    <w:rsid w:val="001C1103"/>
    <w:rsid w:val="001C2BED"/>
    <w:rsid w:val="001C2E5A"/>
    <w:rsid w:val="001C30BC"/>
    <w:rsid w:val="001C4461"/>
    <w:rsid w:val="001C4C6F"/>
    <w:rsid w:val="001C57F1"/>
    <w:rsid w:val="001C5AE6"/>
    <w:rsid w:val="001C5CF5"/>
    <w:rsid w:val="001C6085"/>
    <w:rsid w:val="001C64FE"/>
    <w:rsid w:val="001C6DDD"/>
    <w:rsid w:val="001C76CA"/>
    <w:rsid w:val="001D0E02"/>
    <w:rsid w:val="001D258B"/>
    <w:rsid w:val="001D2B0B"/>
    <w:rsid w:val="001D310A"/>
    <w:rsid w:val="001D39E7"/>
    <w:rsid w:val="001D4095"/>
    <w:rsid w:val="001D47B1"/>
    <w:rsid w:val="001D49D8"/>
    <w:rsid w:val="001D53A7"/>
    <w:rsid w:val="001D5BFE"/>
    <w:rsid w:val="001D651F"/>
    <w:rsid w:val="001D65B5"/>
    <w:rsid w:val="001D6BCF"/>
    <w:rsid w:val="001D70AB"/>
    <w:rsid w:val="001D7670"/>
    <w:rsid w:val="001D7747"/>
    <w:rsid w:val="001E01CA"/>
    <w:rsid w:val="001E12B1"/>
    <w:rsid w:val="001E30BD"/>
    <w:rsid w:val="001E38C6"/>
    <w:rsid w:val="001E4C45"/>
    <w:rsid w:val="001E5482"/>
    <w:rsid w:val="001E6A2B"/>
    <w:rsid w:val="001E6E89"/>
    <w:rsid w:val="001E7880"/>
    <w:rsid w:val="001F0B31"/>
    <w:rsid w:val="001F13F0"/>
    <w:rsid w:val="001F194C"/>
    <w:rsid w:val="001F1F5B"/>
    <w:rsid w:val="001F24AF"/>
    <w:rsid w:val="001F2B97"/>
    <w:rsid w:val="001F34AF"/>
    <w:rsid w:val="001F6379"/>
    <w:rsid w:val="00200ECD"/>
    <w:rsid w:val="002010BC"/>
    <w:rsid w:val="0020159B"/>
    <w:rsid w:val="002016E3"/>
    <w:rsid w:val="00201D25"/>
    <w:rsid w:val="0020233A"/>
    <w:rsid w:val="00202CA4"/>
    <w:rsid w:val="0020304B"/>
    <w:rsid w:val="0020424B"/>
    <w:rsid w:val="0020439A"/>
    <w:rsid w:val="002045D0"/>
    <w:rsid w:val="00204A9F"/>
    <w:rsid w:val="00204E12"/>
    <w:rsid w:val="00206087"/>
    <w:rsid w:val="002063F7"/>
    <w:rsid w:val="0020662A"/>
    <w:rsid w:val="00206C6F"/>
    <w:rsid w:val="0021102B"/>
    <w:rsid w:val="00211B59"/>
    <w:rsid w:val="00212E60"/>
    <w:rsid w:val="00213272"/>
    <w:rsid w:val="002138E0"/>
    <w:rsid w:val="002145AC"/>
    <w:rsid w:val="00214FA5"/>
    <w:rsid w:val="00215942"/>
    <w:rsid w:val="00215C05"/>
    <w:rsid w:val="0021633A"/>
    <w:rsid w:val="00216644"/>
    <w:rsid w:val="002175B8"/>
    <w:rsid w:val="00217977"/>
    <w:rsid w:val="002207C7"/>
    <w:rsid w:val="00220C5A"/>
    <w:rsid w:val="00221654"/>
    <w:rsid w:val="00222A86"/>
    <w:rsid w:val="00224B56"/>
    <w:rsid w:val="00224DF5"/>
    <w:rsid w:val="0022503E"/>
    <w:rsid w:val="002257F0"/>
    <w:rsid w:val="00225F9F"/>
    <w:rsid w:val="00226189"/>
    <w:rsid w:val="00226299"/>
    <w:rsid w:val="00227DB3"/>
    <w:rsid w:val="0023025E"/>
    <w:rsid w:val="00231298"/>
    <w:rsid w:val="002331B6"/>
    <w:rsid w:val="00234B16"/>
    <w:rsid w:val="002371BA"/>
    <w:rsid w:val="0023726B"/>
    <w:rsid w:val="00237D43"/>
    <w:rsid w:val="00240159"/>
    <w:rsid w:val="00241816"/>
    <w:rsid w:val="002420D1"/>
    <w:rsid w:val="0024212E"/>
    <w:rsid w:val="0024226C"/>
    <w:rsid w:val="00242512"/>
    <w:rsid w:val="0024474C"/>
    <w:rsid w:val="002449AD"/>
    <w:rsid w:val="0024631F"/>
    <w:rsid w:val="002469B9"/>
    <w:rsid w:val="002511E5"/>
    <w:rsid w:val="00252D11"/>
    <w:rsid w:val="00252E00"/>
    <w:rsid w:val="00253BA1"/>
    <w:rsid w:val="0025523C"/>
    <w:rsid w:val="0025771A"/>
    <w:rsid w:val="002578BE"/>
    <w:rsid w:val="002604C2"/>
    <w:rsid w:val="00260C59"/>
    <w:rsid w:val="00260C76"/>
    <w:rsid w:val="00260F83"/>
    <w:rsid w:val="00261850"/>
    <w:rsid w:val="002618F7"/>
    <w:rsid w:val="00261A5E"/>
    <w:rsid w:val="00263891"/>
    <w:rsid w:val="00263DDB"/>
    <w:rsid w:val="00264912"/>
    <w:rsid w:val="00264C5B"/>
    <w:rsid w:val="00265C7C"/>
    <w:rsid w:val="002702ED"/>
    <w:rsid w:val="002706F1"/>
    <w:rsid w:val="0027096C"/>
    <w:rsid w:val="00270EF0"/>
    <w:rsid w:val="00271568"/>
    <w:rsid w:val="002720D9"/>
    <w:rsid w:val="00274199"/>
    <w:rsid w:val="00274384"/>
    <w:rsid w:val="002746CB"/>
    <w:rsid w:val="002759D7"/>
    <w:rsid w:val="00275A94"/>
    <w:rsid w:val="00275CF5"/>
    <w:rsid w:val="0027632E"/>
    <w:rsid w:val="00276AF0"/>
    <w:rsid w:val="00276F9D"/>
    <w:rsid w:val="00277BC3"/>
    <w:rsid w:val="00277F55"/>
    <w:rsid w:val="002807A6"/>
    <w:rsid w:val="00282159"/>
    <w:rsid w:val="002824A9"/>
    <w:rsid w:val="0028262D"/>
    <w:rsid w:val="0028301F"/>
    <w:rsid w:val="00283461"/>
    <w:rsid w:val="002839CA"/>
    <w:rsid w:val="00283B9E"/>
    <w:rsid w:val="00283C97"/>
    <w:rsid w:val="002841B1"/>
    <w:rsid w:val="002842F4"/>
    <w:rsid w:val="00284726"/>
    <w:rsid w:val="00284B39"/>
    <w:rsid w:val="00285017"/>
    <w:rsid w:val="00285198"/>
    <w:rsid w:val="00285CF7"/>
    <w:rsid w:val="00286F80"/>
    <w:rsid w:val="00287CF8"/>
    <w:rsid w:val="00290068"/>
    <w:rsid w:val="00291360"/>
    <w:rsid w:val="00291FC8"/>
    <w:rsid w:val="00292096"/>
    <w:rsid w:val="002928D0"/>
    <w:rsid w:val="00293C51"/>
    <w:rsid w:val="00293EF4"/>
    <w:rsid w:val="00294A3B"/>
    <w:rsid w:val="00294B41"/>
    <w:rsid w:val="00294C09"/>
    <w:rsid w:val="00296062"/>
    <w:rsid w:val="00296CEA"/>
    <w:rsid w:val="00296DF7"/>
    <w:rsid w:val="002973DC"/>
    <w:rsid w:val="00297493"/>
    <w:rsid w:val="002A02CE"/>
    <w:rsid w:val="002A0F88"/>
    <w:rsid w:val="002A11F7"/>
    <w:rsid w:val="002A1466"/>
    <w:rsid w:val="002A1771"/>
    <w:rsid w:val="002A198F"/>
    <w:rsid w:val="002A2829"/>
    <w:rsid w:val="002A2D2E"/>
    <w:rsid w:val="002A381D"/>
    <w:rsid w:val="002A3DAD"/>
    <w:rsid w:val="002A46CC"/>
    <w:rsid w:val="002A4FE7"/>
    <w:rsid w:val="002B1506"/>
    <w:rsid w:val="002B20A4"/>
    <w:rsid w:val="002B22A9"/>
    <w:rsid w:val="002B358C"/>
    <w:rsid w:val="002B3D30"/>
    <w:rsid w:val="002B4847"/>
    <w:rsid w:val="002B4D54"/>
    <w:rsid w:val="002B60F5"/>
    <w:rsid w:val="002B7B71"/>
    <w:rsid w:val="002B7E03"/>
    <w:rsid w:val="002C00E8"/>
    <w:rsid w:val="002C1056"/>
    <w:rsid w:val="002C1FE5"/>
    <w:rsid w:val="002C2CEF"/>
    <w:rsid w:val="002C3A56"/>
    <w:rsid w:val="002C3EB5"/>
    <w:rsid w:val="002C471D"/>
    <w:rsid w:val="002C4AFD"/>
    <w:rsid w:val="002C4CBA"/>
    <w:rsid w:val="002C555A"/>
    <w:rsid w:val="002C694A"/>
    <w:rsid w:val="002C70DB"/>
    <w:rsid w:val="002C7ED7"/>
    <w:rsid w:val="002D05EB"/>
    <w:rsid w:val="002D151F"/>
    <w:rsid w:val="002D1E83"/>
    <w:rsid w:val="002D237B"/>
    <w:rsid w:val="002D27D0"/>
    <w:rsid w:val="002D2C71"/>
    <w:rsid w:val="002D39F8"/>
    <w:rsid w:val="002D3D68"/>
    <w:rsid w:val="002D52D3"/>
    <w:rsid w:val="002D575D"/>
    <w:rsid w:val="002D5F49"/>
    <w:rsid w:val="002D7C0A"/>
    <w:rsid w:val="002E1D8C"/>
    <w:rsid w:val="002E2433"/>
    <w:rsid w:val="002E2EC3"/>
    <w:rsid w:val="002E3EA4"/>
    <w:rsid w:val="002E4F98"/>
    <w:rsid w:val="002E5759"/>
    <w:rsid w:val="002E59FD"/>
    <w:rsid w:val="002F0692"/>
    <w:rsid w:val="002F1668"/>
    <w:rsid w:val="002F1769"/>
    <w:rsid w:val="002F2564"/>
    <w:rsid w:val="002F26D0"/>
    <w:rsid w:val="002F2F93"/>
    <w:rsid w:val="002F3CEE"/>
    <w:rsid w:val="002F3D12"/>
    <w:rsid w:val="002F58AE"/>
    <w:rsid w:val="002F6030"/>
    <w:rsid w:val="002F66A4"/>
    <w:rsid w:val="00300B9B"/>
    <w:rsid w:val="00300EB1"/>
    <w:rsid w:val="00300F1E"/>
    <w:rsid w:val="003030BC"/>
    <w:rsid w:val="00303FF4"/>
    <w:rsid w:val="003047CA"/>
    <w:rsid w:val="00304E8D"/>
    <w:rsid w:val="003064D5"/>
    <w:rsid w:val="003109C8"/>
    <w:rsid w:val="003112B5"/>
    <w:rsid w:val="00311494"/>
    <w:rsid w:val="00311D2C"/>
    <w:rsid w:val="00311F51"/>
    <w:rsid w:val="00311FFC"/>
    <w:rsid w:val="003123C2"/>
    <w:rsid w:val="0031260A"/>
    <w:rsid w:val="00312796"/>
    <w:rsid w:val="00312799"/>
    <w:rsid w:val="0031341A"/>
    <w:rsid w:val="00313D2F"/>
    <w:rsid w:val="00314F6D"/>
    <w:rsid w:val="0031582D"/>
    <w:rsid w:val="00315F42"/>
    <w:rsid w:val="00315F8F"/>
    <w:rsid w:val="00317A63"/>
    <w:rsid w:val="00322557"/>
    <w:rsid w:val="0032329E"/>
    <w:rsid w:val="0032361B"/>
    <w:rsid w:val="0032416A"/>
    <w:rsid w:val="003248C8"/>
    <w:rsid w:val="00324B11"/>
    <w:rsid w:val="00324F76"/>
    <w:rsid w:val="003279B2"/>
    <w:rsid w:val="0033080C"/>
    <w:rsid w:val="00330DDD"/>
    <w:rsid w:val="00331B6E"/>
    <w:rsid w:val="00332E9A"/>
    <w:rsid w:val="00332EE6"/>
    <w:rsid w:val="0033349B"/>
    <w:rsid w:val="00334580"/>
    <w:rsid w:val="00334D6D"/>
    <w:rsid w:val="003356AA"/>
    <w:rsid w:val="00336ED7"/>
    <w:rsid w:val="00337D84"/>
    <w:rsid w:val="00340401"/>
    <w:rsid w:val="0034091F"/>
    <w:rsid w:val="0034186E"/>
    <w:rsid w:val="00341BF2"/>
    <w:rsid w:val="003428E8"/>
    <w:rsid w:val="00342ACF"/>
    <w:rsid w:val="00342DDC"/>
    <w:rsid w:val="00343186"/>
    <w:rsid w:val="00343749"/>
    <w:rsid w:val="003449ED"/>
    <w:rsid w:val="00345B6F"/>
    <w:rsid w:val="00345B7B"/>
    <w:rsid w:val="00347AD1"/>
    <w:rsid w:val="00347C5A"/>
    <w:rsid w:val="00347CF3"/>
    <w:rsid w:val="00350A61"/>
    <w:rsid w:val="00351B3D"/>
    <w:rsid w:val="00351F1E"/>
    <w:rsid w:val="0035258F"/>
    <w:rsid w:val="00353146"/>
    <w:rsid w:val="003532C8"/>
    <w:rsid w:val="003535DC"/>
    <w:rsid w:val="00353B8E"/>
    <w:rsid w:val="00354E13"/>
    <w:rsid w:val="0035688B"/>
    <w:rsid w:val="00356B44"/>
    <w:rsid w:val="00360F38"/>
    <w:rsid w:val="003611CC"/>
    <w:rsid w:val="00362C71"/>
    <w:rsid w:val="003633A4"/>
    <w:rsid w:val="003635BB"/>
    <w:rsid w:val="00364770"/>
    <w:rsid w:val="00364EEB"/>
    <w:rsid w:val="00365554"/>
    <w:rsid w:val="003660ED"/>
    <w:rsid w:val="00366F76"/>
    <w:rsid w:val="0036772D"/>
    <w:rsid w:val="0037012B"/>
    <w:rsid w:val="00370686"/>
    <w:rsid w:val="00370EB3"/>
    <w:rsid w:val="003714ED"/>
    <w:rsid w:val="00373574"/>
    <w:rsid w:val="00373587"/>
    <w:rsid w:val="00373FEA"/>
    <w:rsid w:val="00375891"/>
    <w:rsid w:val="00375C30"/>
    <w:rsid w:val="00376818"/>
    <w:rsid w:val="0037795C"/>
    <w:rsid w:val="00380429"/>
    <w:rsid w:val="003825F1"/>
    <w:rsid w:val="0038289B"/>
    <w:rsid w:val="003829C3"/>
    <w:rsid w:val="00382CFF"/>
    <w:rsid w:val="00383177"/>
    <w:rsid w:val="0038359E"/>
    <w:rsid w:val="003839E3"/>
    <w:rsid w:val="00383B9D"/>
    <w:rsid w:val="003840F6"/>
    <w:rsid w:val="00385E69"/>
    <w:rsid w:val="0038620D"/>
    <w:rsid w:val="003863D4"/>
    <w:rsid w:val="003870BC"/>
    <w:rsid w:val="00390002"/>
    <w:rsid w:val="00391BF8"/>
    <w:rsid w:val="00392714"/>
    <w:rsid w:val="00392D41"/>
    <w:rsid w:val="00392EEE"/>
    <w:rsid w:val="0039347B"/>
    <w:rsid w:val="00393B96"/>
    <w:rsid w:val="00393DB7"/>
    <w:rsid w:val="003940D5"/>
    <w:rsid w:val="00395E3C"/>
    <w:rsid w:val="00397529"/>
    <w:rsid w:val="00397CE9"/>
    <w:rsid w:val="003A00E5"/>
    <w:rsid w:val="003A0E29"/>
    <w:rsid w:val="003A0F2D"/>
    <w:rsid w:val="003A1A84"/>
    <w:rsid w:val="003A325D"/>
    <w:rsid w:val="003A4091"/>
    <w:rsid w:val="003A4B37"/>
    <w:rsid w:val="003A4B56"/>
    <w:rsid w:val="003A5941"/>
    <w:rsid w:val="003A634D"/>
    <w:rsid w:val="003A6748"/>
    <w:rsid w:val="003A6B6C"/>
    <w:rsid w:val="003B0550"/>
    <w:rsid w:val="003B0A52"/>
    <w:rsid w:val="003B0CA6"/>
    <w:rsid w:val="003B1D2E"/>
    <w:rsid w:val="003B32E7"/>
    <w:rsid w:val="003B3712"/>
    <w:rsid w:val="003B3747"/>
    <w:rsid w:val="003B3CBB"/>
    <w:rsid w:val="003B4D0A"/>
    <w:rsid w:val="003B5B7E"/>
    <w:rsid w:val="003B68C5"/>
    <w:rsid w:val="003B694F"/>
    <w:rsid w:val="003B766F"/>
    <w:rsid w:val="003C01E5"/>
    <w:rsid w:val="003C079E"/>
    <w:rsid w:val="003C251F"/>
    <w:rsid w:val="003C26CC"/>
    <w:rsid w:val="003C29F0"/>
    <w:rsid w:val="003C2EC7"/>
    <w:rsid w:val="003C3A51"/>
    <w:rsid w:val="003C4181"/>
    <w:rsid w:val="003C41C2"/>
    <w:rsid w:val="003C468D"/>
    <w:rsid w:val="003C4922"/>
    <w:rsid w:val="003C5061"/>
    <w:rsid w:val="003C5D45"/>
    <w:rsid w:val="003C6125"/>
    <w:rsid w:val="003C633E"/>
    <w:rsid w:val="003C6CD7"/>
    <w:rsid w:val="003D127C"/>
    <w:rsid w:val="003D12CB"/>
    <w:rsid w:val="003D2025"/>
    <w:rsid w:val="003D20E3"/>
    <w:rsid w:val="003D2271"/>
    <w:rsid w:val="003D2282"/>
    <w:rsid w:val="003D3710"/>
    <w:rsid w:val="003D3BF6"/>
    <w:rsid w:val="003D4A31"/>
    <w:rsid w:val="003D4BCD"/>
    <w:rsid w:val="003D4FA1"/>
    <w:rsid w:val="003D50D3"/>
    <w:rsid w:val="003D5A68"/>
    <w:rsid w:val="003D5B26"/>
    <w:rsid w:val="003D658E"/>
    <w:rsid w:val="003D68B9"/>
    <w:rsid w:val="003D7598"/>
    <w:rsid w:val="003D7727"/>
    <w:rsid w:val="003D79FA"/>
    <w:rsid w:val="003E1EC3"/>
    <w:rsid w:val="003E22D6"/>
    <w:rsid w:val="003E4205"/>
    <w:rsid w:val="003E4725"/>
    <w:rsid w:val="003E47F6"/>
    <w:rsid w:val="003E522E"/>
    <w:rsid w:val="003E5FF7"/>
    <w:rsid w:val="003E609A"/>
    <w:rsid w:val="003E7632"/>
    <w:rsid w:val="003E7BA6"/>
    <w:rsid w:val="003E7D48"/>
    <w:rsid w:val="003F00D3"/>
    <w:rsid w:val="003F0358"/>
    <w:rsid w:val="003F06DA"/>
    <w:rsid w:val="003F0732"/>
    <w:rsid w:val="003F171C"/>
    <w:rsid w:val="003F17B1"/>
    <w:rsid w:val="003F2490"/>
    <w:rsid w:val="003F27B4"/>
    <w:rsid w:val="003F2DBA"/>
    <w:rsid w:val="003F32EA"/>
    <w:rsid w:val="003F40E2"/>
    <w:rsid w:val="003F4616"/>
    <w:rsid w:val="003F5835"/>
    <w:rsid w:val="003F6070"/>
    <w:rsid w:val="003F619B"/>
    <w:rsid w:val="003F7952"/>
    <w:rsid w:val="0040046E"/>
    <w:rsid w:val="00401091"/>
    <w:rsid w:val="00401435"/>
    <w:rsid w:val="0040198E"/>
    <w:rsid w:val="00401C6C"/>
    <w:rsid w:val="00402890"/>
    <w:rsid w:val="004036E0"/>
    <w:rsid w:val="00403C28"/>
    <w:rsid w:val="00404213"/>
    <w:rsid w:val="004044D8"/>
    <w:rsid w:val="004047D2"/>
    <w:rsid w:val="00405283"/>
    <w:rsid w:val="004054DD"/>
    <w:rsid w:val="00405502"/>
    <w:rsid w:val="00405E50"/>
    <w:rsid w:val="00407F20"/>
    <w:rsid w:val="0041165D"/>
    <w:rsid w:val="0041182E"/>
    <w:rsid w:val="004122A4"/>
    <w:rsid w:val="00412FC5"/>
    <w:rsid w:val="00414E13"/>
    <w:rsid w:val="00415429"/>
    <w:rsid w:val="0041551B"/>
    <w:rsid w:val="00415523"/>
    <w:rsid w:val="004162A3"/>
    <w:rsid w:val="00416B83"/>
    <w:rsid w:val="004175BA"/>
    <w:rsid w:val="00417704"/>
    <w:rsid w:val="00420544"/>
    <w:rsid w:val="00420AE1"/>
    <w:rsid w:val="00422276"/>
    <w:rsid w:val="004222EA"/>
    <w:rsid w:val="00422B12"/>
    <w:rsid w:val="00422D3E"/>
    <w:rsid w:val="00422D85"/>
    <w:rsid w:val="00423773"/>
    <w:rsid w:val="004242F1"/>
    <w:rsid w:val="00425342"/>
    <w:rsid w:val="00425D02"/>
    <w:rsid w:val="00426873"/>
    <w:rsid w:val="00426B84"/>
    <w:rsid w:val="00426EDD"/>
    <w:rsid w:val="00427448"/>
    <w:rsid w:val="00430C62"/>
    <w:rsid w:val="0043124A"/>
    <w:rsid w:val="0043226E"/>
    <w:rsid w:val="004325BD"/>
    <w:rsid w:val="00432798"/>
    <w:rsid w:val="00432819"/>
    <w:rsid w:val="00432A01"/>
    <w:rsid w:val="00434136"/>
    <w:rsid w:val="004362AC"/>
    <w:rsid w:val="004366C3"/>
    <w:rsid w:val="00436D16"/>
    <w:rsid w:val="00436E3F"/>
    <w:rsid w:val="00437B7D"/>
    <w:rsid w:val="0044016C"/>
    <w:rsid w:val="004401EA"/>
    <w:rsid w:val="004412A5"/>
    <w:rsid w:val="00441903"/>
    <w:rsid w:val="00441C6F"/>
    <w:rsid w:val="00441E2D"/>
    <w:rsid w:val="0044214D"/>
    <w:rsid w:val="00442A41"/>
    <w:rsid w:val="004435D1"/>
    <w:rsid w:val="004441D1"/>
    <w:rsid w:val="0044593E"/>
    <w:rsid w:val="00445A00"/>
    <w:rsid w:val="00445A94"/>
    <w:rsid w:val="0044617D"/>
    <w:rsid w:val="00446D29"/>
    <w:rsid w:val="00450C0D"/>
    <w:rsid w:val="00450D0F"/>
    <w:rsid w:val="0045151E"/>
    <w:rsid w:val="00451B0F"/>
    <w:rsid w:val="004521E0"/>
    <w:rsid w:val="004521EC"/>
    <w:rsid w:val="004539D5"/>
    <w:rsid w:val="00454033"/>
    <w:rsid w:val="00454056"/>
    <w:rsid w:val="00454FF2"/>
    <w:rsid w:val="004551D0"/>
    <w:rsid w:val="0045552D"/>
    <w:rsid w:val="00457C96"/>
    <w:rsid w:val="00460012"/>
    <w:rsid w:val="00460885"/>
    <w:rsid w:val="00460BC6"/>
    <w:rsid w:val="00460EB7"/>
    <w:rsid w:val="00461027"/>
    <w:rsid w:val="00462255"/>
    <w:rsid w:val="004628C1"/>
    <w:rsid w:val="00463C05"/>
    <w:rsid w:val="0046452B"/>
    <w:rsid w:val="004652C3"/>
    <w:rsid w:val="004652D2"/>
    <w:rsid w:val="00465CE1"/>
    <w:rsid w:val="00466335"/>
    <w:rsid w:val="00466CA8"/>
    <w:rsid w:val="0046789F"/>
    <w:rsid w:val="004678A3"/>
    <w:rsid w:val="00470271"/>
    <w:rsid w:val="00470925"/>
    <w:rsid w:val="0047099B"/>
    <w:rsid w:val="00470BCF"/>
    <w:rsid w:val="0047185A"/>
    <w:rsid w:val="004725A3"/>
    <w:rsid w:val="004729AB"/>
    <w:rsid w:val="00472ED1"/>
    <w:rsid w:val="0047380D"/>
    <w:rsid w:val="004740FA"/>
    <w:rsid w:val="00475042"/>
    <w:rsid w:val="00475C9F"/>
    <w:rsid w:val="00475D37"/>
    <w:rsid w:val="00480E1B"/>
    <w:rsid w:val="00481252"/>
    <w:rsid w:val="004843AB"/>
    <w:rsid w:val="00484432"/>
    <w:rsid w:val="00484B2E"/>
    <w:rsid w:val="00484D36"/>
    <w:rsid w:val="00485BF3"/>
    <w:rsid w:val="004866FA"/>
    <w:rsid w:val="00486823"/>
    <w:rsid w:val="00486DEA"/>
    <w:rsid w:val="004906FB"/>
    <w:rsid w:val="00490956"/>
    <w:rsid w:val="004911F8"/>
    <w:rsid w:val="004919A4"/>
    <w:rsid w:val="00491DB7"/>
    <w:rsid w:val="004928B1"/>
    <w:rsid w:val="004933CD"/>
    <w:rsid w:val="00494145"/>
    <w:rsid w:val="00494E92"/>
    <w:rsid w:val="00494FE4"/>
    <w:rsid w:val="00495599"/>
    <w:rsid w:val="00495968"/>
    <w:rsid w:val="00495FA7"/>
    <w:rsid w:val="0049643B"/>
    <w:rsid w:val="004A19ED"/>
    <w:rsid w:val="004A2B02"/>
    <w:rsid w:val="004A2F1C"/>
    <w:rsid w:val="004A35A3"/>
    <w:rsid w:val="004A4504"/>
    <w:rsid w:val="004A520B"/>
    <w:rsid w:val="004A5727"/>
    <w:rsid w:val="004A6BE5"/>
    <w:rsid w:val="004A7B37"/>
    <w:rsid w:val="004B0F16"/>
    <w:rsid w:val="004B1F63"/>
    <w:rsid w:val="004B2381"/>
    <w:rsid w:val="004B2E50"/>
    <w:rsid w:val="004B2FEE"/>
    <w:rsid w:val="004B2FFD"/>
    <w:rsid w:val="004B3178"/>
    <w:rsid w:val="004B388A"/>
    <w:rsid w:val="004B42C7"/>
    <w:rsid w:val="004B4547"/>
    <w:rsid w:val="004B4A58"/>
    <w:rsid w:val="004B54C9"/>
    <w:rsid w:val="004B5CB9"/>
    <w:rsid w:val="004B703C"/>
    <w:rsid w:val="004C02BA"/>
    <w:rsid w:val="004C036F"/>
    <w:rsid w:val="004C058E"/>
    <w:rsid w:val="004C1DD7"/>
    <w:rsid w:val="004C21CB"/>
    <w:rsid w:val="004C2996"/>
    <w:rsid w:val="004C2EE3"/>
    <w:rsid w:val="004C3BC5"/>
    <w:rsid w:val="004C3CB5"/>
    <w:rsid w:val="004C4527"/>
    <w:rsid w:val="004C460C"/>
    <w:rsid w:val="004C7A1C"/>
    <w:rsid w:val="004D1A39"/>
    <w:rsid w:val="004D3897"/>
    <w:rsid w:val="004D3B3B"/>
    <w:rsid w:val="004D4092"/>
    <w:rsid w:val="004D4485"/>
    <w:rsid w:val="004D550A"/>
    <w:rsid w:val="004D5B21"/>
    <w:rsid w:val="004D5BC1"/>
    <w:rsid w:val="004D657A"/>
    <w:rsid w:val="004D6B09"/>
    <w:rsid w:val="004D759B"/>
    <w:rsid w:val="004E0851"/>
    <w:rsid w:val="004E2902"/>
    <w:rsid w:val="004E3261"/>
    <w:rsid w:val="004E4A22"/>
    <w:rsid w:val="004E6CA2"/>
    <w:rsid w:val="004F1F24"/>
    <w:rsid w:val="004F3E51"/>
    <w:rsid w:val="004F5318"/>
    <w:rsid w:val="004F5B9D"/>
    <w:rsid w:val="004F63FD"/>
    <w:rsid w:val="00500748"/>
    <w:rsid w:val="00500CB1"/>
    <w:rsid w:val="0050206C"/>
    <w:rsid w:val="005020C3"/>
    <w:rsid w:val="005020DE"/>
    <w:rsid w:val="00502572"/>
    <w:rsid w:val="005054EA"/>
    <w:rsid w:val="00505933"/>
    <w:rsid w:val="00505B8D"/>
    <w:rsid w:val="005077AB"/>
    <w:rsid w:val="00510636"/>
    <w:rsid w:val="00510A63"/>
    <w:rsid w:val="00510DEF"/>
    <w:rsid w:val="00511968"/>
    <w:rsid w:val="005120C2"/>
    <w:rsid w:val="005121BC"/>
    <w:rsid w:val="00514129"/>
    <w:rsid w:val="00514542"/>
    <w:rsid w:val="00514E8E"/>
    <w:rsid w:val="0051537F"/>
    <w:rsid w:val="00515417"/>
    <w:rsid w:val="00515F42"/>
    <w:rsid w:val="00516443"/>
    <w:rsid w:val="00516C22"/>
    <w:rsid w:val="0051748E"/>
    <w:rsid w:val="005176E5"/>
    <w:rsid w:val="005178A5"/>
    <w:rsid w:val="00521D2F"/>
    <w:rsid w:val="00522F6E"/>
    <w:rsid w:val="005233A6"/>
    <w:rsid w:val="0052390C"/>
    <w:rsid w:val="00523C27"/>
    <w:rsid w:val="0052466B"/>
    <w:rsid w:val="00526B06"/>
    <w:rsid w:val="00527E23"/>
    <w:rsid w:val="00532084"/>
    <w:rsid w:val="005320C7"/>
    <w:rsid w:val="00532838"/>
    <w:rsid w:val="00532938"/>
    <w:rsid w:val="00533B71"/>
    <w:rsid w:val="00533E76"/>
    <w:rsid w:val="00533EAD"/>
    <w:rsid w:val="00533FFC"/>
    <w:rsid w:val="00534284"/>
    <w:rsid w:val="00534D11"/>
    <w:rsid w:val="00535450"/>
    <w:rsid w:val="005355A3"/>
    <w:rsid w:val="00535E33"/>
    <w:rsid w:val="0053620F"/>
    <w:rsid w:val="005366F9"/>
    <w:rsid w:val="0053679F"/>
    <w:rsid w:val="00537B10"/>
    <w:rsid w:val="00537C26"/>
    <w:rsid w:val="00537CDA"/>
    <w:rsid w:val="00540089"/>
    <w:rsid w:val="00540BDF"/>
    <w:rsid w:val="005419E7"/>
    <w:rsid w:val="0054301B"/>
    <w:rsid w:val="00544073"/>
    <w:rsid w:val="00544143"/>
    <w:rsid w:val="00544629"/>
    <w:rsid w:val="00544716"/>
    <w:rsid w:val="00545734"/>
    <w:rsid w:val="00546F42"/>
    <w:rsid w:val="005503CA"/>
    <w:rsid w:val="00550682"/>
    <w:rsid w:val="0055134F"/>
    <w:rsid w:val="005517BF"/>
    <w:rsid w:val="00552E4A"/>
    <w:rsid w:val="00554680"/>
    <w:rsid w:val="00554CB7"/>
    <w:rsid w:val="00555FF1"/>
    <w:rsid w:val="0055614C"/>
    <w:rsid w:val="005571BB"/>
    <w:rsid w:val="0055721C"/>
    <w:rsid w:val="005574F6"/>
    <w:rsid w:val="0055771F"/>
    <w:rsid w:val="0055796A"/>
    <w:rsid w:val="005620D1"/>
    <w:rsid w:val="005622FE"/>
    <w:rsid w:val="005625AD"/>
    <w:rsid w:val="0056448A"/>
    <w:rsid w:val="00566336"/>
    <w:rsid w:val="00566457"/>
    <w:rsid w:val="00566A7C"/>
    <w:rsid w:val="005671BD"/>
    <w:rsid w:val="005673E8"/>
    <w:rsid w:val="00567CA5"/>
    <w:rsid w:val="0057014E"/>
    <w:rsid w:val="0057081E"/>
    <w:rsid w:val="005715C0"/>
    <w:rsid w:val="00571AF9"/>
    <w:rsid w:val="00572B0F"/>
    <w:rsid w:val="00574E33"/>
    <w:rsid w:val="00575CB1"/>
    <w:rsid w:val="005767B9"/>
    <w:rsid w:val="00576845"/>
    <w:rsid w:val="00577737"/>
    <w:rsid w:val="0057775C"/>
    <w:rsid w:val="0058020E"/>
    <w:rsid w:val="00580231"/>
    <w:rsid w:val="00580899"/>
    <w:rsid w:val="005808C7"/>
    <w:rsid w:val="00580946"/>
    <w:rsid w:val="0058203B"/>
    <w:rsid w:val="00582585"/>
    <w:rsid w:val="0058387F"/>
    <w:rsid w:val="0058390E"/>
    <w:rsid w:val="00583B35"/>
    <w:rsid w:val="0058684B"/>
    <w:rsid w:val="0058685F"/>
    <w:rsid w:val="00586EE7"/>
    <w:rsid w:val="005906C2"/>
    <w:rsid w:val="00590B38"/>
    <w:rsid w:val="00591272"/>
    <w:rsid w:val="00591758"/>
    <w:rsid w:val="00591A10"/>
    <w:rsid w:val="0059278D"/>
    <w:rsid w:val="005932DC"/>
    <w:rsid w:val="00593D2C"/>
    <w:rsid w:val="00594D07"/>
    <w:rsid w:val="00595550"/>
    <w:rsid w:val="00596A60"/>
    <w:rsid w:val="00596B60"/>
    <w:rsid w:val="00596BF0"/>
    <w:rsid w:val="00597201"/>
    <w:rsid w:val="005976F7"/>
    <w:rsid w:val="005A0474"/>
    <w:rsid w:val="005A0A4A"/>
    <w:rsid w:val="005A1020"/>
    <w:rsid w:val="005A1741"/>
    <w:rsid w:val="005A1E4E"/>
    <w:rsid w:val="005A3185"/>
    <w:rsid w:val="005A32C4"/>
    <w:rsid w:val="005A6363"/>
    <w:rsid w:val="005A7EAF"/>
    <w:rsid w:val="005B0234"/>
    <w:rsid w:val="005B0490"/>
    <w:rsid w:val="005B097D"/>
    <w:rsid w:val="005B0BAE"/>
    <w:rsid w:val="005B0E8E"/>
    <w:rsid w:val="005B19BA"/>
    <w:rsid w:val="005B1ED5"/>
    <w:rsid w:val="005B283E"/>
    <w:rsid w:val="005B3273"/>
    <w:rsid w:val="005B3B9C"/>
    <w:rsid w:val="005B4214"/>
    <w:rsid w:val="005C06F7"/>
    <w:rsid w:val="005C0C21"/>
    <w:rsid w:val="005C2AB4"/>
    <w:rsid w:val="005C2D9F"/>
    <w:rsid w:val="005C31E9"/>
    <w:rsid w:val="005C3BAE"/>
    <w:rsid w:val="005C51D1"/>
    <w:rsid w:val="005C5E38"/>
    <w:rsid w:val="005C675C"/>
    <w:rsid w:val="005C6FBA"/>
    <w:rsid w:val="005C751F"/>
    <w:rsid w:val="005D071C"/>
    <w:rsid w:val="005D0ED6"/>
    <w:rsid w:val="005D0EEE"/>
    <w:rsid w:val="005D10E6"/>
    <w:rsid w:val="005D124D"/>
    <w:rsid w:val="005D18C4"/>
    <w:rsid w:val="005D256A"/>
    <w:rsid w:val="005D2D9A"/>
    <w:rsid w:val="005D361C"/>
    <w:rsid w:val="005D4834"/>
    <w:rsid w:val="005D4D75"/>
    <w:rsid w:val="005D4D7D"/>
    <w:rsid w:val="005D4EB9"/>
    <w:rsid w:val="005D5C59"/>
    <w:rsid w:val="005D674D"/>
    <w:rsid w:val="005D6771"/>
    <w:rsid w:val="005D67BD"/>
    <w:rsid w:val="005D694D"/>
    <w:rsid w:val="005D6DC2"/>
    <w:rsid w:val="005D6F7D"/>
    <w:rsid w:val="005D7470"/>
    <w:rsid w:val="005D75E0"/>
    <w:rsid w:val="005E0613"/>
    <w:rsid w:val="005E0F4A"/>
    <w:rsid w:val="005E10C8"/>
    <w:rsid w:val="005E14C2"/>
    <w:rsid w:val="005E1874"/>
    <w:rsid w:val="005E1AB7"/>
    <w:rsid w:val="005E2F84"/>
    <w:rsid w:val="005E3468"/>
    <w:rsid w:val="005E3504"/>
    <w:rsid w:val="005E36AE"/>
    <w:rsid w:val="005E4F35"/>
    <w:rsid w:val="005E5B7E"/>
    <w:rsid w:val="005E68C6"/>
    <w:rsid w:val="005E7037"/>
    <w:rsid w:val="005E7511"/>
    <w:rsid w:val="005E78A5"/>
    <w:rsid w:val="005F211C"/>
    <w:rsid w:val="005F2532"/>
    <w:rsid w:val="005F274F"/>
    <w:rsid w:val="005F2AFD"/>
    <w:rsid w:val="005F3271"/>
    <w:rsid w:val="005F396E"/>
    <w:rsid w:val="005F3F28"/>
    <w:rsid w:val="005F5F4D"/>
    <w:rsid w:val="005F61DC"/>
    <w:rsid w:val="005F6C10"/>
    <w:rsid w:val="005F77A5"/>
    <w:rsid w:val="005F7FDF"/>
    <w:rsid w:val="00600D07"/>
    <w:rsid w:val="00602137"/>
    <w:rsid w:val="00602620"/>
    <w:rsid w:val="006054B9"/>
    <w:rsid w:val="006068EC"/>
    <w:rsid w:val="00606AE3"/>
    <w:rsid w:val="00607BA5"/>
    <w:rsid w:val="0061180A"/>
    <w:rsid w:val="006118F9"/>
    <w:rsid w:val="00611B9D"/>
    <w:rsid w:val="00612230"/>
    <w:rsid w:val="00612A57"/>
    <w:rsid w:val="00612C0D"/>
    <w:rsid w:val="00614136"/>
    <w:rsid w:val="00614C2A"/>
    <w:rsid w:val="006152E1"/>
    <w:rsid w:val="00615549"/>
    <w:rsid w:val="00615AD7"/>
    <w:rsid w:val="00615DFD"/>
    <w:rsid w:val="006160F5"/>
    <w:rsid w:val="00616EB3"/>
    <w:rsid w:val="00617155"/>
    <w:rsid w:val="0061741C"/>
    <w:rsid w:val="00621CCE"/>
    <w:rsid w:val="0062207D"/>
    <w:rsid w:val="00622EDC"/>
    <w:rsid w:val="0062315E"/>
    <w:rsid w:val="006241C0"/>
    <w:rsid w:val="006245B8"/>
    <w:rsid w:val="006249D9"/>
    <w:rsid w:val="00624A74"/>
    <w:rsid w:val="00625387"/>
    <w:rsid w:val="00625AA8"/>
    <w:rsid w:val="00626EB6"/>
    <w:rsid w:val="00627CB2"/>
    <w:rsid w:val="006307CB"/>
    <w:rsid w:val="00630E89"/>
    <w:rsid w:val="00631390"/>
    <w:rsid w:val="006313F9"/>
    <w:rsid w:val="006323D6"/>
    <w:rsid w:val="006331EF"/>
    <w:rsid w:val="00634207"/>
    <w:rsid w:val="006378F9"/>
    <w:rsid w:val="006403D8"/>
    <w:rsid w:val="00640CEF"/>
    <w:rsid w:val="0064107C"/>
    <w:rsid w:val="006433F3"/>
    <w:rsid w:val="00643A52"/>
    <w:rsid w:val="00643FC7"/>
    <w:rsid w:val="006473A0"/>
    <w:rsid w:val="0064781B"/>
    <w:rsid w:val="00647B0E"/>
    <w:rsid w:val="006504A9"/>
    <w:rsid w:val="00650AC4"/>
    <w:rsid w:val="00651BF2"/>
    <w:rsid w:val="00652EB3"/>
    <w:rsid w:val="00655413"/>
    <w:rsid w:val="00655C4F"/>
    <w:rsid w:val="00655D03"/>
    <w:rsid w:val="00656141"/>
    <w:rsid w:val="0065615F"/>
    <w:rsid w:val="00656D61"/>
    <w:rsid w:val="00657B92"/>
    <w:rsid w:val="0066004E"/>
    <w:rsid w:val="0066096D"/>
    <w:rsid w:val="00660DDD"/>
    <w:rsid w:val="00660F49"/>
    <w:rsid w:val="00660FDA"/>
    <w:rsid w:val="00661C74"/>
    <w:rsid w:val="00661E88"/>
    <w:rsid w:val="00666151"/>
    <w:rsid w:val="00666650"/>
    <w:rsid w:val="006707A1"/>
    <w:rsid w:val="00670EF2"/>
    <w:rsid w:val="00672C6C"/>
    <w:rsid w:val="00672C99"/>
    <w:rsid w:val="006735FE"/>
    <w:rsid w:val="00673A88"/>
    <w:rsid w:val="00675222"/>
    <w:rsid w:val="0067566D"/>
    <w:rsid w:val="00675887"/>
    <w:rsid w:val="006767F8"/>
    <w:rsid w:val="00677A2D"/>
    <w:rsid w:val="006810FB"/>
    <w:rsid w:val="0068270A"/>
    <w:rsid w:val="00683388"/>
    <w:rsid w:val="00683DD6"/>
    <w:rsid w:val="00683F84"/>
    <w:rsid w:val="00684140"/>
    <w:rsid w:val="00686F5D"/>
    <w:rsid w:val="006906FD"/>
    <w:rsid w:val="00691230"/>
    <w:rsid w:val="00691330"/>
    <w:rsid w:val="00691942"/>
    <w:rsid w:val="00691AB4"/>
    <w:rsid w:val="0069228C"/>
    <w:rsid w:val="00692B5C"/>
    <w:rsid w:val="00693156"/>
    <w:rsid w:val="00694313"/>
    <w:rsid w:val="00694A99"/>
    <w:rsid w:val="00694D69"/>
    <w:rsid w:val="00694FED"/>
    <w:rsid w:val="00696D78"/>
    <w:rsid w:val="006A01EA"/>
    <w:rsid w:val="006A05D3"/>
    <w:rsid w:val="006A0A99"/>
    <w:rsid w:val="006A0BF1"/>
    <w:rsid w:val="006A1466"/>
    <w:rsid w:val="006A2EBF"/>
    <w:rsid w:val="006A364F"/>
    <w:rsid w:val="006A3D11"/>
    <w:rsid w:val="006A5020"/>
    <w:rsid w:val="006A5380"/>
    <w:rsid w:val="006A6A81"/>
    <w:rsid w:val="006A6C02"/>
    <w:rsid w:val="006B11B5"/>
    <w:rsid w:val="006B1C06"/>
    <w:rsid w:val="006B299C"/>
    <w:rsid w:val="006B2C54"/>
    <w:rsid w:val="006B5168"/>
    <w:rsid w:val="006B6ADE"/>
    <w:rsid w:val="006B7991"/>
    <w:rsid w:val="006B7C87"/>
    <w:rsid w:val="006C0B0B"/>
    <w:rsid w:val="006C1761"/>
    <w:rsid w:val="006C3A4E"/>
    <w:rsid w:val="006C54B5"/>
    <w:rsid w:val="006C6C61"/>
    <w:rsid w:val="006C6E5C"/>
    <w:rsid w:val="006C6E6B"/>
    <w:rsid w:val="006C76D6"/>
    <w:rsid w:val="006C7CA2"/>
    <w:rsid w:val="006D0854"/>
    <w:rsid w:val="006D1CA8"/>
    <w:rsid w:val="006D31A2"/>
    <w:rsid w:val="006D3C42"/>
    <w:rsid w:val="006D5C17"/>
    <w:rsid w:val="006D6D56"/>
    <w:rsid w:val="006E017E"/>
    <w:rsid w:val="006E05D6"/>
    <w:rsid w:val="006E07ED"/>
    <w:rsid w:val="006E0A8B"/>
    <w:rsid w:val="006E1F10"/>
    <w:rsid w:val="006E2890"/>
    <w:rsid w:val="006E2CDD"/>
    <w:rsid w:val="006E335A"/>
    <w:rsid w:val="006E3B01"/>
    <w:rsid w:val="006E3DC1"/>
    <w:rsid w:val="006E4045"/>
    <w:rsid w:val="006E4067"/>
    <w:rsid w:val="006E4CE6"/>
    <w:rsid w:val="006E58EF"/>
    <w:rsid w:val="006E599C"/>
    <w:rsid w:val="006E693D"/>
    <w:rsid w:val="006E69AA"/>
    <w:rsid w:val="006F0025"/>
    <w:rsid w:val="006F002B"/>
    <w:rsid w:val="006F0309"/>
    <w:rsid w:val="006F05C1"/>
    <w:rsid w:val="006F10EF"/>
    <w:rsid w:val="006F14D2"/>
    <w:rsid w:val="006F150F"/>
    <w:rsid w:val="006F1A70"/>
    <w:rsid w:val="006F2810"/>
    <w:rsid w:val="006F323E"/>
    <w:rsid w:val="006F4ABD"/>
    <w:rsid w:val="006F4CA4"/>
    <w:rsid w:val="006F4F7F"/>
    <w:rsid w:val="006F57B5"/>
    <w:rsid w:val="006F57CC"/>
    <w:rsid w:val="006F66A2"/>
    <w:rsid w:val="006F6C61"/>
    <w:rsid w:val="006F6D8F"/>
    <w:rsid w:val="006F7393"/>
    <w:rsid w:val="006F7D8C"/>
    <w:rsid w:val="007012AE"/>
    <w:rsid w:val="00702011"/>
    <w:rsid w:val="0070224F"/>
    <w:rsid w:val="007046B7"/>
    <w:rsid w:val="00704723"/>
    <w:rsid w:val="0070501A"/>
    <w:rsid w:val="00705311"/>
    <w:rsid w:val="00705C3D"/>
    <w:rsid w:val="00706044"/>
    <w:rsid w:val="00706C0C"/>
    <w:rsid w:val="00707AA4"/>
    <w:rsid w:val="00710724"/>
    <w:rsid w:val="0071091A"/>
    <w:rsid w:val="007111A8"/>
    <w:rsid w:val="007115F7"/>
    <w:rsid w:val="00711DB4"/>
    <w:rsid w:val="00711FB0"/>
    <w:rsid w:val="0071215C"/>
    <w:rsid w:val="0071227C"/>
    <w:rsid w:val="00712D57"/>
    <w:rsid w:val="00713023"/>
    <w:rsid w:val="00713D82"/>
    <w:rsid w:val="00713DB5"/>
    <w:rsid w:val="00715305"/>
    <w:rsid w:val="007156BC"/>
    <w:rsid w:val="0071640A"/>
    <w:rsid w:val="00716629"/>
    <w:rsid w:val="00716B64"/>
    <w:rsid w:val="00720068"/>
    <w:rsid w:val="00720789"/>
    <w:rsid w:val="00720F2B"/>
    <w:rsid w:val="0072114F"/>
    <w:rsid w:val="00721510"/>
    <w:rsid w:val="00721C9C"/>
    <w:rsid w:val="007224D3"/>
    <w:rsid w:val="007232CF"/>
    <w:rsid w:val="007248F9"/>
    <w:rsid w:val="0072545D"/>
    <w:rsid w:val="00725671"/>
    <w:rsid w:val="00726F6C"/>
    <w:rsid w:val="007273F9"/>
    <w:rsid w:val="00727F83"/>
    <w:rsid w:val="00727FB1"/>
    <w:rsid w:val="0073038A"/>
    <w:rsid w:val="007304E5"/>
    <w:rsid w:val="007304EB"/>
    <w:rsid w:val="0073066B"/>
    <w:rsid w:val="00732C5A"/>
    <w:rsid w:val="007335D3"/>
    <w:rsid w:val="00733BB5"/>
    <w:rsid w:val="00734A66"/>
    <w:rsid w:val="007358A5"/>
    <w:rsid w:val="00735E98"/>
    <w:rsid w:val="00736B32"/>
    <w:rsid w:val="00736ED0"/>
    <w:rsid w:val="007372ED"/>
    <w:rsid w:val="00737763"/>
    <w:rsid w:val="007408A3"/>
    <w:rsid w:val="00741193"/>
    <w:rsid w:val="00741352"/>
    <w:rsid w:val="00741579"/>
    <w:rsid w:val="007419AB"/>
    <w:rsid w:val="00743962"/>
    <w:rsid w:val="007439C4"/>
    <w:rsid w:val="00743DD2"/>
    <w:rsid w:val="00744C88"/>
    <w:rsid w:val="00744F6F"/>
    <w:rsid w:val="00745283"/>
    <w:rsid w:val="007457B6"/>
    <w:rsid w:val="0074593F"/>
    <w:rsid w:val="007459D8"/>
    <w:rsid w:val="00746A00"/>
    <w:rsid w:val="00747E54"/>
    <w:rsid w:val="007509E2"/>
    <w:rsid w:val="00751369"/>
    <w:rsid w:val="00751D61"/>
    <w:rsid w:val="00751DFD"/>
    <w:rsid w:val="00753180"/>
    <w:rsid w:val="007557AF"/>
    <w:rsid w:val="00755CAB"/>
    <w:rsid w:val="00756255"/>
    <w:rsid w:val="007576FD"/>
    <w:rsid w:val="00757A0A"/>
    <w:rsid w:val="00760FB2"/>
    <w:rsid w:val="00761490"/>
    <w:rsid w:val="007624FF"/>
    <w:rsid w:val="00763162"/>
    <w:rsid w:val="007646C1"/>
    <w:rsid w:val="0076484D"/>
    <w:rsid w:val="00764EB1"/>
    <w:rsid w:val="0076607B"/>
    <w:rsid w:val="007665F9"/>
    <w:rsid w:val="00766A17"/>
    <w:rsid w:val="00766EA8"/>
    <w:rsid w:val="00767D15"/>
    <w:rsid w:val="007702B8"/>
    <w:rsid w:val="007716F5"/>
    <w:rsid w:val="007739C9"/>
    <w:rsid w:val="00773BE9"/>
    <w:rsid w:val="00773D34"/>
    <w:rsid w:val="00773D3A"/>
    <w:rsid w:val="007743FF"/>
    <w:rsid w:val="00774B26"/>
    <w:rsid w:val="0077510E"/>
    <w:rsid w:val="007762D1"/>
    <w:rsid w:val="0077710B"/>
    <w:rsid w:val="0078181A"/>
    <w:rsid w:val="00781C22"/>
    <w:rsid w:val="0078264C"/>
    <w:rsid w:val="00782AB0"/>
    <w:rsid w:val="007832F5"/>
    <w:rsid w:val="00783F9C"/>
    <w:rsid w:val="00784A1E"/>
    <w:rsid w:val="00785689"/>
    <w:rsid w:val="00787C63"/>
    <w:rsid w:val="00787E1B"/>
    <w:rsid w:val="007902C7"/>
    <w:rsid w:val="00790C4D"/>
    <w:rsid w:val="0079189A"/>
    <w:rsid w:val="00792242"/>
    <w:rsid w:val="0079379C"/>
    <w:rsid w:val="007941C1"/>
    <w:rsid w:val="00794319"/>
    <w:rsid w:val="0079541F"/>
    <w:rsid w:val="007964AE"/>
    <w:rsid w:val="0079754B"/>
    <w:rsid w:val="007A01E8"/>
    <w:rsid w:val="007A09B0"/>
    <w:rsid w:val="007A1060"/>
    <w:rsid w:val="007A1673"/>
    <w:rsid w:val="007A1E6D"/>
    <w:rsid w:val="007A40D7"/>
    <w:rsid w:val="007A58DB"/>
    <w:rsid w:val="007A6015"/>
    <w:rsid w:val="007A6575"/>
    <w:rsid w:val="007A7B56"/>
    <w:rsid w:val="007A7BE1"/>
    <w:rsid w:val="007B067B"/>
    <w:rsid w:val="007B0C23"/>
    <w:rsid w:val="007B0EB2"/>
    <w:rsid w:val="007B3599"/>
    <w:rsid w:val="007B40E8"/>
    <w:rsid w:val="007B4556"/>
    <w:rsid w:val="007B4BD8"/>
    <w:rsid w:val="007B4E9C"/>
    <w:rsid w:val="007B52CB"/>
    <w:rsid w:val="007B625D"/>
    <w:rsid w:val="007B71A7"/>
    <w:rsid w:val="007B71CC"/>
    <w:rsid w:val="007B7F73"/>
    <w:rsid w:val="007C0656"/>
    <w:rsid w:val="007C2875"/>
    <w:rsid w:val="007C4C36"/>
    <w:rsid w:val="007C557A"/>
    <w:rsid w:val="007C7087"/>
    <w:rsid w:val="007C74E9"/>
    <w:rsid w:val="007C74FD"/>
    <w:rsid w:val="007D2267"/>
    <w:rsid w:val="007D23DC"/>
    <w:rsid w:val="007D2913"/>
    <w:rsid w:val="007D2DFB"/>
    <w:rsid w:val="007D3182"/>
    <w:rsid w:val="007D31D9"/>
    <w:rsid w:val="007D3B0A"/>
    <w:rsid w:val="007D4423"/>
    <w:rsid w:val="007D4532"/>
    <w:rsid w:val="007D4716"/>
    <w:rsid w:val="007D4973"/>
    <w:rsid w:val="007D62D6"/>
    <w:rsid w:val="007D7DDD"/>
    <w:rsid w:val="007E0EF9"/>
    <w:rsid w:val="007E12F4"/>
    <w:rsid w:val="007E142F"/>
    <w:rsid w:val="007E198E"/>
    <w:rsid w:val="007E1FC5"/>
    <w:rsid w:val="007E2830"/>
    <w:rsid w:val="007E28A8"/>
    <w:rsid w:val="007E2B72"/>
    <w:rsid w:val="007E3057"/>
    <w:rsid w:val="007E3BC4"/>
    <w:rsid w:val="007E43D7"/>
    <w:rsid w:val="007E44E7"/>
    <w:rsid w:val="007E5291"/>
    <w:rsid w:val="007E5BCC"/>
    <w:rsid w:val="007E5DF2"/>
    <w:rsid w:val="007E5E21"/>
    <w:rsid w:val="007E7597"/>
    <w:rsid w:val="007F16F3"/>
    <w:rsid w:val="007F20AF"/>
    <w:rsid w:val="007F2A05"/>
    <w:rsid w:val="007F2E69"/>
    <w:rsid w:val="007F348A"/>
    <w:rsid w:val="007F38E8"/>
    <w:rsid w:val="007F4B43"/>
    <w:rsid w:val="007F60AC"/>
    <w:rsid w:val="007F6928"/>
    <w:rsid w:val="007F700E"/>
    <w:rsid w:val="007F7DE1"/>
    <w:rsid w:val="00801E0C"/>
    <w:rsid w:val="00802219"/>
    <w:rsid w:val="008031DC"/>
    <w:rsid w:val="00803AAB"/>
    <w:rsid w:val="00803ABA"/>
    <w:rsid w:val="00803C32"/>
    <w:rsid w:val="00805AC0"/>
    <w:rsid w:val="00806590"/>
    <w:rsid w:val="00807602"/>
    <w:rsid w:val="00807A69"/>
    <w:rsid w:val="00810B6F"/>
    <w:rsid w:val="00810B72"/>
    <w:rsid w:val="00811063"/>
    <w:rsid w:val="0081112E"/>
    <w:rsid w:val="0081248F"/>
    <w:rsid w:val="00812A44"/>
    <w:rsid w:val="00812BEA"/>
    <w:rsid w:val="00814E2D"/>
    <w:rsid w:val="008152CA"/>
    <w:rsid w:val="008154FF"/>
    <w:rsid w:val="00815B59"/>
    <w:rsid w:val="00817CD7"/>
    <w:rsid w:val="0082246C"/>
    <w:rsid w:val="00822CE0"/>
    <w:rsid w:val="00823A13"/>
    <w:rsid w:val="00824BDA"/>
    <w:rsid w:val="00824FB5"/>
    <w:rsid w:val="00826278"/>
    <w:rsid w:val="008263A9"/>
    <w:rsid w:val="008278B0"/>
    <w:rsid w:val="00827C1B"/>
    <w:rsid w:val="00827CBF"/>
    <w:rsid w:val="00830091"/>
    <w:rsid w:val="0083018B"/>
    <w:rsid w:val="00830366"/>
    <w:rsid w:val="00831A58"/>
    <w:rsid w:val="0083279A"/>
    <w:rsid w:val="00832E4A"/>
    <w:rsid w:val="008333E7"/>
    <w:rsid w:val="008349CC"/>
    <w:rsid w:val="00835146"/>
    <w:rsid w:val="00836272"/>
    <w:rsid w:val="00836A68"/>
    <w:rsid w:val="00836AD1"/>
    <w:rsid w:val="00836C6C"/>
    <w:rsid w:val="00841AB1"/>
    <w:rsid w:val="00842737"/>
    <w:rsid w:val="00842A68"/>
    <w:rsid w:val="00842F12"/>
    <w:rsid w:val="0084314A"/>
    <w:rsid w:val="00843D3F"/>
    <w:rsid w:val="008453BF"/>
    <w:rsid w:val="0084594B"/>
    <w:rsid w:val="00846B5B"/>
    <w:rsid w:val="008515CB"/>
    <w:rsid w:val="0085199E"/>
    <w:rsid w:val="008521BA"/>
    <w:rsid w:val="00852509"/>
    <w:rsid w:val="008527EA"/>
    <w:rsid w:val="008535DB"/>
    <w:rsid w:val="00854F00"/>
    <w:rsid w:val="00855A08"/>
    <w:rsid w:val="00855AE3"/>
    <w:rsid w:val="008574ED"/>
    <w:rsid w:val="00860131"/>
    <w:rsid w:val="008604FA"/>
    <w:rsid w:val="00860538"/>
    <w:rsid w:val="008610C4"/>
    <w:rsid w:val="0086158A"/>
    <w:rsid w:val="00863585"/>
    <w:rsid w:val="00864831"/>
    <w:rsid w:val="00866453"/>
    <w:rsid w:val="00867641"/>
    <w:rsid w:val="0086765F"/>
    <w:rsid w:val="0086785D"/>
    <w:rsid w:val="00867BEE"/>
    <w:rsid w:val="00867CBC"/>
    <w:rsid w:val="00870B1B"/>
    <w:rsid w:val="00870C26"/>
    <w:rsid w:val="008715EC"/>
    <w:rsid w:val="00871B52"/>
    <w:rsid w:val="00871C0A"/>
    <w:rsid w:val="008722ED"/>
    <w:rsid w:val="00872C63"/>
    <w:rsid w:val="008731A1"/>
    <w:rsid w:val="00873AAB"/>
    <w:rsid w:val="0087568F"/>
    <w:rsid w:val="00875E03"/>
    <w:rsid w:val="00876074"/>
    <w:rsid w:val="00876C46"/>
    <w:rsid w:val="008779AB"/>
    <w:rsid w:val="00880F36"/>
    <w:rsid w:val="00882F53"/>
    <w:rsid w:val="0088353B"/>
    <w:rsid w:val="00883674"/>
    <w:rsid w:val="00884459"/>
    <w:rsid w:val="00884E7A"/>
    <w:rsid w:val="00886030"/>
    <w:rsid w:val="00886408"/>
    <w:rsid w:val="00886543"/>
    <w:rsid w:val="008871BA"/>
    <w:rsid w:val="00887357"/>
    <w:rsid w:val="008873E6"/>
    <w:rsid w:val="00887517"/>
    <w:rsid w:val="008875E3"/>
    <w:rsid w:val="008901E0"/>
    <w:rsid w:val="0089059C"/>
    <w:rsid w:val="0089171C"/>
    <w:rsid w:val="00892289"/>
    <w:rsid w:val="00892BE5"/>
    <w:rsid w:val="00893407"/>
    <w:rsid w:val="0089390C"/>
    <w:rsid w:val="00893ABA"/>
    <w:rsid w:val="00894557"/>
    <w:rsid w:val="008948A7"/>
    <w:rsid w:val="00894DBB"/>
    <w:rsid w:val="008959E6"/>
    <w:rsid w:val="00895B7F"/>
    <w:rsid w:val="00895EAE"/>
    <w:rsid w:val="008965BF"/>
    <w:rsid w:val="008A08B4"/>
    <w:rsid w:val="008A1CCB"/>
    <w:rsid w:val="008A2A7E"/>
    <w:rsid w:val="008A31AE"/>
    <w:rsid w:val="008A3B63"/>
    <w:rsid w:val="008A49DC"/>
    <w:rsid w:val="008A4A9B"/>
    <w:rsid w:val="008A518C"/>
    <w:rsid w:val="008A53BD"/>
    <w:rsid w:val="008A7274"/>
    <w:rsid w:val="008A7838"/>
    <w:rsid w:val="008A7A6C"/>
    <w:rsid w:val="008B0654"/>
    <w:rsid w:val="008B0950"/>
    <w:rsid w:val="008B0A5A"/>
    <w:rsid w:val="008B1F69"/>
    <w:rsid w:val="008B22E7"/>
    <w:rsid w:val="008B2669"/>
    <w:rsid w:val="008B2840"/>
    <w:rsid w:val="008B2C0D"/>
    <w:rsid w:val="008B37CC"/>
    <w:rsid w:val="008B3D55"/>
    <w:rsid w:val="008B43A2"/>
    <w:rsid w:val="008B51F0"/>
    <w:rsid w:val="008B5B88"/>
    <w:rsid w:val="008B661E"/>
    <w:rsid w:val="008B69FE"/>
    <w:rsid w:val="008B6BDB"/>
    <w:rsid w:val="008B77B0"/>
    <w:rsid w:val="008C01B3"/>
    <w:rsid w:val="008C294F"/>
    <w:rsid w:val="008C29C0"/>
    <w:rsid w:val="008C3295"/>
    <w:rsid w:val="008C365D"/>
    <w:rsid w:val="008C368A"/>
    <w:rsid w:val="008C3885"/>
    <w:rsid w:val="008C3D4A"/>
    <w:rsid w:val="008C53CF"/>
    <w:rsid w:val="008C58C4"/>
    <w:rsid w:val="008C68F1"/>
    <w:rsid w:val="008C6F3C"/>
    <w:rsid w:val="008C76DB"/>
    <w:rsid w:val="008C791D"/>
    <w:rsid w:val="008D0944"/>
    <w:rsid w:val="008D0CB2"/>
    <w:rsid w:val="008D0FB3"/>
    <w:rsid w:val="008D20BD"/>
    <w:rsid w:val="008D29DA"/>
    <w:rsid w:val="008D42D2"/>
    <w:rsid w:val="008D7D19"/>
    <w:rsid w:val="008D7E87"/>
    <w:rsid w:val="008E149D"/>
    <w:rsid w:val="008E172E"/>
    <w:rsid w:val="008E20B4"/>
    <w:rsid w:val="008E27B5"/>
    <w:rsid w:val="008E2D2A"/>
    <w:rsid w:val="008E2D5C"/>
    <w:rsid w:val="008E35EE"/>
    <w:rsid w:val="008E4730"/>
    <w:rsid w:val="008E4ED3"/>
    <w:rsid w:val="008E6237"/>
    <w:rsid w:val="008E6779"/>
    <w:rsid w:val="008E6A41"/>
    <w:rsid w:val="008F0019"/>
    <w:rsid w:val="008F0C48"/>
    <w:rsid w:val="008F2AEE"/>
    <w:rsid w:val="008F2FEF"/>
    <w:rsid w:val="008F31D6"/>
    <w:rsid w:val="008F5284"/>
    <w:rsid w:val="008F5758"/>
    <w:rsid w:val="008F64BC"/>
    <w:rsid w:val="008F6514"/>
    <w:rsid w:val="008F68A0"/>
    <w:rsid w:val="008F7BB7"/>
    <w:rsid w:val="00901340"/>
    <w:rsid w:val="0090196A"/>
    <w:rsid w:val="009037A8"/>
    <w:rsid w:val="00903F16"/>
    <w:rsid w:val="0090525F"/>
    <w:rsid w:val="00905A73"/>
    <w:rsid w:val="00910229"/>
    <w:rsid w:val="009104DB"/>
    <w:rsid w:val="00910B6B"/>
    <w:rsid w:val="00911FF2"/>
    <w:rsid w:val="009127BE"/>
    <w:rsid w:val="00912A0C"/>
    <w:rsid w:val="00913FE0"/>
    <w:rsid w:val="0091413F"/>
    <w:rsid w:val="00915598"/>
    <w:rsid w:val="00917A57"/>
    <w:rsid w:val="00920217"/>
    <w:rsid w:val="009208FB"/>
    <w:rsid w:val="0092173F"/>
    <w:rsid w:val="00921803"/>
    <w:rsid w:val="00923215"/>
    <w:rsid w:val="00926503"/>
    <w:rsid w:val="00927304"/>
    <w:rsid w:val="00931562"/>
    <w:rsid w:val="00931631"/>
    <w:rsid w:val="0093275A"/>
    <w:rsid w:val="009327DA"/>
    <w:rsid w:val="00932F8D"/>
    <w:rsid w:val="00933168"/>
    <w:rsid w:val="0093341C"/>
    <w:rsid w:val="0093361D"/>
    <w:rsid w:val="00933C3A"/>
    <w:rsid w:val="009348F2"/>
    <w:rsid w:val="00936005"/>
    <w:rsid w:val="00936F68"/>
    <w:rsid w:val="009371C4"/>
    <w:rsid w:val="00937779"/>
    <w:rsid w:val="009378B4"/>
    <w:rsid w:val="0094017A"/>
    <w:rsid w:val="00941492"/>
    <w:rsid w:val="009420D5"/>
    <w:rsid w:val="00942450"/>
    <w:rsid w:val="00945107"/>
    <w:rsid w:val="0094630E"/>
    <w:rsid w:val="00946E6C"/>
    <w:rsid w:val="00947951"/>
    <w:rsid w:val="00951B74"/>
    <w:rsid w:val="009521E1"/>
    <w:rsid w:val="00952D28"/>
    <w:rsid w:val="00952DC5"/>
    <w:rsid w:val="00956567"/>
    <w:rsid w:val="009568C9"/>
    <w:rsid w:val="00957032"/>
    <w:rsid w:val="00957233"/>
    <w:rsid w:val="009601F3"/>
    <w:rsid w:val="00961665"/>
    <w:rsid w:val="00962D66"/>
    <w:rsid w:val="0096448C"/>
    <w:rsid w:val="009658F0"/>
    <w:rsid w:val="0096706B"/>
    <w:rsid w:val="0096725A"/>
    <w:rsid w:val="00967A4C"/>
    <w:rsid w:val="009704A5"/>
    <w:rsid w:val="0097097C"/>
    <w:rsid w:val="00970D81"/>
    <w:rsid w:val="00971BED"/>
    <w:rsid w:val="009726D8"/>
    <w:rsid w:val="00973A0E"/>
    <w:rsid w:val="00975060"/>
    <w:rsid w:val="009758C4"/>
    <w:rsid w:val="00975CE3"/>
    <w:rsid w:val="00977080"/>
    <w:rsid w:val="0097750C"/>
    <w:rsid w:val="00980002"/>
    <w:rsid w:val="00980180"/>
    <w:rsid w:val="00980199"/>
    <w:rsid w:val="00980806"/>
    <w:rsid w:val="0098232F"/>
    <w:rsid w:val="009838DC"/>
    <w:rsid w:val="0098572D"/>
    <w:rsid w:val="00985ACD"/>
    <w:rsid w:val="00985E7F"/>
    <w:rsid w:val="00985F6E"/>
    <w:rsid w:val="00986014"/>
    <w:rsid w:val="0099059E"/>
    <w:rsid w:val="00990B3D"/>
    <w:rsid w:val="009916FF"/>
    <w:rsid w:val="009919C5"/>
    <w:rsid w:val="009919C9"/>
    <w:rsid w:val="00992193"/>
    <w:rsid w:val="0099342F"/>
    <w:rsid w:val="00993589"/>
    <w:rsid w:val="009935FD"/>
    <w:rsid w:val="00993ACE"/>
    <w:rsid w:val="00994136"/>
    <w:rsid w:val="009951FD"/>
    <w:rsid w:val="00996A39"/>
    <w:rsid w:val="00997E5D"/>
    <w:rsid w:val="009A0117"/>
    <w:rsid w:val="009A0FB4"/>
    <w:rsid w:val="009A133B"/>
    <w:rsid w:val="009A2CFF"/>
    <w:rsid w:val="009A44FB"/>
    <w:rsid w:val="009A48B5"/>
    <w:rsid w:val="009A48D9"/>
    <w:rsid w:val="009A4D8A"/>
    <w:rsid w:val="009A55B9"/>
    <w:rsid w:val="009A6CE1"/>
    <w:rsid w:val="009A7EDC"/>
    <w:rsid w:val="009B0AAF"/>
    <w:rsid w:val="009B0F16"/>
    <w:rsid w:val="009B1A50"/>
    <w:rsid w:val="009B2D42"/>
    <w:rsid w:val="009B31A3"/>
    <w:rsid w:val="009B3C93"/>
    <w:rsid w:val="009B3E53"/>
    <w:rsid w:val="009B41E3"/>
    <w:rsid w:val="009B66C2"/>
    <w:rsid w:val="009B7318"/>
    <w:rsid w:val="009C03FC"/>
    <w:rsid w:val="009C0C6C"/>
    <w:rsid w:val="009C15F3"/>
    <w:rsid w:val="009C21CA"/>
    <w:rsid w:val="009C3984"/>
    <w:rsid w:val="009C4882"/>
    <w:rsid w:val="009C7FB7"/>
    <w:rsid w:val="009D0011"/>
    <w:rsid w:val="009D065A"/>
    <w:rsid w:val="009D0725"/>
    <w:rsid w:val="009D0762"/>
    <w:rsid w:val="009D07A6"/>
    <w:rsid w:val="009D166E"/>
    <w:rsid w:val="009D1716"/>
    <w:rsid w:val="009D20FA"/>
    <w:rsid w:val="009D2F72"/>
    <w:rsid w:val="009D3320"/>
    <w:rsid w:val="009D3FBE"/>
    <w:rsid w:val="009D4017"/>
    <w:rsid w:val="009D4476"/>
    <w:rsid w:val="009D4CFF"/>
    <w:rsid w:val="009D50C2"/>
    <w:rsid w:val="009D520F"/>
    <w:rsid w:val="009D559A"/>
    <w:rsid w:val="009D64A5"/>
    <w:rsid w:val="009E13E4"/>
    <w:rsid w:val="009E1E31"/>
    <w:rsid w:val="009E20AD"/>
    <w:rsid w:val="009E366D"/>
    <w:rsid w:val="009E3C01"/>
    <w:rsid w:val="009E4058"/>
    <w:rsid w:val="009E4B77"/>
    <w:rsid w:val="009E5029"/>
    <w:rsid w:val="009E52C6"/>
    <w:rsid w:val="009E6046"/>
    <w:rsid w:val="009E67AB"/>
    <w:rsid w:val="009E749A"/>
    <w:rsid w:val="009E7DFF"/>
    <w:rsid w:val="009F0CF1"/>
    <w:rsid w:val="009F19B1"/>
    <w:rsid w:val="009F2CDD"/>
    <w:rsid w:val="009F3936"/>
    <w:rsid w:val="009F3B4E"/>
    <w:rsid w:val="009F48DA"/>
    <w:rsid w:val="009F4E31"/>
    <w:rsid w:val="009F4F3D"/>
    <w:rsid w:val="009F5CE3"/>
    <w:rsid w:val="009F6132"/>
    <w:rsid w:val="009F62DC"/>
    <w:rsid w:val="009F6851"/>
    <w:rsid w:val="009F7249"/>
    <w:rsid w:val="009F76DB"/>
    <w:rsid w:val="00A01E75"/>
    <w:rsid w:val="00A02F23"/>
    <w:rsid w:val="00A03819"/>
    <w:rsid w:val="00A05180"/>
    <w:rsid w:val="00A06719"/>
    <w:rsid w:val="00A1066A"/>
    <w:rsid w:val="00A1076F"/>
    <w:rsid w:val="00A10B62"/>
    <w:rsid w:val="00A11403"/>
    <w:rsid w:val="00A11C60"/>
    <w:rsid w:val="00A127C7"/>
    <w:rsid w:val="00A12EA3"/>
    <w:rsid w:val="00A13807"/>
    <w:rsid w:val="00A1408D"/>
    <w:rsid w:val="00A140B6"/>
    <w:rsid w:val="00A14390"/>
    <w:rsid w:val="00A144B5"/>
    <w:rsid w:val="00A168F3"/>
    <w:rsid w:val="00A174F1"/>
    <w:rsid w:val="00A22BC1"/>
    <w:rsid w:val="00A23356"/>
    <w:rsid w:val="00A25B23"/>
    <w:rsid w:val="00A25CAA"/>
    <w:rsid w:val="00A30129"/>
    <w:rsid w:val="00A32C3B"/>
    <w:rsid w:val="00A3395E"/>
    <w:rsid w:val="00A33986"/>
    <w:rsid w:val="00A33D9B"/>
    <w:rsid w:val="00A34B8C"/>
    <w:rsid w:val="00A34C39"/>
    <w:rsid w:val="00A35AD1"/>
    <w:rsid w:val="00A35E41"/>
    <w:rsid w:val="00A36E78"/>
    <w:rsid w:val="00A373DD"/>
    <w:rsid w:val="00A37A69"/>
    <w:rsid w:val="00A40073"/>
    <w:rsid w:val="00A40859"/>
    <w:rsid w:val="00A40D2E"/>
    <w:rsid w:val="00A413DE"/>
    <w:rsid w:val="00A413FB"/>
    <w:rsid w:val="00A4172B"/>
    <w:rsid w:val="00A42A3B"/>
    <w:rsid w:val="00A42A86"/>
    <w:rsid w:val="00A4317C"/>
    <w:rsid w:val="00A4436E"/>
    <w:rsid w:val="00A4447A"/>
    <w:rsid w:val="00A4526F"/>
    <w:rsid w:val="00A45F4F"/>
    <w:rsid w:val="00A46E0C"/>
    <w:rsid w:val="00A47FB4"/>
    <w:rsid w:val="00A508EE"/>
    <w:rsid w:val="00A5122F"/>
    <w:rsid w:val="00A51426"/>
    <w:rsid w:val="00A516CB"/>
    <w:rsid w:val="00A51768"/>
    <w:rsid w:val="00A52CFC"/>
    <w:rsid w:val="00A52EE2"/>
    <w:rsid w:val="00A5358D"/>
    <w:rsid w:val="00A535B4"/>
    <w:rsid w:val="00A5456D"/>
    <w:rsid w:val="00A54885"/>
    <w:rsid w:val="00A54DDD"/>
    <w:rsid w:val="00A56F06"/>
    <w:rsid w:val="00A571BF"/>
    <w:rsid w:val="00A57A63"/>
    <w:rsid w:val="00A600A9"/>
    <w:rsid w:val="00A61312"/>
    <w:rsid w:val="00A6231F"/>
    <w:rsid w:val="00A62822"/>
    <w:rsid w:val="00A63446"/>
    <w:rsid w:val="00A6449C"/>
    <w:rsid w:val="00A645E0"/>
    <w:rsid w:val="00A661AD"/>
    <w:rsid w:val="00A66E93"/>
    <w:rsid w:val="00A70443"/>
    <w:rsid w:val="00A71800"/>
    <w:rsid w:val="00A71DDE"/>
    <w:rsid w:val="00A73728"/>
    <w:rsid w:val="00A737B7"/>
    <w:rsid w:val="00A74A7D"/>
    <w:rsid w:val="00A74B13"/>
    <w:rsid w:val="00A766A5"/>
    <w:rsid w:val="00A76D7C"/>
    <w:rsid w:val="00A77024"/>
    <w:rsid w:val="00A776FA"/>
    <w:rsid w:val="00A777FF"/>
    <w:rsid w:val="00A77E25"/>
    <w:rsid w:val="00A8027A"/>
    <w:rsid w:val="00A81FB5"/>
    <w:rsid w:val="00A821B9"/>
    <w:rsid w:val="00A8228F"/>
    <w:rsid w:val="00A83591"/>
    <w:rsid w:val="00A83D50"/>
    <w:rsid w:val="00A841CD"/>
    <w:rsid w:val="00A841F9"/>
    <w:rsid w:val="00A84364"/>
    <w:rsid w:val="00A8446A"/>
    <w:rsid w:val="00A84768"/>
    <w:rsid w:val="00A866DC"/>
    <w:rsid w:val="00A8733E"/>
    <w:rsid w:val="00A87385"/>
    <w:rsid w:val="00A87CBE"/>
    <w:rsid w:val="00A87DFA"/>
    <w:rsid w:val="00A9013D"/>
    <w:rsid w:val="00A90BDC"/>
    <w:rsid w:val="00A90F75"/>
    <w:rsid w:val="00A91625"/>
    <w:rsid w:val="00A9195E"/>
    <w:rsid w:val="00A919E1"/>
    <w:rsid w:val="00A91D36"/>
    <w:rsid w:val="00A91D59"/>
    <w:rsid w:val="00A92766"/>
    <w:rsid w:val="00A934F0"/>
    <w:rsid w:val="00A94E12"/>
    <w:rsid w:val="00A953BB"/>
    <w:rsid w:val="00A96091"/>
    <w:rsid w:val="00A96297"/>
    <w:rsid w:val="00A9649E"/>
    <w:rsid w:val="00A967FC"/>
    <w:rsid w:val="00A9735A"/>
    <w:rsid w:val="00AA0C5B"/>
    <w:rsid w:val="00AA16BC"/>
    <w:rsid w:val="00AA17A8"/>
    <w:rsid w:val="00AA22EC"/>
    <w:rsid w:val="00AA3185"/>
    <w:rsid w:val="00AA468E"/>
    <w:rsid w:val="00AA4DBC"/>
    <w:rsid w:val="00AA55B7"/>
    <w:rsid w:val="00AA56F9"/>
    <w:rsid w:val="00AA5B9E"/>
    <w:rsid w:val="00AA68A4"/>
    <w:rsid w:val="00AA6D5D"/>
    <w:rsid w:val="00AA7E87"/>
    <w:rsid w:val="00AB136A"/>
    <w:rsid w:val="00AB15FD"/>
    <w:rsid w:val="00AB165A"/>
    <w:rsid w:val="00AB1E4E"/>
    <w:rsid w:val="00AB2407"/>
    <w:rsid w:val="00AB38AD"/>
    <w:rsid w:val="00AB3D50"/>
    <w:rsid w:val="00AB53DF"/>
    <w:rsid w:val="00AB58C7"/>
    <w:rsid w:val="00AB5C10"/>
    <w:rsid w:val="00AB6462"/>
    <w:rsid w:val="00AB6EAE"/>
    <w:rsid w:val="00AB763C"/>
    <w:rsid w:val="00AB7D4D"/>
    <w:rsid w:val="00AC099F"/>
    <w:rsid w:val="00AC0AAE"/>
    <w:rsid w:val="00AC0C20"/>
    <w:rsid w:val="00AC1013"/>
    <w:rsid w:val="00AC1219"/>
    <w:rsid w:val="00AC21EA"/>
    <w:rsid w:val="00AC2495"/>
    <w:rsid w:val="00AC3C27"/>
    <w:rsid w:val="00AC56DE"/>
    <w:rsid w:val="00AC655B"/>
    <w:rsid w:val="00AC7697"/>
    <w:rsid w:val="00AC785D"/>
    <w:rsid w:val="00AC788C"/>
    <w:rsid w:val="00AD0B17"/>
    <w:rsid w:val="00AD0EA0"/>
    <w:rsid w:val="00AD191C"/>
    <w:rsid w:val="00AD20BF"/>
    <w:rsid w:val="00AD3BE7"/>
    <w:rsid w:val="00AD4276"/>
    <w:rsid w:val="00AD441E"/>
    <w:rsid w:val="00AD4C1E"/>
    <w:rsid w:val="00AD631E"/>
    <w:rsid w:val="00AD7A48"/>
    <w:rsid w:val="00AE1995"/>
    <w:rsid w:val="00AE1BC1"/>
    <w:rsid w:val="00AE1C63"/>
    <w:rsid w:val="00AE3695"/>
    <w:rsid w:val="00AE3921"/>
    <w:rsid w:val="00AE3F8C"/>
    <w:rsid w:val="00AE52F0"/>
    <w:rsid w:val="00AE6347"/>
    <w:rsid w:val="00AE67B5"/>
    <w:rsid w:val="00AE6C9A"/>
    <w:rsid w:val="00AE6E98"/>
    <w:rsid w:val="00AE7D00"/>
    <w:rsid w:val="00AF05A7"/>
    <w:rsid w:val="00AF47C3"/>
    <w:rsid w:val="00AF653F"/>
    <w:rsid w:val="00AF6554"/>
    <w:rsid w:val="00AF7575"/>
    <w:rsid w:val="00AF76A7"/>
    <w:rsid w:val="00AF7BDF"/>
    <w:rsid w:val="00B0044F"/>
    <w:rsid w:val="00B01773"/>
    <w:rsid w:val="00B01A92"/>
    <w:rsid w:val="00B02703"/>
    <w:rsid w:val="00B02A1F"/>
    <w:rsid w:val="00B038E0"/>
    <w:rsid w:val="00B03A1D"/>
    <w:rsid w:val="00B0417A"/>
    <w:rsid w:val="00B05954"/>
    <w:rsid w:val="00B059B3"/>
    <w:rsid w:val="00B05AD1"/>
    <w:rsid w:val="00B05F1A"/>
    <w:rsid w:val="00B06588"/>
    <w:rsid w:val="00B06724"/>
    <w:rsid w:val="00B06E1F"/>
    <w:rsid w:val="00B07E5C"/>
    <w:rsid w:val="00B106EE"/>
    <w:rsid w:val="00B12295"/>
    <w:rsid w:val="00B125BA"/>
    <w:rsid w:val="00B12E2D"/>
    <w:rsid w:val="00B13314"/>
    <w:rsid w:val="00B1366C"/>
    <w:rsid w:val="00B13D6D"/>
    <w:rsid w:val="00B14F80"/>
    <w:rsid w:val="00B151FE"/>
    <w:rsid w:val="00B16386"/>
    <w:rsid w:val="00B170BB"/>
    <w:rsid w:val="00B17BF5"/>
    <w:rsid w:val="00B20855"/>
    <w:rsid w:val="00B21550"/>
    <w:rsid w:val="00B22472"/>
    <w:rsid w:val="00B23EDC"/>
    <w:rsid w:val="00B24096"/>
    <w:rsid w:val="00B248CC"/>
    <w:rsid w:val="00B24C86"/>
    <w:rsid w:val="00B25408"/>
    <w:rsid w:val="00B264FA"/>
    <w:rsid w:val="00B26963"/>
    <w:rsid w:val="00B26B8B"/>
    <w:rsid w:val="00B275F5"/>
    <w:rsid w:val="00B30289"/>
    <w:rsid w:val="00B3090E"/>
    <w:rsid w:val="00B30ABC"/>
    <w:rsid w:val="00B31616"/>
    <w:rsid w:val="00B31B4D"/>
    <w:rsid w:val="00B335ED"/>
    <w:rsid w:val="00B34072"/>
    <w:rsid w:val="00B36D26"/>
    <w:rsid w:val="00B37FF6"/>
    <w:rsid w:val="00B400F9"/>
    <w:rsid w:val="00B41311"/>
    <w:rsid w:val="00B41809"/>
    <w:rsid w:val="00B41A2C"/>
    <w:rsid w:val="00B42E37"/>
    <w:rsid w:val="00B447AC"/>
    <w:rsid w:val="00B4527D"/>
    <w:rsid w:val="00B46414"/>
    <w:rsid w:val="00B46695"/>
    <w:rsid w:val="00B5027A"/>
    <w:rsid w:val="00B5088C"/>
    <w:rsid w:val="00B52004"/>
    <w:rsid w:val="00B53735"/>
    <w:rsid w:val="00B53997"/>
    <w:rsid w:val="00B54E4C"/>
    <w:rsid w:val="00B55630"/>
    <w:rsid w:val="00B55FD4"/>
    <w:rsid w:val="00B56EFD"/>
    <w:rsid w:val="00B602C5"/>
    <w:rsid w:val="00B60464"/>
    <w:rsid w:val="00B60833"/>
    <w:rsid w:val="00B62071"/>
    <w:rsid w:val="00B626A1"/>
    <w:rsid w:val="00B6281D"/>
    <w:rsid w:val="00B62B3C"/>
    <w:rsid w:val="00B633F2"/>
    <w:rsid w:val="00B6416F"/>
    <w:rsid w:val="00B647F6"/>
    <w:rsid w:val="00B648D7"/>
    <w:rsid w:val="00B6516E"/>
    <w:rsid w:val="00B65F0C"/>
    <w:rsid w:val="00B6619A"/>
    <w:rsid w:val="00B663CE"/>
    <w:rsid w:val="00B67236"/>
    <w:rsid w:val="00B673B7"/>
    <w:rsid w:val="00B70AC2"/>
    <w:rsid w:val="00B72B0D"/>
    <w:rsid w:val="00B7347C"/>
    <w:rsid w:val="00B74791"/>
    <w:rsid w:val="00B7559E"/>
    <w:rsid w:val="00B75636"/>
    <w:rsid w:val="00B75F0F"/>
    <w:rsid w:val="00B75F1C"/>
    <w:rsid w:val="00B7668D"/>
    <w:rsid w:val="00B76C6B"/>
    <w:rsid w:val="00B76DC0"/>
    <w:rsid w:val="00B7753B"/>
    <w:rsid w:val="00B7764C"/>
    <w:rsid w:val="00B778FC"/>
    <w:rsid w:val="00B803CA"/>
    <w:rsid w:val="00B80BF0"/>
    <w:rsid w:val="00B811F7"/>
    <w:rsid w:val="00B81D7A"/>
    <w:rsid w:val="00B83065"/>
    <w:rsid w:val="00B83611"/>
    <w:rsid w:val="00B900B5"/>
    <w:rsid w:val="00B90C99"/>
    <w:rsid w:val="00B910A7"/>
    <w:rsid w:val="00B92AA5"/>
    <w:rsid w:val="00B92B84"/>
    <w:rsid w:val="00B92E34"/>
    <w:rsid w:val="00B9413C"/>
    <w:rsid w:val="00B947D1"/>
    <w:rsid w:val="00B94E88"/>
    <w:rsid w:val="00B95100"/>
    <w:rsid w:val="00B95BB4"/>
    <w:rsid w:val="00B975AF"/>
    <w:rsid w:val="00B97670"/>
    <w:rsid w:val="00B97D1A"/>
    <w:rsid w:val="00BA0C86"/>
    <w:rsid w:val="00BA17C8"/>
    <w:rsid w:val="00BA1A5D"/>
    <w:rsid w:val="00BA1DED"/>
    <w:rsid w:val="00BA307D"/>
    <w:rsid w:val="00BA35EA"/>
    <w:rsid w:val="00BA3C35"/>
    <w:rsid w:val="00BA3F66"/>
    <w:rsid w:val="00BA40E3"/>
    <w:rsid w:val="00BA42C6"/>
    <w:rsid w:val="00BA43EF"/>
    <w:rsid w:val="00BA44BE"/>
    <w:rsid w:val="00BA46A2"/>
    <w:rsid w:val="00BA53B0"/>
    <w:rsid w:val="00BA55C0"/>
    <w:rsid w:val="00BA5BF3"/>
    <w:rsid w:val="00BA5DC6"/>
    <w:rsid w:val="00BA6196"/>
    <w:rsid w:val="00BA7976"/>
    <w:rsid w:val="00BA7B40"/>
    <w:rsid w:val="00BB2DAC"/>
    <w:rsid w:val="00BB3882"/>
    <w:rsid w:val="00BB3E95"/>
    <w:rsid w:val="00BB41DE"/>
    <w:rsid w:val="00BB5BF8"/>
    <w:rsid w:val="00BC06FE"/>
    <w:rsid w:val="00BC0968"/>
    <w:rsid w:val="00BC1DAD"/>
    <w:rsid w:val="00BC1DBF"/>
    <w:rsid w:val="00BC2314"/>
    <w:rsid w:val="00BC2CE4"/>
    <w:rsid w:val="00BC311C"/>
    <w:rsid w:val="00BC3A4C"/>
    <w:rsid w:val="00BC4371"/>
    <w:rsid w:val="00BC6886"/>
    <w:rsid w:val="00BC6D8C"/>
    <w:rsid w:val="00BC798B"/>
    <w:rsid w:val="00BC7ABA"/>
    <w:rsid w:val="00BD03A0"/>
    <w:rsid w:val="00BD0F04"/>
    <w:rsid w:val="00BD1C01"/>
    <w:rsid w:val="00BD26DC"/>
    <w:rsid w:val="00BD2F1A"/>
    <w:rsid w:val="00BD3157"/>
    <w:rsid w:val="00BD38ED"/>
    <w:rsid w:val="00BD446D"/>
    <w:rsid w:val="00BD448A"/>
    <w:rsid w:val="00BD5489"/>
    <w:rsid w:val="00BD5B67"/>
    <w:rsid w:val="00BD6424"/>
    <w:rsid w:val="00BD7A30"/>
    <w:rsid w:val="00BE0368"/>
    <w:rsid w:val="00BE036A"/>
    <w:rsid w:val="00BE0812"/>
    <w:rsid w:val="00BE132D"/>
    <w:rsid w:val="00BE14D2"/>
    <w:rsid w:val="00BE18F3"/>
    <w:rsid w:val="00BE2406"/>
    <w:rsid w:val="00BE2850"/>
    <w:rsid w:val="00BE4A0B"/>
    <w:rsid w:val="00BE54DB"/>
    <w:rsid w:val="00BE56EE"/>
    <w:rsid w:val="00BE57CC"/>
    <w:rsid w:val="00BE7BBE"/>
    <w:rsid w:val="00BE7F8B"/>
    <w:rsid w:val="00BF0C0D"/>
    <w:rsid w:val="00BF0C3E"/>
    <w:rsid w:val="00BF55C7"/>
    <w:rsid w:val="00BF6DC8"/>
    <w:rsid w:val="00BF7FFE"/>
    <w:rsid w:val="00C00237"/>
    <w:rsid w:val="00C00F0D"/>
    <w:rsid w:val="00C028F7"/>
    <w:rsid w:val="00C0403E"/>
    <w:rsid w:val="00C06045"/>
    <w:rsid w:val="00C06D2A"/>
    <w:rsid w:val="00C07088"/>
    <w:rsid w:val="00C10735"/>
    <w:rsid w:val="00C11B93"/>
    <w:rsid w:val="00C1351C"/>
    <w:rsid w:val="00C137D4"/>
    <w:rsid w:val="00C14308"/>
    <w:rsid w:val="00C1516F"/>
    <w:rsid w:val="00C158F0"/>
    <w:rsid w:val="00C15EE6"/>
    <w:rsid w:val="00C1661A"/>
    <w:rsid w:val="00C17792"/>
    <w:rsid w:val="00C17971"/>
    <w:rsid w:val="00C17ADC"/>
    <w:rsid w:val="00C17B7A"/>
    <w:rsid w:val="00C201C7"/>
    <w:rsid w:val="00C2073A"/>
    <w:rsid w:val="00C22B63"/>
    <w:rsid w:val="00C2377B"/>
    <w:rsid w:val="00C24C3B"/>
    <w:rsid w:val="00C2513C"/>
    <w:rsid w:val="00C25909"/>
    <w:rsid w:val="00C2750E"/>
    <w:rsid w:val="00C305C1"/>
    <w:rsid w:val="00C3167F"/>
    <w:rsid w:val="00C31F89"/>
    <w:rsid w:val="00C32BCB"/>
    <w:rsid w:val="00C33563"/>
    <w:rsid w:val="00C33C49"/>
    <w:rsid w:val="00C34006"/>
    <w:rsid w:val="00C34C21"/>
    <w:rsid w:val="00C3586B"/>
    <w:rsid w:val="00C35BEC"/>
    <w:rsid w:val="00C35C3B"/>
    <w:rsid w:val="00C36715"/>
    <w:rsid w:val="00C368B7"/>
    <w:rsid w:val="00C36AAF"/>
    <w:rsid w:val="00C379D7"/>
    <w:rsid w:val="00C37F91"/>
    <w:rsid w:val="00C402DA"/>
    <w:rsid w:val="00C426B1"/>
    <w:rsid w:val="00C43847"/>
    <w:rsid w:val="00C43E21"/>
    <w:rsid w:val="00C456CE"/>
    <w:rsid w:val="00C45B46"/>
    <w:rsid w:val="00C460C8"/>
    <w:rsid w:val="00C46383"/>
    <w:rsid w:val="00C464E2"/>
    <w:rsid w:val="00C508B4"/>
    <w:rsid w:val="00C51BC2"/>
    <w:rsid w:val="00C5299C"/>
    <w:rsid w:val="00C53959"/>
    <w:rsid w:val="00C54C0B"/>
    <w:rsid w:val="00C54EC7"/>
    <w:rsid w:val="00C559FB"/>
    <w:rsid w:val="00C55BD5"/>
    <w:rsid w:val="00C57E32"/>
    <w:rsid w:val="00C60069"/>
    <w:rsid w:val="00C611DA"/>
    <w:rsid w:val="00C611E0"/>
    <w:rsid w:val="00C6125A"/>
    <w:rsid w:val="00C61E5D"/>
    <w:rsid w:val="00C62462"/>
    <w:rsid w:val="00C64C9F"/>
    <w:rsid w:val="00C66160"/>
    <w:rsid w:val="00C66756"/>
    <w:rsid w:val="00C66D59"/>
    <w:rsid w:val="00C670F9"/>
    <w:rsid w:val="00C67630"/>
    <w:rsid w:val="00C67715"/>
    <w:rsid w:val="00C70DB0"/>
    <w:rsid w:val="00C715CD"/>
    <w:rsid w:val="00C71B53"/>
    <w:rsid w:val="00C721AC"/>
    <w:rsid w:val="00C73596"/>
    <w:rsid w:val="00C74A02"/>
    <w:rsid w:val="00C74B82"/>
    <w:rsid w:val="00C75078"/>
    <w:rsid w:val="00C75DB1"/>
    <w:rsid w:val="00C76BB4"/>
    <w:rsid w:val="00C76E47"/>
    <w:rsid w:val="00C77414"/>
    <w:rsid w:val="00C77A1A"/>
    <w:rsid w:val="00C8080C"/>
    <w:rsid w:val="00C808A0"/>
    <w:rsid w:val="00C826B5"/>
    <w:rsid w:val="00C82D96"/>
    <w:rsid w:val="00C86A74"/>
    <w:rsid w:val="00C8706E"/>
    <w:rsid w:val="00C90D6A"/>
    <w:rsid w:val="00C918F7"/>
    <w:rsid w:val="00C933AF"/>
    <w:rsid w:val="00C9341F"/>
    <w:rsid w:val="00C93BF3"/>
    <w:rsid w:val="00C93F27"/>
    <w:rsid w:val="00C946B5"/>
    <w:rsid w:val="00C946D3"/>
    <w:rsid w:val="00C958D5"/>
    <w:rsid w:val="00C95A8E"/>
    <w:rsid w:val="00C95CF4"/>
    <w:rsid w:val="00C96955"/>
    <w:rsid w:val="00C96A07"/>
    <w:rsid w:val="00C970DF"/>
    <w:rsid w:val="00CA040E"/>
    <w:rsid w:val="00CA06ED"/>
    <w:rsid w:val="00CA1C19"/>
    <w:rsid w:val="00CA1EF0"/>
    <w:rsid w:val="00CA2140"/>
    <w:rsid w:val="00CA247E"/>
    <w:rsid w:val="00CA2775"/>
    <w:rsid w:val="00CA2BE0"/>
    <w:rsid w:val="00CA3060"/>
    <w:rsid w:val="00CA3BF0"/>
    <w:rsid w:val="00CA6484"/>
    <w:rsid w:val="00CA6FBD"/>
    <w:rsid w:val="00CB0CB3"/>
    <w:rsid w:val="00CB1E96"/>
    <w:rsid w:val="00CB24D7"/>
    <w:rsid w:val="00CB2510"/>
    <w:rsid w:val="00CB3796"/>
    <w:rsid w:val="00CB469E"/>
    <w:rsid w:val="00CB5E16"/>
    <w:rsid w:val="00CB6B03"/>
    <w:rsid w:val="00CB745F"/>
    <w:rsid w:val="00CC0269"/>
    <w:rsid w:val="00CC21A1"/>
    <w:rsid w:val="00CC2478"/>
    <w:rsid w:val="00CC250C"/>
    <w:rsid w:val="00CC341A"/>
    <w:rsid w:val="00CC3EF0"/>
    <w:rsid w:val="00CC4004"/>
    <w:rsid w:val="00CC4B91"/>
    <w:rsid w:val="00CC4D3C"/>
    <w:rsid w:val="00CC72B6"/>
    <w:rsid w:val="00CC72C3"/>
    <w:rsid w:val="00CD06EB"/>
    <w:rsid w:val="00CD08B6"/>
    <w:rsid w:val="00CD24E5"/>
    <w:rsid w:val="00CD3A7C"/>
    <w:rsid w:val="00CD3B20"/>
    <w:rsid w:val="00CD4468"/>
    <w:rsid w:val="00CD4ADC"/>
    <w:rsid w:val="00CD4B4E"/>
    <w:rsid w:val="00CD612E"/>
    <w:rsid w:val="00CD6A60"/>
    <w:rsid w:val="00CE10D8"/>
    <w:rsid w:val="00CE30D9"/>
    <w:rsid w:val="00CE4F42"/>
    <w:rsid w:val="00CE5B78"/>
    <w:rsid w:val="00CE6874"/>
    <w:rsid w:val="00CE6B0F"/>
    <w:rsid w:val="00CE7631"/>
    <w:rsid w:val="00CF2E79"/>
    <w:rsid w:val="00CF409D"/>
    <w:rsid w:val="00CF4362"/>
    <w:rsid w:val="00CF4AD5"/>
    <w:rsid w:val="00CF5847"/>
    <w:rsid w:val="00CF5DAA"/>
    <w:rsid w:val="00CF6F15"/>
    <w:rsid w:val="00CF70B8"/>
    <w:rsid w:val="00CF732D"/>
    <w:rsid w:val="00CF7AD6"/>
    <w:rsid w:val="00D011DD"/>
    <w:rsid w:val="00D01319"/>
    <w:rsid w:val="00D01B54"/>
    <w:rsid w:val="00D0204E"/>
    <w:rsid w:val="00D0218D"/>
    <w:rsid w:val="00D023DD"/>
    <w:rsid w:val="00D0504C"/>
    <w:rsid w:val="00D05AC7"/>
    <w:rsid w:val="00D07F86"/>
    <w:rsid w:val="00D1238E"/>
    <w:rsid w:val="00D13A5F"/>
    <w:rsid w:val="00D13AF5"/>
    <w:rsid w:val="00D13B2C"/>
    <w:rsid w:val="00D13C46"/>
    <w:rsid w:val="00D14218"/>
    <w:rsid w:val="00D14C70"/>
    <w:rsid w:val="00D15EBF"/>
    <w:rsid w:val="00D1624F"/>
    <w:rsid w:val="00D1662B"/>
    <w:rsid w:val="00D168CD"/>
    <w:rsid w:val="00D16EC0"/>
    <w:rsid w:val="00D17DB7"/>
    <w:rsid w:val="00D20146"/>
    <w:rsid w:val="00D2036A"/>
    <w:rsid w:val="00D208E4"/>
    <w:rsid w:val="00D20AAC"/>
    <w:rsid w:val="00D2151D"/>
    <w:rsid w:val="00D21D18"/>
    <w:rsid w:val="00D222A4"/>
    <w:rsid w:val="00D23062"/>
    <w:rsid w:val="00D242E0"/>
    <w:rsid w:val="00D258DD"/>
    <w:rsid w:val="00D25FB5"/>
    <w:rsid w:val="00D2611D"/>
    <w:rsid w:val="00D26497"/>
    <w:rsid w:val="00D26E02"/>
    <w:rsid w:val="00D271D9"/>
    <w:rsid w:val="00D27A61"/>
    <w:rsid w:val="00D30472"/>
    <w:rsid w:val="00D30B09"/>
    <w:rsid w:val="00D31967"/>
    <w:rsid w:val="00D3198E"/>
    <w:rsid w:val="00D32299"/>
    <w:rsid w:val="00D32C01"/>
    <w:rsid w:val="00D333D2"/>
    <w:rsid w:val="00D33676"/>
    <w:rsid w:val="00D3399E"/>
    <w:rsid w:val="00D33FD9"/>
    <w:rsid w:val="00D34809"/>
    <w:rsid w:val="00D34F1D"/>
    <w:rsid w:val="00D352F7"/>
    <w:rsid w:val="00D35AFC"/>
    <w:rsid w:val="00D35BC7"/>
    <w:rsid w:val="00D36CE2"/>
    <w:rsid w:val="00D419C9"/>
    <w:rsid w:val="00D41B34"/>
    <w:rsid w:val="00D41DC9"/>
    <w:rsid w:val="00D420D2"/>
    <w:rsid w:val="00D42F5A"/>
    <w:rsid w:val="00D4379F"/>
    <w:rsid w:val="00D44223"/>
    <w:rsid w:val="00D44305"/>
    <w:rsid w:val="00D44C8F"/>
    <w:rsid w:val="00D4609E"/>
    <w:rsid w:val="00D462D1"/>
    <w:rsid w:val="00D46D57"/>
    <w:rsid w:val="00D478A9"/>
    <w:rsid w:val="00D51055"/>
    <w:rsid w:val="00D51634"/>
    <w:rsid w:val="00D52187"/>
    <w:rsid w:val="00D53177"/>
    <w:rsid w:val="00D54915"/>
    <w:rsid w:val="00D55E70"/>
    <w:rsid w:val="00D561C1"/>
    <w:rsid w:val="00D570AA"/>
    <w:rsid w:val="00D577A3"/>
    <w:rsid w:val="00D62938"/>
    <w:rsid w:val="00D63040"/>
    <w:rsid w:val="00D63514"/>
    <w:rsid w:val="00D63C35"/>
    <w:rsid w:val="00D63D8C"/>
    <w:rsid w:val="00D64398"/>
    <w:rsid w:val="00D64F1F"/>
    <w:rsid w:val="00D66587"/>
    <w:rsid w:val="00D66667"/>
    <w:rsid w:val="00D706B1"/>
    <w:rsid w:val="00D72985"/>
    <w:rsid w:val="00D72B11"/>
    <w:rsid w:val="00D72C1A"/>
    <w:rsid w:val="00D7426C"/>
    <w:rsid w:val="00D74463"/>
    <w:rsid w:val="00D74611"/>
    <w:rsid w:val="00D74D5D"/>
    <w:rsid w:val="00D75262"/>
    <w:rsid w:val="00D75B05"/>
    <w:rsid w:val="00D75F42"/>
    <w:rsid w:val="00D76D9A"/>
    <w:rsid w:val="00D77487"/>
    <w:rsid w:val="00D80031"/>
    <w:rsid w:val="00D8013A"/>
    <w:rsid w:val="00D82333"/>
    <w:rsid w:val="00D83591"/>
    <w:rsid w:val="00D8407D"/>
    <w:rsid w:val="00D849D3"/>
    <w:rsid w:val="00D84BFF"/>
    <w:rsid w:val="00D84FE3"/>
    <w:rsid w:val="00D857C2"/>
    <w:rsid w:val="00D85AC7"/>
    <w:rsid w:val="00D86546"/>
    <w:rsid w:val="00D86615"/>
    <w:rsid w:val="00D87A38"/>
    <w:rsid w:val="00D91048"/>
    <w:rsid w:val="00D91148"/>
    <w:rsid w:val="00D91894"/>
    <w:rsid w:val="00D92DE7"/>
    <w:rsid w:val="00D934F3"/>
    <w:rsid w:val="00D93A82"/>
    <w:rsid w:val="00D94434"/>
    <w:rsid w:val="00D96199"/>
    <w:rsid w:val="00D97172"/>
    <w:rsid w:val="00D976D7"/>
    <w:rsid w:val="00DA03F4"/>
    <w:rsid w:val="00DA0B1A"/>
    <w:rsid w:val="00DA2529"/>
    <w:rsid w:val="00DA2F56"/>
    <w:rsid w:val="00DA3557"/>
    <w:rsid w:val="00DA3F9D"/>
    <w:rsid w:val="00DA410C"/>
    <w:rsid w:val="00DA5ED2"/>
    <w:rsid w:val="00DB05C1"/>
    <w:rsid w:val="00DB130A"/>
    <w:rsid w:val="00DB16D3"/>
    <w:rsid w:val="00DB197B"/>
    <w:rsid w:val="00DB2EBB"/>
    <w:rsid w:val="00DB3024"/>
    <w:rsid w:val="00DB4614"/>
    <w:rsid w:val="00DB4C45"/>
    <w:rsid w:val="00DB4E80"/>
    <w:rsid w:val="00DB503F"/>
    <w:rsid w:val="00DB5AFB"/>
    <w:rsid w:val="00DB5B85"/>
    <w:rsid w:val="00DB6F2B"/>
    <w:rsid w:val="00DB7575"/>
    <w:rsid w:val="00DB77DE"/>
    <w:rsid w:val="00DB7D67"/>
    <w:rsid w:val="00DC0950"/>
    <w:rsid w:val="00DC0CF5"/>
    <w:rsid w:val="00DC0E5E"/>
    <w:rsid w:val="00DC10A1"/>
    <w:rsid w:val="00DC1155"/>
    <w:rsid w:val="00DC3010"/>
    <w:rsid w:val="00DC39D1"/>
    <w:rsid w:val="00DC4549"/>
    <w:rsid w:val="00DC5FFB"/>
    <w:rsid w:val="00DC655F"/>
    <w:rsid w:val="00DC6E96"/>
    <w:rsid w:val="00DC7178"/>
    <w:rsid w:val="00DC721B"/>
    <w:rsid w:val="00DC72FF"/>
    <w:rsid w:val="00DC7369"/>
    <w:rsid w:val="00DC7692"/>
    <w:rsid w:val="00DC7CC9"/>
    <w:rsid w:val="00DD05A2"/>
    <w:rsid w:val="00DD0B59"/>
    <w:rsid w:val="00DD3558"/>
    <w:rsid w:val="00DD43B7"/>
    <w:rsid w:val="00DD4455"/>
    <w:rsid w:val="00DD462B"/>
    <w:rsid w:val="00DD466D"/>
    <w:rsid w:val="00DD74D0"/>
    <w:rsid w:val="00DD7B15"/>
    <w:rsid w:val="00DD7EBD"/>
    <w:rsid w:val="00DE04AF"/>
    <w:rsid w:val="00DE0BF5"/>
    <w:rsid w:val="00DE1590"/>
    <w:rsid w:val="00DE16ED"/>
    <w:rsid w:val="00DE1B3E"/>
    <w:rsid w:val="00DE291D"/>
    <w:rsid w:val="00DE3D51"/>
    <w:rsid w:val="00DE3E96"/>
    <w:rsid w:val="00DE4700"/>
    <w:rsid w:val="00DE5151"/>
    <w:rsid w:val="00DE5640"/>
    <w:rsid w:val="00DE6341"/>
    <w:rsid w:val="00DE6C53"/>
    <w:rsid w:val="00DE7A78"/>
    <w:rsid w:val="00DF10A7"/>
    <w:rsid w:val="00DF2FFE"/>
    <w:rsid w:val="00DF3A6B"/>
    <w:rsid w:val="00DF3CF7"/>
    <w:rsid w:val="00DF3F7E"/>
    <w:rsid w:val="00DF43AF"/>
    <w:rsid w:val="00DF48CA"/>
    <w:rsid w:val="00DF50B3"/>
    <w:rsid w:val="00DF50F8"/>
    <w:rsid w:val="00DF5837"/>
    <w:rsid w:val="00DF58F1"/>
    <w:rsid w:val="00DF5EE3"/>
    <w:rsid w:val="00DF62B6"/>
    <w:rsid w:val="00DF6C09"/>
    <w:rsid w:val="00DF700A"/>
    <w:rsid w:val="00E000E5"/>
    <w:rsid w:val="00E02E64"/>
    <w:rsid w:val="00E04133"/>
    <w:rsid w:val="00E041B9"/>
    <w:rsid w:val="00E04953"/>
    <w:rsid w:val="00E0507E"/>
    <w:rsid w:val="00E05222"/>
    <w:rsid w:val="00E05489"/>
    <w:rsid w:val="00E05646"/>
    <w:rsid w:val="00E05A9B"/>
    <w:rsid w:val="00E05F7A"/>
    <w:rsid w:val="00E05FDB"/>
    <w:rsid w:val="00E06608"/>
    <w:rsid w:val="00E06DC8"/>
    <w:rsid w:val="00E07225"/>
    <w:rsid w:val="00E0751E"/>
    <w:rsid w:val="00E07BED"/>
    <w:rsid w:val="00E10E2E"/>
    <w:rsid w:val="00E10EB1"/>
    <w:rsid w:val="00E12FA3"/>
    <w:rsid w:val="00E145F7"/>
    <w:rsid w:val="00E147B5"/>
    <w:rsid w:val="00E15F53"/>
    <w:rsid w:val="00E161C5"/>
    <w:rsid w:val="00E1672C"/>
    <w:rsid w:val="00E16762"/>
    <w:rsid w:val="00E17DC2"/>
    <w:rsid w:val="00E202F1"/>
    <w:rsid w:val="00E2048A"/>
    <w:rsid w:val="00E20914"/>
    <w:rsid w:val="00E20953"/>
    <w:rsid w:val="00E2345D"/>
    <w:rsid w:val="00E2396D"/>
    <w:rsid w:val="00E240A3"/>
    <w:rsid w:val="00E2481E"/>
    <w:rsid w:val="00E262A8"/>
    <w:rsid w:val="00E26932"/>
    <w:rsid w:val="00E2700A"/>
    <w:rsid w:val="00E27351"/>
    <w:rsid w:val="00E27F91"/>
    <w:rsid w:val="00E30B07"/>
    <w:rsid w:val="00E332C8"/>
    <w:rsid w:val="00E33ABC"/>
    <w:rsid w:val="00E33EA8"/>
    <w:rsid w:val="00E342C0"/>
    <w:rsid w:val="00E34864"/>
    <w:rsid w:val="00E34BBF"/>
    <w:rsid w:val="00E353A8"/>
    <w:rsid w:val="00E35E31"/>
    <w:rsid w:val="00E378A7"/>
    <w:rsid w:val="00E40416"/>
    <w:rsid w:val="00E40558"/>
    <w:rsid w:val="00E42F7A"/>
    <w:rsid w:val="00E4329D"/>
    <w:rsid w:val="00E43997"/>
    <w:rsid w:val="00E43ED8"/>
    <w:rsid w:val="00E44353"/>
    <w:rsid w:val="00E453EA"/>
    <w:rsid w:val="00E454C0"/>
    <w:rsid w:val="00E45642"/>
    <w:rsid w:val="00E45E4B"/>
    <w:rsid w:val="00E4607C"/>
    <w:rsid w:val="00E46316"/>
    <w:rsid w:val="00E47B1C"/>
    <w:rsid w:val="00E50094"/>
    <w:rsid w:val="00E5046E"/>
    <w:rsid w:val="00E50979"/>
    <w:rsid w:val="00E50A4A"/>
    <w:rsid w:val="00E50D64"/>
    <w:rsid w:val="00E516E9"/>
    <w:rsid w:val="00E51DE5"/>
    <w:rsid w:val="00E521BC"/>
    <w:rsid w:val="00E5409F"/>
    <w:rsid w:val="00E556E2"/>
    <w:rsid w:val="00E57058"/>
    <w:rsid w:val="00E57770"/>
    <w:rsid w:val="00E57DF1"/>
    <w:rsid w:val="00E60535"/>
    <w:rsid w:val="00E6061D"/>
    <w:rsid w:val="00E607B4"/>
    <w:rsid w:val="00E60E0F"/>
    <w:rsid w:val="00E617DC"/>
    <w:rsid w:val="00E62062"/>
    <w:rsid w:val="00E62119"/>
    <w:rsid w:val="00E62305"/>
    <w:rsid w:val="00E6243B"/>
    <w:rsid w:val="00E62817"/>
    <w:rsid w:val="00E65319"/>
    <w:rsid w:val="00E6554E"/>
    <w:rsid w:val="00E6601C"/>
    <w:rsid w:val="00E66273"/>
    <w:rsid w:val="00E664A6"/>
    <w:rsid w:val="00E675AF"/>
    <w:rsid w:val="00E677B4"/>
    <w:rsid w:val="00E71DAF"/>
    <w:rsid w:val="00E724E1"/>
    <w:rsid w:val="00E730F0"/>
    <w:rsid w:val="00E7427D"/>
    <w:rsid w:val="00E74C59"/>
    <w:rsid w:val="00E7538A"/>
    <w:rsid w:val="00E75747"/>
    <w:rsid w:val="00E75806"/>
    <w:rsid w:val="00E76074"/>
    <w:rsid w:val="00E77241"/>
    <w:rsid w:val="00E810A8"/>
    <w:rsid w:val="00E8267D"/>
    <w:rsid w:val="00E8334B"/>
    <w:rsid w:val="00E83CC7"/>
    <w:rsid w:val="00E83D16"/>
    <w:rsid w:val="00E83ED9"/>
    <w:rsid w:val="00E84EF0"/>
    <w:rsid w:val="00E86562"/>
    <w:rsid w:val="00E86DEA"/>
    <w:rsid w:val="00E872BD"/>
    <w:rsid w:val="00E87349"/>
    <w:rsid w:val="00E874B3"/>
    <w:rsid w:val="00E92058"/>
    <w:rsid w:val="00E928A3"/>
    <w:rsid w:val="00E93058"/>
    <w:rsid w:val="00E93AAB"/>
    <w:rsid w:val="00E93F64"/>
    <w:rsid w:val="00E94EA3"/>
    <w:rsid w:val="00E96BFC"/>
    <w:rsid w:val="00E96DC8"/>
    <w:rsid w:val="00E96F0A"/>
    <w:rsid w:val="00E9776B"/>
    <w:rsid w:val="00E979A9"/>
    <w:rsid w:val="00E97D2F"/>
    <w:rsid w:val="00EA04A9"/>
    <w:rsid w:val="00EA1D63"/>
    <w:rsid w:val="00EA2A09"/>
    <w:rsid w:val="00EA2C52"/>
    <w:rsid w:val="00EA3003"/>
    <w:rsid w:val="00EA4276"/>
    <w:rsid w:val="00EA5BF0"/>
    <w:rsid w:val="00EA6655"/>
    <w:rsid w:val="00EB043A"/>
    <w:rsid w:val="00EB09F0"/>
    <w:rsid w:val="00EB2AE7"/>
    <w:rsid w:val="00EB3B46"/>
    <w:rsid w:val="00EB5D9D"/>
    <w:rsid w:val="00EC2C29"/>
    <w:rsid w:val="00EC314B"/>
    <w:rsid w:val="00EC45B7"/>
    <w:rsid w:val="00EC4D24"/>
    <w:rsid w:val="00EC5B72"/>
    <w:rsid w:val="00ED0358"/>
    <w:rsid w:val="00ED180F"/>
    <w:rsid w:val="00ED253B"/>
    <w:rsid w:val="00ED319F"/>
    <w:rsid w:val="00ED3E56"/>
    <w:rsid w:val="00ED4107"/>
    <w:rsid w:val="00ED549D"/>
    <w:rsid w:val="00ED557D"/>
    <w:rsid w:val="00ED57CD"/>
    <w:rsid w:val="00ED5E0C"/>
    <w:rsid w:val="00ED7749"/>
    <w:rsid w:val="00ED779F"/>
    <w:rsid w:val="00ED78B4"/>
    <w:rsid w:val="00EE0476"/>
    <w:rsid w:val="00EE170D"/>
    <w:rsid w:val="00EE2124"/>
    <w:rsid w:val="00EE36C7"/>
    <w:rsid w:val="00EE3D9C"/>
    <w:rsid w:val="00EE45D5"/>
    <w:rsid w:val="00EE4931"/>
    <w:rsid w:val="00EE6267"/>
    <w:rsid w:val="00EE6488"/>
    <w:rsid w:val="00EE6723"/>
    <w:rsid w:val="00EF051E"/>
    <w:rsid w:val="00EF165B"/>
    <w:rsid w:val="00EF17D4"/>
    <w:rsid w:val="00EF2022"/>
    <w:rsid w:val="00EF206F"/>
    <w:rsid w:val="00EF2B4C"/>
    <w:rsid w:val="00EF35EF"/>
    <w:rsid w:val="00EF3D59"/>
    <w:rsid w:val="00EF3DF6"/>
    <w:rsid w:val="00EF48B7"/>
    <w:rsid w:val="00EF4CD4"/>
    <w:rsid w:val="00EF4CDA"/>
    <w:rsid w:val="00EF5AA2"/>
    <w:rsid w:val="00EF6564"/>
    <w:rsid w:val="00F00052"/>
    <w:rsid w:val="00F00E43"/>
    <w:rsid w:val="00F0154E"/>
    <w:rsid w:val="00F019BF"/>
    <w:rsid w:val="00F021FA"/>
    <w:rsid w:val="00F02CD6"/>
    <w:rsid w:val="00F04479"/>
    <w:rsid w:val="00F04878"/>
    <w:rsid w:val="00F04F84"/>
    <w:rsid w:val="00F07984"/>
    <w:rsid w:val="00F1120A"/>
    <w:rsid w:val="00F11FF0"/>
    <w:rsid w:val="00F1388E"/>
    <w:rsid w:val="00F1514B"/>
    <w:rsid w:val="00F15284"/>
    <w:rsid w:val="00F1548C"/>
    <w:rsid w:val="00F15506"/>
    <w:rsid w:val="00F15706"/>
    <w:rsid w:val="00F15CA0"/>
    <w:rsid w:val="00F16480"/>
    <w:rsid w:val="00F168FD"/>
    <w:rsid w:val="00F17179"/>
    <w:rsid w:val="00F173D1"/>
    <w:rsid w:val="00F208CB"/>
    <w:rsid w:val="00F214C2"/>
    <w:rsid w:val="00F219B2"/>
    <w:rsid w:val="00F226EC"/>
    <w:rsid w:val="00F23E2A"/>
    <w:rsid w:val="00F2463C"/>
    <w:rsid w:val="00F24C73"/>
    <w:rsid w:val="00F25231"/>
    <w:rsid w:val="00F26144"/>
    <w:rsid w:val="00F268DC"/>
    <w:rsid w:val="00F268DF"/>
    <w:rsid w:val="00F274D6"/>
    <w:rsid w:val="00F275E7"/>
    <w:rsid w:val="00F27AB2"/>
    <w:rsid w:val="00F30600"/>
    <w:rsid w:val="00F30F7D"/>
    <w:rsid w:val="00F30F93"/>
    <w:rsid w:val="00F311BF"/>
    <w:rsid w:val="00F3194E"/>
    <w:rsid w:val="00F31F33"/>
    <w:rsid w:val="00F32020"/>
    <w:rsid w:val="00F32236"/>
    <w:rsid w:val="00F323E8"/>
    <w:rsid w:val="00F32821"/>
    <w:rsid w:val="00F339A1"/>
    <w:rsid w:val="00F34299"/>
    <w:rsid w:val="00F356AB"/>
    <w:rsid w:val="00F35838"/>
    <w:rsid w:val="00F359BA"/>
    <w:rsid w:val="00F35CA0"/>
    <w:rsid w:val="00F37E48"/>
    <w:rsid w:val="00F40A12"/>
    <w:rsid w:val="00F413E0"/>
    <w:rsid w:val="00F41509"/>
    <w:rsid w:val="00F432E5"/>
    <w:rsid w:val="00F43478"/>
    <w:rsid w:val="00F43A31"/>
    <w:rsid w:val="00F43F3C"/>
    <w:rsid w:val="00F44010"/>
    <w:rsid w:val="00F46998"/>
    <w:rsid w:val="00F47B1D"/>
    <w:rsid w:val="00F47FED"/>
    <w:rsid w:val="00F50413"/>
    <w:rsid w:val="00F51730"/>
    <w:rsid w:val="00F521E8"/>
    <w:rsid w:val="00F52D98"/>
    <w:rsid w:val="00F53CDA"/>
    <w:rsid w:val="00F53D4C"/>
    <w:rsid w:val="00F545C9"/>
    <w:rsid w:val="00F54A4A"/>
    <w:rsid w:val="00F54A91"/>
    <w:rsid w:val="00F553F2"/>
    <w:rsid w:val="00F55962"/>
    <w:rsid w:val="00F56DAF"/>
    <w:rsid w:val="00F56E4F"/>
    <w:rsid w:val="00F56FD1"/>
    <w:rsid w:val="00F5721A"/>
    <w:rsid w:val="00F625AE"/>
    <w:rsid w:val="00F62D7C"/>
    <w:rsid w:val="00F62E97"/>
    <w:rsid w:val="00F630F5"/>
    <w:rsid w:val="00F64209"/>
    <w:rsid w:val="00F64681"/>
    <w:rsid w:val="00F646EA"/>
    <w:rsid w:val="00F65509"/>
    <w:rsid w:val="00F66E7C"/>
    <w:rsid w:val="00F66EEF"/>
    <w:rsid w:val="00F70DD3"/>
    <w:rsid w:val="00F710BA"/>
    <w:rsid w:val="00F741B1"/>
    <w:rsid w:val="00F74DE6"/>
    <w:rsid w:val="00F75136"/>
    <w:rsid w:val="00F751C5"/>
    <w:rsid w:val="00F75676"/>
    <w:rsid w:val="00F7693E"/>
    <w:rsid w:val="00F76D36"/>
    <w:rsid w:val="00F7787D"/>
    <w:rsid w:val="00F77D15"/>
    <w:rsid w:val="00F801F7"/>
    <w:rsid w:val="00F805FA"/>
    <w:rsid w:val="00F807B9"/>
    <w:rsid w:val="00F80AC2"/>
    <w:rsid w:val="00F81297"/>
    <w:rsid w:val="00F81924"/>
    <w:rsid w:val="00F84836"/>
    <w:rsid w:val="00F8495A"/>
    <w:rsid w:val="00F8687A"/>
    <w:rsid w:val="00F90AB9"/>
    <w:rsid w:val="00F913A0"/>
    <w:rsid w:val="00F91D5D"/>
    <w:rsid w:val="00F926DD"/>
    <w:rsid w:val="00F9309E"/>
    <w:rsid w:val="00F93BF5"/>
    <w:rsid w:val="00F97147"/>
    <w:rsid w:val="00F97328"/>
    <w:rsid w:val="00F973EF"/>
    <w:rsid w:val="00F97A97"/>
    <w:rsid w:val="00F97C39"/>
    <w:rsid w:val="00FA0BEC"/>
    <w:rsid w:val="00FA1545"/>
    <w:rsid w:val="00FA237A"/>
    <w:rsid w:val="00FA2463"/>
    <w:rsid w:val="00FA4B03"/>
    <w:rsid w:val="00FA4BF1"/>
    <w:rsid w:val="00FA54A2"/>
    <w:rsid w:val="00FA5961"/>
    <w:rsid w:val="00FA6A31"/>
    <w:rsid w:val="00FB104C"/>
    <w:rsid w:val="00FB189A"/>
    <w:rsid w:val="00FB1E17"/>
    <w:rsid w:val="00FB2145"/>
    <w:rsid w:val="00FB2AD7"/>
    <w:rsid w:val="00FB3694"/>
    <w:rsid w:val="00FB3953"/>
    <w:rsid w:val="00FB3E8E"/>
    <w:rsid w:val="00FB4134"/>
    <w:rsid w:val="00FB43D0"/>
    <w:rsid w:val="00FB550D"/>
    <w:rsid w:val="00FB5E34"/>
    <w:rsid w:val="00FB655A"/>
    <w:rsid w:val="00FB67A4"/>
    <w:rsid w:val="00FB7030"/>
    <w:rsid w:val="00FB7998"/>
    <w:rsid w:val="00FB7AAA"/>
    <w:rsid w:val="00FB7C58"/>
    <w:rsid w:val="00FB7E65"/>
    <w:rsid w:val="00FB7FF0"/>
    <w:rsid w:val="00FC0527"/>
    <w:rsid w:val="00FC0A24"/>
    <w:rsid w:val="00FC0BF2"/>
    <w:rsid w:val="00FC0D34"/>
    <w:rsid w:val="00FC3CAD"/>
    <w:rsid w:val="00FC4F9E"/>
    <w:rsid w:val="00FC4FB8"/>
    <w:rsid w:val="00FC5419"/>
    <w:rsid w:val="00FC56B9"/>
    <w:rsid w:val="00FC589C"/>
    <w:rsid w:val="00FC5A2D"/>
    <w:rsid w:val="00FC6492"/>
    <w:rsid w:val="00FC6B0E"/>
    <w:rsid w:val="00FC7102"/>
    <w:rsid w:val="00FC7CF5"/>
    <w:rsid w:val="00FD1025"/>
    <w:rsid w:val="00FD1FD1"/>
    <w:rsid w:val="00FD2CF1"/>
    <w:rsid w:val="00FD33DA"/>
    <w:rsid w:val="00FD3A7F"/>
    <w:rsid w:val="00FD3B35"/>
    <w:rsid w:val="00FD4411"/>
    <w:rsid w:val="00FD58CE"/>
    <w:rsid w:val="00FD6101"/>
    <w:rsid w:val="00FD6719"/>
    <w:rsid w:val="00FD67FF"/>
    <w:rsid w:val="00FD779F"/>
    <w:rsid w:val="00FD79B8"/>
    <w:rsid w:val="00FD7D7A"/>
    <w:rsid w:val="00FE047F"/>
    <w:rsid w:val="00FE0DEE"/>
    <w:rsid w:val="00FE2A0B"/>
    <w:rsid w:val="00FE2E4A"/>
    <w:rsid w:val="00FE35DC"/>
    <w:rsid w:val="00FE64CD"/>
    <w:rsid w:val="00FE6539"/>
    <w:rsid w:val="00FE6E42"/>
    <w:rsid w:val="00FE7567"/>
    <w:rsid w:val="00FF0D19"/>
    <w:rsid w:val="00FF0DC2"/>
    <w:rsid w:val="00FF26FD"/>
    <w:rsid w:val="00FF2C46"/>
    <w:rsid w:val="00FF33CD"/>
    <w:rsid w:val="00FF3F22"/>
    <w:rsid w:val="00FF457C"/>
    <w:rsid w:val="00FF60D9"/>
    <w:rsid w:val="00FF629E"/>
    <w:rsid w:val="00FF7232"/>
    <w:rsid w:val="00FF7D3B"/>
    <w:rsid w:val="00FF7E25"/>
    <w:rsid w:val="00FF7E61"/>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E0D20"/>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D52D3"/>
    <w:pPr>
      <w:widowControl w:val="0"/>
    </w:pPr>
    <w:rPr>
      <w:snapToGrid w:val="0"/>
      <w:kern w:val="28"/>
      <w:sz w:val="22"/>
    </w:rPr>
  </w:style>
  <w:style w:type="paragraph" w:styleId="Heading1">
    <w:name w:val="heading 1"/>
    <w:basedOn w:val="Normal"/>
    <w:next w:val="ParaNum"/>
    <w:qFormat/>
    <w:rsid w:val="002D52D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D52D3"/>
    <w:pPr>
      <w:keepNext/>
      <w:numPr>
        <w:ilvl w:val="1"/>
        <w:numId w:val="2"/>
      </w:numPr>
      <w:spacing w:after="120"/>
      <w:outlineLvl w:val="1"/>
    </w:pPr>
    <w:rPr>
      <w:b/>
    </w:rPr>
  </w:style>
  <w:style w:type="paragraph" w:styleId="Heading3">
    <w:name w:val="heading 3"/>
    <w:basedOn w:val="Normal"/>
    <w:next w:val="ParaNum"/>
    <w:qFormat/>
    <w:rsid w:val="002D52D3"/>
    <w:pPr>
      <w:keepNext/>
      <w:numPr>
        <w:ilvl w:val="2"/>
        <w:numId w:val="2"/>
      </w:numPr>
      <w:tabs>
        <w:tab w:val="left" w:pos="2160"/>
      </w:tabs>
      <w:spacing w:after="120"/>
      <w:outlineLvl w:val="2"/>
    </w:pPr>
    <w:rPr>
      <w:b/>
    </w:rPr>
  </w:style>
  <w:style w:type="paragraph" w:styleId="Heading4">
    <w:name w:val="heading 4"/>
    <w:basedOn w:val="Normal"/>
    <w:next w:val="ParaNum"/>
    <w:qFormat/>
    <w:rsid w:val="002D52D3"/>
    <w:pPr>
      <w:keepNext/>
      <w:numPr>
        <w:ilvl w:val="3"/>
        <w:numId w:val="2"/>
      </w:numPr>
      <w:tabs>
        <w:tab w:val="left" w:pos="2880"/>
      </w:tabs>
      <w:spacing w:after="120"/>
      <w:outlineLvl w:val="3"/>
    </w:pPr>
    <w:rPr>
      <w:b/>
    </w:rPr>
  </w:style>
  <w:style w:type="paragraph" w:styleId="Heading5">
    <w:name w:val="heading 5"/>
    <w:basedOn w:val="Normal"/>
    <w:next w:val="ParaNum"/>
    <w:qFormat/>
    <w:rsid w:val="002D52D3"/>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D52D3"/>
    <w:pPr>
      <w:numPr>
        <w:ilvl w:val="5"/>
        <w:numId w:val="2"/>
      </w:numPr>
      <w:tabs>
        <w:tab w:val="left" w:pos="4320"/>
      </w:tabs>
      <w:spacing w:after="120"/>
      <w:outlineLvl w:val="5"/>
    </w:pPr>
    <w:rPr>
      <w:b/>
    </w:rPr>
  </w:style>
  <w:style w:type="paragraph" w:styleId="Heading7">
    <w:name w:val="heading 7"/>
    <w:basedOn w:val="Normal"/>
    <w:next w:val="ParaNum"/>
    <w:qFormat/>
    <w:rsid w:val="002D52D3"/>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D52D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D52D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52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2D3"/>
  </w:style>
  <w:style w:type="paragraph" w:customStyle="1" w:styleId="ParaNum">
    <w:name w:val="ParaNum"/>
    <w:basedOn w:val="Normal"/>
    <w:link w:val="ParaNumChar"/>
    <w:rsid w:val="002D52D3"/>
    <w:pPr>
      <w:numPr>
        <w:numId w:val="1"/>
      </w:numPr>
      <w:tabs>
        <w:tab w:val="clear" w:pos="1080"/>
        <w:tab w:val="num" w:pos="1440"/>
      </w:tabs>
      <w:spacing w:after="120"/>
    </w:pPr>
  </w:style>
  <w:style w:type="paragraph" w:styleId="EndnoteText">
    <w:name w:val="endnote text"/>
    <w:basedOn w:val="Normal"/>
    <w:semiHidden/>
    <w:rsid w:val="002D52D3"/>
    <w:rPr>
      <w:sz w:val="20"/>
    </w:rPr>
  </w:style>
  <w:style w:type="character" w:styleId="EndnoteReference">
    <w:name w:val="endnote reference"/>
    <w:semiHidden/>
    <w:rsid w:val="002D52D3"/>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2D52D3"/>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2D52D3"/>
    <w:rPr>
      <w:rFonts w:ascii="Times New Roman" w:hAnsi="Times New Roman"/>
      <w:dstrike w:val="0"/>
      <w:color w:val="auto"/>
      <w:sz w:val="20"/>
      <w:vertAlign w:val="superscript"/>
    </w:rPr>
  </w:style>
  <w:style w:type="paragraph" w:styleId="TOC1">
    <w:name w:val="toc 1"/>
    <w:basedOn w:val="Normal"/>
    <w:next w:val="Normal"/>
    <w:semiHidden/>
    <w:rsid w:val="002D52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52D3"/>
    <w:pPr>
      <w:tabs>
        <w:tab w:val="left" w:pos="720"/>
        <w:tab w:val="right" w:leader="dot" w:pos="9360"/>
      </w:tabs>
      <w:suppressAutoHyphens/>
      <w:ind w:left="720" w:right="720" w:hanging="360"/>
    </w:pPr>
    <w:rPr>
      <w:noProof/>
    </w:rPr>
  </w:style>
  <w:style w:type="paragraph" w:styleId="TOC3">
    <w:name w:val="toc 3"/>
    <w:basedOn w:val="Normal"/>
    <w:next w:val="Normal"/>
    <w:semiHidden/>
    <w:rsid w:val="002D52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52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52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52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52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52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52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52D3"/>
    <w:pPr>
      <w:tabs>
        <w:tab w:val="right" w:pos="9360"/>
      </w:tabs>
      <w:suppressAutoHyphens/>
    </w:pPr>
  </w:style>
  <w:style w:type="character" w:customStyle="1" w:styleId="EquationCaption">
    <w:name w:val="_Equation Caption"/>
    <w:rsid w:val="002D52D3"/>
  </w:style>
  <w:style w:type="paragraph" w:styleId="Header">
    <w:name w:val="header"/>
    <w:basedOn w:val="Normal"/>
    <w:autoRedefine/>
    <w:rsid w:val="002D52D3"/>
    <w:pPr>
      <w:tabs>
        <w:tab w:val="center" w:pos="4680"/>
        <w:tab w:val="right" w:pos="9360"/>
      </w:tabs>
    </w:pPr>
    <w:rPr>
      <w:b/>
    </w:rPr>
  </w:style>
  <w:style w:type="paragraph" w:styleId="Footer">
    <w:name w:val="footer"/>
    <w:basedOn w:val="Normal"/>
    <w:link w:val="FooterChar"/>
    <w:uiPriority w:val="99"/>
    <w:rsid w:val="002D52D3"/>
    <w:pPr>
      <w:tabs>
        <w:tab w:val="center" w:pos="4320"/>
        <w:tab w:val="right" w:pos="8640"/>
      </w:tabs>
    </w:pPr>
  </w:style>
  <w:style w:type="character" w:styleId="PageNumber">
    <w:name w:val="page number"/>
    <w:basedOn w:val="DefaultParagraphFont"/>
    <w:rsid w:val="002D52D3"/>
  </w:style>
  <w:style w:type="paragraph" w:styleId="BlockText">
    <w:name w:val="Block Text"/>
    <w:basedOn w:val="Normal"/>
    <w:rsid w:val="002D52D3"/>
    <w:pPr>
      <w:spacing w:after="240"/>
      <w:ind w:left="1440" w:right="1440"/>
    </w:pPr>
  </w:style>
  <w:style w:type="paragraph" w:customStyle="1" w:styleId="Paratitle">
    <w:name w:val="Para title"/>
    <w:basedOn w:val="Normal"/>
    <w:rsid w:val="002D52D3"/>
    <w:pPr>
      <w:tabs>
        <w:tab w:val="center" w:pos="9270"/>
      </w:tabs>
      <w:spacing w:after="240"/>
    </w:pPr>
    <w:rPr>
      <w:spacing w:val="-2"/>
    </w:rPr>
  </w:style>
  <w:style w:type="paragraph" w:customStyle="1" w:styleId="Bullet">
    <w:name w:val="Bullet"/>
    <w:basedOn w:val="Normal"/>
    <w:rsid w:val="002D52D3"/>
    <w:pPr>
      <w:tabs>
        <w:tab w:val="left" w:pos="2160"/>
      </w:tabs>
      <w:spacing w:after="220"/>
      <w:ind w:left="2160" w:hanging="720"/>
    </w:pPr>
  </w:style>
  <w:style w:type="paragraph" w:customStyle="1" w:styleId="TableFormat">
    <w:name w:val="TableFormat"/>
    <w:basedOn w:val="Bullet"/>
    <w:rsid w:val="002D52D3"/>
    <w:pPr>
      <w:tabs>
        <w:tab w:val="clear" w:pos="2160"/>
        <w:tab w:val="left" w:pos="5040"/>
      </w:tabs>
      <w:ind w:left="5040" w:hanging="3600"/>
    </w:pPr>
  </w:style>
  <w:style w:type="paragraph" w:customStyle="1" w:styleId="TOCTitle">
    <w:name w:val="TOC Title"/>
    <w:basedOn w:val="Normal"/>
    <w:rsid w:val="002D52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52D3"/>
    <w:pPr>
      <w:jc w:val="center"/>
    </w:pPr>
    <w:rPr>
      <w:rFonts w:ascii="Times New Roman Bold" w:hAnsi="Times New Roman Bold"/>
      <w:b/>
      <w:bCs/>
      <w:caps/>
      <w:szCs w:val="22"/>
    </w:rPr>
  </w:style>
  <w:style w:type="character" w:styleId="Hyperlink">
    <w:name w:val="Hyperlink"/>
    <w:rsid w:val="002D52D3"/>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2D52D3"/>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character" w:customStyle="1" w:styleId="UnresolvedMention">
    <w:name w:val="Unresolved Mention"/>
    <w:basedOn w:val="DefaultParagraphFont"/>
    <w:uiPriority w:val="99"/>
    <w:semiHidden/>
    <w:unhideWhenUsed/>
    <w:rsid w:val="005D7470"/>
    <w:rPr>
      <w:color w:val="605E5C"/>
      <w:shd w:val="clear" w:color="auto" w:fill="E1DFDD"/>
    </w:rPr>
  </w:style>
  <w:style w:type="paragraph" w:styleId="NormalWeb">
    <w:name w:val="Normal (Web)"/>
    <w:basedOn w:val="Normal"/>
    <w:uiPriority w:val="99"/>
    <w:unhideWhenUsed/>
    <w:rsid w:val="00597201"/>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Hearing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businesssearch.ohiosos.gov/" TargetMode="External" /><Relationship Id="rId2" Type="http://schemas.openxmlformats.org/officeDocument/2006/relationships/hyperlink" Target="https://www.legacy.com/us/obituaries/marionstar/name/betty-compton-obituary?pid=182411328" TargetMode="External" /><Relationship Id="rId3" Type="http://schemas.openxmlformats.org/officeDocument/2006/relationships/hyperlink" Target="http://wwgh1071.com/2016/" TargetMode="External" /><Relationship Id="rId4" Type="http://schemas.openxmlformats.org/officeDocument/2006/relationships/hyperlink" Target="https://fcdcfcjs.co.franklin.oh.us/CaseInformationOnline/imageLinkProcessor.pdf?coords=yILz9Qf8L6iM0f3fDVRn1ghmHHy0%2BTsKIggyI2EeKE%2Fiq905PJnpIQxoSY7TsjShW7vR8o%2F6cQCbHe8n%2Flx4P4KevdnP9AKITQtVJk1hmnbp7w29JkKT0L92Ah24gDBY1M2rlzfnO7VDtxzYaF5h2maYkmMVEgxcCkDpSN4G%2Fig%3D" TargetMode="External" /><Relationship Id="rId5" Type="http://schemas.openxmlformats.org/officeDocument/2006/relationships/hyperlink" Target="http://wzmofm.com/program-schedul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