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D4B24" w14:paraId="7364A212" w14:textId="77777777">
      <w:pPr>
        <w:jc w:val="right"/>
        <w:rPr>
          <w:sz w:val="24"/>
        </w:rPr>
      </w:pPr>
    </w:p>
    <w:p w:rsidR="00D13AA8" w:rsidRPr="00B20363" w:rsidP="00D13AA8" w14:paraId="231FC696" w14:textId="22C715A1">
      <w:pPr>
        <w:jc w:val="right"/>
        <w:rPr>
          <w:b/>
          <w:sz w:val="24"/>
        </w:rPr>
      </w:pPr>
      <w:bookmarkStart w:id="0" w:name="_Hlk84516522"/>
      <w:r>
        <w:rPr>
          <w:b/>
          <w:sz w:val="24"/>
        </w:rPr>
        <w:t>DA 2</w:t>
      </w:r>
      <w:r w:rsidR="00E41209">
        <w:rPr>
          <w:b/>
          <w:sz w:val="24"/>
        </w:rPr>
        <w:t>2</w:t>
      </w:r>
      <w:r>
        <w:rPr>
          <w:b/>
          <w:sz w:val="24"/>
        </w:rPr>
        <w:t>-</w:t>
      </w:r>
      <w:r w:rsidR="00E41209">
        <w:rPr>
          <w:b/>
          <w:sz w:val="24"/>
        </w:rPr>
        <w:t>18</w:t>
      </w:r>
    </w:p>
    <w:p w:rsidR="00D13AA8" w:rsidRPr="00B20363" w:rsidP="00D13AA8" w14:paraId="15122842" w14:textId="019DB1EA">
      <w:pPr>
        <w:spacing w:before="60"/>
        <w:jc w:val="right"/>
        <w:rPr>
          <w:b/>
          <w:sz w:val="24"/>
        </w:rPr>
      </w:pPr>
      <w:r>
        <w:rPr>
          <w:b/>
          <w:sz w:val="24"/>
        </w:rPr>
        <w:t xml:space="preserve">January 7, </w:t>
      </w:r>
      <w:r>
        <w:rPr>
          <w:b/>
          <w:sz w:val="24"/>
        </w:rPr>
        <w:t>202</w:t>
      </w:r>
      <w:r>
        <w:rPr>
          <w:b/>
          <w:sz w:val="24"/>
        </w:rPr>
        <w:t>2</w:t>
      </w:r>
    </w:p>
    <w:p w:rsidR="00D13AA8" w:rsidP="00D13AA8" w14:paraId="749F358E" w14:textId="77777777">
      <w:pPr>
        <w:jc w:val="right"/>
        <w:rPr>
          <w:sz w:val="24"/>
        </w:rPr>
      </w:pPr>
    </w:p>
    <w:p w:rsidR="00D13AA8" w:rsidP="00D13AA8" w14:paraId="2FACE8C6" w14:textId="2A293B3C">
      <w:pPr>
        <w:jc w:val="center"/>
        <w:rPr>
          <w:rFonts w:ascii="Times New Roman Bold" w:hAnsi="Times New Roman Bold"/>
          <w:b/>
          <w:caps/>
          <w:sz w:val="24"/>
        </w:rPr>
      </w:pPr>
      <w:r w:rsidRPr="76DB8AC3">
        <w:rPr>
          <w:rFonts w:ascii="Times New Roman Bold" w:hAnsi="Times New Roman Bold"/>
          <w:b/>
          <w:caps/>
          <w:sz w:val="24"/>
          <w:szCs w:val="24"/>
        </w:rPr>
        <w:t xml:space="preserve">NOTICE OF INTENT TO SHARE International circuit capacity data with the Committee for the assessment of foreign participation in the united states </w:t>
      </w:r>
      <w:r>
        <w:rPr>
          <w:rFonts w:ascii="Times New Roman Bold" w:hAnsi="Times New Roman Bold"/>
          <w:b/>
          <w:caps/>
          <w:sz w:val="24"/>
        </w:rPr>
        <w:t xml:space="preserve">telecommunications services sectoR </w:t>
      </w:r>
    </w:p>
    <w:p w:rsidR="00D13AA8" w:rsidRPr="00B20363" w:rsidP="00D13AA8" w14:paraId="176AC48E" w14:textId="77777777">
      <w:pPr>
        <w:jc w:val="center"/>
        <w:rPr>
          <w:rFonts w:ascii="Times New Roman Bold" w:hAnsi="Times New Roman Bold"/>
          <w:b/>
          <w:caps/>
          <w:sz w:val="24"/>
        </w:rPr>
      </w:pPr>
    </w:p>
    <w:p w:rsidR="00D13AA8" w:rsidP="00D13AA8" w14:paraId="76034024" w14:textId="7A3CA5BF">
      <w:pPr>
        <w:spacing w:after="120"/>
        <w:jc w:val="center"/>
        <w:rPr>
          <w:sz w:val="24"/>
          <w:szCs w:val="24"/>
        </w:rPr>
      </w:pPr>
      <w:r>
        <w:rPr>
          <w:b/>
        </w:rPr>
        <w:t>IB Docket No. 21-</w:t>
      </w:r>
      <w:r w:rsidRPr="14BAA471" w:rsidR="748CB7E3">
        <w:rPr>
          <w:b/>
          <w:bCs/>
        </w:rPr>
        <w:t>439</w:t>
      </w:r>
    </w:p>
    <w:p w:rsidR="00D13AA8" w:rsidRPr="00836977" w:rsidP="00D13AA8" w14:paraId="75C0ACFF" w14:textId="15003486">
      <w:pPr>
        <w:rPr>
          <w:b/>
          <w:szCs w:val="22"/>
        </w:rPr>
      </w:pPr>
      <w:r>
        <w:rPr>
          <w:b/>
          <w:szCs w:val="22"/>
        </w:rPr>
        <w:t xml:space="preserve">Comment Date:  </w:t>
      </w:r>
      <w:r w:rsidR="00DA447F">
        <w:rPr>
          <w:b/>
          <w:szCs w:val="22"/>
        </w:rPr>
        <w:t xml:space="preserve">January </w:t>
      </w:r>
      <w:r w:rsidR="00EC3503">
        <w:rPr>
          <w:b/>
          <w:szCs w:val="22"/>
        </w:rPr>
        <w:t>1</w:t>
      </w:r>
      <w:r w:rsidR="00085AA1">
        <w:rPr>
          <w:b/>
          <w:szCs w:val="22"/>
        </w:rPr>
        <w:t>8</w:t>
      </w:r>
      <w:r w:rsidR="00DA447F">
        <w:rPr>
          <w:b/>
          <w:szCs w:val="22"/>
        </w:rPr>
        <w:t>, 2022</w:t>
      </w:r>
    </w:p>
    <w:p w:rsidR="00D13AA8" w:rsidP="00333A8B" w14:paraId="7BB99FA7" w14:textId="77777777"/>
    <w:p w:rsidR="00D13AA8" w:rsidP="007E3824" w14:paraId="1B2ED4F6" w14:textId="3B4AB154">
      <w:pPr>
        <w:ind w:firstLine="720"/>
      </w:pPr>
      <w:r>
        <w:t>The Commission collects annual circuit capacity data for U.S.-international submarine cable systems pursuant to section 43.82 of the Commission’s rules.</w:t>
      </w:r>
      <w:r>
        <w:rPr>
          <w:rStyle w:val="FootnoteReference"/>
        </w:rPr>
        <w:footnoteReference w:id="3"/>
      </w:r>
      <w:r>
        <w:t xml:space="preserve">  On July 19, 2021, the Department of Justice (DOJ), in its capacity as Chair of the </w:t>
      </w:r>
      <w:r w:rsidRPr="006E0D06">
        <w:t>C</w:t>
      </w:r>
      <w:r>
        <w:t>ommittee for the Assessment of Foreign Participation in the United States Telecommunications Services Sector (Committee),</w:t>
      </w:r>
      <w:r>
        <w:rPr>
          <w:rStyle w:val="FootnoteReference"/>
        </w:rPr>
        <w:footnoteReference w:id="4"/>
      </w:r>
      <w:r>
        <w:t xml:space="preserve"> filed a letter requesting</w:t>
      </w:r>
      <w:r w:rsidRPr="006E0D06">
        <w:t xml:space="preserve"> </w:t>
      </w:r>
      <w:r w:rsidR="00DC5376">
        <w:t>“</w:t>
      </w:r>
      <w:r w:rsidRPr="006E0D06">
        <w:t xml:space="preserve">access to international circuit capacity data submitted to the </w:t>
      </w:r>
      <w:r w:rsidR="003713D3">
        <w:t>[</w:t>
      </w:r>
      <w:r w:rsidRPr="006E0D06">
        <w:t>Commission</w:t>
      </w:r>
      <w:r w:rsidR="003713D3">
        <w:t>]</w:t>
      </w:r>
      <w:r>
        <w:t xml:space="preserve"> </w:t>
      </w:r>
      <w:r w:rsidRPr="006E0D06">
        <w:t>for the 2015</w:t>
      </w:r>
      <w:r>
        <w:t xml:space="preserve"> to </w:t>
      </w:r>
      <w:r w:rsidRPr="006E0D06">
        <w:t>2020 reporting periods, including data for which confidential treatment has been requested</w:t>
      </w:r>
      <w:r w:rsidR="003A3658">
        <w:t>,</w:t>
      </w:r>
      <w:r w:rsidR="003713D3">
        <w:t>”</w:t>
      </w:r>
      <w:r w:rsidR="003A3658">
        <w:t xml:space="preserve"> which </w:t>
      </w:r>
      <w:r w:rsidR="007E3824">
        <w:t>“will enhance and improve the Committee’s ability to execute its national security and law enforcement missions.”</w:t>
      </w:r>
      <w:r>
        <w:rPr>
          <w:rStyle w:val="FootnoteReference"/>
        </w:rPr>
        <w:footnoteReference w:id="5"/>
      </w:r>
      <w:r>
        <w:t xml:space="preserve">  By this public notice, the International Bureau announces our intent to share with the Committee the international circuit capacity data for the 2015 to 2020 reporting periods</w:t>
      </w:r>
      <w:r w:rsidRPr="00410BC8">
        <w:t>, including data for which confidential treatment has been requested</w:t>
      </w:r>
      <w:r>
        <w:t>,</w:t>
      </w:r>
      <w:r>
        <w:rPr>
          <w:rStyle w:val="FootnoteReference"/>
        </w:rPr>
        <w:footnoteReference w:id="6"/>
      </w:r>
      <w:r>
        <w:t xml:space="preserve"> based on the procedures set out below.</w:t>
      </w:r>
      <w:r>
        <w:rPr>
          <w:rStyle w:val="FootnoteReference"/>
        </w:rPr>
        <w:footnoteReference w:id="7"/>
      </w:r>
      <w:r>
        <w:t xml:space="preserve">  This notice initiates a pleading cycle that allow</w:t>
      </w:r>
      <w:r w:rsidR="00BF3CCC">
        <w:t>s</w:t>
      </w:r>
      <w:r>
        <w:t xml:space="preserve"> </w:t>
      </w:r>
      <w:r>
        <w:t xml:space="preserve">any entity that provided </w:t>
      </w:r>
      <w:r w:rsidR="00FD4904">
        <w:t xml:space="preserve">confidential </w:t>
      </w:r>
      <w:r>
        <w:t>circuit capacity data for the 2015</w:t>
      </w:r>
      <w:r w:rsidR="00C17C09">
        <w:t xml:space="preserve"> to </w:t>
      </w:r>
      <w:r>
        <w:t>2020 reporting periods to oppose such disclosure of its data to the Committee.</w:t>
      </w:r>
    </w:p>
    <w:p w:rsidR="00236E53" w:rsidP="00C86B26" w14:paraId="125E2740" w14:textId="77777777">
      <w:pPr>
        <w:rPr>
          <w:szCs w:val="22"/>
        </w:rPr>
      </w:pPr>
    </w:p>
    <w:p w:rsidR="00D13AA8" w:rsidRPr="00F95427" w:rsidP="00AA5DCA" w14:paraId="71B3C7A6" w14:textId="19973D48">
      <w:pPr>
        <w:ind w:firstLine="720"/>
        <w:rPr>
          <w:szCs w:val="22"/>
        </w:rPr>
      </w:pPr>
      <w:r w:rsidRPr="00F95427">
        <w:rPr>
          <w:szCs w:val="22"/>
        </w:rPr>
        <w:t xml:space="preserve">DOJ states </w:t>
      </w:r>
      <w:r w:rsidR="00E813AD">
        <w:rPr>
          <w:szCs w:val="22"/>
        </w:rPr>
        <w:t xml:space="preserve">that </w:t>
      </w:r>
      <w:r w:rsidRPr="00BC2CCF">
        <w:rPr>
          <w:szCs w:val="22"/>
        </w:rPr>
        <w:t>under Executive Order 13913,</w:t>
      </w:r>
      <w:r w:rsidRPr="00F95427">
        <w:rPr>
          <w:szCs w:val="22"/>
        </w:rPr>
        <w:t xml:space="preserve"> the Committee’s primary objective is “</w:t>
      </w:r>
      <w:r w:rsidR="006441D2">
        <w:rPr>
          <w:szCs w:val="22"/>
        </w:rPr>
        <w:t>‘</w:t>
      </w:r>
      <w:r w:rsidRPr="00F95427">
        <w:rPr>
          <w:szCs w:val="22"/>
        </w:rPr>
        <w:t xml:space="preserve">to assist the FCC in its public interest review of national security and law enforcement concerns that may be raised by foreign participation in the United </w:t>
      </w:r>
      <w:r w:rsidRPr="00BC2CCF">
        <w:rPr>
          <w:szCs w:val="22"/>
        </w:rPr>
        <w:t>States telecommunications services sector.</w:t>
      </w:r>
      <w:r w:rsidR="00783C9C">
        <w:rPr>
          <w:szCs w:val="22"/>
        </w:rPr>
        <w:t>’</w:t>
      </w:r>
      <w:r w:rsidRPr="00BC2CCF">
        <w:rPr>
          <w:szCs w:val="22"/>
        </w:rPr>
        <w:t>”</w:t>
      </w:r>
      <w:r>
        <w:rPr>
          <w:rStyle w:val="FootnoteReference"/>
          <w:szCs w:val="22"/>
        </w:rPr>
        <w:footnoteReference w:id="8"/>
      </w:r>
      <w:r w:rsidRPr="00F95427">
        <w:rPr>
          <w:szCs w:val="22"/>
        </w:rPr>
        <w:t xml:space="preserve"> </w:t>
      </w:r>
      <w:r>
        <w:rPr>
          <w:szCs w:val="22"/>
        </w:rPr>
        <w:t xml:space="preserve"> </w:t>
      </w:r>
      <w:r w:rsidRPr="00F95427">
        <w:rPr>
          <w:szCs w:val="22"/>
        </w:rPr>
        <w:t xml:space="preserve">DOJ </w:t>
      </w:r>
      <w:r w:rsidR="00A12921">
        <w:rPr>
          <w:szCs w:val="22"/>
        </w:rPr>
        <w:t>indicates that “</w:t>
      </w:r>
      <w:r w:rsidRPr="00AA5DCA" w:rsidR="00AA5DCA">
        <w:rPr>
          <w:szCs w:val="22"/>
        </w:rPr>
        <w:t>the Committee regularly collects and analyzes relevant unclassified and classified</w:t>
      </w:r>
      <w:r w:rsidR="00AA5DCA">
        <w:rPr>
          <w:szCs w:val="22"/>
        </w:rPr>
        <w:t xml:space="preserve"> </w:t>
      </w:r>
      <w:r w:rsidRPr="00AA5DCA" w:rsidR="00AA5DCA">
        <w:rPr>
          <w:szCs w:val="22"/>
        </w:rPr>
        <w:t>information to gain a holistic understanding of the national security and law enforcement risks</w:t>
      </w:r>
      <w:r w:rsidR="00AA5DCA">
        <w:rPr>
          <w:szCs w:val="22"/>
        </w:rPr>
        <w:t xml:space="preserve"> </w:t>
      </w:r>
      <w:r w:rsidRPr="00AA5DCA" w:rsidR="00AA5DCA">
        <w:rPr>
          <w:szCs w:val="22"/>
        </w:rPr>
        <w:t>associated with granting such applications.</w:t>
      </w:r>
      <w:r w:rsidR="00A12921">
        <w:rPr>
          <w:szCs w:val="22"/>
        </w:rPr>
        <w:t>”</w:t>
      </w:r>
      <w:r>
        <w:rPr>
          <w:rStyle w:val="FootnoteReference"/>
          <w:szCs w:val="22"/>
        </w:rPr>
        <w:footnoteReference w:id="9"/>
      </w:r>
      <w:r w:rsidR="00A12921">
        <w:rPr>
          <w:szCs w:val="22"/>
        </w:rPr>
        <w:t xml:space="preserve">  </w:t>
      </w:r>
      <w:r w:rsidR="00D77DC9">
        <w:rPr>
          <w:szCs w:val="22"/>
        </w:rPr>
        <w:t xml:space="preserve">DOJ </w:t>
      </w:r>
      <w:r w:rsidRPr="00F95427">
        <w:rPr>
          <w:szCs w:val="22"/>
        </w:rPr>
        <w:t>also states t</w:t>
      </w:r>
      <w:r w:rsidRPr="00BC2CCF">
        <w:rPr>
          <w:szCs w:val="22"/>
        </w:rPr>
        <w:t xml:space="preserve">hat </w:t>
      </w:r>
      <w:r w:rsidR="00E813AD">
        <w:rPr>
          <w:szCs w:val="22"/>
        </w:rPr>
        <w:t>“</w:t>
      </w:r>
      <w:r w:rsidRPr="00BC2CCF">
        <w:rPr>
          <w:szCs w:val="22"/>
        </w:rPr>
        <w:t>[a]mong the matters referred to it by the FCC, the Committee frequently reviews submarine cable landing license applications for national security and law enforcement concerns</w:t>
      </w:r>
      <w:r w:rsidR="00234AA7">
        <w:rPr>
          <w:szCs w:val="22"/>
        </w:rPr>
        <w:t>.</w:t>
      </w:r>
      <w:r w:rsidRPr="00BC2CCF">
        <w:rPr>
          <w:szCs w:val="22"/>
        </w:rPr>
        <w:t>”</w:t>
      </w:r>
      <w:r>
        <w:rPr>
          <w:rStyle w:val="FootnoteReference"/>
          <w:szCs w:val="22"/>
        </w:rPr>
        <w:footnoteReference w:id="10"/>
      </w:r>
      <w:r w:rsidR="00D77DC9">
        <w:rPr>
          <w:szCs w:val="22"/>
        </w:rPr>
        <w:t xml:space="preserve"> </w:t>
      </w:r>
      <w:r w:rsidR="00234AA7">
        <w:rPr>
          <w:szCs w:val="22"/>
        </w:rPr>
        <w:t xml:space="preserve">  </w:t>
      </w:r>
      <w:r w:rsidRPr="00BC2CCF">
        <w:rPr>
          <w:szCs w:val="22"/>
        </w:rPr>
        <w:t xml:space="preserve">Finally, DOJ states that the </w:t>
      </w:r>
      <w:r w:rsidR="002D5B5F">
        <w:rPr>
          <w:snapToGrid/>
          <w:kern w:val="0"/>
          <w:szCs w:val="22"/>
        </w:rPr>
        <w:t>c</w:t>
      </w:r>
      <w:r w:rsidRPr="00BC2CCF">
        <w:rPr>
          <w:snapToGrid/>
          <w:kern w:val="0"/>
          <w:szCs w:val="22"/>
        </w:rPr>
        <w:t xml:space="preserve">ircuit </w:t>
      </w:r>
      <w:r w:rsidR="002D5B5F">
        <w:rPr>
          <w:snapToGrid/>
          <w:kern w:val="0"/>
          <w:szCs w:val="22"/>
        </w:rPr>
        <w:t>c</w:t>
      </w:r>
      <w:r w:rsidRPr="00BC2CCF">
        <w:rPr>
          <w:snapToGrid/>
          <w:kern w:val="0"/>
          <w:szCs w:val="22"/>
        </w:rPr>
        <w:t xml:space="preserve">apacity </w:t>
      </w:r>
      <w:r w:rsidR="002D5B5F">
        <w:rPr>
          <w:snapToGrid/>
          <w:kern w:val="0"/>
          <w:szCs w:val="22"/>
        </w:rPr>
        <w:t>data</w:t>
      </w:r>
      <w:r w:rsidR="007018AE">
        <w:rPr>
          <w:snapToGrid/>
          <w:kern w:val="0"/>
          <w:szCs w:val="22"/>
        </w:rPr>
        <w:t xml:space="preserve"> </w:t>
      </w:r>
      <w:r w:rsidR="00FE1F8E">
        <w:rPr>
          <w:snapToGrid/>
          <w:kern w:val="0"/>
          <w:szCs w:val="22"/>
        </w:rPr>
        <w:t xml:space="preserve">are </w:t>
      </w:r>
      <w:r w:rsidRPr="00F95427">
        <w:rPr>
          <w:snapToGrid/>
          <w:kern w:val="0"/>
          <w:szCs w:val="22"/>
        </w:rPr>
        <w:t xml:space="preserve">“relevant </w:t>
      </w:r>
      <w:r w:rsidRPr="00BC2CCF">
        <w:rPr>
          <w:snapToGrid/>
          <w:kern w:val="0"/>
          <w:szCs w:val="22"/>
        </w:rPr>
        <w:t>to the Committee’s national security and law enforcement reviews and will provide additional context to its risk based analyses</w:t>
      </w:r>
      <w:r>
        <w:rPr>
          <w:snapToGrid/>
          <w:kern w:val="0"/>
          <w:szCs w:val="22"/>
        </w:rPr>
        <w:t>.</w:t>
      </w:r>
      <w:r w:rsidRPr="00BC2CCF">
        <w:rPr>
          <w:snapToGrid/>
          <w:kern w:val="0"/>
          <w:szCs w:val="22"/>
        </w:rPr>
        <w:t>”</w:t>
      </w:r>
      <w:r>
        <w:rPr>
          <w:rStyle w:val="FootnoteReference"/>
          <w:snapToGrid/>
          <w:kern w:val="0"/>
          <w:szCs w:val="22"/>
        </w:rPr>
        <w:footnoteReference w:id="11"/>
      </w:r>
      <w:r w:rsidRPr="00F95427">
        <w:rPr>
          <w:snapToGrid/>
          <w:kern w:val="0"/>
          <w:szCs w:val="22"/>
        </w:rPr>
        <w:t xml:space="preserve"> </w:t>
      </w:r>
    </w:p>
    <w:p w:rsidR="00D13AA8" w:rsidP="00D13AA8" w14:paraId="18FF2D02" w14:textId="77777777">
      <w:pPr>
        <w:ind w:firstLine="720"/>
      </w:pPr>
    </w:p>
    <w:p w:rsidR="00D13AA8" w:rsidP="00D13AA8" w14:paraId="106E6964" w14:textId="6B25E4D2">
      <w:pPr>
        <w:widowControl/>
        <w:ind w:firstLine="720"/>
      </w:pPr>
      <w:r>
        <w:t xml:space="preserve">The Commission receives two types of annual circuit capacity data </w:t>
      </w:r>
      <w:r w:rsidR="00E45A5F">
        <w:t xml:space="preserve">reports </w:t>
      </w:r>
      <w:r>
        <w:t xml:space="preserve">regarding </w:t>
      </w:r>
      <w:r w:rsidR="00C72B00">
        <w:t>U.S.-</w:t>
      </w:r>
      <w:r>
        <w:t>international submarine cables</w:t>
      </w:r>
      <w:r w:rsidR="00E45A5F">
        <w:t xml:space="preserve">.  First, </w:t>
      </w:r>
      <w:r>
        <w:t xml:space="preserve">licensees </w:t>
      </w:r>
      <w:r w:rsidR="008864C1">
        <w:t>of a submarine cable between the United States and a</w:t>
      </w:r>
      <w:r w:rsidR="00D62B0A">
        <w:t>ny</w:t>
      </w:r>
      <w:r w:rsidR="008864C1">
        <w:t xml:space="preserve"> foreign point</w:t>
      </w:r>
      <w:r w:rsidR="009709FB">
        <w:t xml:space="preserve"> </w:t>
      </w:r>
      <w:r>
        <w:rPr>
          <w:szCs w:val="22"/>
        </w:rPr>
        <w:t xml:space="preserve">must </w:t>
      </w:r>
      <w:r w:rsidRPr="002D6DA7">
        <w:rPr>
          <w:szCs w:val="22"/>
        </w:rPr>
        <w:t>file capacity information for each cable system as of December 31</w:t>
      </w:r>
      <w:r w:rsidRPr="00857665">
        <w:rPr>
          <w:szCs w:val="22"/>
          <w:vertAlign w:val="superscript"/>
        </w:rPr>
        <w:t>st</w:t>
      </w:r>
      <w:r w:rsidRPr="002D6DA7">
        <w:rPr>
          <w:szCs w:val="22"/>
        </w:rPr>
        <w:t xml:space="preserve"> of the current reporting period </w:t>
      </w:r>
      <w:r w:rsidRPr="002D6DA7" w:rsidR="002524FE">
        <w:rPr>
          <w:szCs w:val="22"/>
        </w:rPr>
        <w:t>(i.e., available capacity)</w:t>
      </w:r>
      <w:r w:rsidR="0017149E">
        <w:rPr>
          <w:szCs w:val="22"/>
        </w:rPr>
        <w:t xml:space="preserve"> </w:t>
      </w:r>
      <w:r>
        <w:t xml:space="preserve">and </w:t>
      </w:r>
      <w:r w:rsidRPr="002D6DA7">
        <w:rPr>
          <w:szCs w:val="22"/>
        </w:rPr>
        <w:t xml:space="preserve">two years from the current reporting period </w:t>
      </w:r>
      <w:r>
        <w:rPr>
          <w:szCs w:val="22"/>
        </w:rPr>
        <w:t xml:space="preserve">(i.e., </w:t>
      </w:r>
      <w:r>
        <w:t>planned capacity)</w:t>
      </w:r>
      <w:r w:rsidR="00CF04E7">
        <w:t>.</w:t>
      </w:r>
      <w:r>
        <w:rPr>
          <w:rStyle w:val="FootnoteReference"/>
        </w:rPr>
        <w:footnoteReference w:id="12"/>
      </w:r>
      <w:r w:rsidR="00CF04E7">
        <w:t xml:space="preserve">  Second, </w:t>
      </w:r>
      <w:r>
        <w:t>s</w:t>
      </w:r>
      <w:r w:rsidRPr="002D6DA7">
        <w:rPr>
          <w:szCs w:val="22"/>
        </w:rPr>
        <w:t>ubmarine cable landing licensees and common carriers that owned or leased capacity on a submarine cable between the United S</w:t>
      </w:r>
      <w:r w:rsidRPr="0034691B">
        <w:rPr>
          <w:szCs w:val="22"/>
        </w:rPr>
        <w:t xml:space="preserve">tates and any foreign point </w:t>
      </w:r>
      <w:r>
        <w:rPr>
          <w:szCs w:val="22"/>
        </w:rPr>
        <w:t xml:space="preserve">must file </w:t>
      </w:r>
      <w:r w:rsidRPr="0034691B">
        <w:rPr>
          <w:szCs w:val="22"/>
        </w:rPr>
        <w:t>capacity information as of December 31</w:t>
      </w:r>
      <w:r w:rsidRPr="00142B71">
        <w:rPr>
          <w:szCs w:val="22"/>
          <w:vertAlign w:val="superscript"/>
        </w:rPr>
        <w:t>st</w:t>
      </w:r>
      <w:r>
        <w:rPr>
          <w:szCs w:val="22"/>
        </w:rPr>
        <w:t xml:space="preserve"> of the current reporting period</w:t>
      </w:r>
      <w:r>
        <w:t>.</w:t>
      </w:r>
      <w:r>
        <w:rPr>
          <w:rStyle w:val="FootnoteReference"/>
        </w:rPr>
        <w:footnoteReference w:id="13"/>
      </w:r>
      <w:r>
        <w:t xml:space="preserve">  The Commission allows reporting entities to request confidential treatment of their data </w:t>
      </w:r>
      <w:r w:rsidRPr="00273BE2">
        <w:rPr>
          <w:szCs w:val="22"/>
        </w:rPr>
        <w:t xml:space="preserve">under section </w:t>
      </w:r>
      <w:r w:rsidRPr="003555BD">
        <w:rPr>
          <w:szCs w:val="22"/>
        </w:rPr>
        <w:t>0.459(a)(4) of the Commission</w:t>
      </w:r>
      <w:r>
        <w:rPr>
          <w:szCs w:val="22"/>
        </w:rPr>
        <w:t>’</w:t>
      </w:r>
      <w:r w:rsidRPr="003555BD">
        <w:rPr>
          <w:szCs w:val="22"/>
        </w:rPr>
        <w:t>s rules</w:t>
      </w:r>
      <w:r>
        <w:t>.</w:t>
      </w:r>
      <w:r>
        <w:rPr>
          <w:rStyle w:val="FootnoteReference"/>
        </w:rPr>
        <w:footnoteReference w:id="14"/>
      </w:r>
      <w:r>
        <w:t xml:space="preserve">  The annual aggregated data from the reports are released to the public.</w:t>
      </w:r>
      <w:r>
        <w:rPr>
          <w:rStyle w:val="FootnoteReference"/>
        </w:rPr>
        <w:footnoteReference w:id="15"/>
      </w:r>
    </w:p>
    <w:p w:rsidR="00D13AA8" w:rsidP="00D13AA8" w14:paraId="76CDD5A0" w14:textId="77777777"/>
    <w:p w:rsidR="00E4374A" w:rsidP="00D13AA8" w14:paraId="1539414B" w14:textId="2A690827">
      <w:pPr>
        <w:ind w:firstLine="720"/>
      </w:pPr>
      <w:r>
        <w:t>T</w:t>
      </w:r>
      <w:r w:rsidRPr="00B82D17" w:rsidR="00D13AA8">
        <w:t xml:space="preserve">he Commission’s regulations provide that </w:t>
      </w:r>
      <w:r w:rsidR="009D46E9">
        <w:t>confidential</w:t>
      </w:r>
      <w:r w:rsidRPr="00B82D17" w:rsidR="009D46E9">
        <w:t xml:space="preserve"> </w:t>
      </w:r>
      <w:r w:rsidRPr="00B82D17" w:rsidR="00D13AA8">
        <w:t>proprietary and commercially sensitive information will be withheld from public disclosure, subject to the public’s right to seek disclosure under the Freedom of Information Act and implementing regulations</w:t>
      </w:r>
      <w:r w:rsidR="005B1535">
        <w:t>.</w:t>
      </w:r>
      <w:r>
        <w:rPr>
          <w:rStyle w:val="FootnoteReference"/>
        </w:rPr>
        <w:footnoteReference w:id="16"/>
      </w:r>
      <w:r w:rsidR="005B1535">
        <w:t xml:space="preserve">  T</w:t>
      </w:r>
      <w:r w:rsidRPr="00B82D17" w:rsidR="00D13AA8">
        <w:t>he Commission may disclose to other Federal agencies records that have been submitted to the Commission in confidence upon another agency’s request or upon the Commission’s own motion.</w:t>
      </w:r>
      <w:r>
        <w:rPr>
          <w:rStyle w:val="FootnoteReference"/>
        </w:rPr>
        <w:footnoteReference w:id="17"/>
      </w:r>
      <w:r w:rsidR="00D13AA8">
        <w:t xml:space="preserve">  </w:t>
      </w:r>
      <w:r w:rsidRPr="00B82D17" w:rsidR="00D13AA8">
        <w:t xml:space="preserve">In general, </w:t>
      </w:r>
      <w:r w:rsidRPr="00F574EC" w:rsidR="00D13AA8">
        <w:t xml:space="preserve">under </w:t>
      </w:r>
      <w:r w:rsidR="00D13AA8">
        <w:t xml:space="preserve">federal law, </w:t>
      </w:r>
      <w:r w:rsidRPr="00F574EC" w:rsidR="00D13AA8">
        <w:t>44 U.S.C. §</w:t>
      </w:r>
      <w:r w:rsidR="00D13AA8">
        <w:t> </w:t>
      </w:r>
      <w:r w:rsidRPr="00F574EC" w:rsidR="00D13AA8">
        <w:t>3510</w:t>
      </w:r>
      <w:r w:rsidR="00D13AA8">
        <w:t xml:space="preserve">, </w:t>
      </w:r>
      <w:r w:rsidRPr="00B82D17" w:rsidR="00D13AA8">
        <w:t>the Commission may share information it has collected with other Federal government agencies</w:t>
      </w:r>
      <w:r w:rsidR="00816693">
        <w:t xml:space="preserve"> and</w:t>
      </w:r>
      <w:r w:rsidR="00DB66CC">
        <w:t>,</w:t>
      </w:r>
      <w:r w:rsidR="00816693">
        <w:t xml:space="preserve"> if it does,</w:t>
      </w:r>
      <w:r w:rsidR="009C3619">
        <w:t xml:space="preserve"> </w:t>
      </w:r>
      <w:r w:rsidRPr="00B82D17" w:rsidR="00D13AA8">
        <w:t>all provisions of law that relate to the unlawful disclosure of information apply to the employees of the agency to which the information is released</w:t>
      </w:r>
      <w:r w:rsidR="00D13AA8">
        <w:t xml:space="preserve"> “</w:t>
      </w:r>
      <w:r w:rsidR="005432F5">
        <w:t xml:space="preserve">to the same extent and in </w:t>
      </w:r>
      <w:r w:rsidR="00D13AA8">
        <w:t>the same manner” as they do to employees of the collecting agency</w:t>
      </w:r>
      <w:r w:rsidRPr="00B82D17" w:rsidR="00D13AA8">
        <w:t>.</w:t>
      </w:r>
      <w:r>
        <w:rPr>
          <w:rStyle w:val="FootnoteReference"/>
        </w:rPr>
        <w:footnoteReference w:id="18"/>
      </w:r>
      <w:r w:rsidRPr="00B82D17" w:rsidR="00D13AA8">
        <w:t xml:space="preserve">  </w:t>
      </w:r>
    </w:p>
    <w:p w:rsidR="00E4374A" w:rsidP="00D13AA8" w14:paraId="115AEF04" w14:textId="77777777">
      <w:pPr>
        <w:ind w:firstLine="720"/>
      </w:pPr>
    </w:p>
    <w:p w:rsidR="00D13AA8" w:rsidP="00117688" w14:paraId="51895316" w14:textId="4AEB2916">
      <w:pPr>
        <w:widowControl/>
        <w:ind w:firstLine="720"/>
      </w:pPr>
      <w:r>
        <w:t>DOJ states that the circuit capacity data will be treated in accordance with the Commission’s rules regarding confidentiality protections, including sections 0.442, 0.457, 0.459, and 0.461, as well as the confidentiality provisions contained in Section 8 of Executive Order 13913.</w:t>
      </w:r>
      <w:r>
        <w:rPr>
          <w:rStyle w:val="FootnoteReference"/>
        </w:rPr>
        <w:footnoteReference w:id="19"/>
      </w:r>
      <w:r>
        <w:t xml:space="preserve"> </w:t>
      </w:r>
      <w:r w:rsidR="00E67863">
        <w:t xml:space="preserve"> </w:t>
      </w:r>
      <w:r>
        <w:t>DOJ also states that “[</w:t>
      </w:r>
      <w:r w:rsidRPr="005B6BD1">
        <w:t>s</w:t>
      </w:r>
      <w:r>
        <w:t>]</w:t>
      </w:r>
      <w:r w:rsidRPr="005B6BD1">
        <w:t xml:space="preserve">hould a third party request such information pursuant to the Freedom of Information Act, absent court order or other applicable overriding legal authority to the contrary, </w:t>
      </w:r>
      <w:r>
        <w:t>[DOJ]</w:t>
      </w:r>
      <w:r w:rsidRPr="005B6BD1">
        <w:t xml:space="preserve"> will withhold the information pursuant to the procedures promulgated in 28 C.F.R. §§ 16.1 </w:t>
      </w:r>
      <w:r w:rsidRPr="00BC2CCF">
        <w:rPr>
          <w:i/>
          <w:iCs/>
        </w:rPr>
        <w:t>et seq</w:t>
      </w:r>
      <w:r w:rsidRPr="005B6BD1">
        <w:t>.</w:t>
      </w:r>
      <w:r>
        <w:t>”</w:t>
      </w:r>
      <w:r>
        <w:rPr>
          <w:rStyle w:val="FootnoteReference"/>
        </w:rPr>
        <w:footnoteReference w:id="20"/>
      </w:r>
    </w:p>
    <w:p w:rsidR="00D13AA8" w:rsidRPr="003E78CB" w:rsidP="00D13AA8" w14:paraId="1C45457E" w14:textId="77777777"/>
    <w:p w:rsidR="00D13AA8" w:rsidP="000F1520" w14:paraId="2887A5BA" w14:textId="769C0088">
      <w:pPr>
        <w:ind w:firstLine="720"/>
      </w:pPr>
      <w:r>
        <w:t>Any e</w:t>
      </w:r>
      <w:r>
        <w:t>ntit</w:t>
      </w:r>
      <w:r>
        <w:t>y</w:t>
      </w:r>
      <w:r>
        <w:t xml:space="preserve"> that provided the circuit capacity data for the 2015</w:t>
      </w:r>
      <w:r w:rsidR="00470FE9">
        <w:t xml:space="preserve"> to </w:t>
      </w:r>
      <w:r>
        <w:t>2020 reporting periods with a request for confidential treatment</w:t>
      </w:r>
      <w:r>
        <w:t xml:space="preserve"> will</w:t>
      </w:r>
      <w:r>
        <w:t xml:space="preserve"> </w:t>
      </w:r>
      <w:r w:rsidRPr="003E78CB">
        <w:t xml:space="preserve">have </w:t>
      </w:r>
      <w:r w:rsidR="00212B02">
        <w:t>ten (</w:t>
      </w:r>
      <w:r w:rsidRPr="003E78CB">
        <w:t>10</w:t>
      </w:r>
      <w:r w:rsidR="00212B02">
        <w:t>)</w:t>
      </w:r>
      <w:r w:rsidRPr="003E78CB">
        <w:t xml:space="preserve"> days from the date of this </w:t>
      </w:r>
      <w:r>
        <w:t xml:space="preserve">public </w:t>
      </w:r>
      <w:r w:rsidRPr="003E78CB">
        <w:t>notice to oppose disclosure</w:t>
      </w:r>
      <w:r>
        <w:t xml:space="preserve"> to the Committee</w:t>
      </w:r>
      <w:r w:rsidRPr="003E78CB">
        <w:t>.</w:t>
      </w:r>
      <w:r>
        <w:rPr>
          <w:rStyle w:val="FootnoteReference"/>
        </w:rPr>
        <w:footnoteReference w:id="21"/>
      </w:r>
      <w:r w:rsidR="009C4AF3">
        <w:t xml:space="preserve">  </w:t>
      </w:r>
      <w:r w:rsidRPr="003E78CB" w:rsidR="009C4AF3">
        <w:t>If disclosure is opposed</w:t>
      </w:r>
      <w:r w:rsidR="009C4AF3">
        <w:t xml:space="preserve"> and the Commission decides to make the </w:t>
      </w:r>
      <w:r w:rsidR="00F46C6E">
        <w:t xml:space="preserve">circuit capacity </w:t>
      </w:r>
      <w:r w:rsidR="009C4AF3">
        <w:t>data available</w:t>
      </w:r>
      <w:r w:rsidRPr="003E78CB" w:rsidR="009C4AF3">
        <w:t xml:space="preserve">, the procedures in </w:t>
      </w:r>
      <w:r w:rsidR="009C4AF3">
        <w:t xml:space="preserve">section </w:t>
      </w:r>
      <w:r w:rsidRPr="003E78CB" w:rsidR="009C4AF3">
        <w:t>0.442</w:t>
      </w:r>
      <w:r w:rsidR="009C4AF3">
        <w:t>(d)(4)</w:t>
      </w:r>
      <w:r w:rsidRPr="003E78CB" w:rsidR="009C4AF3">
        <w:t xml:space="preserve"> will apply.</w:t>
      </w:r>
      <w:r>
        <w:rPr>
          <w:rStyle w:val="FootnoteReference"/>
        </w:rPr>
        <w:footnoteReference w:id="22"/>
      </w:r>
      <w:r w:rsidRPr="003E78CB">
        <w:t xml:space="preserve"> </w:t>
      </w:r>
      <w:r w:rsidR="009C4AF3">
        <w:t xml:space="preserve"> </w:t>
      </w:r>
      <w:r w:rsidRPr="003E78CB">
        <w:t>If</w:t>
      </w:r>
      <w:r>
        <w:t xml:space="preserve"> we </w:t>
      </w:r>
      <w:r w:rsidRPr="003E78CB">
        <w:t xml:space="preserve">receive no opposition, the </w:t>
      </w:r>
      <w:r>
        <w:t>International Bureau</w:t>
      </w:r>
      <w:r w:rsidRPr="003E78CB">
        <w:t xml:space="preserve"> will disclose th</w:t>
      </w:r>
      <w:r>
        <w:t>is</w:t>
      </w:r>
      <w:r w:rsidRPr="003E78CB">
        <w:t xml:space="preserve"> </w:t>
      </w:r>
      <w:r>
        <w:t xml:space="preserve">circuit capacity </w:t>
      </w:r>
      <w:r w:rsidRPr="003E78CB">
        <w:t>information</w:t>
      </w:r>
      <w:r>
        <w:t xml:space="preserve"> to the Committee</w:t>
      </w:r>
      <w:r w:rsidR="00123A9F">
        <w:t>.  The Committee</w:t>
      </w:r>
      <w:r w:rsidR="00CC279F">
        <w:t xml:space="preserve"> will be </w:t>
      </w:r>
      <w:r w:rsidR="00694644">
        <w:t>subject to the requirements of 44 U.S.C. section 3510</w:t>
      </w:r>
      <w:r w:rsidR="00FD47A2">
        <w:t xml:space="preserve"> and</w:t>
      </w:r>
      <w:r w:rsidR="00694644">
        <w:t xml:space="preserve"> the confidentiality protections contained in the Commission’s regulations and Section 8 of Executive Order 13913</w:t>
      </w:r>
      <w:r w:rsidR="00A42664">
        <w:rPr>
          <w:szCs w:val="22"/>
        </w:rPr>
        <w:t>.</w:t>
      </w:r>
      <w:r>
        <w:rPr>
          <w:rStyle w:val="FootnoteReference"/>
          <w:szCs w:val="22"/>
        </w:rPr>
        <w:footnoteReference w:id="23"/>
      </w:r>
      <w:r w:rsidR="000B06EA">
        <w:t xml:space="preserve">  </w:t>
      </w:r>
      <w:r w:rsidRPr="00A82B1B" w:rsidR="00A82B1B">
        <w:t>For purposes of this Public Notice, the Committee includes the members and advisors</w:t>
      </w:r>
      <w:r w:rsidR="00D9400E">
        <w:t xml:space="preserve"> </w:t>
      </w:r>
      <w:r w:rsidRPr="00A82B1B" w:rsidR="00A82B1B">
        <w:t>specifically identified in Executive Order 13913.</w:t>
      </w:r>
      <w:r>
        <w:rPr>
          <w:rStyle w:val="FootnoteReference"/>
        </w:rPr>
        <w:footnoteReference w:id="24"/>
      </w:r>
      <w:r w:rsidR="00A972E7">
        <w:t xml:space="preserve"> </w:t>
      </w:r>
      <w:r w:rsidR="00486D50">
        <w:t xml:space="preserve"> </w:t>
      </w:r>
      <w:r w:rsidRPr="00830B1A" w:rsidR="000B06EA">
        <w:t>If</w:t>
      </w:r>
      <w:r w:rsidR="00366AF5">
        <w:t xml:space="preserve"> </w:t>
      </w:r>
      <w:r w:rsidR="000B06EA">
        <w:t xml:space="preserve">the Committee </w:t>
      </w:r>
      <w:r w:rsidR="00366AF5">
        <w:t xml:space="preserve">seeks to share the circuit capacity </w:t>
      </w:r>
      <w:r w:rsidR="00FE7828">
        <w:t xml:space="preserve">data </w:t>
      </w:r>
      <w:r w:rsidR="00771FF5">
        <w:t xml:space="preserve">with </w:t>
      </w:r>
      <w:r w:rsidR="005C5CEE">
        <w:t>a</w:t>
      </w:r>
      <w:r w:rsidR="00771FF5">
        <w:t xml:space="preserve"> </w:t>
      </w:r>
      <w:r w:rsidR="00727DE7">
        <w:t xml:space="preserve">newly </w:t>
      </w:r>
      <w:r w:rsidR="008C29DD">
        <w:t>identified</w:t>
      </w:r>
      <w:r w:rsidR="00727DE7">
        <w:t xml:space="preserve"> </w:t>
      </w:r>
      <w:r w:rsidR="00366AF5">
        <w:t>executive department or agency, or Assis</w:t>
      </w:r>
      <w:r w:rsidR="002A3D42">
        <w:t>tant to the President, the Commi</w:t>
      </w:r>
      <w:r w:rsidR="00771FF5">
        <w:t>ttee</w:t>
      </w:r>
      <w:r w:rsidR="002A3D42">
        <w:t xml:space="preserve"> </w:t>
      </w:r>
      <w:r w:rsidR="000B06EA">
        <w:t xml:space="preserve">must </w:t>
      </w:r>
      <w:r w:rsidR="007B2D92">
        <w:t xml:space="preserve">file a </w:t>
      </w:r>
      <w:r w:rsidR="002A3D42">
        <w:t xml:space="preserve">separate </w:t>
      </w:r>
      <w:r w:rsidR="007B2D92">
        <w:t xml:space="preserve">request </w:t>
      </w:r>
      <w:r w:rsidR="00803628">
        <w:t xml:space="preserve">for </w:t>
      </w:r>
      <w:r w:rsidRPr="00830B1A" w:rsidR="007B2D92">
        <w:t>access</w:t>
      </w:r>
      <w:r w:rsidRPr="007B2D92" w:rsidR="007B2D92">
        <w:t xml:space="preserve"> to circuit capacity data</w:t>
      </w:r>
      <w:r w:rsidR="002A3D42">
        <w:t>.</w:t>
      </w:r>
      <w:r>
        <w:rPr>
          <w:rStyle w:val="FootnoteReference"/>
        </w:rPr>
        <w:footnoteReference w:id="25"/>
      </w:r>
      <w:r w:rsidR="002A3D42">
        <w:t xml:space="preserve"> </w:t>
      </w:r>
    </w:p>
    <w:p w:rsidR="00D13AA8" w:rsidP="00D13AA8" w14:paraId="76ED97D3" w14:textId="77777777">
      <w:pPr>
        <w:ind w:firstLine="720"/>
      </w:pPr>
    </w:p>
    <w:p w:rsidR="00D13AA8" w:rsidP="00D13AA8" w14:paraId="13E66FE4" w14:textId="7F892081">
      <w:pPr>
        <w:ind w:firstLine="720"/>
      </w:pPr>
      <w:r>
        <w:t xml:space="preserve">Pursuant to sections 1.415 and 1.419 of the Commission’s rules, entities that </w:t>
      </w:r>
      <w:r w:rsidR="00FC6C5F">
        <w:t xml:space="preserve">submitted </w:t>
      </w:r>
      <w:r>
        <w:t>circuit capacity data for the 2015</w:t>
      </w:r>
      <w:r w:rsidR="002B259C">
        <w:t xml:space="preserve"> to </w:t>
      </w:r>
      <w:r>
        <w:t>2020 reporting periods with a request for confidential treatment may file</w:t>
      </w:r>
    </w:p>
    <w:p w:rsidR="00D13AA8" w:rsidP="00D13AA8" w14:paraId="0A5F4996" w14:textId="249AE6D3">
      <w:r>
        <w:t xml:space="preserve">objections to this planned disclosure of such circuit capacity data by filing in </w:t>
      </w:r>
      <w:r w:rsidRPr="00D3141A">
        <w:t>IB Docket 2</w:t>
      </w:r>
      <w:r>
        <w:t>1</w:t>
      </w:r>
      <w:r w:rsidRPr="00D3141A">
        <w:t>-</w:t>
      </w:r>
      <w:r w:rsidR="002A0B7C">
        <w:t>439</w:t>
      </w:r>
      <w:r>
        <w:t xml:space="preserve"> </w:t>
      </w:r>
      <w:r w:rsidRPr="00D607D6">
        <w:t xml:space="preserve">on or before </w:t>
      </w:r>
      <w:r w:rsidR="00DA447F">
        <w:t xml:space="preserve">January </w:t>
      </w:r>
      <w:r w:rsidR="00E811A8">
        <w:t>18</w:t>
      </w:r>
      <w:r w:rsidR="00DA447F">
        <w:t xml:space="preserve">, </w:t>
      </w:r>
      <w:r w:rsidR="00885215">
        <w:t>202</w:t>
      </w:r>
      <w:r w:rsidR="00DA447F">
        <w:t>2</w:t>
      </w:r>
      <w:r>
        <w:t>.</w:t>
      </w:r>
      <w:r>
        <w:rPr>
          <w:rStyle w:val="FootnoteReference"/>
        </w:rPr>
        <w:footnoteReference w:id="26"/>
      </w:r>
      <w:r>
        <w:t xml:space="preserve">  Comments may be filed using the Commission’s Electronic Comment Filing System (ECFS).  </w:t>
      </w:r>
      <w:r w:rsidRPr="00BC2CCF">
        <w:rPr>
          <w:i/>
          <w:iCs/>
        </w:rPr>
        <w:t>See Electronic Filing of Documents in Rulemaking Proceedings</w:t>
      </w:r>
      <w:r w:rsidRPr="00BB7BDB">
        <w:t>, 63 FR 24121 (1998).</w:t>
      </w:r>
      <w:r>
        <w:t xml:space="preserve"> </w:t>
      </w:r>
    </w:p>
    <w:p w:rsidR="00D13AA8" w:rsidP="00D13AA8" w14:paraId="0496A51C" w14:textId="77777777">
      <w:pPr>
        <w:ind w:firstLine="720"/>
      </w:pPr>
    </w:p>
    <w:p w:rsidR="00D13AA8" w:rsidRPr="00D70A02" w:rsidP="00D13AA8" w14:paraId="2248DDB1" w14:textId="77777777">
      <w:pPr>
        <w:widowControl/>
        <w:numPr>
          <w:ilvl w:val="0"/>
          <w:numId w:val="7"/>
        </w:numPr>
        <w:rPr>
          <w:szCs w:val="22"/>
        </w:rPr>
      </w:pPr>
      <w:r w:rsidRPr="00ED553C">
        <w:rPr>
          <w:b/>
          <w:szCs w:val="22"/>
        </w:rPr>
        <w:t>Electronic Filers</w:t>
      </w:r>
      <w:r w:rsidRPr="00590F8E">
        <w:rPr>
          <w:szCs w:val="22"/>
        </w:rPr>
        <w:t>:</w:t>
      </w:r>
      <w:r w:rsidRPr="005D2A89">
        <w:rPr>
          <w:szCs w:val="22"/>
        </w:rPr>
        <w:t xml:space="preserve">  Comments may be filed electronically using the Internet by accessing the ECFS:  </w:t>
      </w:r>
      <w:hyperlink r:id="rId5" w:history="1">
        <w:r w:rsidRPr="005D2A89">
          <w:rPr>
            <w:color w:val="0000FF"/>
            <w:szCs w:val="22"/>
            <w:u w:val="single"/>
          </w:rPr>
          <w:t>http://apps.fcc.gov/ecfs/</w:t>
        </w:r>
      </w:hyperlink>
      <w:r>
        <w:rPr>
          <w:szCs w:val="22"/>
        </w:rPr>
        <w:t>.</w:t>
      </w:r>
    </w:p>
    <w:p w:rsidR="00D13AA8" w:rsidP="00D13AA8" w14:paraId="606DA3D1" w14:textId="77777777">
      <w:pPr>
        <w:widowControl/>
        <w:rPr>
          <w:color w:val="323130"/>
        </w:rPr>
      </w:pPr>
    </w:p>
    <w:p w:rsidR="00D13AA8" w:rsidP="00D13AA8" w14:paraId="693284EE" w14:textId="77777777">
      <w:pPr>
        <w:widowControl/>
        <w:numPr>
          <w:ilvl w:val="0"/>
          <w:numId w:val="8"/>
        </w:numPr>
        <w:rPr>
          <w:color w:val="000000"/>
          <w:szCs w:val="22"/>
        </w:rPr>
      </w:pPr>
      <w:r w:rsidRPr="00351885">
        <w:rPr>
          <w:b/>
          <w:color w:val="000000"/>
          <w:szCs w:val="22"/>
        </w:rPr>
        <w:t>Paper Filers:</w:t>
      </w:r>
      <w:r w:rsidRPr="00351885">
        <w:rPr>
          <w:color w:val="000000"/>
          <w:szCs w:val="22"/>
        </w:rPr>
        <w:t xml:space="preserve">  </w:t>
      </w:r>
      <w:r w:rsidRPr="00373AB8">
        <w:rPr>
          <w:color w:val="000000"/>
          <w:szCs w:val="22"/>
        </w:rPr>
        <w:t>Parties who choose to file by paper must file an original and one copy of each filing.</w:t>
      </w:r>
    </w:p>
    <w:p w:rsidR="00D13AA8" w:rsidP="00D13AA8" w14:paraId="52228FE7" w14:textId="77777777">
      <w:pPr>
        <w:widowControl/>
        <w:ind w:left="1440"/>
        <w:rPr>
          <w:color w:val="000000"/>
          <w:szCs w:val="22"/>
        </w:rPr>
      </w:pPr>
    </w:p>
    <w:p w:rsidR="00D13AA8" w:rsidRPr="00373AB8" w:rsidP="00D13AA8" w14:paraId="12F76AE9" w14:textId="77777777">
      <w:pPr>
        <w:widowControl/>
        <w:numPr>
          <w:ilvl w:val="1"/>
          <w:numId w:val="8"/>
        </w:numPr>
        <w:rPr>
          <w:color w:val="000000"/>
          <w:szCs w:val="22"/>
        </w:rPr>
      </w:pPr>
      <w:r w:rsidRPr="00373AB8">
        <w:rPr>
          <w:color w:val="000000"/>
          <w:szCs w:val="22"/>
        </w:rPr>
        <w:t>Filings can be sent by commercial overnight courier, or by first-class or overnight U.S. Postal Service mail. All filings must be addressed to the Commission’s Secretary, Office of the Secretary, Federal Communications Commission.</w:t>
      </w:r>
    </w:p>
    <w:p w:rsidR="00D13AA8" w:rsidP="00D13AA8" w14:paraId="38CD25E4" w14:textId="77777777">
      <w:pPr>
        <w:widowControl/>
        <w:numPr>
          <w:ilvl w:val="2"/>
          <w:numId w:val="8"/>
        </w:numPr>
        <w:rPr>
          <w:color w:val="000000"/>
          <w:szCs w:val="22"/>
        </w:rPr>
      </w:pPr>
      <w:r w:rsidRPr="00F95427">
        <w:rPr>
          <w:color w:val="000000"/>
          <w:szCs w:val="22"/>
        </w:rPr>
        <w:t>Commercial overnight mail (other than U.S. Postal Service Express Mail and Priority Mail) must be sent to 9050 Junction Drive, Annapolis Junction, MD 20701.</w:t>
      </w:r>
    </w:p>
    <w:p w:rsidR="00D13AA8" w:rsidP="00D13AA8" w14:paraId="31336CFA" w14:textId="77777777">
      <w:pPr>
        <w:widowControl/>
        <w:numPr>
          <w:ilvl w:val="2"/>
          <w:numId w:val="8"/>
        </w:numPr>
        <w:rPr>
          <w:color w:val="000000"/>
          <w:szCs w:val="22"/>
        </w:rPr>
      </w:pPr>
      <w:r w:rsidRPr="00F95427">
        <w:rPr>
          <w:color w:val="000000"/>
          <w:szCs w:val="22"/>
        </w:rPr>
        <w:t>U.S. Postal Service first-class, Express, and Priority mail must be addressed to 45 L Street NE</w:t>
      </w:r>
      <w:r>
        <w:rPr>
          <w:color w:val="000000"/>
          <w:szCs w:val="22"/>
        </w:rPr>
        <w:t xml:space="preserve">, </w:t>
      </w:r>
      <w:r w:rsidRPr="00F95427">
        <w:rPr>
          <w:color w:val="000000"/>
          <w:szCs w:val="22"/>
        </w:rPr>
        <w:t>Washington, DC 20554</w:t>
      </w:r>
      <w:r>
        <w:rPr>
          <w:color w:val="000000"/>
          <w:szCs w:val="22"/>
        </w:rPr>
        <w:t>.</w:t>
      </w:r>
    </w:p>
    <w:p w:rsidR="00D13AA8" w:rsidP="00D13AA8" w14:paraId="1CE881CC" w14:textId="77777777">
      <w:pPr>
        <w:widowControl/>
        <w:ind w:left="2160"/>
        <w:rPr>
          <w:color w:val="000000"/>
          <w:szCs w:val="22"/>
        </w:rPr>
      </w:pPr>
      <w:r w:rsidRPr="00BC2CCF">
        <w:rPr>
          <w:color w:val="000000"/>
          <w:szCs w:val="22"/>
        </w:rPr>
        <w:t xml:space="preserve"> </w:t>
      </w:r>
    </w:p>
    <w:p w:rsidR="00D13AA8" w:rsidRPr="00F95427" w:rsidP="00D13AA8" w14:paraId="1EC833D2" w14:textId="77777777">
      <w:pPr>
        <w:widowControl/>
        <w:numPr>
          <w:ilvl w:val="1"/>
          <w:numId w:val="8"/>
        </w:numPr>
        <w:rPr>
          <w:color w:val="000000"/>
          <w:szCs w:val="22"/>
        </w:rPr>
      </w:pPr>
      <w:r w:rsidRPr="00D70A02">
        <w:rPr>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zCs w:val="22"/>
        </w:rPr>
        <w:t xml:space="preserve">  </w:t>
      </w:r>
      <w:r w:rsidRPr="006A3F24">
        <w:rPr>
          <w:i/>
          <w:iCs/>
          <w:color w:val="000000"/>
          <w:szCs w:val="22"/>
        </w:rPr>
        <w:t>See FCC Announces Closure of FCC Headquarters Open Window and Change in Hand-Delivery Policy</w:t>
      </w:r>
      <w:r w:rsidRPr="00D70A02">
        <w:rPr>
          <w:color w:val="000000"/>
          <w:szCs w:val="22"/>
        </w:rPr>
        <w:t>, Public Notice, DA 20-304 (March 19, 2020)</w:t>
      </w:r>
      <w:r>
        <w:rPr>
          <w:color w:val="000000"/>
          <w:szCs w:val="22"/>
        </w:rPr>
        <w:t xml:space="preserve">; </w:t>
      </w:r>
      <w:hyperlink r:id="rId6" w:history="1">
        <w:r w:rsidRPr="00C9704F">
          <w:rPr>
            <w:rStyle w:val="Hyperlink"/>
            <w:szCs w:val="22"/>
          </w:rPr>
          <w:t>https://www.fcc.gov/document/fcc-closes-headquarters-open-window-and-changes-hand-delivery-policy</w:t>
        </w:r>
      </w:hyperlink>
      <w:r w:rsidRPr="00BC2CCF">
        <w:rPr>
          <w:color w:val="000000"/>
          <w:szCs w:val="22"/>
        </w:rPr>
        <w:t>.</w:t>
      </w:r>
    </w:p>
    <w:p w:rsidR="00D13AA8" w:rsidP="00D13AA8" w14:paraId="0178C86C" w14:textId="77777777">
      <w:pPr>
        <w:ind w:firstLine="720"/>
        <w:rPr>
          <w:b/>
        </w:rPr>
      </w:pPr>
    </w:p>
    <w:p w:rsidR="00D13AA8" w:rsidP="00D13AA8" w14:paraId="11AD9581" w14:textId="3871009F">
      <w:pPr>
        <w:ind w:firstLine="720"/>
      </w:pPr>
      <w:r w:rsidRPr="00351885">
        <w:rPr>
          <w:b/>
        </w:rPr>
        <w:t>People with Disabilities:</w:t>
      </w:r>
      <w:r w:rsidRPr="00351885">
        <w:t xml:space="preserve">  To request materials in accessible formats for people with disabilities (braille, large print, electronic files, audio format), send an e-mail to </w:t>
      </w:r>
      <w:hyperlink r:id="rId7" w:history="1">
        <w:r w:rsidRPr="006C38C3" w:rsidR="006A2FE5">
          <w:rPr>
            <w:rStyle w:val="Hyperlink"/>
          </w:rPr>
          <w:t>fcc504@fcc.gov</w:t>
        </w:r>
      </w:hyperlink>
      <w:r w:rsidR="006A2FE5">
        <w:t xml:space="preserve"> </w:t>
      </w:r>
      <w:r w:rsidRPr="00351885">
        <w:t>or call the Consumer &amp; Governmental Affairs Bureau at 202-418-0530 (voice), 202-418-0432 (tty).</w:t>
      </w:r>
    </w:p>
    <w:p w:rsidR="00D13AA8" w:rsidP="00D13AA8" w14:paraId="4B4D272B" w14:textId="77777777">
      <w:pPr>
        <w:ind w:firstLine="720"/>
      </w:pPr>
    </w:p>
    <w:p w:rsidR="00D13AA8" w:rsidP="00D13AA8" w14:paraId="69E46F87" w14:textId="35A022E6">
      <w:pPr>
        <w:ind w:firstLine="720"/>
      </w:pPr>
      <w:r>
        <w:t xml:space="preserve">Parties should also send a courtesy copy of their filing to Stacey Ashton, Telecommunications Analyst, Telecommunications and Analysis Division, International Bureau at </w:t>
      </w:r>
      <w:hyperlink r:id="rId8" w:history="1">
        <w:r w:rsidRPr="002F12BB">
          <w:rPr>
            <w:rStyle w:val="Hyperlink"/>
          </w:rPr>
          <w:t>Stacey.Ashton@fcc.gov</w:t>
        </w:r>
      </w:hyperlink>
      <w:r>
        <w:t>.</w:t>
      </w:r>
    </w:p>
    <w:p w:rsidR="00D13AA8" w:rsidP="00D13AA8" w14:paraId="7B977A89" w14:textId="77777777">
      <w:pPr>
        <w:ind w:firstLine="720"/>
      </w:pPr>
    </w:p>
    <w:p w:rsidR="00D13AA8" w:rsidP="00D13AA8" w14:paraId="7D44DA91" w14:textId="77777777">
      <w:pPr>
        <w:ind w:firstLine="720"/>
      </w:pPr>
      <w:r w:rsidRPr="009A3F92">
        <w:t xml:space="preserve">The proceeding this Notice initiates shall be treated as a “permit-but-disclose” proceeding in accordance with the Commission’s </w:t>
      </w:r>
      <w:r w:rsidRPr="00D70A02">
        <w:rPr>
          <w:i/>
          <w:iCs/>
        </w:rPr>
        <w:t>ex parte</w:t>
      </w:r>
      <w:r w:rsidRPr="009A3F92">
        <w:t xml:space="preserve"> rules.</w:t>
      </w:r>
      <w:r>
        <w:rPr>
          <w:rStyle w:val="FootnoteReference"/>
        </w:rPr>
        <w:footnoteReference w:id="27"/>
      </w:r>
      <w:r w:rsidRPr="009A3F92">
        <w:t xml:space="preserve">  Persons making </w:t>
      </w:r>
      <w:r w:rsidRPr="00D70A02">
        <w:rPr>
          <w:i/>
          <w:iCs/>
        </w:rPr>
        <w:t>ex parte</w:t>
      </w:r>
      <w:r w:rsidRPr="009A3F92">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D70A02">
        <w:rPr>
          <w:i/>
          <w:iCs/>
        </w:rPr>
        <w:t>ex parte</w:t>
      </w:r>
      <w:r w:rsidRPr="009A3F92">
        <w:t xml:space="preserve"> presentations are reminded that memoranda summarizing the presentation must (1) list all persons attending or otherwise participating in the meeting at which the </w:t>
      </w:r>
      <w:r w:rsidRPr="00D70A02">
        <w:rPr>
          <w:i/>
          <w:iCs/>
        </w:rPr>
        <w:t>ex parte</w:t>
      </w:r>
      <w:r w:rsidRPr="009A3F92">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70A02">
        <w:rPr>
          <w:i/>
          <w:iCs/>
        </w:rPr>
        <w:t>ex parte</w:t>
      </w:r>
      <w:r w:rsidRPr="009A3F92">
        <w:t xml:space="preserve"> meetings are deemed to be written </w:t>
      </w:r>
      <w:r w:rsidRPr="00D70A02">
        <w:rPr>
          <w:i/>
          <w:iCs/>
        </w:rPr>
        <w:t>ex parte</w:t>
      </w:r>
      <w:r w:rsidRPr="009A3F92">
        <w:t xml:space="preserve"> presentations and must be filed consistent with rule 1.1206(b).  In proceedings governed by rule 1.49(f) or for which the Commission has made available a method of electronic filing, written </w:t>
      </w:r>
      <w:r w:rsidRPr="00D70A02">
        <w:rPr>
          <w:i/>
          <w:iCs/>
        </w:rPr>
        <w:t>ex parte</w:t>
      </w:r>
      <w:r w:rsidRPr="009A3F92">
        <w:t xml:space="preserve"> presentations and memoranda summarizing oral </w:t>
      </w:r>
      <w:r w:rsidRPr="00D70A02">
        <w:rPr>
          <w:i/>
          <w:iCs/>
        </w:rPr>
        <w:t>ex parte</w:t>
      </w:r>
      <w:r w:rsidRPr="009A3F92">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D70A02">
        <w:rPr>
          <w:i/>
          <w:iCs/>
        </w:rPr>
        <w:t>ex parte</w:t>
      </w:r>
      <w:r w:rsidRPr="009A3F92">
        <w:t xml:space="preserve"> rules.</w:t>
      </w:r>
    </w:p>
    <w:p w:rsidR="00D13AA8" w:rsidP="00D13AA8" w14:paraId="5581F62B" w14:textId="77777777">
      <w:pPr>
        <w:ind w:firstLine="720"/>
      </w:pPr>
    </w:p>
    <w:p w:rsidR="007239BC" w:rsidP="00D13AA8" w14:paraId="609F45BD" w14:textId="3B24628A">
      <w:pPr>
        <w:ind w:firstLine="720"/>
      </w:pPr>
      <w:r>
        <w:t xml:space="preserve">For further information, please contact Stacey Ashton, Telecommunications Analyst, Telecommunications and Analysis Division, International Bureau at </w:t>
      </w:r>
      <w:hyperlink r:id="rId8" w:history="1">
        <w:r w:rsidRPr="002F12BB">
          <w:rPr>
            <w:rStyle w:val="Hyperlink"/>
          </w:rPr>
          <w:t>Stacey.Ashton@fcc.gov</w:t>
        </w:r>
      </w:hyperlink>
      <w:r>
        <w:t xml:space="preserve"> or at (202) 418-2214 or David Krech, Associate Division Chief, Telecommunications and Analysis Division, International Bureau at </w:t>
      </w:r>
      <w:hyperlink r:id="rId9" w:history="1">
        <w:r w:rsidRPr="007910BD">
          <w:rPr>
            <w:rStyle w:val="Hyperlink"/>
          </w:rPr>
          <w:t>David.Krech@fcc.gov</w:t>
        </w:r>
      </w:hyperlink>
      <w:r>
        <w:t xml:space="preserve"> or at (202) 418-7443.</w:t>
      </w:r>
    </w:p>
    <w:p w:rsidR="005C3ADA" w:rsidP="00D13AA8" w14:paraId="3FF159ED" w14:textId="77777777">
      <w:pPr>
        <w:ind w:firstLine="720"/>
      </w:pPr>
    </w:p>
    <w:p w:rsidR="00D13AA8" w:rsidRPr="00930ECF" w:rsidP="00D13AA8" w14:paraId="5376E72D" w14:textId="77777777">
      <w:pPr>
        <w:jc w:val="center"/>
        <w:rPr>
          <w:sz w:val="24"/>
        </w:rPr>
      </w:pPr>
      <w:r>
        <w:rPr>
          <w:b/>
        </w:rPr>
        <w:t>- FCC -</w:t>
      </w:r>
    </w:p>
    <w:p w:rsidR="00D13AA8" w:rsidP="00D13AA8" w14:paraId="138F9B2B" w14:textId="77777777"/>
    <w:bookmarkEnd w:id="0"/>
    <w:p w:rsidR="00D13AA8" w14:paraId="3827717F" w14:textId="77777777"/>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B24" w14:paraId="0B63DA82" w14:textId="77777777">
    <w:pPr>
      <w:pStyle w:val="Footer"/>
      <w:framePr w:wrap="around" w:vAnchor="text" w:hAnchor="margin" w:xAlign="center" w:y="1"/>
    </w:pPr>
    <w:r>
      <w:fldChar w:fldCharType="begin"/>
    </w:r>
    <w:r>
      <w:instrText xml:space="preserve">PAGE  </w:instrText>
    </w:r>
    <w:r>
      <w:fldChar w:fldCharType="separate"/>
    </w:r>
    <w:r>
      <w:fldChar w:fldCharType="end"/>
    </w:r>
  </w:p>
  <w:p w:rsidR="003D4B24" w14:paraId="10C25F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B24" w14:paraId="7ED6678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B24" w14:paraId="25EBCEF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6A8B" w14:paraId="34E23C63" w14:textId="77777777">
      <w:r>
        <w:separator/>
      </w:r>
    </w:p>
  </w:footnote>
  <w:footnote w:type="continuationSeparator" w:id="1">
    <w:p w:rsidR="00ED6A8B" w14:paraId="612413DE" w14:textId="77777777">
      <w:pPr>
        <w:rPr>
          <w:sz w:val="20"/>
        </w:rPr>
      </w:pPr>
      <w:r>
        <w:rPr>
          <w:sz w:val="20"/>
        </w:rPr>
        <w:t xml:space="preserve">(Continued from previous page)  </w:t>
      </w:r>
      <w:r>
        <w:rPr>
          <w:sz w:val="20"/>
        </w:rPr>
        <w:separator/>
      </w:r>
    </w:p>
  </w:footnote>
  <w:footnote w:type="continuationNotice" w:id="2">
    <w:p w:rsidR="00ED6A8B" w14:paraId="6985C8DF" w14:textId="77777777">
      <w:pPr>
        <w:jc w:val="right"/>
        <w:rPr>
          <w:sz w:val="20"/>
        </w:rPr>
      </w:pPr>
      <w:r>
        <w:rPr>
          <w:sz w:val="20"/>
        </w:rPr>
        <w:t>(continued….)</w:t>
      </w:r>
    </w:p>
  </w:footnote>
  <w:footnote w:id="3">
    <w:p w:rsidR="00D13AA8" w:rsidP="00D13AA8" w14:paraId="59C9E7BC" w14:textId="77777777">
      <w:pPr>
        <w:pStyle w:val="FootnoteText"/>
      </w:pPr>
      <w:r>
        <w:rPr>
          <w:rStyle w:val="FootnoteReference"/>
        </w:rPr>
        <w:footnoteRef/>
      </w:r>
      <w:r>
        <w:t xml:space="preserve"> 47 CFR § 43.82.</w:t>
      </w:r>
    </w:p>
  </w:footnote>
  <w:footnote w:id="4">
    <w:p w:rsidR="00D13AA8" w:rsidRPr="00C86B26" w:rsidP="00D13AA8" w14:paraId="31CC04EB" w14:textId="24931AB9">
      <w:pPr>
        <w:pStyle w:val="FootnoteText"/>
      </w:pPr>
      <w:r>
        <w:rPr>
          <w:rStyle w:val="FootnoteReference"/>
        </w:rPr>
        <w:footnoteRef/>
      </w:r>
      <w:r>
        <w:t xml:space="preserve"> </w:t>
      </w:r>
      <w:r>
        <w:t xml:space="preserve">The </w:t>
      </w:r>
      <w:r w:rsidR="00F01F2A">
        <w:t>membe</w:t>
      </w:r>
      <w:r w:rsidR="00097FDB">
        <w:t xml:space="preserve">rs of the </w:t>
      </w:r>
      <w:r>
        <w:t>Committee</w:t>
      </w:r>
      <w:r w:rsidRPr="00E04B70" w:rsidR="00E04B70">
        <w:t xml:space="preserve"> specifically designated by the Executive Order are</w:t>
      </w:r>
      <w:r>
        <w:t xml:space="preserve"> </w:t>
      </w:r>
      <w:r w:rsidRPr="007B69AF">
        <w:t>the Secretary of Defense, the Secretary of Homeland Security</w:t>
      </w:r>
      <w:r>
        <w:t xml:space="preserve">, </w:t>
      </w:r>
      <w:r w:rsidRPr="007B69AF">
        <w:t>and the Attorney General, who serves as the Chair</w:t>
      </w:r>
      <w:r>
        <w:t xml:space="preserve">.  </w:t>
      </w:r>
      <w:r w:rsidRPr="007E1119">
        <w:t>Executive Order No. 13913 of April 4, 2020, Establishing the Committee for the Assessment of Foreign Participation in the United States Telecommunications Services Sector, 85 Fed. Reg. 19643</w:t>
      </w:r>
      <w:r>
        <w:t>,</w:t>
      </w:r>
      <w:r w:rsidRPr="009652F0">
        <w:t xml:space="preserve"> 19643</w:t>
      </w:r>
      <w:r w:rsidR="00EC2754">
        <w:t>-44</w:t>
      </w:r>
      <w:r w:rsidRPr="003A10D5" w:rsidR="00145914">
        <w:t xml:space="preserve"> §</w:t>
      </w:r>
      <w:r>
        <w:t xml:space="preserve"> 3(b), (c) </w:t>
      </w:r>
      <w:r w:rsidRPr="007E1119" w:rsidR="00145914">
        <w:t>(Apr. 8, 2020)</w:t>
      </w:r>
      <w:r w:rsidR="00145914">
        <w:t xml:space="preserve"> </w:t>
      </w:r>
      <w:r>
        <w:t>(Executive Order 13913).</w:t>
      </w:r>
      <w:r w:rsidR="00F96DC8">
        <w:t xml:space="preserve">  </w:t>
      </w:r>
      <w:r w:rsidR="003617D9">
        <w:t xml:space="preserve">The </w:t>
      </w:r>
      <w:r w:rsidR="00497F02">
        <w:t>advisors to the Committee</w:t>
      </w:r>
      <w:r w:rsidR="005639CD">
        <w:t xml:space="preserve"> </w:t>
      </w:r>
      <w:r w:rsidRPr="00E04B70" w:rsidR="00850BE3">
        <w:t xml:space="preserve">specifically designated by the Executive Order </w:t>
      </w:r>
      <w:r w:rsidR="005639CD">
        <w:t xml:space="preserve">are </w:t>
      </w:r>
      <w:r w:rsidRPr="001C3E5A" w:rsidR="001C3E5A">
        <w:t>the Secretary of State</w:t>
      </w:r>
      <w:r w:rsidR="00D809DA">
        <w:t>,</w:t>
      </w:r>
      <w:r w:rsidR="001C3E5A">
        <w:t xml:space="preserve"> </w:t>
      </w:r>
      <w:r w:rsidRPr="001C3E5A" w:rsidR="001C3E5A">
        <w:t>the Secretary of the Treasury</w:t>
      </w:r>
      <w:r w:rsidR="00C23196">
        <w:t>,</w:t>
      </w:r>
      <w:r w:rsidR="00B549F6">
        <w:t xml:space="preserve"> </w:t>
      </w:r>
      <w:r w:rsidRPr="00B549F6" w:rsidR="00B549F6">
        <w:t>the Secretary of Commerce</w:t>
      </w:r>
      <w:r w:rsidR="00C23196">
        <w:t>,</w:t>
      </w:r>
      <w:r w:rsidR="00B549F6">
        <w:t xml:space="preserve"> </w:t>
      </w:r>
      <w:r w:rsidRPr="00DA44D7" w:rsidR="00DA44D7">
        <w:t>the Director of the Office of Management and Budget</w:t>
      </w:r>
      <w:r w:rsidR="00C23196">
        <w:t>,</w:t>
      </w:r>
      <w:r w:rsidR="00DA44D7">
        <w:t xml:space="preserve"> </w:t>
      </w:r>
      <w:r w:rsidRPr="00DA44D7" w:rsidR="00DA44D7">
        <w:t>the United States Trade Representative</w:t>
      </w:r>
      <w:r w:rsidR="00C23196">
        <w:t>,</w:t>
      </w:r>
      <w:r w:rsidR="00DA44D7">
        <w:t xml:space="preserve"> </w:t>
      </w:r>
      <w:r w:rsidRPr="00DA44D7" w:rsidR="00DA44D7">
        <w:t>the Director of National Intelligence</w:t>
      </w:r>
      <w:r w:rsidR="00C23196">
        <w:t>,</w:t>
      </w:r>
      <w:r w:rsidR="00DA44D7">
        <w:t xml:space="preserve"> </w:t>
      </w:r>
      <w:r w:rsidRPr="00846C45" w:rsidR="00846C45">
        <w:t>the Administrator of General Services</w:t>
      </w:r>
      <w:r w:rsidR="00C23196">
        <w:t>,</w:t>
      </w:r>
      <w:r w:rsidR="00846C45">
        <w:t xml:space="preserve"> </w:t>
      </w:r>
      <w:r w:rsidRPr="00846C45" w:rsidR="00846C45">
        <w:t>the Assistant to the President for National Security Affairs</w:t>
      </w:r>
      <w:r w:rsidR="00C23196">
        <w:t>,</w:t>
      </w:r>
      <w:r w:rsidR="00846C45">
        <w:t xml:space="preserve"> </w:t>
      </w:r>
      <w:r w:rsidRPr="00742C77" w:rsidR="00742C77">
        <w:t>the Assistant to the President for Economic Policy</w:t>
      </w:r>
      <w:r w:rsidR="00C23196">
        <w:t>,</w:t>
      </w:r>
      <w:r w:rsidRPr="00742C77" w:rsidR="00742C77">
        <w:t xml:space="preserve"> the Director of the Office of Science and Technology Policy</w:t>
      </w:r>
      <w:r w:rsidR="00C23196">
        <w:t>,</w:t>
      </w:r>
      <w:r w:rsidR="009E2E98">
        <w:t xml:space="preserve"> and</w:t>
      </w:r>
      <w:r w:rsidR="00742C77">
        <w:t xml:space="preserve"> </w:t>
      </w:r>
      <w:r w:rsidRPr="00790BB9" w:rsidR="00790BB9">
        <w:t>the Chair of the Council of Economic Advisers</w:t>
      </w:r>
      <w:r w:rsidR="00F45003">
        <w:t>.</w:t>
      </w:r>
      <w:r w:rsidR="00742C77">
        <w:t xml:space="preserve"> </w:t>
      </w:r>
      <w:r w:rsidR="00F45003">
        <w:t xml:space="preserve"> </w:t>
      </w:r>
      <w:r w:rsidR="00F45003">
        <w:rPr>
          <w:i/>
        </w:rPr>
        <w:t>Id.</w:t>
      </w:r>
      <w:r w:rsidR="00F45003">
        <w:rPr>
          <w:iCs/>
        </w:rPr>
        <w:t xml:space="preserve">, 85 Fed. Reg. at </w:t>
      </w:r>
      <w:r w:rsidRPr="009652F0" w:rsidR="00F45003">
        <w:t>1964</w:t>
      </w:r>
      <w:r w:rsidR="00EC2754">
        <w:t xml:space="preserve">4 </w:t>
      </w:r>
      <w:r w:rsidRPr="003A10D5" w:rsidR="00B8129E">
        <w:t xml:space="preserve">§ </w:t>
      </w:r>
      <w:r w:rsidR="00EC2754">
        <w:t>3(d).</w:t>
      </w:r>
    </w:p>
  </w:footnote>
  <w:footnote w:id="5">
    <w:p w:rsidR="00D13AA8" w:rsidP="00A7099F" w14:paraId="7AE57B3E" w14:textId="3A74F23D">
      <w:pPr>
        <w:pStyle w:val="FootnoteText"/>
      </w:pPr>
      <w:r w:rsidRPr="00821637">
        <w:rPr>
          <w:rStyle w:val="FootnoteReference"/>
        </w:rPr>
        <w:footnoteRef/>
      </w:r>
      <w:r w:rsidRPr="00821637">
        <w:t xml:space="preserve"> </w:t>
      </w:r>
      <w:r w:rsidRPr="00821637">
        <w:t>Letter from David Plotinsky, Acting Chief, Foreign Investment Review Section</w:t>
      </w:r>
      <w:r>
        <w:t>,</w:t>
      </w:r>
      <w:r w:rsidRPr="00821637">
        <w:t xml:space="preserve"> National Security Division, U.S. Department of Justice</w:t>
      </w:r>
      <w:r>
        <w:t>,</w:t>
      </w:r>
      <w:r w:rsidRPr="00821637">
        <w:t xml:space="preserve"> to Denise Coca, Chief, Telecommunications and Analysis Division, International Bureau, FCC </w:t>
      </w:r>
      <w:r>
        <w:t xml:space="preserve">at 1 </w:t>
      </w:r>
      <w:r w:rsidRPr="00821637">
        <w:t>(</w:t>
      </w:r>
      <w:r w:rsidR="00806AC3">
        <w:t xml:space="preserve">dated </w:t>
      </w:r>
      <w:r w:rsidRPr="00821637">
        <w:t>July 19, 2021) (</w:t>
      </w:r>
      <w:r>
        <w:t xml:space="preserve">DOJ </w:t>
      </w:r>
      <w:r w:rsidRPr="00821637">
        <w:t>Letter)</w:t>
      </w:r>
      <w:r w:rsidR="008E1837">
        <w:t xml:space="preserve">; </w:t>
      </w:r>
      <w:r w:rsidR="008E1837">
        <w:rPr>
          <w:i/>
          <w:iCs/>
        </w:rPr>
        <w:t>id</w:t>
      </w:r>
      <w:r w:rsidR="008E1837">
        <w:t xml:space="preserve">. </w:t>
      </w:r>
      <w:r w:rsidR="00C5476A">
        <w:t xml:space="preserve">at 2 </w:t>
      </w:r>
      <w:r w:rsidR="008E1837">
        <w:t>(</w:t>
      </w:r>
      <w:r w:rsidRPr="008E1837" w:rsidR="008E1837">
        <w:t>add</w:t>
      </w:r>
      <w:r w:rsidR="008E1837">
        <w:t>ing</w:t>
      </w:r>
      <w:r w:rsidRPr="008E1837" w:rsidR="008E1837">
        <w:t xml:space="preserve"> that “[u]nder Section 8 of [Executive Order] 13913, the Committee may seek information from any entity as needed in furtherance of its reviews of applications and licenses.”</w:t>
      </w:r>
      <w:r w:rsidR="008E1837">
        <w:t>).</w:t>
      </w:r>
      <w:r w:rsidRPr="008E1837" w:rsidR="008E1837">
        <w:t xml:space="preserve">     </w:t>
      </w:r>
    </w:p>
  </w:footnote>
  <w:footnote w:id="6">
    <w:p w:rsidR="00D13AA8" w:rsidP="00D13AA8" w14:paraId="50B5EB7D" w14:textId="3F8389D9">
      <w:pPr>
        <w:pStyle w:val="FootnoteText"/>
      </w:pPr>
      <w:r>
        <w:rPr>
          <w:rStyle w:val="FootnoteReference"/>
        </w:rPr>
        <w:footnoteRef/>
      </w:r>
      <w:r>
        <w:t xml:space="preserve"> </w:t>
      </w:r>
      <w:r>
        <w:t>47 CFR § 0.442(a).</w:t>
      </w:r>
    </w:p>
  </w:footnote>
  <w:footnote w:id="7">
    <w:p w:rsidR="00D13AA8" w:rsidP="00D13AA8" w14:paraId="6E17FEE3" w14:textId="337DEF7E">
      <w:pPr>
        <w:pStyle w:val="FootnoteText"/>
      </w:pPr>
      <w:r>
        <w:rPr>
          <w:rStyle w:val="FootnoteReference"/>
        </w:rPr>
        <w:footnoteRef/>
      </w:r>
      <w:r>
        <w:t xml:space="preserve"> </w:t>
      </w:r>
      <w:r>
        <w:t xml:space="preserve">The International Bureau previously provided notice of its intent to share international circuit capacity data with the Department of Homeland </w:t>
      </w:r>
      <w:r w:rsidRPr="005B6479">
        <w:t xml:space="preserve">Security </w:t>
      </w:r>
      <w:r w:rsidRPr="00AF7DC8">
        <w:t xml:space="preserve">and other </w:t>
      </w:r>
      <w:r w:rsidR="00927798">
        <w:t xml:space="preserve">federal </w:t>
      </w:r>
      <w:r w:rsidRPr="00AF7DC8" w:rsidR="009F20DB">
        <w:t>agencies</w:t>
      </w:r>
      <w:r w:rsidRPr="005B6479">
        <w:t xml:space="preserve"> for</w:t>
      </w:r>
      <w:r>
        <w:t xml:space="preserve"> the 2015 to 2019 reporting periods.  </w:t>
      </w:r>
      <w:r w:rsidRPr="00BC2CCF">
        <w:rPr>
          <w:i/>
          <w:iCs/>
        </w:rPr>
        <w:t>Notice of Intent to Share International Circuit Capacity Data from 2018</w:t>
      </w:r>
      <w:r>
        <w:rPr>
          <w:i/>
          <w:iCs/>
        </w:rPr>
        <w:t xml:space="preserve"> to </w:t>
      </w:r>
      <w:r w:rsidRPr="00BC2CCF">
        <w:rPr>
          <w:i/>
          <w:iCs/>
        </w:rPr>
        <w:t>2019 with the Department of Homeland Security and Other Federal Agencies</w:t>
      </w:r>
      <w:r>
        <w:t xml:space="preserve">, IB Docket No. 20-194, </w:t>
      </w:r>
      <w:r w:rsidRPr="00BC2CCF">
        <w:t>Public Notice</w:t>
      </w:r>
      <w:r>
        <w:t xml:space="preserve">, </w:t>
      </w:r>
      <w:r>
        <w:rPr>
          <w:rStyle w:val="item-value"/>
        </w:rPr>
        <w:t>35 FCC Rcd 6533 (IB 2020)</w:t>
      </w:r>
      <w:r>
        <w:t xml:space="preserve">; </w:t>
      </w:r>
      <w:r w:rsidRPr="00BC2CCF">
        <w:rPr>
          <w:i/>
          <w:iCs/>
        </w:rPr>
        <w:t xml:space="preserve">Notice of Intent to Share International Circuit Capacity Data from 2015 to 2017 </w:t>
      </w:r>
      <w:r>
        <w:rPr>
          <w:i/>
          <w:iCs/>
        </w:rPr>
        <w:t>w</w:t>
      </w:r>
      <w:r w:rsidRPr="00BC2CCF">
        <w:rPr>
          <w:i/>
          <w:iCs/>
        </w:rPr>
        <w:t>ith Federal Agencies</w:t>
      </w:r>
      <w:r w:rsidRPr="00DB5359">
        <w:t xml:space="preserve">, IB Docket No. 19-32, </w:t>
      </w:r>
      <w:r w:rsidRPr="00BC2CCF">
        <w:t>Public Notice</w:t>
      </w:r>
      <w:r w:rsidRPr="00DB5359">
        <w:t>, 34 FC</w:t>
      </w:r>
      <w:r>
        <w:t>C</w:t>
      </w:r>
      <w:r w:rsidRPr="00DB5359">
        <w:t xml:space="preserve"> Rcd 561 (IB 2019)</w:t>
      </w:r>
      <w:r>
        <w:t>.</w:t>
      </w:r>
    </w:p>
  </w:footnote>
  <w:footnote w:id="8">
    <w:p w:rsidR="00D13AA8" w:rsidP="00D13AA8" w14:paraId="1CC54F9A" w14:textId="01598CBE">
      <w:pPr>
        <w:pStyle w:val="FootnoteText"/>
      </w:pPr>
      <w:r>
        <w:rPr>
          <w:rStyle w:val="FootnoteReference"/>
        </w:rPr>
        <w:footnoteRef/>
      </w:r>
      <w:r>
        <w:t xml:space="preserve"> </w:t>
      </w:r>
      <w:r>
        <w:t>DOJ Letter at 1 (</w:t>
      </w:r>
      <w:r w:rsidR="009403C5">
        <w:t xml:space="preserve">quoting </w:t>
      </w:r>
      <w:r w:rsidRPr="003A10D5">
        <w:t>Exe</w:t>
      </w:r>
      <w:r>
        <w:t>cutive</w:t>
      </w:r>
      <w:r w:rsidRPr="003A10D5">
        <w:t xml:space="preserve"> Order 13913</w:t>
      </w:r>
      <w:r w:rsidR="00336CC8">
        <w:t xml:space="preserve">, </w:t>
      </w:r>
      <w:r w:rsidR="00336CC8">
        <w:rPr>
          <w:iCs/>
        </w:rPr>
        <w:t xml:space="preserve">85 Fed. Reg. at </w:t>
      </w:r>
      <w:r w:rsidRPr="001F3337" w:rsidR="001F3337">
        <w:rPr>
          <w:iCs/>
        </w:rPr>
        <w:t>19643</w:t>
      </w:r>
      <w:r w:rsidRPr="003A10D5">
        <w:t xml:space="preserve"> § 3(a)</w:t>
      </w:r>
      <w:r>
        <w:t>)</w:t>
      </w:r>
      <w:r w:rsidRPr="003A10D5">
        <w:t>.</w:t>
      </w:r>
    </w:p>
  </w:footnote>
  <w:footnote w:id="9">
    <w:p w:rsidR="00A12921" w:rsidRPr="00226733" w14:paraId="558EAE6E" w14:textId="61F219B7">
      <w:pPr>
        <w:pStyle w:val="FootnoteText"/>
      </w:pPr>
      <w:r>
        <w:rPr>
          <w:rStyle w:val="FootnoteReference"/>
        </w:rPr>
        <w:footnoteRef/>
      </w:r>
      <w:r>
        <w:t xml:space="preserve"> </w:t>
      </w:r>
      <w:r w:rsidR="00226733">
        <w:rPr>
          <w:i/>
          <w:iCs/>
        </w:rPr>
        <w:t xml:space="preserve">Id. </w:t>
      </w:r>
      <w:r w:rsidR="00226733">
        <w:t>at 2.</w:t>
      </w:r>
    </w:p>
  </w:footnote>
  <w:footnote w:id="10">
    <w:p w:rsidR="00234AA7" w:rsidRPr="00226733" w14:paraId="1E7F6A1F" w14:textId="2BA05903">
      <w:pPr>
        <w:pStyle w:val="FootnoteText"/>
      </w:pPr>
      <w:r>
        <w:rPr>
          <w:rStyle w:val="FootnoteReference"/>
        </w:rPr>
        <w:footnoteRef/>
      </w:r>
      <w:r>
        <w:t xml:space="preserve"> </w:t>
      </w:r>
      <w:r w:rsidR="00226733">
        <w:rPr>
          <w:i/>
          <w:iCs/>
        </w:rPr>
        <w:t>Id</w:t>
      </w:r>
      <w:r w:rsidR="00226733">
        <w:t xml:space="preserve">. </w:t>
      </w:r>
      <w:r w:rsidR="00D74723">
        <w:t>at 1.</w:t>
      </w:r>
    </w:p>
  </w:footnote>
  <w:footnote w:id="11">
    <w:p w:rsidR="00D13AA8" w:rsidRPr="00F3687B" w:rsidP="00D13AA8" w14:paraId="7A5FED58" w14:textId="34363177">
      <w:pPr>
        <w:pStyle w:val="FootnoteText"/>
      </w:pPr>
      <w:r>
        <w:rPr>
          <w:rStyle w:val="FootnoteReference"/>
        </w:rPr>
        <w:footnoteRef/>
      </w:r>
      <w:r>
        <w:t xml:space="preserve"> </w:t>
      </w:r>
      <w:r w:rsidR="00CA78E7">
        <w:rPr>
          <w:i/>
          <w:iCs/>
        </w:rPr>
        <w:t xml:space="preserve">Id. </w:t>
      </w:r>
      <w:r w:rsidR="00F3687B">
        <w:t>at 2.</w:t>
      </w:r>
    </w:p>
  </w:footnote>
  <w:footnote w:id="12">
    <w:p w:rsidR="00012F44" w14:paraId="049EE80D" w14:textId="22E975CA">
      <w:pPr>
        <w:pStyle w:val="FootnoteText"/>
      </w:pPr>
      <w:r>
        <w:rPr>
          <w:rStyle w:val="FootnoteReference"/>
        </w:rPr>
        <w:footnoteRef/>
      </w:r>
      <w:r>
        <w:t xml:space="preserve"> </w:t>
      </w:r>
      <w:r>
        <w:t>47 CFR § 43.82(a).</w:t>
      </w:r>
    </w:p>
  </w:footnote>
  <w:footnote w:id="13">
    <w:p w:rsidR="00D13AA8" w:rsidP="00D13AA8" w14:paraId="4D2130F8" w14:textId="034EBA9A">
      <w:pPr>
        <w:pStyle w:val="FootnoteText"/>
      </w:pPr>
      <w:r>
        <w:rPr>
          <w:rStyle w:val="FootnoteReference"/>
        </w:rPr>
        <w:footnoteRef/>
      </w:r>
      <w:r>
        <w:t xml:space="preserve"> </w:t>
      </w:r>
      <w:r w:rsidRPr="00C86B26" w:rsidR="00AB1B28">
        <w:rPr>
          <w:i/>
          <w:iCs/>
        </w:rPr>
        <w:t>Id</w:t>
      </w:r>
      <w:r>
        <w:t>.</w:t>
      </w:r>
    </w:p>
  </w:footnote>
  <w:footnote w:id="14">
    <w:p w:rsidR="00D13AA8" w:rsidRPr="008B36FD" w:rsidP="00D13AA8" w14:paraId="0D60786F" w14:textId="77777777">
      <w:pPr>
        <w:pStyle w:val="FootnoteText"/>
        <w:rPr>
          <w:i/>
        </w:rPr>
      </w:pPr>
      <w:r>
        <w:rPr>
          <w:rStyle w:val="FootnoteReference"/>
        </w:rPr>
        <w:footnoteRef/>
      </w:r>
      <w:r>
        <w:t xml:space="preserve"> </w:t>
      </w:r>
      <w:r>
        <w:t xml:space="preserve">47 CFR § 43.82(b); </w:t>
      </w:r>
      <w:r>
        <w:rPr>
          <w:i/>
        </w:rPr>
        <w:t xml:space="preserve">see </w:t>
      </w:r>
      <w:r w:rsidRPr="004258B1">
        <w:rPr>
          <w:i/>
        </w:rPr>
        <w:t xml:space="preserve">Section 43.62 </w:t>
      </w:r>
      <w:r>
        <w:rPr>
          <w:i/>
        </w:rPr>
        <w:t>Reporting Requirements for U.S. Providers of International Services et al.</w:t>
      </w:r>
      <w:r>
        <w:rPr>
          <w:iCs/>
        </w:rPr>
        <w:t xml:space="preserve">, </w:t>
      </w:r>
      <w:r>
        <w:t>32 FCC Rcd 8115, 8132, para. 35.</w:t>
      </w:r>
      <w:r>
        <w:rPr>
          <w:i/>
        </w:rPr>
        <w:t xml:space="preserve"> </w:t>
      </w:r>
    </w:p>
  </w:footnote>
  <w:footnote w:id="15">
    <w:p w:rsidR="00D13AA8" w:rsidP="00D13AA8" w14:paraId="48F8E1BC" w14:textId="36B217E1">
      <w:pPr>
        <w:pStyle w:val="FootnoteText"/>
      </w:pPr>
      <w:r w:rsidRPr="00D9464D">
        <w:rPr>
          <w:rStyle w:val="FootnoteReference"/>
        </w:rPr>
        <w:footnoteRef/>
      </w:r>
      <w:r w:rsidRPr="00D9464D">
        <w:t xml:space="preserve"> </w:t>
      </w:r>
      <w:r w:rsidRPr="00D9464D">
        <w:rPr>
          <w:i/>
        </w:rPr>
        <w:t xml:space="preserve">See </w:t>
      </w:r>
      <w:r w:rsidRPr="00ED553C">
        <w:t>FCC</w:t>
      </w:r>
      <w:r w:rsidRPr="00D9464D">
        <w:t xml:space="preserve">, </w:t>
      </w:r>
      <w:r w:rsidRPr="00D9464D">
        <w:rPr>
          <w:i/>
        </w:rPr>
        <w:t>Circuit Capacity Data for U.S.-International Submarine Cables</w:t>
      </w:r>
      <w:r w:rsidRPr="00D9464D">
        <w:t xml:space="preserve">, </w:t>
      </w:r>
      <w:hyperlink r:id="rId1" w:history="1">
        <w:r w:rsidRPr="00D9464D">
          <w:rPr>
            <w:rStyle w:val="Hyperlink"/>
          </w:rPr>
          <w:t>https://www.fcc.gov/circuit-capacity-data-us-international-submarine-cables</w:t>
        </w:r>
      </w:hyperlink>
      <w:r w:rsidRPr="00D9464D">
        <w:t>.</w:t>
      </w:r>
    </w:p>
  </w:footnote>
  <w:footnote w:id="16">
    <w:p w:rsidR="00D13AA8" w:rsidP="00D13AA8" w14:paraId="0EF8D7F8" w14:textId="694AE30F">
      <w:pPr>
        <w:pStyle w:val="FootnoteText"/>
      </w:pPr>
      <w:r>
        <w:rPr>
          <w:rStyle w:val="FootnoteReference"/>
        </w:rPr>
        <w:footnoteRef/>
      </w:r>
      <w:r>
        <w:t xml:space="preserve"> </w:t>
      </w:r>
      <w:r w:rsidRPr="00B82D17">
        <w:t>5 U.S.C. § 552</w:t>
      </w:r>
      <w:r w:rsidR="00EE0A64">
        <w:t>;</w:t>
      </w:r>
      <w:r w:rsidRPr="00B82D17">
        <w:t xml:space="preserve"> 47 CFR §§ 0.457(d), 0.459(d)</w:t>
      </w:r>
      <w:r>
        <w:t>.</w:t>
      </w:r>
    </w:p>
  </w:footnote>
  <w:footnote w:id="17">
    <w:p w:rsidR="00D13AA8" w:rsidP="00D13AA8" w14:paraId="7B82036E" w14:textId="77777777">
      <w:pPr>
        <w:pStyle w:val="FootnoteText"/>
      </w:pPr>
      <w:r>
        <w:rPr>
          <w:rStyle w:val="FootnoteReference"/>
        </w:rPr>
        <w:footnoteRef/>
      </w:r>
      <w:r>
        <w:t xml:space="preserve"> </w:t>
      </w:r>
      <w:r>
        <w:t>47 CFR § 0.442(d).</w:t>
      </w:r>
    </w:p>
  </w:footnote>
  <w:footnote w:id="18">
    <w:p w:rsidR="00D13AA8" w:rsidP="00D13AA8" w14:paraId="45CA97F5" w14:textId="77777777">
      <w:pPr>
        <w:pStyle w:val="FootnoteText"/>
      </w:pPr>
      <w:r>
        <w:rPr>
          <w:rStyle w:val="FootnoteReference"/>
        </w:rPr>
        <w:footnoteRef/>
      </w:r>
      <w:r>
        <w:t xml:space="preserve"> </w:t>
      </w:r>
      <w:r w:rsidRPr="00E33982">
        <w:t>44 U.S.C. § 3510</w:t>
      </w:r>
      <w:r>
        <w:t xml:space="preserve">(b)(1). </w:t>
      </w:r>
    </w:p>
  </w:footnote>
  <w:footnote w:id="19">
    <w:p w:rsidR="00D13AA8" w:rsidP="00D13AA8" w14:paraId="08347BBB" w14:textId="77777777">
      <w:pPr>
        <w:pStyle w:val="FootnoteText"/>
      </w:pPr>
      <w:r>
        <w:rPr>
          <w:rStyle w:val="FootnoteReference"/>
        </w:rPr>
        <w:footnoteRef/>
      </w:r>
      <w:r>
        <w:t xml:space="preserve"> </w:t>
      </w:r>
      <w:r>
        <w:t>DOJ Letter at 2.</w:t>
      </w:r>
    </w:p>
  </w:footnote>
  <w:footnote w:id="20">
    <w:p w:rsidR="00D13AA8" w:rsidP="00D13AA8" w14:paraId="607B73B9" w14:textId="78F5ABDC">
      <w:pPr>
        <w:pStyle w:val="FootnoteText"/>
      </w:pPr>
      <w:r>
        <w:rPr>
          <w:rStyle w:val="FootnoteReference"/>
        </w:rPr>
        <w:footnoteRef/>
      </w:r>
      <w:r>
        <w:t xml:space="preserve"> </w:t>
      </w:r>
      <w:r w:rsidR="00D37176">
        <w:rPr>
          <w:i/>
          <w:iCs/>
        </w:rPr>
        <w:t xml:space="preserve">Id. </w:t>
      </w:r>
    </w:p>
  </w:footnote>
  <w:footnote w:id="21">
    <w:p w:rsidR="00D13AA8" w:rsidP="00D13AA8" w14:paraId="7B136249" w14:textId="77777777">
      <w:pPr>
        <w:pStyle w:val="FootnoteText"/>
      </w:pPr>
      <w:r>
        <w:rPr>
          <w:rStyle w:val="FootnoteReference"/>
        </w:rPr>
        <w:footnoteRef/>
      </w:r>
      <w:r>
        <w:t xml:space="preserve"> </w:t>
      </w:r>
      <w:r>
        <w:t>47 CFR § 0.442(d)(1).</w:t>
      </w:r>
    </w:p>
  </w:footnote>
  <w:footnote w:id="22">
    <w:p w:rsidR="009C4AF3" w:rsidP="009C4AF3" w14:paraId="51FFC36C" w14:textId="77777777">
      <w:pPr>
        <w:pStyle w:val="FootnoteText"/>
      </w:pPr>
      <w:r>
        <w:rPr>
          <w:rStyle w:val="FootnoteReference"/>
        </w:rPr>
        <w:footnoteRef/>
      </w:r>
      <w:r>
        <w:t xml:space="preserve"> </w:t>
      </w:r>
      <w:r>
        <w:t>47 CFR § 0.442(d)(4) (“If disclosure is opposed and the Commission decides to make the records available to the other agency, the party who furnished the records to the Commission will be afforded ten calendar days from the date of the ruling to move for a judicial stay of the Commission’s action.  If the party does not move for stay within this period, the records will be disclosed.”).</w:t>
      </w:r>
    </w:p>
  </w:footnote>
  <w:footnote w:id="23">
    <w:p w:rsidR="00A42664" w:rsidP="00A42664" w14:paraId="6092D9DD" w14:textId="4DA6C8DF">
      <w:pPr>
        <w:pStyle w:val="FootnoteText"/>
      </w:pPr>
      <w:r>
        <w:rPr>
          <w:rStyle w:val="FootnoteReference"/>
        </w:rPr>
        <w:footnoteRef/>
      </w:r>
      <w:r>
        <w:t xml:space="preserve"> </w:t>
      </w:r>
      <w:r w:rsidR="0034694F">
        <w:t>44 U.S.C. § 3510;</w:t>
      </w:r>
      <w:r w:rsidR="009028FA">
        <w:t xml:space="preserve"> 47 CFR</w:t>
      </w:r>
      <w:r w:rsidR="00393345">
        <w:t xml:space="preserve"> </w:t>
      </w:r>
      <w:r w:rsidR="00815630">
        <w:t>§</w:t>
      </w:r>
      <w:r w:rsidR="009028FA">
        <w:t xml:space="preserve"> 0.441 </w:t>
      </w:r>
      <w:r w:rsidRPr="00393345" w:rsidR="009028FA">
        <w:rPr>
          <w:i/>
          <w:iCs/>
        </w:rPr>
        <w:t>et seq.</w:t>
      </w:r>
      <w:r w:rsidR="009D5CD9">
        <w:t xml:space="preserve">; </w:t>
      </w:r>
      <w:r>
        <w:t xml:space="preserve">Executive Order 13913, </w:t>
      </w:r>
      <w:r>
        <w:rPr>
          <w:iCs/>
        </w:rPr>
        <w:t xml:space="preserve">85 Fed. Reg. at </w:t>
      </w:r>
      <w:r w:rsidRPr="004B2A8E" w:rsidR="004F35F9">
        <w:rPr>
          <w:iCs/>
        </w:rPr>
        <w:t>19646</w:t>
      </w:r>
      <w:r w:rsidR="00133960">
        <w:rPr>
          <w:iCs/>
        </w:rPr>
        <w:t xml:space="preserve"> </w:t>
      </w:r>
      <w:r w:rsidR="00133960">
        <w:t>§</w:t>
      </w:r>
      <w:r>
        <w:t xml:space="preserve"> </w:t>
      </w:r>
      <w:r w:rsidR="004F35F9">
        <w:rPr>
          <w:iCs/>
        </w:rPr>
        <w:t>8</w:t>
      </w:r>
      <w:r w:rsidR="00D17923">
        <w:t>.</w:t>
      </w:r>
      <w:r w:rsidR="004F35F9">
        <w:rPr>
          <w:iCs/>
        </w:rPr>
        <w:t xml:space="preserve">  </w:t>
      </w:r>
    </w:p>
  </w:footnote>
  <w:footnote w:id="24">
    <w:p w:rsidR="00A972E7" w:rsidRPr="001B7040" w:rsidP="00A972E7" w14:paraId="3493E9BB" w14:textId="28D1E62A">
      <w:pPr>
        <w:pStyle w:val="FootnoteText"/>
      </w:pPr>
      <w:r>
        <w:rPr>
          <w:rStyle w:val="FootnoteReference"/>
        </w:rPr>
        <w:footnoteRef/>
      </w:r>
      <w:r>
        <w:t xml:space="preserve"> </w:t>
      </w:r>
      <w:r w:rsidR="00732014">
        <w:rPr>
          <w:i/>
          <w:iCs/>
        </w:rPr>
        <w:t>S</w:t>
      </w:r>
      <w:r>
        <w:rPr>
          <w:i/>
          <w:iCs/>
        </w:rPr>
        <w:t xml:space="preserve">ee supra </w:t>
      </w:r>
      <w:r>
        <w:t>note 2.</w:t>
      </w:r>
    </w:p>
  </w:footnote>
  <w:footnote w:id="25">
    <w:p w:rsidR="00732014" w14:paraId="444270CC" w14:textId="4ECA5612">
      <w:pPr>
        <w:pStyle w:val="FootnoteText"/>
      </w:pPr>
      <w:r>
        <w:rPr>
          <w:rStyle w:val="FootnoteReference"/>
        </w:rPr>
        <w:footnoteRef/>
      </w:r>
      <w:r>
        <w:t xml:space="preserve"> </w:t>
      </w:r>
      <w:r>
        <w:t xml:space="preserve">Executive Order 13913, </w:t>
      </w:r>
      <w:r>
        <w:rPr>
          <w:iCs/>
        </w:rPr>
        <w:t xml:space="preserve">85 Fed. Reg. at </w:t>
      </w:r>
      <w:r w:rsidRPr="001926A8">
        <w:rPr>
          <w:iCs/>
        </w:rPr>
        <w:t>19643-44</w:t>
      </w:r>
      <w:r>
        <w:rPr>
          <w:iCs/>
        </w:rPr>
        <w:t xml:space="preserve"> </w:t>
      </w:r>
      <w:r w:rsidRPr="00E33982">
        <w:t>§</w:t>
      </w:r>
      <w:r>
        <w:t xml:space="preserve"> </w:t>
      </w:r>
      <w:r w:rsidRPr="001926A8">
        <w:rPr>
          <w:iCs/>
        </w:rPr>
        <w:t>3(b)</w:t>
      </w:r>
      <w:r>
        <w:rPr>
          <w:iCs/>
        </w:rPr>
        <w:t>, (d).</w:t>
      </w:r>
    </w:p>
  </w:footnote>
  <w:footnote w:id="26">
    <w:p w:rsidR="00D13AA8" w:rsidP="00D13AA8" w14:paraId="0EB69C46" w14:textId="77777777">
      <w:pPr>
        <w:pStyle w:val="FootnoteText"/>
      </w:pPr>
      <w:r>
        <w:rPr>
          <w:rStyle w:val="FootnoteReference"/>
        </w:rPr>
        <w:footnoteRef/>
      </w:r>
      <w:r>
        <w:t xml:space="preserve"> </w:t>
      </w:r>
      <w:r w:rsidRPr="0060054A">
        <w:t>47 CFR §§ 1.415, 1.419</w:t>
      </w:r>
      <w:r>
        <w:t>.</w:t>
      </w:r>
    </w:p>
  </w:footnote>
  <w:footnote w:id="27">
    <w:p w:rsidR="00D13AA8" w:rsidP="00D13AA8" w14:paraId="0E95D424" w14:textId="77777777">
      <w:pPr>
        <w:pStyle w:val="FootnoteText"/>
      </w:pPr>
      <w:r>
        <w:rPr>
          <w:rStyle w:val="FootnoteReference"/>
        </w:rPr>
        <w:footnoteRef/>
      </w:r>
      <w:r>
        <w:t xml:space="preserve"> </w:t>
      </w:r>
      <w:r>
        <w:t xml:space="preserve">47 CFR §§ 1.1200 </w:t>
      </w:r>
      <w:r>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B24" w14:paraId="2D778F5D" w14:textId="2F1448C4">
    <w:pPr>
      <w:tabs>
        <w:tab w:val="center" w:pos="4680"/>
        <w:tab w:val="right" w:pos="9360"/>
      </w:tabs>
    </w:pPr>
    <w:r>
      <w:rPr>
        <w:b/>
      </w:rPr>
      <w:tab/>
    </w:r>
    <w:r>
      <w:rPr>
        <w:b/>
      </w:rPr>
      <w:t>Federal Communications Commission</w:t>
    </w:r>
    <w:r>
      <w:rPr>
        <w:b/>
      </w:rPr>
      <w:tab/>
    </w:r>
    <w:r w:rsidR="00E41209">
      <w:rPr>
        <w:b/>
      </w:rPr>
      <w:t>DA 22-18</w:t>
    </w:r>
  </w:p>
  <w:p w:rsidR="003D4B24" w14:paraId="5EC3B6A1" w14:textId="37B4C88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D4B24" w14:paraId="1542222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B24" w14:paraId="04E3953A" w14:textId="4570EDD5">
    <w:pPr>
      <w:pStyle w:val="Header"/>
    </w:pPr>
    <w:r>
      <w:rPr>
        <w:noProof/>
        <w:snapToGrid/>
      </w:rPr>
      <w:drawing>
        <wp:inline distT="0" distB="0" distL="0" distR="0">
          <wp:extent cx="5949315" cy="142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315"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EA7F93"/>
    <w:multiLevelType w:val="multilevel"/>
    <w:tmpl w:val="16AC4C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A8"/>
    <w:rsid w:val="00003645"/>
    <w:rsid w:val="0000495B"/>
    <w:rsid w:val="00004E41"/>
    <w:rsid w:val="00012F44"/>
    <w:rsid w:val="00013A69"/>
    <w:rsid w:val="00013C5F"/>
    <w:rsid w:val="00015324"/>
    <w:rsid w:val="00022F18"/>
    <w:rsid w:val="00027698"/>
    <w:rsid w:val="00034E59"/>
    <w:rsid w:val="00043B6A"/>
    <w:rsid w:val="00046111"/>
    <w:rsid w:val="000523D1"/>
    <w:rsid w:val="0005710C"/>
    <w:rsid w:val="00060997"/>
    <w:rsid w:val="00064118"/>
    <w:rsid w:val="00066222"/>
    <w:rsid w:val="000662AC"/>
    <w:rsid w:val="00073DD1"/>
    <w:rsid w:val="00076321"/>
    <w:rsid w:val="0007648E"/>
    <w:rsid w:val="00085AA1"/>
    <w:rsid w:val="00085ABC"/>
    <w:rsid w:val="00093A1C"/>
    <w:rsid w:val="00097FDB"/>
    <w:rsid w:val="000A498E"/>
    <w:rsid w:val="000A6FD1"/>
    <w:rsid w:val="000B06EA"/>
    <w:rsid w:val="000B0A8C"/>
    <w:rsid w:val="000B7AF2"/>
    <w:rsid w:val="000C184E"/>
    <w:rsid w:val="000C2DBC"/>
    <w:rsid w:val="000C5A4C"/>
    <w:rsid w:val="000E4555"/>
    <w:rsid w:val="000E6925"/>
    <w:rsid w:val="000F1520"/>
    <w:rsid w:val="000F334C"/>
    <w:rsid w:val="000F5680"/>
    <w:rsid w:val="0010135E"/>
    <w:rsid w:val="00115F21"/>
    <w:rsid w:val="001165DC"/>
    <w:rsid w:val="00117688"/>
    <w:rsid w:val="00122C31"/>
    <w:rsid w:val="001239F1"/>
    <w:rsid w:val="00123A9F"/>
    <w:rsid w:val="00124C0F"/>
    <w:rsid w:val="0012714F"/>
    <w:rsid w:val="001275C6"/>
    <w:rsid w:val="0013109A"/>
    <w:rsid w:val="00131FBC"/>
    <w:rsid w:val="00133054"/>
    <w:rsid w:val="00133960"/>
    <w:rsid w:val="00133D03"/>
    <w:rsid w:val="00142B71"/>
    <w:rsid w:val="00143CBE"/>
    <w:rsid w:val="00145914"/>
    <w:rsid w:val="00147206"/>
    <w:rsid w:val="00152EC0"/>
    <w:rsid w:val="001541B1"/>
    <w:rsid w:val="001615E3"/>
    <w:rsid w:val="0017149E"/>
    <w:rsid w:val="00175132"/>
    <w:rsid w:val="00177209"/>
    <w:rsid w:val="00177AF6"/>
    <w:rsid w:val="001822AA"/>
    <w:rsid w:val="0018559F"/>
    <w:rsid w:val="001910B3"/>
    <w:rsid w:val="001926A8"/>
    <w:rsid w:val="00193E3B"/>
    <w:rsid w:val="00197B6D"/>
    <w:rsid w:val="001A7609"/>
    <w:rsid w:val="001B1F21"/>
    <w:rsid w:val="001B6787"/>
    <w:rsid w:val="001B7040"/>
    <w:rsid w:val="001B7758"/>
    <w:rsid w:val="001C275F"/>
    <w:rsid w:val="001C2B16"/>
    <w:rsid w:val="001C3E5A"/>
    <w:rsid w:val="001C4BAC"/>
    <w:rsid w:val="001C4C5B"/>
    <w:rsid w:val="001D31F6"/>
    <w:rsid w:val="001E1BC1"/>
    <w:rsid w:val="001E4E5F"/>
    <w:rsid w:val="001E548C"/>
    <w:rsid w:val="001E59E0"/>
    <w:rsid w:val="001F0F5B"/>
    <w:rsid w:val="001F21C1"/>
    <w:rsid w:val="001F2ABB"/>
    <w:rsid w:val="001F3337"/>
    <w:rsid w:val="00212B02"/>
    <w:rsid w:val="00223B4D"/>
    <w:rsid w:val="00226733"/>
    <w:rsid w:val="00227141"/>
    <w:rsid w:val="0023496A"/>
    <w:rsid w:val="00234AA7"/>
    <w:rsid w:val="00236E53"/>
    <w:rsid w:val="00237793"/>
    <w:rsid w:val="00237C86"/>
    <w:rsid w:val="0025093A"/>
    <w:rsid w:val="002524FE"/>
    <w:rsid w:val="00252F8E"/>
    <w:rsid w:val="00257CCA"/>
    <w:rsid w:val="00261399"/>
    <w:rsid w:val="00262022"/>
    <w:rsid w:val="0027052E"/>
    <w:rsid w:val="00273BE2"/>
    <w:rsid w:val="00274FBA"/>
    <w:rsid w:val="00280E4C"/>
    <w:rsid w:val="002916B7"/>
    <w:rsid w:val="00291F46"/>
    <w:rsid w:val="002934F6"/>
    <w:rsid w:val="00294FCD"/>
    <w:rsid w:val="00295478"/>
    <w:rsid w:val="002A0B7C"/>
    <w:rsid w:val="002A3D42"/>
    <w:rsid w:val="002A7BA5"/>
    <w:rsid w:val="002B217B"/>
    <w:rsid w:val="002B259C"/>
    <w:rsid w:val="002B3578"/>
    <w:rsid w:val="002B7FA5"/>
    <w:rsid w:val="002C4315"/>
    <w:rsid w:val="002C5042"/>
    <w:rsid w:val="002D0294"/>
    <w:rsid w:val="002D034E"/>
    <w:rsid w:val="002D3E7C"/>
    <w:rsid w:val="002D5B5F"/>
    <w:rsid w:val="002D6DA7"/>
    <w:rsid w:val="002E4503"/>
    <w:rsid w:val="002F12BB"/>
    <w:rsid w:val="002F3213"/>
    <w:rsid w:val="002F3B13"/>
    <w:rsid w:val="003013E8"/>
    <w:rsid w:val="0030332C"/>
    <w:rsid w:val="00304CEC"/>
    <w:rsid w:val="00307DFA"/>
    <w:rsid w:val="003216BE"/>
    <w:rsid w:val="00322504"/>
    <w:rsid w:val="0032354B"/>
    <w:rsid w:val="00325022"/>
    <w:rsid w:val="00332892"/>
    <w:rsid w:val="00333A8B"/>
    <w:rsid w:val="00336CC8"/>
    <w:rsid w:val="00337493"/>
    <w:rsid w:val="00337609"/>
    <w:rsid w:val="003414C3"/>
    <w:rsid w:val="0034381C"/>
    <w:rsid w:val="00344A4F"/>
    <w:rsid w:val="0034691B"/>
    <w:rsid w:val="0034694F"/>
    <w:rsid w:val="00351885"/>
    <w:rsid w:val="003555BD"/>
    <w:rsid w:val="003617D9"/>
    <w:rsid w:val="003618A3"/>
    <w:rsid w:val="00364730"/>
    <w:rsid w:val="00366AF5"/>
    <w:rsid w:val="003713D3"/>
    <w:rsid w:val="00373AB8"/>
    <w:rsid w:val="00376924"/>
    <w:rsid w:val="00376A19"/>
    <w:rsid w:val="00383409"/>
    <w:rsid w:val="003853C4"/>
    <w:rsid w:val="00391828"/>
    <w:rsid w:val="0039230B"/>
    <w:rsid w:val="00392A03"/>
    <w:rsid w:val="00393345"/>
    <w:rsid w:val="003A10D5"/>
    <w:rsid w:val="003A3658"/>
    <w:rsid w:val="003B5261"/>
    <w:rsid w:val="003C04D3"/>
    <w:rsid w:val="003C1B08"/>
    <w:rsid w:val="003C2D39"/>
    <w:rsid w:val="003C6A30"/>
    <w:rsid w:val="003D4B24"/>
    <w:rsid w:val="003D5D9D"/>
    <w:rsid w:val="003D747A"/>
    <w:rsid w:val="003E779D"/>
    <w:rsid w:val="003E78CB"/>
    <w:rsid w:val="003F4C26"/>
    <w:rsid w:val="00400687"/>
    <w:rsid w:val="004022D6"/>
    <w:rsid w:val="00410BC8"/>
    <w:rsid w:val="00414B9E"/>
    <w:rsid w:val="004258B1"/>
    <w:rsid w:val="004262D2"/>
    <w:rsid w:val="00431F1C"/>
    <w:rsid w:val="0043457B"/>
    <w:rsid w:val="00435016"/>
    <w:rsid w:val="0044485C"/>
    <w:rsid w:val="004529F9"/>
    <w:rsid w:val="00465C8E"/>
    <w:rsid w:val="00470FE9"/>
    <w:rsid w:val="00477738"/>
    <w:rsid w:val="00486D50"/>
    <w:rsid w:val="0049398B"/>
    <w:rsid w:val="00495DF2"/>
    <w:rsid w:val="004961D4"/>
    <w:rsid w:val="00497F02"/>
    <w:rsid w:val="004A4044"/>
    <w:rsid w:val="004B0410"/>
    <w:rsid w:val="004B2A8E"/>
    <w:rsid w:val="004C1C69"/>
    <w:rsid w:val="004C4614"/>
    <w:rsid w:val="004C7D8C"/>
    <w:rsid w:val="004D1869"/>
    <w:rsid w:val="004E74BA"/>
    <w:rsid w:val="004F35F9"/>
    <w:rsid w:val="004F4412"/>
    <w:rsid w:val="004F55C3"/>
    <w:rsid w:val="00503E82"/>
    <w:rsid w:val="00512DF2"/>
    <w:rsid w:val="0052263C"/>
    <w:rsid w:val="00524EA3"/>
    <w:rsid w:val="00525241"/>
    <w:rsid w:val="005309A5"/>
    <w:rsid w:val="005326A5"/>
    <w:rsid w:val="00537BA0"/>
    <w:rsid w:val="00540EF2"/>
    <w:rsid w:val="00542C5E"/>
    <w:rsid w:val="005432F5"/>
    <w:rsid w:val="00554A8B"/>
    <w:rsid w:val="005564CB"/>
    <w:rsid w:val="005639CD"/>
    <w:rsid w:val="0056599A"/>
    <w:rsid w:val="00567073"/>
    <w:rsid w:val="0057292B"/>
    <w:rsid w:val="0058094D"/>
    <w:rsid w:val="00583F37"/>
    <w:rsid w:val="005901C1"/>
    <w:rsid w:val="00590F8E"/>
    <w:rsid w:val="00592341"/>
    <w:rsid w:val="005939A3"/>
    <w:rsid w:val="00593D8F"/>
    <w:rsid w:val="005A0B79"/>
    <w:rsid w:val="005B0444"/>
    <w:rsid w:val="005B1535"/>
    <w:rsid w:val="005B1DCE"/>
    <w:rsid w:val="005B6479"/>
    <w:rsid w:val="005B6BD1"/>
    <w:rsid w:val="005C0287"/>
    <w:rsid w:val="005C344D"/>
    <w:rsid w:val="005C3ADA"/>
    <w:rsid w:val="005C5CEE"/>
    <w:rsid w:val="005D02B4"/>
    <w:rsid w:val="005D04C5"/>
    <w:rsid w:val="005D2A89"/>
    <w:rsid w:val="005E63DD"/>
    <w:rsid w:val="0060054A"/>
    <w:rsid w:val="00611871"/>
    <w:rsid w:val="006238A5"/>
    <w:rsid w:val="006258A0"/>
    <w:rsid w:val="00626219"/>
    <w:rsid w:val="00627986"/>
    <w:rsid w:val="00632261"/>
    <w:rsid w:val="006326E3"/>
    <w:rsid w:val="006441D2"/>
    <w:rsid w:val="006449B9"/>
    <w:rsid w:val="00646A9B"/>
    <w:rsid w:val="00647E6C"/>
    <w:rsid w:val="006531FA"/>
    <w:rsid w:val="00653C18"/>
    <w:rsid w:val="00662EFB"/>
    <w:rsid w:val="00664D1A"/>
    <w:rsid w:val="0066656C"/>
    <w:rsid w:val="00666F22"/>
    <w:rsid w:val="00667570"/>
    <w:rsid w:val="00671FBA"/>
    <w:rsid w:val="00684413"/>
    <w:rsid w:val="00690646"/>
    <w:rsid w:val="00690FA5"/>
    <w:rsid w:val="006927FC"/>
    <w:rsid w:val="00694644"/>
    <w:rsid w:val="00694722"/>
    <w:rsid w:val="0069799C"/>
    <w:rsid w:val="006A2FE5"/>
    <w:rsid w:val="006A3F24"/>
    <w:rsid w:val="006A4EB4"/>
    <w:rsid w:val="006A6A7C"/>
    <w:rsid w:val="006B2B74"/>
    <w:rsid w:val="006B7292"/>
    <w:rsid w:val="006C38C3"/>
    <w:rsid w:val="006C7EFF"/>
    <w:rsid w:val="006D2850"/>
    <w:rsid w:val="006E0D06"/>
    <w:rsid w:val="006E0DD9"/>
    <w:rsid w:val="006E5BBD"/>
    <w:rsid w:val="006F0552"/>
    <w:rsid w:val="006F2EC7"/>
    <w:rsid w:val="006F63A2"/>
    <w:rsid w:val="007015E8"/>
    <w:rsid w:val="007018AE"/>
    <w:rsid w:val="007044F6"/>
    <w:rsid w:val="007122D0"/>
    <w:rsid w:val="00712D42"/>
    <w:rsid w:val="007130DA"/>
    <w:rsid w:val="00713C67"/>
    <w:rsid w:val="00720AA9"/>
    <w:rsid w:val="007239BC"/>
    <w:rsid w:val="00726F15"/>
    <w:rsid w:val="00727DE7"/>
    <w:rsid w:val="00732014"/>
    <w:rsid w:val="00735BCF"/>
    <w:rsid w:val="00737D0C"/>
    <w:rsid w:val="00742C77"/>
    <w:rsid w:val="007654BA"/>
    <w:rsid w:val="00771FF5"/>
    <w:rsid w:val="00774653"/>
    <w:rsid w:val="00774BAF"/>
    <w:rsid w:val="00775CF7"/>
    <w:rsid w:val="00783C9C"/>
    <w:rsid w:val="00790BB9"/>
    <w:rsid w:val="007910BD"/>
    <w:rsid w:val="007940F2"/>
    <w:rsid w:val="007A5D15"/>
    <w:rsid w:val="007B2D92"/>
    <w:rsid w:val="007B4FF2"/>
    <w:rsid w:val="007B69AF"/>
    <w:rsid w:val="007C1118"/>
    <w:rsid w:val="007C356A"/>
    <w:rsid w:val="007C637F"/>
    <w:rsid w:val="007E1119"/>
    <w:rsid w:val="007E3824"/>
    <w:rsid w:val="007E413C"/>
    <w:rsid w:val="007E57A1"/>
    <w:rsid w:val="007E5EDC"/>
    <w:rsid w:val="007E62B3"/>
    <w:rsid w:val="007F0D89"/>
    <w:rsid w:val="00801C69"/>
    <w:rsid w:val="00803628"/>
    <w:rsid w:val="00806AC3"/>
    <w:rsid w:val="008076E1"/>
    <w:rsid w:val="00812DF6"/>
    <w:rsid w:val="00813BDA"/>
    <w:rsid w:val="00815630"/>
    <w:rsid w:val="00816693"/>
    <w:rsid w:val="00821637"/>
    <w:rsid w:val="00823DC1"/>
    <w:rsid w:val="008244C0"/>
    <w:rsid w:val="008269D2"/>
    <w:rsid w:val="00830B1A"/>
    <w:rsid w:val="00835472"/>
    <w:rsid w:val="00836977"/>
    <w:rsid w:val="00846C45"/>
    <w:rsid w:val="00850702"/>
    <w:rsid w:val="00850BE3"/>
    <w:rsid w:val="00855866"/>
    <w:rsid w:val="00857665"/>
    <w:rsid w:val="00863181"/>
    <w:rsid w:val="00865902"/>
    <w:rsid w:val="00867083"/>
    <w:rsid w:val="00867491"/>
    <w:rsid w:val="00873B3F"/>
    <w:rsid w:val="00877FA2"/>
    <w:rsid w:val="00882AA9"/>
    <w:rsid w:val="00885215"/>
    <w:rsid w:val="008864C1"/>
    <w:rsid w:val="00886C26"/>
    <w:rsid w:val="00890A87"/>
    <w:rsid w:val="00890D80"/>
    <w:rsid w:val="008974E3"/>
    <w:rsid w:val="008A02C4"/>
    <w:rsid w:val="008A2A2F"/>
    <w:rsid w:val="008A609C"/>
    <w:rsid w:val="008A7410"/>
    <w:rsid w:val="008B142A"/>
    <w:rsid w:val="008B36FD"/>
    <w:rsid w:val="008B51AC"/>
    <w:rsid w:val="008C28DF"/>
    <w:rsid w:val="008C29DD"/>
    <w:rsid w:val="008C2DBF"/>
    <w:rsid w:val="008C3ACE"/>
    <w:rsid w:val="008C519C"/>
    <w:rsid w:val="008C71BA"/>
    <w:rsid w:val="008D4918"/>
    <w:rsid w:val="008E1837"/>
    <w:rsid w:val="008E1BA9"/>
    <w:rsid w:val="008E3CD1"/>
    <w:rsid w:val="009028FA"/>
    <w:rsid w:val="0091314F"/>
    <w:rsid w:val="0091761D"/>
    <w:rsid w:val="00927798"/>
    <w:rsid w:val="00930ECF"/>
    <w:rsid w:val="009403C5"/>
    <w:rsid w:val="00941696"/>
    <w:rsid w:val="00941BFD"/>
    <w:rsid w:val="00941C56"/>
    <w:rsid w:val="009452F4"/>
    <w:rsid w:val="00945534"/>
    <w:rsid w:val="0096227C"/>
    <w:rsid w:val="009652F0"/>
    <w:rsid w:val="009709FB"/>
    <w:rsid w:val="0098073D"/>
    <w:rsid w:val="00982CB3"/>
    <w:rsid w:val="00984D39"/>
    <w:rsid w:val="009861AF"/>
    <w:rsid w:val="0099396B"/>
    <w:rsid w:val="009953B9"/>
    <w:rsid w:val="009A17A9"/>
    <w:rsid w:val="009A2F31"/>
    <w:rsid w:val="009A3F92"/>
    <w:rsid w:val="009A501F"/>
    <w:rsid w:val="009B52C1"/>
    <w:rsid w:val="009B6C1D"/>
    <w:rsid w:val="009C3619"/>
    <w:rsid w:val="009C4AF3"/>
    <w:rsid w:val="009C50F0"/>
    <w:rsid w:val="009D46E9"/>
    <w:rsid w:val="009D5CD9"/>
    <w:rsid w:val="009D7393"/>
    <w:rsid w:val="009E2E98"/>
    <w:rsid w:val="009E3004"/>
    <w:rsid w:val="009E5FF2"/>
    <w:rsid w:val="009F20DB"/>
    <w:rsid w:val="00A11DF8"/>
    <w:rsid w:val="00A1223F"/>
    <w:rsid w:val="00A127C7"/>
    <w:rsid w:val="00A12921"/>
    <w:rsid w:val="00A13F35"/>
    <w:rsid w:val="00A14981"/>
    <w:rsid w:val="00A319EA"/>
    <w:rsid w:val="00A350E5"/>
    <w:rsid w:val="00A41B28"/>
    <w:rsid w:val="00A42664"/>
    <w:rsid w:val="00A53A66"/>
    <w:rsid w:val="00A622C2"/>
    <w:rsid w:val="00A642C0"/>
    <w:rsid w:val="00A6557A"/>
    <w:rsid w:val="00A65B2B"/>
    <w:rsid w:val="00A70774"/>
    <w:rsid w:val="00A7099F"/>
    <w:rsid w:val="00A72506"/>
    <w:rsid w:val="00A82B1B"/>
    <w:rsid w:val="00A92AC9"/>
    <w:rsid w:val="00A9621B"/>
    <w:rsid w:val="00A972E7"/>
    <w:rsid w:val="00AA5055"/>
    <w:rsid w:val="00AA5DCA"/>
    <w:rsid w:val="00AA6484"/>
    <w:rsid w:val="00AA6D90"/>
    <w:rsid w:val="00AB1B28"/>
    <w:rsid w:val="00AB6E42"/>
    <w:rsid w:val="00AC7569"/>
    <w:rsid w:val="00AD5D3D"/>
    <w:rsid w:val="00AE159C"/>
    <w:rsid w:val="00AE73AA"/>
    <w:rsid w:val="00AE7FAD"/>
    <w:rsid w:val="00AF6CB1"/>
    <w:rsid w:val="00AF6E84"/>
    <w:rsid w:val="00AF7DC8"/>
    <w:rsid w:val="00B02304"/>
    <w:rsid w:val="00B07338"/>
    <w:rsid w:val="00B20363"/>
    <w:rsid w:val="00B3759B"/>
    <w:rsid w:val="00B549F6"/>
    <w:rsid w:val="00B66329"/>
    <w:rsid w:val="00B67709"/>
    <w:rsid w:val="00B70559"/>
    <w:rsid w:val="00B7270C"/>
    <w:rsid w:val="00B8129E"/>
    <w:rsid w:val="00B82D17"/>
    <w:rsid w:val="00B87D21"/>
    <w:rsid w:val="00BA2BFE"/>
    <w:rsid w:val="00BA318D"/>
    <w:rsid w:val="00BA5A05"/>
    <w:rsid w:val="00BB7BDB"/>
    <w:rsid w:val="00BB7C5A"/>
    <w:rsid w:val="00BC2CCF"/>
    <w:rsid w:val="00BC39BC"/>
    <w:rsid w:val="00BC5FB2"/>
    <w:rsid w:val="00BD2C9E"/>
    <w:rsid w:val="00BD5E36"/>
    <w:rsid w:val="00BD6EE9"/>
    <w:rsid w:val="00BE34DD"/>
    <w:rsid w:val="00BE3C22"/>
    <w:rsid w:val="00BF35E9"/>
    <w:rsid w:val="00BF3CCC"/>
    <w:rsid w:val="00C00E26"/>
    <w:rsid w:val="00C10730"/>
    <w:rsid w:val="00C110E4"/>
    <w:rsid w:val="00C16BA9"/>
    <w:rsid w:val="00C17C09"/>
    <w:rsid w:val="00C208A9"/>
    <w:rsid w:val="00C20F7F"/>
    <w:rsid w:val="00C22308"/>
    <w:rsid w:val="00C23196"/>
    <w:rsid w:val="00C411F8"/>
    <w:rsid w:val="00C41BF7"/>
    <w:rsid w:val="00C52F6D"/>
    <w:rsid w:val="00C5476A"/>
    <w:rsid w:val="00C664BC"/>
    <w:rsid w:val="00C72B00"/>
    <w:rsid w:val="00C74759"/>
    <w:rsid w:val="00C85F2A"/>
    <w:rsid w:val="00C86B26"/>
    <w:rsid w:val="00C91410"/>
    <w:rsid w:val="00C942A5"/>
    <w:rsid w:val="00C9704F"/>
    <w:rsid w:val="00CA0801"/>
    <w:rsid w:val="00CA71FE"/>
    <w:rsid w:val="00CA78E7"/>
    <w:rsid w:val="00CB06A1"/>
    <w:rsid w:val="00CB37B1"/>
    <w:rsid w:val="00CB3EE9"/>
    <w:rsid w:val="00CC279F"/>
    <w:rsid w:val="00CC7E5C"/>
    <w:rsid w:val="00CD3E42"/>
    <w:rsid w:val="00CD6FE8"/>
    <w:rsid w:val="00CE3693"/>
    <w:rsid w:val="00CE4F2E"/>
    <w:rsid w:val="00CE5675"/>
    <w:rsid w:val="00CE7199"/>
    <w:rsid w:val="00CF04E7"/>
    <w:rsid w:val="00CF1E9E"/>
    <w:rsid w:val="00CF38EB"/>
    <w:rsid w:val="00CF422F"/>
    <w:rsid w:val="00D070BB"/>
    <w:rsid w:val="00D11BE2"/>
    <w:rsid w:val="00D13AA8"/>
    <w:rsid w:val="00D17923"/>
    <w:rsid w:val="00D17A9B"/>
    <w:rsid w:val="00D213EA"/>
    <w:rsid w:val="00D22ED0"/>
    <w:rsid w:val="00D3141A"/>
    <w:rsid w:val="00D37176"/>
    <w:rsid w:val="00D40DD8"/>
    <w:rsid w:val="00D42365"/>
    <w:rsid w:val="00D47039"/>
    <w:rsid w:val="00D56823"/>
    <w:rsid w:val="00D57F20"/>
    <w:rsid w:val="00D607D6"/>
    <w:rsid w:val="00D6206B"/>
    <w:rsid w:val="00D62B0A"/>
    <w:rsid w:val="00D63FDA"/>
    <w:rsid w:val="00D65F33"/>
    <w:rsid w:val="00D70A02"/>
    <w:rsid w:val="00D7266F"/>
    <w:rsid w:val="00D73CDB"/>
    <w:rsid w:val="00D74723"/>
    <w:rsid w:val="00D77DC9"/>
    <w:rsid w:val="00D809DA"/>
    <w:rsid w:val="00D83E2F"/>
    <w:rsid w:val="00D91D8E"/>
    <w:rsid w:val="00D9400E"/>
    <w:rsid w:val="00D945EF"/>
    <w:rsid w:val="00D9464D"/>
    <w:rsid w:val="00D959DD"/>
    <w:rsid w:val="00DA447F"/>
    <w:rsid w:val="00DA44D7"/>
    <w:rsid w:val="00DB5359"/>
    <w:rsid w:val="00DB66CC"/>
    <w:rsid w:val="00DC5376"/>
    <w:rsid w:val="00DD6DCF"/>
    <w:rsid w:val="00DE422B"/>
    <w:rsid w:val="00DE4BC4"/>
    <w:rsid w:val="00DF3E13"/>
    <w:rsid w:val="00DF509E"/>
    <w:rsid w:val="00E04B70"/>
    <w:rsid w:val="00E06BCB"/>
    <w:rsid w:val="00E0715C"/>
    <w:rsid w:val="00E11E5F"/>
    <w:rsid w:val="00E13C25"/>
    <w:rsid w:val="00E27767"/>
    <w:rsid w:val="00E306C7"/>
    <w:rsid w:val="00E33982"/>
    <w:rsid w:val="00E3578E"/>
    <w:rsid w:val="00E41209"/>
    <w:rsid w:val="00E4374A"/>
    <w:rsid w:val="00E45A5F"/>
    <w:rsid w:val="00E461C2"/>
    <w:rsid w:val="00E50191"/>
    <w:rsid w:val="00E52C7D"/>
    <w:rsid w:val="00E52F00"/>
    <w:rsid w:val="00E67863"/>
    <w:rsid w:val="00E811A8"/>
    <w:rsid w:val="00E813AD"/>
    <w:rsid w:val="00E90008"/>
    <w:rsid w:val="00E92637"/>
    <w:rsid w:val="00EA2C65"/>
    <w:rsid w:val="00EB0C4C"/>
    <w:rsid w:val="00EB32C3"/>
    <w:rsid w:val="00EB7050"/>
    <w:rsid w:val="00EC2754"/>
    <w:rsid w:val="00EC3503"/>
    <w:rsid w:val="00EC476D"/>
    <w:rsid w:val="00ED3A18"/>
    <w:rsid w:val="00ED553C"/>
    <w:rsid w:val="00ED6A8B"/>
    <w:rsid w:val="00EE0A64"/>
    <w:rsid w:val="00EE2246"/>
    <w:rsid w:val="00EE3C3C"/>
    <w:rsid w:val="00EE5262"/>
    <w:rsid w:val="00F01F2A"/>
    <w:rsid w:val="00F06BC6"/>
    <w:rsid w:val="00F07926"/>
    <w:rsid w:val="00F10854"/>
    <w:rsid w:val="00F11F0B"/>
    <w:rsid w:val="00F3687B"/>
    <w:rsid w:val="00F40374"/>
    <w:rsid w:val="00F41D07"/>
    <w:rsid w:val="00F45003"/>
    <w:rsid w:val="00F46C6E"/>
    <w:rsid w:val="00F54330"/>
    <w:rsid w:val="00F54416"/>
    <w:rsid w:val="00F574EC"/>
    <w:rsid w:val="00F6795B"/>
    <w:rsid w:val="00F70130"/>
    <w:rsid w:val="00F70B34"/>
    <w:rsid w:val="00F73AB0"/>
    <w:rsid w:val="00F74C46"/>
    <w:rsid w:val="00F81A6C"/>
    <w:rsid w:val="00F907A0"/>
    <w:rsid w:val="00F91719"/>
    <w:rsid w:val="00F92803"/>
    <w:rsid w:val="00F95427"/>
    <w:rsid w:val="00F96DC8"/>
    <w:rsid w:val="00FA59E2"/>
    <w:rsid w:val="00FB0EA4"/>
    <w:rsid w:val="00FB2759"/>
    <w:rsid w:val="00FB6A9C"/>
    <w:rsid w:val="00FC0A7E"/>
    <w:rsid w:val="00FC28FE"/>
    <w:rsid w:val="00FC567D"/>
    <w:rsid w:val="00FC6C5F"/>
    <w:rsid w:val="00FD47A2"/>
    <w:rsid w:val="00FD4904"/>
    <w:rsid w:val="00FE1F8E"/>
    <w:rsid w:val="00FE548C"/>
    <w:rsid w:val="00FE5C21"/>
    <w:rsid w:val="00FE647D"/>
    <w:rsid w:val="00FE7828"/>
    <w:rsid w:val="00FF19BC"/>
    <w:rsid w:val="00FF24A0"/>
    <w:rsid w:val="00FF5D65"/>
    <w:rsid w:val="14BAA471"/>
    <w:rsid w:val="748CB7E3"/>
    <w:rsid w:val="76DB8A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F2FD3A"/>
  <w15:chartTrackingRefBased/>
  <w15:docId w15:val="{11C9ACC6-E4F1-4B7A-AC0F-BFE1061A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13AA8"/>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pPr>
      <w:spacing w:after="120"/>
    </w:pPr>
  </w:style>
  <w:style w:type="character" w:styleId="FootnoteReference">
    <w:name w:val="footnote reference"/>
    <w:aliases w:val="(NECG) Footnote Reference,Appel note de bas de p,FR,Style 12,Style 124,Style 13,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unhideWhenUsed/>
    <w:rPr>
      <w:color w:val="605E5C"/>
      <w:shd w:val="clear" w:color="auto" w:fill="E1DFDD"/>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locked/>
    <w:rsid w:val="00D13AA8"/>
  </w:style>
  <w:style w:type="character" w:styleId="CommentReference">
    <w:name w:val="annotation reference"/>
    <w:uiPriority w:val="99"/>
    <w:semiHidden/>
    <w:unhideWhenUsed/>
    <w:rsid w:val="00D13AA8"/>
    <w:rPr>
      <w:sz w:val="16"/>
      <w:szCs w:val="16"/>
    </w:rPr>
  </w:style>
  <w:style w:type="paragraph" w:styleId="CommentText">
    <w:name w:val="annotation text"/>
    <w:basedOn w:val="Normal"/>
    <w:link w:val="CommentTextChar"/>
    <w:uiPriority w:val="99"/>
    <w:unhideWhenUsed/>
    <w:rsid w:val="00D13AA8"/>
    <w:rPr>
      <w:sz w:val="20"/>
    </w:rPr>
  </w:style>
  <w:style w:type="character" w:customStyle="1" w:styleId="CommentTextChar">
    <w:name w:val="Comment Text Char"/>
    <w:basedOn w:val="DefaultParagraphFont"/>
    <w:link w:val="CommentText"/>
    <w:uiPriority w:val="99"/>
    <w:rsid w:val="00D13AA8"/>
    <w:rPr>
      <w:snapToGrid w:val="0"/>
      <w:kern w:val="28"/>
    </w:rPr>
  </w:style>
  <w:style w:type="character" w:customStyle="1" w:styleId="item-value">
    <w:name w:val="item-value"/>
    <w:rsid w:val="00D13AA8"/>
  </w:style>
  <w:style w:type="paragraph" w:styleId="CommentSubject">
    <w:name w:val="annotation subject"/>
    <w:basedOn w:val="CommentText"/>
    <w:next w:val="CommentText"/>
    <w:link w:val="CommentSubjectChar"/>
    <w:uiPriority w:val="99"/>
    <w:semiHidden/>
    <w:unhideWhenUsed/>
    <w:rsid w:val="00391828"/>
    <w:rPr>
      <w:b/>
      <w:bCs/>
    </w:rPr>
  </w:style>
  <w:style w:type="character" w:customStyle="1" w:styleId="CommentSubjectChar">
    <w:name w:val="Comment Subject Char"/>
    <w:basedOn w:val="CommentTextChar"/>
    <w:link w:val="CommentSubject"/>
    <w:uiPriority w:val="99"/>
    <w:semiHidden/>
    <w:rsid w:val="00391828"/>
    <w:rPr>
      <w:b/>
      <w:bCs/>
      <w:snapToGrid w:val="0"/>
      <w:kern w:val="28"/>
    </w:rPr>
  </w:style>
  <w:style w:type="paragraph" w:styleId="Revision">
    <w:name w:val="Revision"/>
    <w:hidden/>
    <w:uiPriority w:val="99"/>
    <w:semiHidden/>
    <w:rsid w:val="006B2B74"/>
    <w:rPr>
      <w:snapToGrid w:val="0"/>
      <w:kern w:val="28"/>
      <w:sz w:val="22"/>
    </w:rPr>
  </w:style>
  <w:style w:type="character" w:customStyle="1" w:styleId="Mention">
    <w:name w:val="Mention"/>
    <w:basedOn w:val="DefaultParagraphFont"/>
    <w:uiPriority w:val="99"/>
    <w:unhideWhenUsed/>
    <w:rsid w:val="00F81A6C"/>
    <w:rPr>
      <w:color w:val="2B579A"/>
      <w:shd w:val="clear" w:color="auto" w:fill="E1DFDD"/>
    </w:rPr>
  </w:style>
  <w:style w:type="character" w:styleId="FollowedHyperlink">
    <w:name w:val="FollowedHyperlink"/>
    <w:basedOn w:val="DefaultParagraphFont"/>
    <w:uiPriority w:val="99"/>
    <w:semiHidden/>
    <w:unhideWhenUsed/>
    <w:rsid w:val="000461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Stacey.Ashton@fcc.gov" TargetMode="External" /><Relationship Id="rId9" Type="http://schemas.openxmlformats.org/officeDocument/2006/relationships/hyperlink" Target="mailto:David.Krech@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ircuit-capacity-data-us-international-submarine-cabl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