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013A8B" w:rsidRPr="00B20363" w:rsidP="00013A8B" w14:paraId="28BA076A" w14:textId="3ACF2E14">
      <w:pPr>
        <w:jc w:val="right"/>
        <w:rPr>
          <w:b/>
          <w:sz w:val="24"/>
        </w:rPr>
      </w:pPr>
      <w:r>
        <w:rPr>
          <w:b/>
          <w:sz w:val="24"/>
        </w:rPr>
        <w:t>DA 2</w:t>
      </w:r>
      <w:r w:rsidR="008A4997">
        <w:rPr>
          <w:b/>
          <w:sz w:val="24"/>
        </w:rPr>
        <w:t>2</w:t>
      </w:r>
      <w:r>
        <w:rPr>
          <w:b/>
          <w:sz w:val="24"/>
        </w:rPr>
        <w:t>-</w:t>
      </w:r>
      <w:r w:rsidR="007F6969">
        <w:rPr>
          <w:b/>
          <w:sz w:val="24"/>
        </w:rPr>
        <w:t>191</w:t>
      </w:r>
    </w:p>
    <w:p w:rsidR="00013A8B" w:rsidRPr="00B20363" w:rsidP="00013A8B" w14:paraId="03BB4627" w14:textId="5790FF96">
      <w:pPr>
        <w:spacing w:before="60"/>
        <w:jc w:val="right"/>
        <w:rPr>
          <w:b/>
          <w:sz w:val="24"/>
        </w:rPr>
      </w:pPr>
      <w:r>
        <w:rPr>
          <w:b/>
          <w:sz w:val="24"/>
        </w:rPr>
        <w:t xml:space="preserve">Released:  </w:t>
      </w:r>
      <w:r w:rsidR="009D22FB">
        <w:rPr>
          <w:b/>
          <w:sz w:val="24"/>
        </w:rPr>
        <w:t>February</w:t>
      </w:r>
      <w:r w:rsidR="002815DC">
        <w:rPr>
          <w:b/>
          <w:sz w:val="24"/>
        </w:rPr>
        <w:t xml:space="preserve"> 24</w:t>
      </w:r>
      <w:r w:rsidR="00A726A1">
        <w:rPr>
          <w:b/>
          <w:sz w:val="24"/>
        </w:rPr>
        <w:t>, 202</w:t>
      </w:r>
      <w:r w:rsidR="008A4997">
        <w:rPr>
          <w:b/>
          <w:sz w:val="24"/>
        </w:rPr>
        <w:t>2</w:t>
      </w:r>
    </w:p>
    <w:p w:rsidR="00013A8B" w:rsidP="00013A8B" w14:paraId="427EF513" w14:textId="77777777">
      <w:pPr>
        <w:jc w:val="right"/>
        <w:rPr>
          <w:sz w:val="24"/>
        </w:rPr>
      </w:pPr>
    </w:p>
    <w:p w:rsidR="004E45B6" w:rsidRPr="004E45B6" w:rsidP="6555BE1C" w14:paraId="1B8CA881" w14:textId="4D1BEB0F">
      <w:pPr>
        <w:jc w:val="center"/>
        <w:rPr>
          <w:b/>
          <w:bCs/>
        </w:rPr>
      </w:pPr>
      <w:r w:rsidRPr="6555BE1C">
        <w:rPr>
          <w:rFonts w:ascii="Times New Roman Bold" w:hAnsi="Times New Roman Bold"/>
          <w:b/>
          <w:bCs/>
          <w:caps/>
          <w:sz w:val="24"/>
          <w:szCs w:val="24"/>
        </w:rPr>
        <w:t xml:space="preserve">Incentive Auction task Force and Media BUreau </w:t>
      </w:r>
      <w:r w:rsidRPr="6555BE1C" w:rsidR="268159B2">
        <w:rPr>
          <w:rFonts w:ascii="Times New Roman Bold" w:hAnsi="Times New Roman Bold"/>
          <w:b/>
          <w:bCs/>
          <w:caps/>
          <w:sz w:val="24"/>
          <w:szCs w:val="24"/>
        </w:rPr>
        <w:t xml:space="preserve">REPORT ON STATUS OF THE POST-INCENTIVE AUCTION REIMBURSEMENT PROGRAM, </w:t>
      </w:r>
      <w:r w:rsidRPr="6555BE1C">
        <w:rPr>
          <w:rFonts w:ascii="Times New Roman Bold" w:hAnsi="Times New Roman Bold"/>
          <w:b/>
          <w:bCs/>
          <w:caps/>
          <w:sz w:val="24"/>
          <w:szCs w:val="24"/>
        </w:rPr>
        <w:t xml:space="preserve">ANNOUNCE </w:t>
      </w:r>
      <w:r w:rsidRPr="6555BE1C" w:rsidR="7E44633E">
        <w:rPr>
          <w:rFonts w:ascii="Times New Roman Bold" w:hAnsi="Times New Roman Bold"/>
          <w:b/>
          <w:bCs/>
          <w:caps/>
          <w:sz w:val="24"/>
          <w:szCs w:val="24"/>
        </w:rPr>
        <w:t xml:space="preserve">Final allocation and </w:t>
      </w:r>
      <w:r w:rsidRPr="6555BE1C" w:rsidR="2856AAC3">
        <w:rPr>
          <w:rFonts w:ascii="Times New Roman Bold" w:hAnsi="Times New Roman Bold"/>
          <w:b/>
          <w:bCs/>
          <w:caps/>
          <w:sz w:val="24"/>
          <w:szCs w:val="24"/>
        </w:rPr>
        <w:t>Post</w:t>
      </w:r>
      <w:r w:rsidRPr="6555BE1C" w:rsidR="6221D533">
        <w:rPr>
          <w:rFonts w:ascii="Times New Roman Bold" w:hAnsi="Times New Roman Bold"/>
          <w:b/>
          <w:bCs/>
          <w:caps/>
          <w:sz w:val="24"/>
          <w:szCs w:val="24"/>
        </w:rPr>
        <w:t>-</w:t>
      </w:r>
      <w:r w:rsidRPr="6555BE1C" w:rsidR="2856AAC3">
        <w:rPr>
          <w:rFonts w:ascii="Times New Roman Bold" w:hAnsi="Times New Roman Bold"/>
          <w:b/>
          <w:bCs/>
          <w:caps/>
          <w:sz w:val="24"/>
          <w:szCs w:val="24"/>
        </w:rPr>
        <w:t xml:space="preserve">implementation </w:t>
      </w:r>
      <w:r w:rsidRPr="6555BE1C" w:rsidR="481ADFB3">
        <w:rPr>
          <w:rFonts w:ascii="Times New Roman Bold" w:hAnsi="Times New Roman Bold"/>
          <w:b/>
          <w:bCs/>
          <w:caps/>
          <w:sz w:val="24"/>
          <w:szCs w:val="24"/>
        </w:rPr>
        <w:t>site visit validation program</w:t>
      </w:r>
      <w:r w:rsidRPr="6555BE1C" w:rsidR="36BF642F">
        <w:rPr>
          <w:rFonts w:ascii="Times New Roman Bold" w:hAnsi="Times New Roman Bold"/>
          <w:b/>
          <w:bCs/>
          <w:caps/>
          <w:sz w:val="24"/>
          <w:szCs w:val="24"/>
        </w:rPr>
        <w:t>,</w:t>
      </w:r>
      <w:r w:rsidRPr="6555BE1C" w:rsidR="481ADFB3">
        <w:rPr>
          <w:rFonts w:ascii="Times New Roman Bold" w:hAnsi="Times New Roman Bold"/>
          <w:b/>
          <w:bCs/>
          <w:caps/>
          <w:sz w:val="24"/>
          <w:szCs w:val="24"/>
        </w:rPr>
        <w:t xml:space="preserve"> </w:t>
      </w:r>
      <w:r w:rsidRPr="6555BE1C" w:rsidR="66DC4135">
        <w:rPr>
          <w:rFonts w:ascii="Times New Roman Bold" w:hAnsi="Times New Roman Bold"/>
          <w:b/>
          <w:bCs/>
          <w:caps/>
          <w:sz w:val="24"/>
          <w:szCs w:val="24"/>
        </w:rPr>
        <w:t xml:space="preserve">And </w:t>
      </w:r>
      <w:r w:rsidRPr="6555BE1C" w:rsidR="090E340A">
        <w:rPr>
          <w:rFonts w:ascii="Times New Roman Bold" w:hAnsi="Times New Roman Bold"/>
          <w:b/>
          <w:bCs/>
          <w:caps/>
          <w:sz w:val="24"/>
          <w:szCs w:val="24"/>
        </w:rPr>
        <w:t xml:space="preserve">REMIND </w:t>
      </w:r>
      <w:r w:rsidRPr="6555BE1C" w:rsidR="66DC4135">
        <w:rPr>
          <w:rFonts w:ascii="Times New Roman Bold" w:hAnsi="Times New Roman Bold"/>
          <w:b/>
          <w:bCs/>
          <w:caps/>
          <w:sz w:val="24"/>
          <w:szCs w:val="24"/>
        </w:rPr>
        <w:t>Stations of invoice filing deadline</w:t>
      </w:r>
      <w:r w:rsidRPr="6555BE1C" w:rsidR="668E0CD2">
        <w:rPr>
          <w:rFonts w:ascii="Times New Roman Bold" w:hAnsi="Times New Roman Bold"/>
          <w:b/>
          <w:bCs/>
          <w:caps/>
          <w:sz w:val="24"/>
          <w:szCs w:val="24"/>
        </w:rPr>
        <w:t>S</w:t>
      </w:r>
      <w:r w:rsidRPr="6555BE1C" w:rsidR="66DC4135">
        <w:rPr>
          <w:rFonts w:ascii="Times New Roman Bold" w:hAnsi="Times New Roman Bold"/>
          <w:b/>
          <w:bCs/>
          <w:caps/>
          <w:sz w:val="24"/>
          <w:szCs w:val="24"/>
        </w:rPr>
        <w:t xml:space="preserve"> </w:t>
      </w:r>
    </w:p>
    <w:p w:rsidR="00A726A1" w:rsidP="00A726A1" w14:paraId="0B80E775" w14:textId="77777777">
      <w:pPr>
        <w:jc w:val="center"/>
        <w:rPr>
          <w:rFonts w:ascii="Times New Roman Bold" w:hAnsi="Times New Roman Bold"/>
          <w:b/>
          <w:caps/>
          <w:sz w:val="24"/>
        </w:rPr>
      </w:pPr>
    </w:p>
    <w:p w:rsidR="00A726A1" w:rsidRPr="00A726A1" w:rsidP="00A726A1" w14:paraId="6B3C2FF8" w14:textId="77777777">
      <w:pPr>
        <w:jc w:val="center"/>
        <w:rPr>
          <w:b/>
          <w:sz w:val="24"/>
        </w:rPr>
      </w:pPr>
      <w:r w:rsidRPr="00A726A1">
        <w:rPr>
          <w:b/>
          <w:sz w:val="24"/>
        </w:rPr>
        <w:t>MB Docket No. 16-306</w:t>
      </w:r>
    </w:p>
    <w:p w:rsidR="00013A8B" w:rsidP="00A726A1" w14:paraId="7F092D55" w14:textId="77777777">
      <w:pPr>
        <w:jc w:val="center"/>
        <w:rPr>
          <w:b/>
          <w:sz w:val="24"/>
        </w:rPr>
      </w:pPr>
      <w:r w:rsidRPr="00A726A1">
        <w:rPr>
          <w:b/>
          <w:sz w:val="24"/>
        </w:rPr>
        <w:t>GN Docket No. 12-268</w:t>
      </w:r>
    </w:p>
    <w:p w:rsidR="00F96F63" w:rsidRPr="00930ECF" w:rsidP="00F96F63" w14:paraId="1E1D19FB" w14:textId="77777777">
      <w:pPr>
        <w:rPr>
          <w:sz w:val="24"/>
        </w:rPr>
      </w:pPr>
      <w:bookmarkStart w:id="0" w:name="TOChere"/>
    </w:p>
    <w:bookmarkEnd w:id="0"/>
    <w:p w:rsidR="00C141D0" w:rsidRPr="005A7AF0" w:rsidP="000C15D5" w14:paraId="5D7A6EA6" w14:textId="3D80A0F4">
      <w:pPr>
        <w:numPr>
          <w:ilvl w:val="0"/>
          <w:numId w:val="7"/>
        </w:numPr>
        <w:spacing w:before="120" w:after="120"/>
        <w:ind w:left="0" w:firstLine="810"/>
      </w:pPr>
      <w:r w:rsidRPr="558F0A12">
        <w:rPr>
          <w:snapToGrid/>
          <w:kern w:val="0"/>
        </w:rPr>
        <w:t xml:space="preserve">The Incentive Auction Task Force and Media Bureau (Bureau) </w:t>
      </w:r>
      <w:r w:rsidRPr="558F0A12" w:rsidR="00691426">
        <w:rPr>
          <w:snapToGrid/>
          <w:kern w:val="0"/>
        </w:rPr>
        <w:t xml:space="preserve">hereby </w:t>
      </w:r>
      <w:r w:rsidRPr="558F0A12">
        <w:rPr>
          <w:snapToGrid/>
          <w:kern w:val="0"/>
        </w:rPr>
        <w:t>announce a final allocation from the TV Broadcaster Relocation Fund (the Reimbursement Fund or Fund)</w:t>
      </w:r>
      <w:r w:rsidRPr="558F0A12" w:rsidR="00AE01F0">
        <w:rPr>
          <w:snapToGrid/>
          <w:kern w:val="0"/>
        </w:rPr>
        <w:t xml:space="preserve"> to</w:t>
      </w:r>
      <w:r w:rsidRPr="558F0A12" w:rsidR="00546ADB">
        <w:rPr>
          <w:snapToGrid/>
          <w:kern w:val="0"/>
        </w:rPr>
        <w:t xml:space="preserve"> increase the allocation for e</w:t>
      </w:r>
      <w:r w:rsidRPr="558F0A12" w:rsidR="00691426">
        <w:rPr>
          <w:snapToGrid/>
          <w:kern w:val="0"/>
        </w:rPr>
        <w:t xml:space="preserve">ach </w:t>
      </w:r>
      <w:r w:rsidRPr="558F0A12" w:rsidR="00AE01F0">
        <w:rPr>
          <w:snapToGrid/>
          <w:kern w:val="0"/>
        </w:rPr>
        <w:t xml:space="preserve">participant </w:t>
      </w:r>
      <w:r w:rsidRPr="558F0A12" w:rsidR="00691426">
        <w:rPr>
          <w:snapToGrid/>
          <w:kern w:val="0"/>
        </w:rPr>
        <w:t>from 92.5% to 100% of verified estimates</w:t>
      </w:r>
      <w:r w:rsidRPr="558F0A12" w:rsidR="00AE01F0">
        <w:rPr>
          <w:snapToGrid/>
          <w:kern w:val="0"/>
        </w:rPr>
        <w:t>.  This</w:t>
      </w:r>
      <w:r w:rsidRPr="558F0A12" w:rsidR="00691426">
        <w:rPr>
          <w:snapToGrid/>
          <w:kern w:val="0"/>
        </w:rPr>
        <w:t xml:space="preserve"> will aid the Commission’s efforts to </w:t>
      </w:r>
      <w:r w:rsidRPr="558F0A12" w:rsidR="00546ADB">
        <w:rPr>
          <w:snapToGrid/>
          <w:kern w:val="0"/>
        </w:rPr>
        <w:t xml:space="preserve">fully reimburse </w:t>
      </w:r>
      <w:r w:rsidRPr="558F0A12" w:rsidR="00AE01F0">
        <w:rPr>
          <w:snapToGrid/>
          <w:kern w:val="0"/>
        </w:rPr>
        <w:t xml:space="preserve">participants </w:t>
      </w:r>
      <w:r w:rsidRPr="558F0A12" w:rsidR="00546ADB">
        <w:rPr>
          <w:snapToGrid/>
          <w:kern w:val="0"/>
        </w:rPr>
        <w:t xml:space="preserve">and </w:t>
      </w:r>
      <w:r w:rsidRPr="558F0A12" w:rsidR="00691426">
        <w:rPr>
          <w:snapToGrid/>
          <w:kern w:val="0"/>
        </w:rPr>
        <w:t xml:space="preserve">close </w:t>
      </w:r>
      <w:r w:rsidRPr="558F0A12" w:rsidR="00546ADB">
        <w:rPr>
          <w:snapToGrid/>
          <w:kern w:val="0"/>
        </w:rPr>
        <w:t xml:space="preserve">reimbursement </w:t>
      </w:r>
      <w:r w:rsidRPr="558F0A12" w:rsidR="00691426">
        <w:rPr>
          <w:snapToGrid/>
          <w:kern w:val="0"/>
        </w:rPr>
        <w:t xml:space="preserve">accounts.  </w:t>
      </w:r>
      <w:r w:rsidRPr="558F0A12" w:rsidR="3AF8B022">
        <w:rPr>
          <w:snapToGrid/>
          <w:kern w:val="0"/>
        </w:rPr>
        <w:t>We</w:t>
      </w:r>
      <w:r w:rsidRPr="558F0A12">
        <w:rPr>
          <w:snapToGrid/>
          <w:kern w:val="0"/>
        </w:rPr>
        <w:t xml:space="preserve"> also announce the initiation of </w:t>
      </w:r>
      <w:r w:rsidRPr="558F0A12" w:rsidR="00691426">
        <w:rPr>
          <w:snapToGrid/>
          <w:kern w:val="0"/>
        </w:rPr>
        <w:t xml:space="preserve">a program to visit the facilities of a statistically valid </w:t>
      </w:r>
      <w:r w:rsidRPr="558F0A12" w:rsidR="00C63A99">
        <w:rPr>
          <w:snapToGrid/>
          <w:kern w:val="0"/>
        </w:rPr>
        <w:t xml:space="preserve">and random </w:t>
      </w:r>
      <w:r w:rsidRPr="558F0A12" w:rsidR="00691426">
        <w:rPr>
          <w:snapToGrid/>
          <w:kern w:val="0"/>
        </w:rPr>
        <w:t xml:space="preserve">sample of Fund participants to validate the existence and </w:t>
      </w:r>
      <w:r w:rsidRPr="558F0A12" w:rsidR="000C15D5">
        <w:t>operational status of post</w:t>
      </w:r>
      <w:r w:rsidR="00C63A99">
        <w:rPr>
          <w:szCs w:val="22"/>
        </w:rPr>
        <w:t>-</w:t>
      </w:r>
      <w:r w:rsidRPr="558F0A12" w:rsidR="000C15D5">
        <w:t xml:space="preserve">transition broadcast </w:t>
      </w:r>
      <w:r w:rsidRPr="000C15D5" w:rsidR="000C15D5">
        <w:t>equipment</w:t>
      </w:r>
      <w:r w:rsidRPr="558F0A12" w:rsidR="000C15D5">
        <w:t xml:space="preserve"> for which the entity received reimbursement.  </w:t>
      </w:r>
      <w:r w:rsidRPr="558F0A12" w:rsidR="00691426">
        <w:t>Th</w:t>
      </w:r>
      <w:r w:rsidRPr="558F0A12" w:rsidR="00AE01F0">
        <w:t>e</w:t>
      </w:r>
      <w:r w:rsidRPr="00AE01F0" w:rsidR="00691426">
        <w:rPr>
          <w:szCs w:val="22"/>
        </w:rPr>
        <w:t xml:space="preserve"> </w:t>
      </w:r>
      <w:r w:rsidRPr="558F0A12" w:rsidR="0049323F">
        <w:t xml:space="preserve">site visit </w:t>
      </w:r>
      <w:r w:rsidRPr="558F0A12" w:rsidR="00691426">
        <w:t xml:space="preserve">program supports </w:t>
      </w:r>
      <w:r w:rsidR="00691426">
        <w:t xml:space="preserve">the Commission’s responsibility as a prudent steward of taxpayer money to prevent </w:t>
      </w:r>
      <w:r w:rsidR="000A5CB7">
        <w:t xml:space="preserve">fraud, </w:t>
      </w:r>
      <w:r w:rsidR="00691426">
        <w:t xml:space="preserve">waste, and abuse associated with the disbursement of federal funds.  </w:t>
      </w:r>
      <w:r w:rsidR="00BE74FB">
        <w:t xml:space="preserve">Finally, </w:t>
      </w:r>
      <w:r w:rsidR="6D996E82">
        <w:t>we</w:t>
      </w:r>
      <w:r w:rsidR="00BE74FB">
        <w:t xml:space="preserve"> remind </w:t>
      </w:r>
      <w:r w:rsidRPr="558F0A12" w:rsidR="00BE74FB">
        <w:rPr>
          <w:snapToGrid/>
          <w:kern w:val="0"/>
        </w:rPr>
        <w:t>all full power and Class A TV stations</w:t>
      </w:r>
      <w:r w:rsidRPr="558F0A12" w:rsidR="00BE74FB">
        <w:rPr>
          <w:b/>
          <w:bCs/>
          <w:snapToGrid/>
          <w:kern w:val="0"/>
        </w:rPr>
        <w:t xml:space="preserve"> </w:t>
      </w:r>
      <w:r w:rsidRPr="558F0A12" w:rsidR="00BE74FB">
        <w:rPr>
          <w:snapToGrid/>
          <w:kern w:val="0"/>
        </w:rPr>
        <w:t xml:space="preserve">assigned transition completion dates in phases 6-10 of the Transition Scheduling Plan that they must submit all remaining invoices no later than March 22, 2022.  </w:t>
      </w:r>
    </w:p>
    <w:p w:rsidR="00E02AE9" w:rsidP="00DD4D55" w14:paraId="620CC674" w14:textId="775E6861">
      <w:pPr>
        <w:numPr>
          <w:ilvl w:val="0"/>
          <w:numId w:val="7"/>
        </w:numPr>
        <w:spacing w:before="120" w:after="120"/>
        <w:ind w:left="0" w:firstLine="810"/>
      </w:pPr>
      <w:r w:rsidRPr="00DD4D55">
        <w:rPr>
          <w:b/>
          <w:bCs/>
          <w:i/>
          <w:iCs/>
          <w:u w:val="single"/>
        </w:rPr>
        <w:t>Status</w:t>
      </w:r>
      <w:r w:rsidRPr="00DD4D55">
        <w:rPr>
          <w:b/>
          <w:bCs/>
          <w:i/>
          <w:iCs/>
          <w:u w:val="single"/>
        </w:rPr>
        <w:t xml:space="preserve"> of the Reimbursement Program</w:t>
      </w:r>
      <w:r w:rsidRPr="00DD4D55" w:rsidR="000C15D5">
        <w:rPr>
          <w:b/>
          <w:bCs/>
          <w:i/>
          <w:iCs/>
        </w:rPr>
        <w:t>.</w:t>
      </w:r>
      <w:r w:rsidR="000C15D5">
        <w:t xml:space="preserve">  </w:t>
      </w:r>
      <w:r w:rsidRPr="558F0A12" w:rsidR="008B62E4">
        <w:t>As a result of the Spectrum Act’s</w:t>
      </w:r>
      <w:r>
        <w:rPr>
          <w:rStyle w:val="FootnoteReference"/>
        </w:rPr>
        <w:footnoteReference w:id="3"/>
      </w:r>
      <w:r w:rsidRPr="558F0A12" w:rsidR="008B62E4">
        <w:t xml:space="preserve"> mandate to reorganize the broadcast television band to make additional spectrum available for wireless use, the Commission </w:t>
      </w:r>
      <w:r w:rsidRPr="558F0A12" w:rsidR="00C07EC6">
        <w:t>conducted</w:t>
      </w:r>
      <w:r w:rsidRPr="558F0A12" w:rsidR="008B62E4">
        <w:t xml:space="preserve"> the </w:t>
      </w:r>
      <w:r w:rsidR="008B62E4">
        <w:t xml:space="preserve">incentive auction and repacking process, which resulted in new channel assignments for </w:t>
      </w:r>
      <w:r w:rsidRPr="00BA38A9" w:rsidR="008B62E4">
        <w:t>987 full power and Class A stations.</w:t>
      </w:r>
      <w:r>
        <w:rPr>
          <w:rStyle w:val="FootnoteReference"/>
        </w:rPr>
        <w:footnoteReference w:id="4"/>
      </w:r>
      <w:r w:rsidRPr="00BA38A9" w:rsidR="008B62E4">
        <w:t xml:space="preserve">  </w:t>
      </w:r>
      <w:r w:rsidR="00DD4D55">
        <w:t xml:space="preserve">All of those stations are now operating on their final, repacked facilities with the exception of 14 that have transitioned to their new channel assignments pursuant to a grant special temporary authority with revised construction permit deadlines to permit them to complete their final facilities.  </w:t>
      </w:r>
      <w:r w:rsidR="004D3B04">
        <w:t>C</w:t>
      </w:r>
      <w:r w:rsidR="008B62E4">
        <w:t>ertain LPTV</w:t>
      </w:r>
      <w:r w:rsidR="004D3B04">
        <w:t xml:space="preserve"> and TV t</w:t>
      </w:r>
      <w:r w:rsidR="008B62E4">
        <w:t xml:space="preserve">ranslator </w:t>
      </w:r>
      <w:r w:rsidR="0049323F">
        <w:t xml:space="preserve">(LPTV/translator) </w:t>
      </w:r>
      <w:r w:rsidR="008B62E4">
        <w:t xml:space="preserve">stations </w:t>
      </w:r>
      <w:r w:rsidR="004D3B04">
        <w:t xml:space="preserve">were </w:t>
      </w:r>
      <w:r w:rsidR="008B62E4">
        <w:t xml:space="preserve">displaced by the </w:t>
      </w:r>
      <w:r w:rsidR="008B62E4">
        <w:t>rebanding</w:t>
      </w:r>
      <w:r w:rsidR="008B62E4">
        <w:t xml:space="preserve"> and repacking process</w:t>
      </w:r>
      <w:r w:rsidR="005C15AA">
        <w:t xml:space="preserve"> and </w:t>
      </w:r>
      <w:r w:rsidR="0049323F">
        <w:t xml:space="preserve">were </w:t>
      </w:r>
      <w:r w:rsidR="005C15AA">
        <w:t>granted construction permits to relocate their facilities in a special displacement window</w:t>
      </w:r>
      <w:r w:rsidR="004D3B04">
        <w:t xml:space="preserve">.  Some FM broadcasters that share tower space with repacked TV stations </w:t>
      </w:r>
      <w:r w:rsidR="005C15AA">
        <w:t>incurred costs to facilitate the repack stations</w:t>
      </w:r>
      <w:r w:rsidR="00C63A99">
        <w:t>’</w:t>
      </w:r>
      <w:r w:rsidR="005C15AA">
        <w:t xml:space="preserve"> construction project.  A</w:t>
      </w:r>
      <w:r w:rsidR="004D3B04">
        <w:t xml:space="preserve">nd some multichannel video programming distributors (MVPDs) </w:t>
      </w:r>
      <w:r w:rsidR="005C15AA">
        <w:t xml:space="preserve">incurred costs to continue to carry the </w:t>
      </w:r>
      <w:r w:rsidR="004D3B04">
        <w:t xml:space="preserve">signals of repacked TV stations </w:t>
      </w:r>
      <w:r w:rsidR="005C15AA">
        <w:t>on new channel assignments.</w:t>
      </w:r>
    </w:p>
    <w:p w:rsidR="00950C85" w:rsidP="00950C85" w14:paraId="599024DB" w14:textId="1503DEDB">
      <w:pPr>
        <w:widowControl/>
        <w:numPr>
          <w:ilvl w:val="0"/>
          <w:numId w:val="7"/>
        </w:numPr>
        <w:spacing w:before="120" w:after="120"/>
        <w:ind w:left="0" w:firstLine="810"/>
      </w:pPr>
      <w:r w:rsidRPr="000927A5">
        <w:t xml:space="preserve">Congress </w:t>
      </w:r>
      <w:r>
        <w:t>provided</w:t>
      </w:r>
      <w:r w:rsidRPr="000927A5">
        <w:t xml:space="preserve"> $</w:t>
      </w:r>
      <w:r>
        <w:t>2</w:t>
      </w:r>
      <w:r w:rsidRPr="000927A5">
        <w:t>.75 billion for the</w:t>
      </w:r>
      <w:r>
        <w:t xml:space="preserve"> Reimbursement</w:t>
      </w:r>
      <w:r w:rsidRPr="000927A5">
        <w:t xml:space="preserve"> Fund</w:t>
      </w:r>
      <w:r>
        <w:t xml:space="preserve"> in the Spectrum Act and </w:t>
      </w:r>
      <w:r w:rsidRPr="000927A5">
        <w:t>Reimbursement Expansion Act (REA)</w:t>
      </w:r>
      <w:r>
        <w:t xml:space="preserve"> to reimburse </w:t>
      </w:r>
      <w:r w:rsidRPr="00D60A51" w:rsidR="2424C2DF">
        <w:rPr>
          <w:snapToGrid/>
          <w:kern w:val="0"/>
        </w:rPr>
        <w:t xml:space="preserve">reasonably incurred </w:t>
      </w:r>
      <w:r w:rsidRPr="00D60A51" w:rsidR="4FA1FCF5">
        <w:rPr>
          <w:snapToGrid/>
          <w:kern w:val="0"/>
        </w:rPr>
        <w:t>costs</w:t>
      </w:r>
      <w:r w:rsidRPr="558F0A12" w:rsidR="4FA1FCF5">
        <w:rPr>
          <w:rFonts w:ascii="TimesNewRoman" w:hAnsi="TimesNewRoman" w:cs="TimesNewRoman"/>
          <w:snapToGrid/>
          <w:kern w:val="0"/>
        </w:rPr>
        <w:t xml:space="preserve"> </w:t>
      </w:r>
      <w:r w:rsidR="2424C2DF">
        <w:t>a</w:t>
      </w:r>
      <w:r>
        <w:t>ssociated with the post-</w:t>
      </w:r>
      <w:r w:rsidR="4FA1FCF5">
        <w:t>i</w:t>
      </w:r>
      <w:r>
        <w:t xml:space="preserve">ncentive </w:t>
      </w:r>
      <w:r w:rsidR="4FA1FCF5">
        <w:t>au</w:t>
      </w:r>
      <w:r>
        <w:t>ction transition.</w:t>
      </w:r>
      <w:r>
        <w:rPr>
          <w:rStyle w:val="FootnoteReference"/>
        </w:rPr>
        <w:footnoteReference w:id="5"/>
      </w:r>
      <w:r w:rsidRPr="000927A5">
        <w:t xml:space="preserve"> </w:t>
      </w:r>
      <w:r>
        <w:t xml:space="preserve"> To implement the </w:t>
      </w:r>
      <w:r w:rsidR="665A3182">
        <w:t xml:space="preserve">Reimbursement Fund, we developed procedures </w:t>
      </w:r>
      <w:r w:rsidR="6BA5891B">
        <w:t>that required all participants</w:t>
      </w:r>
      <w:r w:rsidR="665A3182">
        <w:t xml:space="preserve"> to </w:t>
      </w:r>
      <w:r w:rsidRPr="558F0A12">
        <w:t xml:space="preserve">submit their estimated costs </w:t>
      </w:r>
      <w:r w:rsidRPr="558F0A12" w:rsidR="6A1C6FB5">
        <w:t xml:space="preserve">using the </w:t>
      </w:r>
      <w:r w:rsidRPr="558F0A12">
        <w:t>Reimbursement Form.</w:t>
      </w:r>
      <w:r>
        <w:rPr>
          <w:rStyle w:val="FootnoteReference"/>
        </w:rPr>
        <w:footnoteReference w:id="6"/>
      </w:r>
      <w:r w:rsidRPr="0090263D">
        <w:rPr>
          <w:szCs w:val="22"/>
        </w:rPr>
        <w:t xml:space="preserve">  </w:t>
      </w:r>
      <w:r w:rsidR="030A05ED">
        <w:t>Bureau staff</w:t>
      </w:r>
      <w:r w:rsidR="6221D533">
        <w:t>,</w:t>
      </w:r>
      <w:r w:rsidR="030A05ED">
        <w:t xml:space="preserve"> with the support of a Fund Administrator (a contractor with extensive experience in television broadcast engineering services and </w:t>
      </w:r>
      <w:r w:rsidR="6221D533">
        <w:t>f</w:t>
      </w:r>
      <w:r w:rsidR="030A05ED">
        <w:t>ederal fund management)</w:t>
      </w:r>
      <w:r w:rsidR="6221D533">
        <w:t>,</w:t>
      </w:r>
      <w:r w:rsidR="030A05ED">
        <w:t xml:space="preserve"> reviewed the Reimbursement Forms and the accompanying supporting documentation to v</w:t>
      </w:r>
      <w:r w:rsidR="665A3182">
        <w:t>erify</w:t>
      </w:r>
      <w:r w:rsidR="030A05ED">
        <w:t xml:space="preserve"> that </w:t>
      </w:r>
      <w:r w:rsidR="55919CF7">
        <w:t>entities</w:t>
      </w:r>
      <w:r w:rsidR="6221D533">
        <w:t xml:space="preserve">’ </w:t>
      </w:r>
      <w:r w:rsidR="030A05ED">
        <w:t>estimates</w:t>
      </w:r>
      <w:r w:rsidR="08A9FF2D">
        <w:t xml:space="preserve"> reflect costs that</w:t>
      </w:r>
      <w:r w:rsidR="030A05ED">
        <w:t xml:space="preserve"> satisfy program requirements</w:t>
      </w:r>
      <w:r w:rsidRPr="558F0A12" w:rsidR="08A9FF2D">
        <w:t>.  An allocation was made to each entity representing a p</w:t>
      </w:r>
      <w:r w:rsidRPr="558F0A12" w:rsidR="665A3182">
        <w:t>ercentage</w:t>
      </w:r>
      <w:r w:rsidRPr="558F0A12" w:rsidR="08A9FF2D">
        <w:t xml:space="preserve"> of the </w:t>
      </w:r>
      <w:r w:rsidRPr="558F0A12" w:rsidR="665A3182">
        <w:t xml:space="preserve">entity’s </w:t>
      </w:r>
      <w:r w:rsidRPr="558F0A12" w:rsidR="08A9FF2D">
        <w:t>verified estimates</w:t>
      </w:r>
      <w:r w:rsidR="030A05ED">
        <w:rPr>
          <w:szCs w:val="22"/>
        </w:rPr>
        <w:t>.</w:t>
      </w:r>
      <w:r w:rsidR="4101AF14">
        <w:rPr>
          <w:szCs w:val="22"/>
        </w:rPr>
        <w:t xml:space="preserve">  </w:t>
      </w:r>
      <w:r w:rsidRPr="558F0A12" w:rsidR="3909A4DF">
        <w:t>Thereafter</w:t>
      </w:r>
      <w:r w:rsidR="6221D533">
        <w:rPr>
          <w:szCs w:val="22"/>
        </w:rPr>
        <w:t>,</w:t>
      </w:r>
      <w:r w:rsidRPr="558F0A12" w:rsidR="3909A4DF">
        <w:t xml:space="preserve"> those e</w:t>
      </w:r>
      <w:r w:rsidRPr="558F0A12" w:rsidR="154BFED3">
        <w:t xml:space="preserve">ntities </w:t>
      </w:r>
      <w:r w:rsidR="154BFED3">
        <w:t>dr</w:t>
      </w:r>
      <w:r w:rsidR="3909A4DF">
        <w:t>e</w:t>
      </w:r>
      <w:r w:rsidR="154BFED3">
        <w:t>w down the allocation and receive</w:t>
      </w:r>
      <w:r w:rsidR="3909A4DF">
        <w:t>d</w:t>
      </w:r>
      <w:r w:rsidR="154BFED3">
        <w:t xml:space="preserve"> reimbursement from the U.S. Treasury as they submit</w:t>
      </w:r>
      <w:r w:rsidR="665A3182">
        <w:t>ted</w:t>
      </w:r>
      <w:r w:rsidR="154BFED3">
        <w:t xml:space="preserve"> invoices for eligible expenses that </w:t>
      </w:r>
      <w:r w:rsidR="665A3182">
        <w:t>we</w:t>
      </w:r>
      <w:r w:rsidR="154BFED3">
        <w:t>re approved for payment.</w:t>
      </w:r>
      <w:r>
        <w:rPr>
          <w:rStyle w:val="FootnoteReference"/>
        </w:rPr>
        <w:footnoteReference w:id="7"/>
      </w:r>
      <w:r w:rsidRPr="000927A5" w:rsidR="154BFED3">
        <w:t xml:space="preserve">  </w:t>
      </w:r>
    </w:p>
    <w:p w:rsidR="00950C85" w:rsidP="00950C85" w14:paraId="72AA7A10" w14:textId="540DE471">
      <w:pPr>
        <w:widowControl/>
        <w:numPr>
          <w:ilvl w:val="0"/>
          <w:numId w:val="7"/>
        </w:numPr>
        <w:spacing w:before="120" w:after="120"/>
        <w:ind w:left="0" w:firstLine="810"/>
      </w:pPr>
      <w:r>
        <w:t xml:space="preserve">The Commission </w:t>
      </w:r>
      <w:r w:rsidR="52F79891">
        <w:t xml:space="preserve">has </w:t>
      </w:r>
      <w:r>
        <w:t>allocate</w:t>
      </w:r>
      <w:r w:rsidR="6221D533">
        <w:t>d</w:t>
      </w:r>
      <w:r>
        <w:t xml:space="preserve"> funding in tranches, including an initial allocation</w:t>
      </w:r>
      <w:r w:rsidR="178BA14B">
        <w:t xml:space="preserve"> sufficient </w:t>
      </w:r>
      <w:r>
        <w:t>to cover upfront expenditures</w:t>
      </w:r>
      <w:r w:rsidR="665A3182">
        <w:t>,</w:t>
      </w:r>
      <w:r w:rsidR="030A05ED">
        <w:t xml:space="preserve"> and additional allocations </w:t>
      </w:r>
      <w:r w:rsidR="665A3182">
        <w:t xml:space="preserve">periodically throughout the transition period </w:t>
      </w:r>
      <w:r w:rsidR="030A05ED">
        <w:t xml:space="preserve">to support </w:t>
      </w:r>
      <w:r w:rsidR="665A3182">
        <w:t xml:space="preserve">the </w:t>
      </w:r>
      <w:r w:rsidR="030A05ED">
        <w:t xml:space="preserve">continued progress of </w:t>
      </w:r>
      <w:r w:rsidR="52F79891">
        <w:t xml:space="preserve">construction </w:t>
      </w:r>
      <w:r w:rsidR="030A05ED">
        <w:t>projects</w:t>
      </w:r>
      <w:r>
        <w:t>.</w:t>
      </w:r>
      <w:r>
        <w:rPr>
          <w:rStyle w:val="FootnoteReference"/>
        </w:rPr>
        <w:footnoteReference w:id="8"/>
      </w:r>
      <w:r>
        <w:t xml:space="preserve"> </w:t>
      </w:r>
      <w:r w:rsidR="178BA14B">
        <w:t xml:space="preserve"> </w:t>
      </w:r>
      <w:r w:rsidR="5E4AF878">
        <w:t>Currently</w:t>
      </w:r>
      <w:r w:rsidR="55919CF7">
        <w:t>,</w:t>
      </w:r>
      <w:r w:rsidR="5E4AF878">
        <w:t xml:space="preserve"> all </w:t>
      </w:r>
      <w:r w:rsidR="52F79891">
        <w:t xml:space="preserve">participants </w:t>
      </w:r>
      <w:r w:rsidR="5E4AF878">
        <w:t xml:space="preserve">in the </w:t>
      </w:r>
      <w:r w:rsidR="52F79891">
        <w:t>R</w:t>
      </w:r>
      <w:r w:rsidR="5E4AF878">
        <w:t xml:space="preserve">eimbursement </w:t>
      </w:r>
      <w:r w:rsidR="52F79891">
        <w:t>Fund</w:t>
      </w:r>
      <w:r w:rsidR="5E4AF878">
        <w:t xml:space="preserve"> </w:t>
      </w:r>
      <w:r w:rsidR="5980DF38">
        <w:t>have been</w:t>
      </w:r>
      <w:r w:rsidR="52F79891">
        <w:t xml:space="preserve"> </w:t>
      </w:r>
      <w:r w:rsidR="5E4AF878">
        <w:t>allocat</w:t>
      </w:r>
      <w:r w:rsidR="55919CF7">
        <w:t>ed</w:t>
      </w:r>
      <w:r w:rsidR="5E4AF878">
        <w:t xml:space="preserve"> 92.5% of </w:t>
      </w:r>
      <w:r w:rsidR="55919CF7">
        <w:t>each</w:t>
      </w:r>
      <w:r w:rsidR="52F79891">
        <w:t xml:space="preserve"> participant’s </w:t>
      </w:r>
      <w:r w:rsidR="4B1A1F8C">
        <w:t xml:space="preserve">total </w:t>
      </w:r>
      <w:r w:rsidR="52F79891">
        <w:t>ver</w:t>
      </w:r>
      <w:r w:rsidR="5E4AF878">
        <w:t xml:space="preserve">ified estimates.  </w:t>
      </w:r>
      <w:r w:rsidR="13F020DB">
        <w:t>B</w:t>
      </w:r>
      <w:r w:rsidR="5E4AF878">
        <w:t>ecause demand on the Fund was continually increasing during the transition period, h</w:t>
      </w:r>
      <w:r w:rsidR="665A3182">
        <w:t xml:space="preserve">olding back a percentage of the </w:t>
      </w:r>
      <w:r w:rsidRPr="558F0A12" w:rsidR="178BA14B">
        <w:t>total verified estimates was a sound fund</w:t>
      </w:r>
      <w:r w:rsidR="5E4AF878">
        <w:rPr>
          <w:szCs w:val="22"/>
        </w:rPr>
        <w:t xml:space="preserve"> </w:t>
      </w:r>
      <w:r w:rsidRPr="558F0A12" w:rsidR="178BA14B">
        <w:t>management practice that ensured</w:t>
      </w:r>
      <w:r w:rsidRPr="000927A5" w:rsidR="178BA14B">
        <w:rPr>
          <w:szCs w:val="22"/>
        </w:rPr>
        <w:t xml:space="preserve"> </w:t>
      </w:r>
      <w:r w:rsidRPr="558F0A12" w:rsidR="178BA14B">
        <w:t xml:space="preserve">entities did not face an undue financial burden and had funding available </w:t>
      </w:r>
      <w:r w:rsidRPr="558F0A12" w:rsidR="52F79891">
        <w:t xml:space="preserve">for </w:t>
      </w:r>
      <w:r w:rsidRPr="558F0A12" w:rsidR="178BA14B">
        <w:t>construction</w:t>
      </w:r>
      <w:r w:rsidR="5E4AF878">
        <w:rPr>
          <w:szCs w:val="22"/>
        </w:rPr>
        <w:t>,</w:t>
      </w:r>
      <w:r w:rsidRPr="558F0A12" w:rsidR="178BA14B">
        <w:t xml:space="preserve"> while balancing the need for </w:t>
      </w:r>
      <w:r w:rsidR="08A9FF2D">
        <w:t xml:space="preserve">a consistent and equitable distribution of funds across all </w:t>
      </w:r>
      <w:r w:rsidR="52F79891">
        <w:t>Fund participants</w:t>
      </w:r>
      <w:r w:rsidR="08A9FF2D">
        <w:t xml:space="preserve">.  </w:t>
      </w:r>
      <w:r>
        <w:t>Making allocations in more than one tranche ac</w:t>
      </w:r>
      <w:r w:rsidR="3AF31C52">
        <w:t>knowledged</w:t>
      </w:r>
      <w:r w:rsidR="07CE55B4">
        <w:t xml:space="preserve"> the </w:t>
      </w:r>
      <w:r w:rsidR="3AF31C52">
        <w:t>reality</w:t>
      </w:r>
      <w:r w:rsidR="07CE55B4">
        <w:t xml:space="preserve"> </w:t>
      </w:r>
      <w:r>
        <w:t xml:space="preserve">that estimates </w:t>
      </w:r>
      <w:r w:rsidR="178BA14B">
        <w:t xml:space="preserve">and expenditures </w:t>
      </w:r>
      <w:r w:rsidR="07CE55B4">
        <w:t>we</w:t>
      </w:r>
      <w:r w:rsidR="030A05ED">
        <w:t>re</w:t>
      </w:r>
      <w:r>
        <w:t xml:space="preserve"> refined and change</w:t>
      </w:r>
      <w:r w:rsidR="07CE55B4">
        <w:t>d</w:t>
      </w:r>
      <w:r>
        <w:t xml:space="preserve"> over time as </w:t>
      </w:r>
      <w:r w:rsidR="030A05ED">
        <w:t xml:space="preserve">entities </w:t>
      </w:r>
      <w:r>
        <w:t>move</w:t>
      </w:r>
      <w:r w:rsidR="07CE55B4">
        <w:t>d</w:t>
      </w:r>
      <w:r>
        <w:t xml:space="preserve"> forward with planning, provisioning, and constructi</w:t>
      </w:r>
      <w:r w:rsidR="62F40D12">
        <w:t>ng</w:t>
      </w:r>
      <w:r>
        <w:t xml:space="preserve">.  </w:t>
      </w:r>
      <w:r w:rsidR="5E4AF878">
        <w:t xml:space="preserve">This </w:t>
      </w:r>
      <w:r w:rsidR="62F40D12">
        <w:t xml:space="preserve">approach also </w:t>
      </w:r>
      <w:r>
        <w:t>reduc</w:t>
      </w:r>
      <w:r w:rsidR="030A05ED">
        <w:t>e</w:t>
      </w:r>
      <w:r w:rsidR="5E4AF878">
        <w:t>d</w:t>
      </w:r>
      <w:r>
        <w:t xml:space="preserve"> the likelihood </w:t>
      </w:r>
      <w:r w:rsidR="07CE55B4">
        <w:t xml:space="preserve">of </w:t>
      </w:r>
      <w:r w:rsidR="62F40D12">
        <w:t>over</w:t>
      </w:r>
      <w:r w:rsidR="11BF2E06">
        <w:t>-</w:t>
      </w:r>
      <w:r w:rsidR="07CE55B4">
        <w:t xml:space="preserve">allocating funds that would </w:t>
      </w:r>
      <w:r w:rsidR="55919CF7">
        <w:t xml:space="preserve">then </w:t>
      </w:r>
      <w:r w:rsidR="07CE55B4">
        <w:t xml:space="preserve">have </w:t>
      </w:r>
      <w:r w:rsidR="08A9FF2D">
        <w:t xml:space="preserve">to be </w:t>
      </w:r>
      <w:r w:rsidR="07CE55B4">
        <w:t>reduc</w:t>
      </w:r>
      <w:r w:rsidR="08A9FF2D">
        <w:t>ed</w:t>
      </w:r>
      <w:r w:rsidR="07CE55B4">
        <w:t xml:space="preserve"> </w:t>
      </w:r>
      <w:r>
        <w:t xml:space="preserve">or </w:t>
      </w:r>
      <w:r w:rsidR="5E4AF878">
        <w:t xml:space="preserve">issuing </w:t>
      </w:r>
      <w:r w:rsidR="08A9FF2D">
        <w:t>payments that would have to be c</w:t>
      </w:r>
      <w:r>
        <w:t>law</w:t>
      </w:r>
      <w:r w:rsidR="08A9FF2D">
        <w:t>ed</w:t>
      </w:r>
      <w:r w:rsidR="55919CF7">
        <w:t xml:space="preserve"> </w:t>
      </w:r>
      <w:r>
        <w:t>back</w:t>
      </w:r>
      <w:r w:rsidR="07CE55B4">
        <w:t>.</w:t>
      </w:r>
      <w:r w:rsidR="00DD4D55">
        <w:t xml:space="preserve">  </w:t>
      </w:r>
      <w:r w:rsidRPr="00864B4F" w:rsidR="000E16F5">
        <w:rPr>
          <w:szCs w:val="22"/>
        </w:rPr>
        <w:t xml:space="preserve">As of </w:t>
      </w:r>
      <w:r w:rsidRPr="00B72E12" w:rsidR="000E16F5">
        <w:rPr>
          <w:szCs w:val="22"/>
        </w:rPr>
        <w:t xml:space="preserve">February </w:t>
      </w:r>
      <w:r w:rsidRPr="00B72E12" w:rsidR="003B0E46">
        <w:rPr>
          <w:szCs w:val="22"/>
        </w:rPr>
        <w:t>15</w:t>
      </w:r>
      <w:r w:rsidRPr="00B72E12" w:rsidR="000E16F5">
        <w:rPr>
          <w:szCs w:val="22"/>
        </w:rPr>
        <w:t>, 2022</w:t>
      </w:r>
      <w:r w:rsidRPr="00EF23A8" w:rsidR="000E16F5">
        <w:rPr>
          <w:szCs w:val="22"/>
        </w:rPr>
        <w:t>, the total of all verified estimates was over $</w:t>
      </w:r>
      <w:r w:rsidRPr="00B72E12" w:rsidR="000E16F5">
        <w:rPr>
          <w:szCs w:val="22"/>
        </w:rPr>
        <w:t>2.1</w:t>
      </w:r>
      <w:r w:rsidRPr="00B72E12" w:rsidR="003B0E46">
        <w:rPr>
          <w:szCs w:val="22"/>
        </w:rPr>
        <w:t>5</w:t>
      </w:r>
      <w:r w:rsidRPr="00EF23A8" w:rsidR="000E16F5">
        <w:rPr>
          <w:szCs w:val="22"/>
        </w:rPr>
        <w:t xml:space="preserve"> billion, the total allocation was over </w:t>
      </w:r>
      <w:r w:rsidRPr="0063529B" w:rsidR="000E16F5">
        <w:rPr>
          <w:szCs w:val="22"/>
        </w:rPr>
        <w:t>$</w:t>
      </w:r>
      <w:r w:rsidRPr="00B72E12" w:rsidR="000E16F5">
        <w:rPr>
          <w:szCs w:val="22"/>
        </w:rPr>
        <w:t>2.07</w:t>
      </w:r>
      <w:r w:rsidRPr="00EF23A8" w:rsidR="000E16F5">
        <w:rPr>
          <w:szCs w:val="22"/>
        </w:rPr>
        <w:t xml:space="preserve"> billion, over $</w:t>
      </w:r>
      <w:r w:rsidRPr="00B72E12" w:rsidR="000E16F5">
        <w:rPr>
          <w:szCs w:val="22"/>
        </w:rPr>
        <w:t>1.66</w:t>
      </w:r>
      <w:r w:rsidRPr="00B72E12" w:rsidR="003B0E46">
        <w:rPr>
          <w:szCs w:val="22"/>
        </w:rPr>
        <w:t>6</w:t>
      </w:r>
      <w:r w:rsidR="000E16F5">
        <w:rPr>
          <w:szCs w:val="22"/>
        </w:rPr>
        <w:t xml:space="preserve"> bi</w:t>
      </w:r>
      <w:r w:rsidRPr="00EF23A8" w:rsidR="000E16F5">
        <w:rPr>
          <w:szCs w:val="22"/>
        </w:rPr>
        <w:t xml:space="preserve">llion had been forwarded to Treasury for payment, and </w:t>
      </w:r>
      <w:r w:rsidR="000E16F5">
        <w:rPr>
          <w:szCs w:val="22"/>
        </w:rPr>
        <w:t>about</w:t>
      </w:r>
      <w:r w:rsidRPr="00EF23A8" w:rsidR="000E16F5">
        <w:rPr>
          <w:szCs w:val="22"/>
        </w:rPr>
        <w:t xml:space="preserve"> $</w:t>
      </w:r>
      <w:r w:rsidRPr="00B72E12" w:rsidR="000E16F5">
        <w:rPr>
          <w:szCs w:val="22"/>
        </w:rPr>
        <w:t>3</w:t>
      </w:r>
      <w:r w:rsidRPr="00B72E12" w:rsidR="00C3341A">
        <w:rPr>
          <w:szCs w:val="22"/>
        </w:rPr>
        <w:t>4</w:t>
      </w:r>
      <w:r w:rsidRPr="00864B4F" w:rsidR="000E16F5">
        <w:rPr>
          <w:szCs w:val="22"/>
        </w:rPr>
        <w:t xml:space="preserve"> million in invoices were </w:t>
      </w:r>
      <w:r w:rsidR="000E16F5">
        <w:rPr>
          <w:szCs w:val="22"/>
        </w:rPr>
        <w:t xml:space="preserve">under </w:t>
      </w:r>
      <w:r w:rsidRPr="00864B4F" w:rsidR="000E16F5">
        <w:rPr>
          <w:szCs w:val="22"/>
        </w:rPr>
        <w:t>review.</w:t>
      </w:r>
    </w:p>
    <w:p w:rsidR="00003FD1" w:rsidP="00003FD1" w14:paraId="443D44AB" w14:textId="18E0F55E">
      <w:pPr>
        <w:numPr>
          <w:ilvl w:val="0"/>
          <w:numId w:val="7"/>
        </w:numPr>
        <w:spacing w:before="120" w:after="120"/>
        <w:ind w:left="0" w:firstLine="806"/>
      </w:pPr>
      <w:r>
        <w:t>The</w:t>
      </w:r>
      <w:r w:rsidR="00FF568F">
        <w:t xml:space="preserve"> Reimbursement Fund utilizes</w:t>
      </w:r>
      <w:r>
        <w:t xml:space="preserve"> </w:t>
      </w:r>
      <w:r w:rsidR="00533AD1">
        <w:t xml:space="preserve">a two-step </w:t>
      </w:r>
      <w:r>
        <w:t>procedure for entities to close out their books and accounts in the Reimbursement Fund.</w:t>
      </w:r>
      <w:r>
        <w:rPr>
          <w:rStyle w:val="FootnoteReference"/>
        </w:rPr>
        <w:footnoteReference w:id="9"/>
      </w:r>
      <w:r>
        <w:t xml:space="preserve">  </w:t>
      </w:r>
      <w:r w:rsidRPr="558F0A12">
        <w:t xml:space="preserve">Because entities are </w:t>
      </w:r>
      <w:r w:rsidRPr="000927A5">
        <w:t xml:space="preserve">allocated a </w:t>
      </w:r>
      <w:r w:rsidR="00F55569">
        <w:t>percentage</w:t>
      </w:r>
      <w:r w:rsidRPr="000927A5">
        <w:t xml:space="preserve"> </w:t>
      </w:r>
      <w:r>
        <w:t xml:space="preserve">of their </w:t>
      </w:r>
      <w:r>
        <w:t xml:space="preserve">verified estimates, </w:t>
      </w:r>
      <w:r w:rsidR="00533AD1">
        <w:t xml:space="preserve">the procedure </w:t>
      </w:r>
      <w:r>
        <w:t>consist</w:t>
      </w:r>
      <w:r w:rsidR="00533AD1">
        <w:t>s</w:t>
      </w:r>
      <w:r>
        <w:t xml:space="preserve"> of </w:t>
      </w:r>
      <w:r w:rsidRPr="558F0A12">
        <w:t>an interim and final close-out proce</w:t>
      </w:r>
      <w:r w:rsidRPr="558F0A12" w:rsidR="001C6513">
        <w:t>ss</w:t>
      </w:r>
      <w:r w:rsidRPr="558F0A12">
        <w:t xml:space="preserve">.  When an entity </w:t>
      </w:r>
      <w:r w:rsidRPr="000927A5">
        <w:t xml:space="preserve">has submitted all of its </w:t>
      </w:r>
      <w:r>
        <w:t>invoices and suppor</w:t>
      </w:r>
      <w:r w:rsidRPr="000927A5">
        <w:t>ting documentation</w:t>
      </w:r>
      <w:r>
        <w:t xml:space="preserve">, it must </w:t>
      </w:r>
      <w:r w:rsidRPr="000927A5">
        <w:t>us</w:t>
      </w:r>
      <w:r>
        <w:t>e</w:t>
      </w:r>
      <w:r w:rsidRPr="000927A5">
        <w:t xml:space="preserve"> the Reimbursement Form to notify the Bureau.  The Fund Administrator </w:t>
      </w:r>
      <w:r>
        <w:t xml:space="preserve">then </w:t>
      </w:r>
      <w:r w:rsidRPr="000927A5">
        <w:t>provide</w:t>
      </w:r>
      <w:r>
        <w:t>s</w:t>
      </w:r>
      <w:r w:rsidRPr="000927A5">
        <w:t xml:space="preserve"> </w:t>
      </w:r>
      <w:r>
        <w:t>the entity</w:t>
      </w:r>
      <w:r w:rsidRPr="000927A5">
        <w:t xml:space="preserve"> with a financial reconciliation statement that details verified estimated amounts; allocated amounts; amounts requested for reimbursement; and amounts disbursed by the Commission.  If an overpayment</w:t>
      </w:r>
      <w:r w:rsidR="00F55569">
        <w:t xml:space="preserve"> is identified,</w:t>
      </w:r>
      <w:r w:rsidRPr="000927A5">
        <w:t xml:space="preserve"> the entity</w:t>
      </w:r>
      <w:r w:rsidR="00F55569">
        <w:t xml:space="preserve"> is notified</w:t>
      </w:r>
      <w:r w:rsidRPr="000927A5">
        <w:t xml:space="preserve"> </w:t>
      </w:r>
      <w:r>
        <w:t>that it must</w:t>
      </w:r>
      <w:r w:rsidRPr="000927A5">
        <w:t xml:space="preserve"> return the excess amount to the Commission.</w:t>
      </w:r>
      <w:r>
        <w:rPr>
          <w:rStyle w:val="FootnoteReference"/>
        </w:rPr>
        <w:footnoteReference w:id="10"/>
      </w:r>
      <w:r>
        <w:t xml:space="preserve">  Once the financial reconciliation statement has been reviewed by the </w:t>
      </w:r>
      <w:r w:rsidR="00F55569">
        <w:t xml:space="preserve">entity </w:t>
      </w:r>
      <w:r>
        <w:t>and any necessary changes made, it must</w:t>
      </w:r>
      <w:r w:rsidRPr="000927A5">
        <w:t xml:space="preserve"> </w:t>
      </w:r>
      <w:r>
        <w:t>file</w:t>
      </w:r>
      <w:r w:rsidRPr="000927A5">
        <w:t xml:space="preserve"> an </w:t>
      </w:r>
      <w:r w:rsidRPr="00C6584E">
        <w:t>executed</w:t>
      </w:r>
      <w:r w:rsidRPr="000927A5">
        <w:t xml:space="preserve"> version of the financial reconciliation statement </w:t>
      </w:r>
      <w:r>
        <w:t>with</w:t>
      </w:r>
      <w:r w:rsidRPr="000927A5">
        <w:t xml:space="preserve"> the Fund Administrator</w:t>
      </w:r>
      <w:r>
        <w:t xml:space="preserve">, after which we will issue an </w:t>
      </w:r>
      <w:r w:rsidRPr="000927A5">
        <w:t>interim close-out letter.</w:t>
      </w:r>
      <w:r w:rsidR="000E16F5">
        <w:t xml:space="preserve">  As of </w:t>
      </w:r>
      <w:r w:rsidRPr="00B72E12" w:rsidR="000E16F5">
        <w:t xml:space="preserve">February </w:t>
      </w:r>
      <w:r w:rsidRPr="00B72E12" w:rsidR="003B0E46">
        <w:t>15</w:t>
      </w:r>
      <w:r w:rsidRPr="00B72E12" w:rsidR="000E16F5">
        <w:t>,</w:t>
      </w:r>
      <w:r w:rsidR="000E16F5">
        <w:t xml:space="preserve"> 2022, approximately </w:t>
      </w:r>
      <w:r w:rsidRPr="00B72E12" w:rsidR="000E16F5">
        <w:t>7</w:t>
      </w:r>
      <w:r w:rsidRPr="00B72E12" w:rsidR="003B0E46">
        <w:t>53</w:t>
      </w:r>
      <w:r w:rsidR="000E16F5">
        <w:t xml:space="preserve"> entities have initiated interim close-out procedures.</w:t>
      </w:r>
    </w:p>
    <w:p w:rsidR="008B0D0F" w:rsidP="00003FD1" w14:paraId="4EFAFC9D" w14:textId="54DA0D9C">
      <w:pPr>
        <w:widowControl/>
        <w:numPr>
          <w:ilvl w:val="0"/>
          <w:numId w:val="7"/>
        </w:numPr>
        <w:spacing w:before="120" w:after="120"/>
        <w:ind w:left="0" w:firstLine="810"/>
      </w:pPr>
      <w:r>
        <w:t xml:space="preserve">We have stated that </w:t>
      </w:r>
      <w:r w:rsidR="5E4AF878">
        <w:t>a</w:t>
      </w:r>
      <w:r w:rsidRPr="000927A5" w:rsidR="5E4AF878">
        <w:t>fter all or nearly all entities have entered the close-out process</w:t>
      </w:r>
      <w:r w:rsidR="5E4AF878">
        <w:t xml:space="preserve"> – or at an earlier time </w:t>
      </w:r>
      <w:r w:rsidR="70949EDA">
        <w:t>if</w:t>
      </w:r>
      <w:r>
        <w:t xml:space="preserve"> </w:t>
      </w:r>
      <w:r w:rsidR="0A86CBB8">
        <w:t>we</w:t>
      </w:r>
      <w:r>
        <w:t xml:space="preserve"> </w:t>
      </w:r>
      <w:r w:rsidRPr="000927A5">
        <w:t>can reasonably extrapolate that the total available funding will be sufficient to meet the total cost of the program</w:t>
      </w:r>
      <w:r>
        <w:t xml:space="preserve"> – we may make a final allocation to reimburse entities for </w:t>
      </w:r>
      <w:r w:rsidRPr="00C61EA7">
        <w:t>the total</w:t>
      </w:r>
      <w:r>
        <w:t xml:space="preserve"> amount of remaining incurred expenses.</w:t>
      </w:r>
      <w:r>
        <w:rPr>
          <w:rStyle w:val="FootnoteReference"/>
        </w:rPr>
        <w:footnoteReference w:id="11"/>
      </w:r>
      <w:r>
        <w:t xml:space="preserve">  At </w:t>
      </w:r>
      <w:r w:rsidR="3432699C">
        <w:t>such</w:t>
      </w:r>
      <w:r>
        <w:t xml:space="preserve"> time, each entity will enter the final close-out proce</w:t>
      </w:r>
      <w:r w:rsidR="3432699C">
        <w:t>ss</w:t>
      </w:r>
      <w:r>
        <w:t xml:space="preserve"> and receive a </w:t>
      </w:r>
      <w:r w:rsidRPr="000927A5">
        <w:t>final close-out letter</w:t>
      </w:r>
      <w:r>
        <w:t>.  That final close-out letter w</w:t>
      </w:r>
      <w:r w:rsidRPr="000927A5">
        <w:t>ill serve as the official notice of account close-out, include a summary of any financial changes that occurred during the interim closing period, and remind entities of their ongoing document retention requirements.</w:t>
      </w:r>
      <w:r>
        <w:rPr>
          <w:rStyle w:val="FootnoteReference"/>
        </w:rPr>
        <w:footnoteReference w:id="12"/>
      </w:r>
      <w:r w:rsidRPr="000927A5">
        <w:t xml:space="preserve">  </w:t>
      </w:r>
      <w:r>
        <w:t xml:space="preserve">Pursuant to the REA, any unobligated amounts in the Fund as of July 3, 2023, will be rescinded from the Fund and deposited into the </w:t>
      </w:r>
      <w:r w:rsidR="22409F84">
        <w:t xml:space="preserve">U.S. </w:t>
      </w:r>
      <w:r>
        <w:t>Treasury and dedicated for the sole purpose of deficit reduction.</w:t>
      </w:r>
      <w:r>
        <w:rPr>
          <w:rStyle w:val="FootnoteReference"/>
        </w:rPr>
        <w:footnoteReference w:id="13"/>
      </w:r>
      <w:r w:rsidRPr="000927A5" w:rsidR="2C051C42">
        <w:t xml:space="preserve"> </w:t>
      </w:r>
    </w:p>
    <w:p w:rsidR="00D70912" w:rsidRPr="000927A5" w:rsidP="00003FD1" w14:paraId="512D8DEE" w14:textId="6FF90EE7">
      <w:pPr>
        <w:widowControl/>
        <w:numPr>
          <w:ilvl w:val="0"/>
          <w:numId w:val="7"/>
        </w:numPr>
        <w:spacing w:before="120" w:after="120"/>
        <w:ind w:left="0" w:firstLine="810"/>
      </w:pPr>
      <w:r>
        <w:t xml:space="preserve">All entities in the program should initiate interim close-out procedures as soon as they complete their construction projects and have incurred and submitted invoices for all of their reimbursable costs.  </w:t>
      </w:r>
      <w:r w:rsidRPr="00BE0176">
        <w:t xml:space="preserve">We </w:t>
      </w:r>
      <w:r w:rsidR="64C3807B">
        <w:t xml:space="preserve">set three </w:t>
      </w:r>
      <w:r w:rsidR="4C5413A1">
        <w:t xml:space="preserve">invoice </w:t>
      </w:r>
      <w:r w:rsidR="64C3807B">
        <w:t xml:space="preserve">filing deadlines for </w:t>
      </w:r>
      <w:r w:rsidR="4C5413A1">
        <w:t xml:space="preserve">specific categories of </w:t>
      </w:r>
      <w:r w:rsidR="3AF31C52">
        <w:t xml:space="preserve">program </w:t>
      </w:r>
      <w:r w:rsidR="64C3807B">
        <w:t>participants</w:t>
      </w:r>
      <w:r w:rsidRPr="00BE0176">
        <w:t xml:space="preserve">, recognizing that repacked stations with phase assignments earlier in the transition period were more likely to have </w:t>
      </w:r>
      <w:r>
        <w:t>c</w:t>
      </w:r>
      <w:r w:rsidRPr="00BE0176">
        <w:t xml:space="preserve">ompleted all construction and </w:t>
      </w:r>
      <w:r w:rsidR="3432699C">
        <w:t xml:space="preserve">thus </w:t>
      </w:r>
      <w:r w:rsidRPr="00BE0176">
        <w:t>incurred all costs</w:t>
      </w:r>
      <w:r w:rsidR="3432699C">
        <w:t xml:space="preserve"> before other entit</w:t>
      </w:r>
      <w:r w:rsidR="5032D260">
        <w:t>i</w:t>
      </w:r>
      <w:r w:rsidR="3432699C">
        <w:t>es</w:t>
      </w:r>
      <w:r w:rsidR="4C5413A1">
        <w:t>,</w:t>
      </w:r>
      <w:r w:rsidR="64C3807B">
        <w:t xml:space="preserve"> and that </w:t>
      </w:r>
      <w:r w:rsidRPr="00BE0176">
        <w:t>MVPDs, FM stations</w:t>
      </w:r>
      <w:r>
        <w:t>,</w:t>
      </w:r>
      <w:r w:rsidRPr="00BE0176">
        <w:t xml:space="preserve"> and LPTV/translator stations may incur expenses toward the end of the program.</w:t>
      </w:r>
      <w:r w:rsidRPr="558F0A12" w:rsidR="33E9118D">
        <w:rPr>
          <w:rStyle w:val="FootnoteReference"/>
          <w:snapToGrid/>
          <w:kern w:val="0"/>
        </w:rPr>
        <w:t xml:space="preserve"> </w:t>
      </w:r>
      <w:r>
        <w:rPr>
          <w:rStyle w:val="FootnoteReference"/>
          <w:snapToGrid/>
          <w:kern w:val="0"/>
        </w:rPr>
        <w:footnoteReference w:id="14"/>
      </w:r>
      <w:r w:rsidRPr="00BE0176">
        <w:t xml:space="preserve">  Th</w:t>
      </w:r>
      <w:r w:rsidRPr="00BE0176" w:rsidR="26AF2347">
        <w:t>is</w:t>
      </w:r>
      <w:r w:rsidRPr="00BE0176">
        <w:t xml:space="preserve"> phased approach sequence</w:t>
      </w:r>
      <w:r w:rsidR="4C5413A1">
        <w:t>s</w:t>
      </w:r>
      <w:r w:rsidRPr="00BE0176">
        <w:t xml:space="preserve"> the </w:t>
      </w:r>
      <w:r>
        <w:t xml:space="preserve">processing work </w:t>
      </w:r>
      <w:r w:rsidR="52F79891">
        <w:t xml:space="preserve">to help prevent a </w:t>
      </w:r>
      <w:r w:rsidRPr="00BE0176">
        <w:t>deluge of filings at the program’s end</w:t>
      </w:r>
      <w:r w:rsidR="3432699C">
        <w:t xml:space="preserve"> that</w:t>
      </w:r>
      <w:r w:rsidRPr="00C6584E" w:rsidR="52F79891">
        <w:t xml:space="preserve"> </w:t>
      </w:r>
      <w:r w:rsidR="3432699C">
        <w:t xml:space="preserve">could </w:t>
      </w:r>
      <w:r w:rsidRPr="00C6584E">
        <w:t>jeopardize full reimbursement</w:t>
      </w:r>
      <w:r w:rsidRPr="00C6584E" w:rsidR="30EB8E82">
        <w:t xml:space="preserve"> and </w:t>
      </w:r>
      <w:r w:rsidRPr="00C6584E" w:rsidR="20CCBF05">
        <w:t xml:space="preserve">that </w:t>
      </w:r>
      <w:r w:rsidRPr="00C6584E">
        <w:t>lessen</w:t>
      </w:r>
      <w:r w:rsidRPr="00C6584E" w:rsidR="3AF31C52">
        <w:t>s</w:t>
      </w:r>
      <w:r w:rsidRPr="00C6584E">
        <w:t xml:space="preserve"> t</w:t>
      </w:r>
      <w:r w:rsidRPr="00BE0176">
        <w:t>h</w:t>
      </w:r>
      <w:r w:rsidR="30EB8E82">
        <w:t>e</w:t>
      </w:r>
      <w:r w:rsidRPr="00BE0176">
        <w:t xml:space="preserve"> resourc</w:t>
      </w:r>
      <w:r>
        <w:t>e</w:t>
      </w:r>
      <w:r w:rsidRPr="00BE0176">
        <w:t xml:space="preserve"> burden</w:t>
      </w:r>
      <w:r w:rsidR="30EB8E82">
        <w:t xml:space="preserve"> on participants</w:t>
      </w:r>
      <w:r w:rsidR="280D2C5D">
        <w:t xml:space="preserve"> by spreading out the work</w:t>
      </w:r>
      <w:r w:rsidRPr="00BE0176">
        <w:t>.</w:t>
      </w:r>
      <w:r>
        <w:rPr>
          <w:rStyle w:val="FootnoteReference"/>
        </w:rPr>
        <w:footnoteReference w:id="15"/>
      </w:r>
      <w:r w:rsidR="64C3807B">
        <w:t xml:space="preserve">  The first invoice filing deadline was October 8, 2021</w:t>
      </w:r>
      <w:r w:rsidR="1DCFCFA2">
        <w:t>,</w:t>
      </w:r>
      <w:r w:rsidR="64C3807B">
        <w:t xml:space="preserve"> and applied to a</w:t>
      </w:r>
      <w:r w:rsidRPr="000F0A00" w:rsidR="64C3807B">
        <w:t xml:space="preserve">ll repacked stations assigned to </w:t>
      </w:r>
      <w:r w:rsidR="64C3807B">
        <w:t>p</w:t>
      </w:r>
      <w:r w:rsidRPr="000F0A00" w:rsidR="64C3807B">
        <w:t>hase</w:t>
      </w:r>
      <w:r w:rsidR="64C3807B">
        <w:t>s</w:t>
      </w:r>
      <w:r w:rsidRPr="000F0A00" w:rsidR="64C3807B">
        <w:t xml:space="preserve"> 1 throu</w:t>
      </w:r>
      <w:r w:rsidR="64C3807B">
        <w:t>gh 5.</w:t>
      </w:r>
      <w:r w:rsidR="4C5413A1">
        <w:t xml:space="preserve">  The second and third filing deadlines are March 22</w:t>
      </w:r>
      <w:r w:rsidR="1844F083">
        <w:t>, 2022,</w:t>
      </w:r>
      <w:r w:rsidR="4C5413A1">
        <w:t xml:space="preserve"> and September 6, 2022.</w:t>
      </w:r>
    </w:p>
    <w:p w:rsidR="00003FD1" w:rsidP="558F0A12" w14:paraId="410C2F1E" w14:textId="273D19E9">
      <w:pPr>
        <w:numPr>
          <w:ilvl w:val="0"/>
          <w:numId w:val="7"/>
        </w:numPr>
        <w:spacing w:before="120" w:after="120"/>
        <w:ind w:left="0" w:firstLine="810"/>
      </w:pPr>
      <w:r>
        <w:t>The Commission has determined “</w:t>
      </w:r>
      <w:r w:rsidRPr="006E1741">
        <w:t xml:space="preserve">that audits, data validations, and site visits are essential tools in preventing </w:t>
      </w:r>
      <w:r w:rsidRPr="006845F5">
        <w:t>waste, fraud, and abuse, and that use of these measures will maximize the amount of money available for</w:t>
      </w:r>
      <w:r w:rsidRPr="006E1741">
        <w:t xml:space="preserve"> reimbursement.</w:t>
      </w:r>
      <w:r>
        <w:t>”</w:t>
      </w:r>
      <w:r>
        <w:rPr>
          <w:rStyle w:val="FootnoteReference"/>
        </w:rPr>
        <w:footnoteReference w:id="16"/>
      </w:r>
      <w:r w:rsidRPr="006E1741">
        <w:t xml:space="preserve">  </w:t>
      </w:r>
      <w:r>
        <w:t>Further, t</w:t>
      </w:r>
      <w:r w:rsidRPr="006E1741">
        <w:t>he Commission</w:t>
      </w:r>
      <w:r>
        <w:t xml:space="preserve"> specifically contemplated that “</w:t>
      </w:r>
      <w:r w:rsidRPr="006E1741">
        <w:t xml:space="preserve">a third-party audit firm on behalf of the Commission, may conduct audits of entities receiving disbursements from the Reimbursement Fund, and these audits may occur both during and following the </w:t>
      </w:r>
      <w:r w:rsidR="00D27913">
        <w:t>. . .</w:t>
      </w:r>
      <w:r w:rsidRPr="006E1741">
        <w:t xml:space="preserve"> Reimbursement Period.</w:t>
      </w:r>
      <w:r>
        <w:t>”</w:t>
      </w:r>
      <w:r>
        <w:rPr>
          <w:rStyle w:val="FootnoteReference"/>
        </w:rPr>
        <w:footnoteReference w:id="17"/>
      </w:r>
      <w:r>
        <w:t xml:space="preserve">  The Commission directed that “[e]</w:t>
      </w:r>
      <w:r w:rsidRPr="006E1741">
        <w:t>ntities</w:t>
      </w:r>
      <w:r w:rsidRPr="006E1741">
        <w:t xml:space="preserve"> receiving money from the </w:t>
      </w:r>
      <w:r w:rsidRPr="006E1741">
        <w:t>Reimbursement Fund must make available all relevant documentation upon request from the Commission or its contractor.”</w:t>
      </w:r>
      <w:r>
        <w:rPr>
          <w:rStyle w:val="FootnoteReference"/>
        </w:rPr>
        <w:footnoteReference w:id="18"/>
      </w:r>
      <w:r w:rsidR="00101FEC">
        <w:t xml:space="preserve">  </w:t>
      </w:r>
      <w:r w:rsidR="59DC33C4">
        <w:t xml:space="preserve">We have </w:t>
      </w:r>
      <w:r w:rsidR="47F8DE8B">
        <w:t xml:space="preserve">utilized such techniques to oversee the Fund.  </w:t>
      </w:r>
      <w:r w:rsidR="30EB8E82">
        <w:t>For instance, t</w:t>
      </w:r>
      <w:r w:rsidR="294FEF6C">
        <w:t xml:space="preserve">he initial Reimbursement Form, among other things, required each </w:t>
      </w:r>
      <w:r w:rsidR="280D2C5D">
        <w:t>entity</w:t>
      </w:r>
      <w:r w:rsidR="294FEF6C">
        <w:t xml:space="preserve"> to identify </w:t>
      </w:r>
      <w:r w:rsidR="26F46B2B">
        <w:t>its</w:t>
      </w:r>
      <w:r w:rsidR="294FEF6C">
        <w:t xml:space="preserve"> </w:t>
      </w:r>
      <w:r w:rsidRPr="00A9380C" w:rsidR="30EB8E82">
        <w:t>p</w:t>
      </w:r>
      <w:r w:rsidR="280D2C5D">
        <w:t>r</w:t>
      </w:r>
      <w:r w:rsidRPr="00A9380C" w:rsidR="30EB8E82">
        <w:t>e</w:t>
      </w:r>
      <w:r w:rsidR="30EB8E82">
        <w:t>-transition</w:t>
      </w:r>
      <w:r w:rsidR="294FEF6C">
        <w:t xml:space="preserve"> operational equipment.</w:t>
      </w:r>
      <w:r>
        <w:rPr>
          <w:rStyle w:val="FootnoteReference"/>
        </w:rPr>
        <w:footnoteReference w:id="19"/>
      </w:r>
      <w:r w:rsidR="294FEF6C">
        <w:t xml:space="preserve">  </w:t>
      </w:r>
      <w:r w:rsidR="30EB8E82">
        <w:t>In</w:t>
      </w:r>
      <w:r w:rsidR="294FEF6C">
        <w:t xml:space="preserve"> 2018</w:t>
      </w:r>
      <w:r w:rsidR="30EB8E82">
        <w:t>,</w:t>
      </w:r>
      <w:r w:rsidR="294FEF6C">
        <w:t xml:space="preserve"> the </w:t>
      </w:r>
      <w:r w:rsidR="00BC017E">
        <w:t xml:space="preserve">Fund Administrator </w:t>
      </w:r>
      <w:r w:rsidRPr="00101FEC" w:rsidR="294FEF6C">
        <w:rPr>
          <w:snapToGrid/>
          <w:kern w:val="0"/>
        </w:rPr>
        <w:t>visit</w:t>
      </w:r>
      <w:r w:rsidRPr="00101FEC" w:rsidR="26F46B2B">
        <w:rPr>
          <w:snapToGrid/>
          <w:kern w:val="0"/>
        </w:rPr>
        <w:t>ed</w:t>
      </w:r>
      <w:r w:rsidRPr="00101FEC" w:rsidR="294FEF6C">
        <w:rPr>
          <w:snapToGrid/>
          <w:kern w:val="0"/>
        </w:rPr>
        <w:t xml:space="preserve"> the facilities of a statistically valid sample of television stations that </w:t>
      </w:r>
      <w:r w:rsidRPr="00101FEC" w:rsidR="30EB8E82">
        <w:rPr>
          <w:snapToGrid/>
          <w:kern w:val="0"/>
        </w:rPr>
        <w:t>we</w:t>
      </w:r>
      <w:r w:rsidRPr="00101FEC" w:rsidR="294FEF6C">
        <w:rPr>
          <w:snapToGrid/>
          <w:kern w:val="0"/>
        </w:rPr>
        <w:t xml:space="preserve">re </w:t>
      </w:r>
      <w:r w:rsidRPr="00101FEC" w:rsidR="30EB8E82">
        <w:rPr>
          <w:snapToGrid/>
          <w:kern w:val="0"/>
        </w:rPr>
        <w:t>participating in the Fu</w:t>
      </w:r>
      <w:r w:rsidRPr="00101FEC" w:rsidR="294FEF6C">
        <w:rPr>
          <w:snapToGrid/>
          <w:kern w:val="0"/>
        </w:rPr>
        <w:t>nd to validate the existence and functionality of baseline equipment</w:t>
      </w:r>
      <w:r w:rsidRPr="00101FEC" w:rsidR="30EB8E82">
        <w:rPr>
          <w:snapToGrid/>
          <w:kern w:val="0"/>
        </w:rPr>
        <w:t xml:space="preserve"> reflected in their Reimbursement Forms</w:t>
      </w:r>
      <w:r w:rsidRPr="00101FEC" w:rsidR="294FEF6C">
        <w:rPr>
          <w:snapToGrid/>
          <w:kern w:val="0"/>
          <w:szCs w:val="22"/>
        </w:rPr>
        <w:t>.</w:t>
      </w:r>
      <w:r>
        <w:rPr>
          <w:rStyle w:val="FootnoteReference"/>
          <w:snapToGrid/>
          <w:kern w:val="0"/>
        </w:rPr>
        <w:footnoteReference w:id="20"/>
      </w:r>
      <w:r w:rsidRPr="00101FEC" w:rsidR="294FEF6C">
        <w:rPr>
          <w:szCs w:val="22"/>
        </w:rPr>
        <w:t xml:space="preserve">  </w:t>
      </w:r>
    </w:p>
    <w:p w:rsidR="008C320F" w:rsidRPr="00CA0A8E" w:rsidP="558F0A12" w14:paraId="7A3A73A7" w14:textId="31BD32C9">
      <w:pPr>
        <w:numPr>
          <w:ilvl w:val="0"/>
          <w:numId w:val="7"/>
        </w:numPr>
        <w:spacing w:before="120" w:after="120"/>
        <w:ind w:left="0" w:firstLine="810"/>
      </w:pPr>
      <w:r w:rsidRPr="6555BE1C">
        <w:rPr>
          <w:b/>
          <w:bCs/>
          <w:i/>
          <w:iCs/>
          <w:u w:val="single"/>
        </w:rPr>
        <w:t>Final Allocation</w:t>
      </w:r>
      <w:r w:rsidRPr="6555BE1C">
        <w:rPr>
          <w:b/>
          <w:bCs/>
          <w:i/>
          <w:iCs/>
        </w:rPr>
        <w:t>.</w:t>
      </w:r>
      <w:r w:rsidRPr="6555BE1C">
        <w:rPr>
          <w:i/>
          <w:iCs/>
        </w:rPr>
        <w:t xml:space="preserve"> </w:t>
      </w:r>
      <w:r w:rsidR="2714497A">
        <w:rPr>
          <w:szCs w:val="22"/>
        </w:rPr>
        <w:t xml:space="preserve"> </w:t>
      </w:r>
      <w:r w:rsidRPr="558F0A12" w:rsidR="30EB8E82">
        <w:rPr>
          <w:snapToGrid/>
          <w:kern w:val="0"/>
        </w:rPr>
        <w:t>As w</w:t>
      </w:r>
      <w:r w:rsidRPr="558F0A12" w:rsidR="30D75F61">
        <w:rPr>
          <w:snapToGrid/>
          <w:kern w:val="0"/>
        </w:rPr>
        <w:t xml:space="preserve">e have stated, </w:t>
      </w:r>
      <w:r w:rsidRPr="558F0A12" w:rsidR="30EB8E82">
        <w:rPr>
          <w:snapToGrid/>
          <w:kern w:val="0"/>
        </w:rPr>
        <w:t xml:space="preserve">when </w:t>
      </w:r>
      <w:r w:rsidRPr="558F0A12" w:rsidR="30D75F61">
        <w:rPr>
          <w:snapToGrid/>
          <w:kern w:val="0"/>
        </w:rPr>
        <w:t>the</w:t>
      </w:r>
      <w:r w:rsidRPr="558F0A12" w:rsidR="5032D260">
        <w:rPr>
          <w:snapToGrid/>
          <w:kern w:val="0"/>
        </w:rPr>
        <w:t>re is sufficient</w:t>
      </w:r>
      <w:r w:rsidRPr="558F0A12" w:rsidR="30D75F61">
        <w:rPr>
          <w:snapToGrid/>
          <w:kern w:val="0"/>
        </w:rPr>
        <w:t xml:space="preserve"> data </w:t>
      </w:r>
      <w:r w:rsidRPr="558F0A12" w:rsidR="5032D260">
        <w:rPr>
          <w:snapToGrid/>
          <w:kern w:val="0"/>
        </w:rPr>
        <w:t>from</w:t>
      </w:r>
      <w:r w:rsidRPr="558F0A12" w:rsidR="30D75F61">
        <w:rPr>
          <w:snapToGrid/>
          <w:kern w:val="0"/>
        </w:rPr>
        <w:t xml:space="preserve"> the </w:t>
      </w:r>
      <w:r w:rsidRPr="00332298" w:rsidR="6BA5891B">
        <w:t>Fund</w:t>
      </w:r>
      <w:r w:rsidR="5032D260">
        <w:t xml:space="preserve"> </w:t>
      </w:r>
      <w:r w:rsidR="188D4966">
        <w:t xml:space="preserve">for </w:t>
      </w:r>
      <w:r w:rsidR="18DE09E5">
        <w:t xml:space="preserve">us, in consultation with </w:t>
      </w:r>
      <w:r w:rsidR="30D75F61">
        <w:t>the Fund Administrator</w:t>
      </w:r>
      <w:r w:rsidR="0666BC13">
        <w:t>,</w:t>
      </w:r>
      <w:r w:rsidR="017D9ED5">
        <w:t xml:space="preserve"> </w:t>
      </w:r>
      <w:r w:rsidR="188D4966">
        <w:t xml:space="preserve">to reasonably </w:t>
      </w:r>
      <w:r w:rsidR="017D9ED5">
        <w:t xml:space="preserve">extrapolate </w:t>
      </w:r>
      <w:r w:rsidR="188D4966">
        <w:t xml:space="preserve">that </w:t>
      </w:r>
      <w:r w:rsidRPr="000927A5" w:rsidR="30D75F61">
        <w:t>the</w:t>
      </w:r>
      <w:r w:rsidR="5032D260">
        <w:t>re are sufficient funds</w:t>
      </w:r>
      <w:r w:rsidRPr="000927A5" w:rsidR="30D75F61">
        <w:t xml:space="preserve"> available to meet the total cost of the program</w:t>
      </w:r>
      <w:r w:rsidR="4FFC200A">
        <w:t>,</w:t>
      </w:r>
      <w:r w:rsidR="017D9ED5">
        <w:t xml:space="preserve"> we then may </w:t>
      </w:r>
      <w:r w:rsidR="30D75F61">
        <w:t xml:space="preserve">make a final allocation to reimburse entities for </w:t>
      </w:r>
      <w:r w:rsidRPr="00C61EA7" w:rsidR="30D75F61">
        <w:t>the total</w:t>
      </w:r>
      <w:r w:rsidR="30D75F61">
        <w:t xml:space="preserve"> amount of remaining incurred expenses.</w:t>
      </w:r>
      <w:r>
        <w:rPr>
          <w:rStyle w:val="FootnoteReference"/>
        </w:rPr>
        <w:footnoteReference w:id="21"/>
      </w:r>
      <w:r w:rsidR="30D75F61">
        <w:t xml:space="preserve">  </w:t>
      </w:r>
      <w:r w:rsidR="30EB8E82">
        <w:t>As a result of our an</w:t>
      </w:r>
      <w:r w:rsidRPr="558F0A12" w:rsidR="30D75F61">
        <w:rPr>
          <w:snapToGrid/>
          <w:kern w:val="0"/>
        </w:rPr>
        <w:t xml:space="preserve">alysis of the data </w:t>
      </w:r>
      <w:r w:rsidRPr="558F0A12" w:rsidR="30EB8E82">
        <w:rPr>
          <w:snapToGrid/>
          <w:kern w:val="0"/>
        </w:rPr>
        <w:t xml:space="preserve">now </w:t>
      </w:r>
      <w:r w:rsidRPr="558F0A12" w:rsidR="30D75F61">
        <w:rPr>
          <w:snapToGrid/>
          <w:kern w:val="0"/>
        </w:rPr>
        <w:t>available</w:t>
      </w:r>
      <w:r w:rsidR="59FE8138">
        <w:rPr>
          <w:snapToGrid/>
          <w:kern w:val="0"/>
          <w:szCs w:val="22"/>
        </w:rPr>
        <w:t>,</w:t>
      </w:r>
      <w:r w:rsidRPr="558F0A12" w:rsidR="30D75F61">
        <w:rPr>
          <w:snapToGrid/>
          <w:kern w:val="0"/>
        </w:rPr>
        <w:t xml:space="preserve"> w</w:t>
      </w:r>
      <w:r w:rsidRPr="558F0A12" w:rsidR="30D75F61">
        <w:t>e believe a</w:t>
      </w:r>
      <w:r w:rsidRPr="558F0A12" w:rsidR="4C5413A1">
        <w:t xml:space="preserve"> final</w:t>
      </w:r>
      <w:r w:rsidRPr="558F0A12" w:rsidR="30D75F61">
        <w:t xml:space="preserve"> allocation is warranted</w:t>
      </w:r>
      <w:r w:rsidRPr="558F0A12" w:rsidR="6B31D522">
        <w:t xml:space="preserve"> to</w:t>
      </w:r>
      <w:r w:rsidRPr="558F0A12" w:rsidR="30D75F61">
        <w:rPr>
          <w:snapToGrid/>
          <w:kern w:val="0"/>
        </w:rPr>
        <w:t xml:space="preserve"> increas</w:t>
      </w:r>
      <w:r w:rsidRPr="558F0A12" w:rsidR="6B31D522">
        <w:rPr>
          <w:snapToGrid/>
          <w:kern w:val="0"/>
        </w:rPr>
        <w:t>e</w:t>
      </w:r>
      <w:r w:rsidRPr="558F0A12" w:rsidR="30D75F61">
        <w:rPr>
          <w:snapToGrid/>
          <w:kern w:val="0"/>
        </w:rPr>
        <w:t xml:space="preserve"> the allocation for each </w:t>
      </w:r>
      <w:r w:rsidRPr="558F0A12" w:rsidR="30EB8E82">
        <w:rPr>
          <w:snapToGrid/>
          <w:kern w:val="0"/>
        </w:rPr>
        <w:t>eligible participant</w:t>
      </w:r>
      <w:r w:rsidR="30D75F61">
        <w:rPr>
          <w:snapToGrid/>
          <w:kern w:val="0"/>
          <w:szCs w:val="22"/>
        </w:rPr>
        <w:t xml:space="preserve"> </w:t>
      </w:r>
      <w:r w:rsidRPr="558F0A12" w:rsidR="30D75F61">
        <w:rPr>
          <w:snapToGrid/>
          <w:kern w:val="0"/>
        </w:rPr>
        <w:t>from 92.5% to 100% of the entity’s verified estimates</w:t>
      </w:r>
      <w:r w:rsidR="30D75F61">
        <w:rPr>
          <w:snapToGrid/>
          <w:kern w:val="0"/>
          <w:szCs w:val="22"/>
        </w:rPr>
        <w:t>.</w:t>
      </w:r>
      <w:r w:rsidRPr="558F0A12" w:rsidR="43BD561E">
        <w:rPr>
          <w:snapToGrid/>
          <w:kern w:val="0"/>
        </w:rPr>
        <w:t xml:space="preserve">  As of </w:t>
      </w:r>
      <w:r w:rsidRPr="00B72E12" w:rsidR="43BD561E">
        <w:rPr>
          <w:snapToGrid/>
          <w:kern w:val="0"/>
        </w:rPr>
        <w:t xml:space="preserve">February </w:t>
      </w:r>
      <w:r w:rsidRPr="00B72E12" w:rsidR="003B0E46">
        <w:rPr>
          <w:snapToGrid/>
          <w:kern w:val="0"/>
        </w:rPr>
        <w:t>15</w:t>
      </w:r>
      <w:r w:rsidRPr="558F0A12" w:rsidR="43BD561E">
        <w:rPr>
          <w:snapToGrid/>
          <w:kern w:val="0"/>
        </w:rPr>
        <w:t>, 2022, the verified estimates in the Reimbursement</w:t>
      </w:r>
      <w:r w:rsidRPr="558F0A12" w:rsidR="30EB8E82">
        <w:rPr>
          <w:snapToGrid/>
          <w:kern w:val="0"/>
        </w:rPr>
        <w:t xml:space="preserve"> Fund</w:t>
      </w:r>
      <w:r w:rsidR="43BD561E">
        <w:rPr>
          <w:snapToGrid/>
          <w:kern w:val="0"/>
          <w:szCs w:val="22"/>
        </w:rPr>
        <w:t xml:space="preserve"> </w:t>
      </w:r>
      <w:r w:rsidRPr="558F0A12" w:rsidR="6B31D522">
        <w:rPr>
          <w:snapToGrid/>
          <w:kern w:val="0"/>
        </w:rPr>
        <w:t>totaled</w:t>
      </w:r>
      <w:r w:rsidRPr="558F0A12" w:rsidR="43BD561E">
        <w:rPr>
          <w:snapToGrid/>
          <w:kern w:val="0"/>
        </w:rPr>
        <w:t xml:space="preserve"> $</w:t>
      </w:r>
      <w:r w:rsidRPr="00B72E12" w:rsidR="43BD561E">
        <w:rPr>
          <w:snapToGrid/>
          <w:kern w:val="0"/>
        </w:rPr>
        <w:t>2.1</w:t>
      </w:r>
      <w:r w:rsidRPr="00B72E12" w:rsidR="003B0E46">
        <w:rPr>
          <w:snapToGrid/>
          <w:kern w:val="0"/>
        </w:rPr>
        <w:t>5</w:t>
      </w:r>
      <w:r w:rsidRPr="558F0A12" w:rsidR="43BD561E">
        <w:rPr>
          <w:snapToGrid/>
          <w:kern w:val="0"/>
        </w:rPr>
        <w:t xml:space="preserve"> billion and the total allocation was $</w:t>
      </w:r>
      <w:r w:rsidRPr="00B72E12" w:rsidR="43BD561E">
        <w:rPr>
          <w:snapToGrid/>
          <w:kern w:val="0"/>
        </w:rPr>
        <w:t>2.07</w:t>
      </w:r>
      <w:r w:rsidRPr="558F0A12" w:rsidR="43BD561E">
        <w:rPr>
          <w:snapToGrid/>
          <w:kern w:val="0"/>
        </w:rPr>
        <w:t xml:space="preserve"> billion.  Thus</w:t>
      </w:r>
      <w:r w:rsidR="6B31D522">
        <w:rPr>
          <w:snapToGrid/>
          <w:kern w:val="0"/>
          <w:szCs w:val="22"/>
        </w:rPr>
        <w:t>,</w:t>
      </w:r>
      <w:r w:rsidR="43BD561E">
        <w:rPr>
          <w:snapToGrid/>
          <w:kern w:val="0"/>
          <w:szCs w:val="22"/>
        </w:rPr>
        <w:t xml:space="preserve"> </w:t>
      </w:r>
      <w:r w:rsidRPr="558F0A12" w:rsidR="2C7B7013">
        <w:rPr>
          <w:snapToGrid/>
          <w:kern w:val="0"/>
        </w:rPr>
        <w:t xml:space="preserve">the final allocation </w:t>
      </w:r>
      <w:r w:rsidRPr="558F0A12" w:rsidR="65B92EAB">
        <w:rPr>
          <w:snapToGrid/>
          <w:kern w:val="0"/>
        </w:rPr>
        <w:t>we will now make</w:t>
      </w:r>
      <w:r w:rsidRPr="558F0A12" w:rsidR="6B31D522">
        <w:rPr>
          <w:snapToGrid/>
          <w:kern w:val="0"/>
        </w:rPr>
        <w:t xml:space="preserve"> amounts to</w:t>
      </w:r>
      <w:r w:rsidRPr="558F0A12" w:rsidR="2C7B7013">
        <w:rPr>
          <w:snapToGrid/>
          <w:kern w:val="0"/>
        </w:rPr>
        <w:t xml:space="preserve"> approximately </w:t>
      </w:r>
      <w:r w:rsidRPr="558F0A12" w:rsidR="43BD561E">
        <w:rPr>
          <w:snapToGrid/>
          <w:kern w:val="0"/>
        </w:rPr>
        <w:t>$</w:t>
      </w:r>
      <w:r w:rsidRPr="00B72E12" w:rsidR="003B0E46">
        <w:rPr>
          <w:snapToGrid/>
          <w:kern w:val="0"/>
        </w:rPr>
        <w:t>8</w:t>
      </w:r>
      <w:r w:rsidRPr="00B72E12" w:rsidR="00D81DA1">
        <w:rPr>
          <w:snapToGrid/>
          <w:kern w:val="0"/>
        </w:rPr>
        <w:t>5</w:t>
      </w:r>
      <w:r w:rsidRPr="558F0A12" w:rsidR="43BD561E">
        <w:rPr>
          <w:snapToGrid/>
          <w:kern w:val="0"/>
        </w:rPr>
        <w:t xml:space="preserve"> million.</w:t>
      </w:r>
    </w:p>
    <w:p w:rsidR="00C53B64" w:rsidRPr="00DC2EA0" w:rsidP="6991BD77" w14:paraId="5293E749" w14:textId="6597ECB5">
      <w:pPr>
        <w:numPr>
          <w:ilvl w:val="0"/>
          <w:numId w:val="7"/>
        </w:numPr>
        <w:spacing w:before="120" w:after="120"/>
        <w:ind w:left="0" w:firstLine="810"/>
      </w:pPr>
      <w:r w:rsidRPr="6555BE1C">
        <w:rPr>
          <w:snapToGrid/>
          <w:kern w:val="0"/>
        </w:rPr>
        <w:t>Pursuant to the requirements of the first invoice filing deadline</w:t>
      </w:r>
      <w:r w:rsidRPr="00B72E12" w:rsidR="43BD561E">
        <w:rPr>
          <w:snapToGrid/>
          <w:kern w:val="0"/>
          <w:szCs w:val="22"/>
        </w:rPr>
        <w:t>,</w:t>
      </w:r>
      <w:r w:rsidRPr="00B72E12" w:rsidR="00DB1768">
        <w:rPr>
          <w:snapToGrid/>
          <w:kern w:val="0"/>
          <w:szCs w:val="22"/>
        </w:rPr>
        <w:t xml:space="preserve"> 492</w:t>
      </w:r>
      <w:r w:rsidRPr="6555BE1C">
        <w:rPr>
          <w:snapToGrid/>
          <w:kern w:val="0"/>
        </w:rPr>
        <w:t xml:space="preserve"> full power and Class A stations were required to submit all remaining invoices and initiate </w:t>
      </w:r>
      <w:r w:rsidRPr="6555BE1C" w:rsidR="4C5413A1">
        <w:rPr>
          <w:snapToGrid/>
          <w:kern w:val="0"/>
        </w:rPr>
        <w:t>the interim close</w:t>
      </w:r>
      <w:r w:rsidRPr="6555BE1C">
        <w:rPr>
          <w:snapToGrid/>
          <w:kern w:val="0"/>
        </w:rPr>
        <w:t xml:space="preserve"> out process</w:t>
      </w:r>
      <w:r w:rsidRPr="6555BE1C" w:rsidR="6B31D522">
        <w:rPr>
          <w:snapToGrid/>
          <w:kern w:val="0"/>
        </w:rPr>
        <w:t xml:space="preserve"> by October 8, 2022</w:t>
      </w:r>
      <w:r w:rsidRPr="6555BE1C">
        <w:rPr>
          <w:snapToGrid/>
          <w:kern w:val="0"/>
        </w:rPr>
        <w:t xml:space="preserve">.  Additional entities in the program, including </w:t>
      </w:r>
      <w:r w:rsidRPr="6555BE1C" w:rsidR="6B31D522">
        <w:rPr>
          <w:snapToGrid/>
          <w:kern w:val="0"/>
        </w:rPr>
        <w:t>other</w:t>
      </w:r>
      <w:r w:rsidR="30D75F61">
        <w:rPr>
          <w:snapToGrid/>
          <w:kern w:val="0"/>
          <w:szCs w:val="22"/>
        </w:rPr>
        <w:t xml:space="preserve"> </w:t>
      </w:r>
      <w:r w:rsidRPr="6555BE1C">
        <w:rPr>
          <w:snapToGrid/>
          <w:kern w:val="0"/>
        </w:rPr>
        <w:t>full power and Class A stations, LPTV/translator station</w:t>
      </w:r>
      <w:r w:rsidRPr="6555BE1C" w:rsidR="2C7B7013">
        <w:rPr>
          <w:snapToGrid/>
          <w:kern w:val="0"/>
        </w:rPr>
        <w:t>s</w:t>
      </w:r>
      <w:r w:rsidRPr="6555BE1C">
        <w:rPr>
          <w:snapToGrid/>
          <w:kern w:val="0"/>
        </w:rPr>
        <w:t>, FM stations, and MVPDs</w:t>
      </w:r>
      <w:r w:rsidR="545C9ACF">
        <w:rPr>
          <w:snapToGrid/>
          <w:kern w:val="0"/>
          <w:szCs w:val="22"/>
        </w:rPr>
        <w:t>,</w:t>
      </w:r>
      <w:r w:rsidRPr="6555BE1C">
        <w:rPr>
          <w:snapToGrid/>
          <w:kern w:val="0"/>
        </w:rPr>
        <w:t xml:space="preserve"> have</w:t>
      </w:r>
      <w:r w:rsidRPr="6555BE1C" w:rsidR="545C9ACF">
        <w:rPr>
          <w:snapToGrid/>
          <w:kern w:val="0"/>
        </w:rPr>
        <w:t xml:space="preserve"> also</w:t>
      </w:r>
      <w:r w:rsidRPr="6555BE1C">
        <w:rPr>
          <w:snapToGrid/>
          <w:kern w:val="0"/>
        </w:rPr>
        <w:t xml:space="preserve"> finished their construction pro</w:t>
      </w:r>
      <w:r w:rsidRPr="6555BE1C" w:rsidR="30D75F61">
        <w:rPr>
          <w:snapToGrid/>
          <w:kern w:val="0"/>
        </w:rPr>
        <w:t>jects</w:t>
      </w:r>
      <w:r w:rsidRPr="6555BE1C">
        <w:rPr>
          <w:snapToGrid/>
          <w:kern w:val="0"/>
        </w:rPr>
        <w:t>, submitted all invoices, and initiated</w:t>
      </w:r>
      <w:r w:rsidRPr="6555BE1C" w:rsidR="4C5413A1">
        <w:rPr>
          <w:snapToGrid/>
          <w:kern w:val="0"/>
        </w:rPr>
        <w:t xml:space="preserve"> the interim</w:t>
      </w:r>
      <w:r w:rsidRPr="6555BE1C">
        <w:rPr>
          <w:snapToGrid/>
          <w:kern w:val="0"/>
        </w:rPr>
        <w:t xml:space="preserve"> close-out</w:t>
      </w:r>
      <w:r w:rsidRPr="6555BE1C" w:rsidR="4C5413A1">
        <w:rPr>
          <w:snapToGrid/>
          <w:kern w:val="0"/>
        </w:rPr>
        <w:t xml:space="preserve"> process</w:t>
      </w:r>
      <w:r>
        <w:rPr>
          <w:snapToGrid/>
          <w:kern w:val="0"/>
          <w:szCs w:val="22"/>
        </w:rPr>
        <w:t xml:space="preserve">.  </w:t>
      </w:r>
      <w:r w:rsidRPr="6555BE1C" w:rsidR="4C5413A1">
        <w:rPr>
          <w:snapToGrid/>
          <w:kern w:val="0"/>
        </w:rPr>
        <w:t>In addition, i</w:t>
      </w:r>
      <w:r w:rsidRPr="6555BE1C" w:rsidR="43BD561E">
        <w:rPr>
          <w:snapToGrid/>
          <w:kern w:val="0"/>
        </w:rPr>
        <w:t xml:space="preserve">nformation </w:t>
      </w:r>
      <w:r w:rsidRPr="6555BE1C" w:rsidR="4C5413A1">
        <w:rPr>
          <w:snapToGrid/>
          <w:kern w:val="0"/>
        </w:rPr>
        <w:t xml:space="preserve">submitted by </w:t>
      </w:r>
      <w:r w:rsidRPr="6555BE1C" w:rsidR="43BD561E">
        <w:rPr>
          <w:snapToGrid/>
          <w:kern w:val="0"/>
        </w:rPr>
        <w:t xml:space="preserve">program participants </w:t>
      </w:r>
      <w:r w:rsidRPr="6555BE1C" w:rsidR="4C5413A1">
        <w:rPr>
          <w:snapToGrid/>
          <w:kern w:val="0"/>
        </w:rPr>
        <w:t xml:space="preserve">that have not yet initiated </w:t>
      </w:r>
      <w:r w:rsidRPr="6555BE1C" w:rsidR="59FE8138">
        <w:rPr>
          <w:snapToGrid/>
          <w:kern w:val="0"/>
        </w:rPr>
        <w:t xml:space="preserve">the </w:t>
      </w:r>
      <w:r w:rsidRPr="6555BE1C" w:rsidR="4C5413A1">
        <w:rPr>
          <w:snapToGrid/>
          <w:kern w:val="0"/>
        </w:rPr>
        <w:t xml:space="preserve">interim close-out </w:t>
      </w:r>
      <w:r w:rsidRPr="6555BE1C" w:rsidR="545C9ACF">
        <w:rPr>
          <w:snapToGrid/>
          <w:kern w:val="0"/>
        </w:rPr>
        <w:t xml:space="preserve">process nevertheless </w:t>
      </w:r>
      <w:r w:rsidRPr="6555BE1C" w:rsidR="4C5413A1">
        <w:rPr>
          <w:snapToGrid/>
          <w:kern w:val="0"/>
        </w:rPr>
        <w:t xml:space="preserve">provides a </w:t>
      </w:r>
      <w:r w:rsidRPr="6555BE1C" w:rsidR="545C9ACF">
        <w:rPr>
          <w:snapToGrid/>
          <w:kern w:val="0"/>
        </w:rPr>
        <w:t>clearer</w:t>
      </w:r>
      <w:r w:rsidRPr="6555BE1C" w:rsidR="4C5413A1">
        <w:rPr>
          <w:snapToGrid/>
          <w:kern w:val="0"/>
        </w:rPr>
        <w:t xml:space="preserve"> picture of th</w:t>
      </w:r>
      <w:r w:rsidRPr="6555BE1C" w:rsidR="2C7B7013">
        <w:rPr>
          <w:snapToGrid/>
          <w:kern w:val="0"/>
        </w:rPr>
        <w:t>os</w:t>
      </w:r>
      <w:r w:rsidRPr="6555BE1C" w:rsidR="4C5413A1">
        <w:rPr>
          <w:snapToGrid/>
          <w:kern w:val="0"/>
        </w:rPr>
        <w:t>e entit</w:t>
      </w:r>
      <w:r w:rsidRPr="6555BE1C" w:rsidR="2C7B7013">
        <w:rPr>
          <w:snapToGrid/>
          <w:kern w:val="0"/>
        </w:rPr>
        <w:t>ie</w:t>
      </w:r>
      <w:r w:rsidRPr="6555BE1C" w:rsidR="4C5413A1">
        <w:rPr>
          <w:snapToGrid/>
          <w:kern w:val="0"/>
        </w:rPr>
        <w:t>s</w:t>
      </w:r>
      <w:r w:rsidRPr="00DC2EA0" w:rsidR="2C7B7013">
        <w:rPr>
          <w:snapToGrid/>
          <w:kern w:val="0"/>
          <w:szCs w:val="22"/>
        </w:rPr>
        <w:t>’</w:t>
      </w:r>
      <w:r w:rsidRPr="6555BE1C" w:rsidR="4C5413A1">
        <w:rPr>
          <w:snapToGrid/>
          <w:kern w:val="0"/>
        </w:rPr>
        <w:t xml:space="preserve"> estimated and actual total expenses due to the sign</w:t>
      </w:r>
      <w:r w:rsidRPr="6555BE1C" w:rsidR="65E69D4E">
        <w:rPr>
          <w:snapToGrid/>
          <w:kern w:val="0"/>
        </w:rPr>
        <w:t xml:space="preserve">ificant progress </w:t>
      </w:r>
      <w:r w:rsidRPr="6555BE1C" w:rsidR="6BA5891B">
        <w:rPr>
          <w:snapToGrid/>
          <w:kern w:val="0"/>
        </w:rPr>
        <w:t xml:space="preserve">they have </w:t>
      </w:r>
      <w:r w:rsidRPr="6555BE1C" w:rsidR="65E69D4E">
        <w:rPr>
          <w:snapToGrid/>
          <w:kern w:val="0"/>
        </w:rPr>
        <w:t>made toward completion of</w:t>
      </w:r>
      <w:r w:rsidRPr="00DC2EA0" w:rsidR="43BD561E">
        <w:rPr>
          <w:snapToGrid/>
          <w:kern w:val="0"/>
          <w:szCs w:val="22"/>
        </w:rPr>
        <w:t xml:space="preserve"> </w:t>
      </w:r>
      <w:r w:rsidRPr="6555BE1C" w:rsidR="6BA5891B">
        <w:rPr>
          <w:snapToGrid/>
          <w:kern w:val="0"/>
        </w:rPr>
        <w:t xml:space="preserve">their </w:t>
      </w:r>
      <w:r w:rsidRPr="6555BE1C" w:rsidR="43BD561E">
        <w:rPr>
          <w:snapToGrid/>
          <w:kern w:val="0"/>
        </w:rPr>
        <w:t>construction projects.  Notably, while the total verified estimates in the</w:t>
      </w:r>
      <w:r w:rsidRPr="6555BE1C" w:rsidR="6BA5891B">
        <w:rPr>
          <w:snapToGrid/>
          <w:kern w:val="0"/>
        </w:rPr>
        <w:t xml:space="preserve"> Reimbursement Fund</w:t>
      </w:r>
      <w:r w:rsidRPr="6555BE1C" w:rsidR="43BD561E">
        <w:rPr>
          <w:snapToGrid/>
          <w:kern w:val="0"/>
        </w:rPr>
        <w:t xml:space="preserve"> steadily increased </w:t>
      </w:r>
      <w:r w:rsidRPr="6555BE1C" w:rsidR="066BCD97">
        <w:rPr>
          <w:snapToGrid/>
          <w:kern w:val="0"/>
        </w:rPr>
        <w:t>throughout</w:t>
      </w:r>
      <w:r w:rsidRPr="6555BE1C" w:rsidR="43BD561E">
        <w:rPr>
          <w:snapToGrid/>
          <w:kern w:val="0"/>
        </w:rPr>
        <w:t xml:space="preserve"> the program, the advent of the invoice filing deadlines and the initiation of interim close-out</w:t>
      </w:r>
      <w:r w:rsidRPr="6555BE1C" w:rsidR="545C9ACF">
        <w:rPr>
          <w:snapToGrid/>
          <w:kern w:val="0"/>
        </w:rPr>
        <w:t>s</w:t>
      </w:r>
      <w:r w:rsidRPr="6555BE1C" w:rsidR="43BD561E">
        <w:rPr>
          <w:snapToGrid/>
          <w:kern w:val="0"/>
        </w:rPr>
        <w:t xml:space="preserve"> for a significant number of participants has stabilized th</w:t>
      </w:r>
      <w:r w:rsidRPr="6555BE1C" w:rsidR="7BC8FCD7">
        <w:rPr>
          <w:snapToGrid/>
          <w:kern w:val="0"/>
        </w:rPr>
        <w:t>at figure</w:t>
      </w:r>
      <w:r w:rsidR="43BD561E">
        <w:rPr>
          <w:snapToGrid/>
          <w:kern w:val="0"/>
          <w:szCs w:val="22"/>
        </w:rPr>
        <w:t xml:space="preserve">.  </w:t>
      </w:r>
      <w:r w:rsidRPr="6555BE1C" w:rsidR="59FE8138">
        <w:rPr>
          <w:snapToGrid/>
          <w:kern w:val="0"/>
        </w:rPr>
        <w:t>Thus, w</w:t>
      </w:r>
      <w:r w:rsidRPr="6555BE1C" w:rsidR="7BC8FCD7">
        <w:rPr>
          <w:snapToGrid/>
          <w:kern w:val="0"/>
        </w:rPr>
        <w:t>it</w:t>
      </w:r>
      <w:r w:rsidRPr="6555BE1C" w:rsidR="30D75F61">
        <w:rPr>
          <w:snapToGrid/>
          <w:kern w:val="0"/>
        </w:rPr>
        <w:t>h the benefit of th</w:t>
      </w:r>
      <w:r w:rsidRPr="6555BE1C" w:rsidR="545C9ACF">
        <w:rPr>
          <w:snapToGrid/>
          <w:kern w:val="0"/>
        </w:rPr>
        <w:t>is</w:t>
      </w:r>
      <w:r w:rsidRPr="6555BE1C" w:rsidR="43BD561E">
        <w:rPr>
          <w:snapToGrid/>
          <w:kern w:val="0"/>
        </w:rPr>
        <w:t xml:space="preserve"> more comp</w:t>
      </w:r>
      <w:r w:rsidRPr="6555BE1C" w:rsidR="7BC8FCD7">
        <w:rPr>
          <w:snapToGrid/>
          <w:kern w:val="0"/>
        </w:rPr>
        <w:t>rehensive</w:t>
      </w:r>
      <w:r w:rsidRPr="6555BE1C" w:rsidR="43BD561E">
        <w:rPr>
          <w:snapToGrid/>
          <w:kern w:val="0"/>
        </w:rPr>
        <w:t xml:space="preserve"> and accurate information</w:t>
      </w:r>
      <w:r w:rsidR="2C7B7013">
        <w:rPr>
          <w:snapToGrid/>
          <w:kern w:val="0"/>
          <w:szCs w:val="22"/>
        </w:rPr>
        <w:t xml:space="preserve"> </w:t>
      </w:r>
      <w:r w:rsidRPr="6555BE1C" w:rsidR="59FE8138">
        <w:rPr>
          <w:snapToGrid/>
          <w:kern w:val="0"/>
        </w:rPr>
        <w:t>on</w:t>
      </w:r>
      <w:r w:rsidRPr="6555BE1C" w:rsidR="2C7B7013">
        <w:rPr>
          <w:snapToGrid/>
          <w:kern w:val="0"/>
        </w:rPr>
        <w:t xml:space="preserve"> total verified estimates</w:t>
      </w:r>
      <w:r w:rsidR="43BD561E">
        <w:rPr>
          <w:snapToGrid/>
          <w:kern w:val="0"/>
          <w:szCs w:val="22"/>
        </w:rPr>
        <w:t>,</w:t>
      </w:r>
      <w:r w:rsidR="30D75F61">
        <w:rPr>
          <w:snapToGrid/>
          <w:kern w:val="0"/>
          <w:szCs w:val="22"/>
        </w:rPr>
        <w:t xml:space="preserve"> </w:t>
      </w:r>
      <w:r w:rsidRPr="6555BE1C" w:rsidR="21B1765E">
        <w:rPr>
          <w:snapToGrid/>
          <w:kern w:val="0"/>
        </w:rPr>
        <w:t xml:space="preserve">expected total payments, and the rate and amount of payments disbursed, </w:t>
      </w:r>
      <w:r w:rsidRPr="6555BE1C" w:rsidR="639528AD">
        <w:rPr>
          <w:snapToGrid/>
          <w:kern w:val="0"/>
        </w:rPr>
        <w:t>we</w:t>
      </w:r>
      <w:r w:rsidRPr="6555BE1C">
        <w:rPr>
          <w:snapToGrid/>
          <w:kern w:val="0"/>
        </w:rPr>
        <w:t xml:space="preserve">, with the support of the Fund Administrator, </w:t>
      </w:r>
      <w:r w:rsidRPr="6555BE1C" w:rsidR="60EFD3BB">
        <w:rPr>
          <w:snapToGrid/>
          <w:kern w:val="0"/>
        </w:rPr>
        <w:t xml:space="preserve">have </w:t>
      </w:r>
      <w:r w:rsidRPr="6555BE1C" w:rsidR="545C9ACF">
        <w:rPr>
          <w:snapToGrid/>
          <w:kern w:val="0"/>
        </w:rPr>
        <w:t>conclude</w:t>
      </w:r>
      <w:r w:rsidRPr="6555BE1C" w:rsidR="47096229">
        <w:rPr>
          <w:snapToGrid/>
          <w:kern w:val="0"/>
        </w:rPr>
        <w:t>d</w:t>
      </w:r>
      <w:r w:rsidRPr="6555BE1C" w:rsidR="545C9ACF">
        <w:rPr>
          <w:snapToGrid/>
          <w:kern w:val="0"/>
        </w:rPr>
        <w:t xml:space="preserve"> that </w:t>
      </w:r>
      <w:r w:rsidRPr="6555BE1C" w:rsidR="59FE8138">
        <w:rPr>
          <w:snapToGrid/>
          <w:kern w:val="0"/>
        </w:rPr>
        <w:t xml:space="preserve">there are sufficient funds available to </w:t>
      </w:r>
      <w:r w:rsidRPr="6555BE1C" w:rsidR="43BD561E">
        <w:rPr>
          <w:snapToGrid/>
          <w:kern w:val="0"/>
        </w:rPr>
        <w:t>support</w:t>
      </w:r>
      <w:r w:rsidRPr="6555BE1C" w:rsidR="545C9ACF">
        <w:rPr>
          <w:snapToGrid/>
          <w:kern w:val="0"/>
        </w:rPr>
        <w:t xml:space="preserve"> making</w:t>
      </w:r>
      <w:r w:rsidRPr="6555BE1C" w:rsidR="43BD561E">
        <w:rPr>
          <w:snapToGrid/>
          <w:kern w:val="0"/>
        </w:rPr>
        <w:t xml:space="preserve"> a final allocation</w:t>
      </w:r>
      <w:r w:rsidRPr="6555BE1C" w:rsidR="545C9ACF">
        <w:rPr>
          <w:snapToGrid/>
          <w:kern w:val="0"/>
        </w:rPr>
        <w:t xml:space="preserve"> at this time</w:t>
      </w:r>
      <w:r w:rsidRPr="00DC2EA0" w:rsidR="30D75F61">
        <w:rPr>
          <w:snapToGrid/>
          <w:kern w:val="0"/>
          <w:szCs w:val="22"/>
        </w:rPr>
        <w:t xml:space="preserve">.  </w:t>
      </w:r>
    </w:p>
    <w:p w:rsidR="003C30A1" w:rsidP="558F0A12" w14:paraId="21C72057" w14:textId="0E141DF1">
      <w:pPr>
        <w:numPr>
          <w:ilvl w:val="0"/>
          <w:numId w:val="7"/>
        </w:numPr>
        <w:spacing w:before="120" w:after="120"/>
        <w:ind w:left="0" w:firstLine="810"/>
      </w:pPr>
      <w:r w:rsidRPr="558F0A12">
        <w:t xml:space="preserve">Once </w:t>
      </w:r>
      <w:r w:rsidRPr="558F0A12" w:rsidR="00613B04">
        <w:t xml:space="preserve">we make </w:t>
      </w:r>
      <w:r w:rsidRPr="558F0A12">
        <w:t>the final allocation, e</w:t>
      </w:r>
      <w:r w:rsidRPr="558F0A12" w:rsidR="00C53B64">
        <w:t>ntities</w:t>
      </w:r>
      <w:r w:rsidRPr="009614B0" w:rsidR="00C53B64">
        <w:rPr>
          <w:szCs w:val="22"/>
        </w:rPr>
        <w:t xml:space="preserve"> </w:t>
      </w:r>
      <w:r w:rsidRPr="558F0A12" w:rsidR="00C53B64">
        <w:t>may view</w:t>
      </w:r>
      <w:r w:rsidR="00C53B64">
        <w:rPr>
          <w:szCs w:val="22"/>
        </w:rPr>
        <w:t xml:space="preserve"> </w:t>
      </w:r>
      <w:r w:rsidRPr="558F0A12" w:rsidR="00C53B64">
        <w:t xml:space="preserve">their individual allocations in the CORES Incentive Auction Financial Module pursuant to the procedures outlined in the </w:t>
      </w:r>
      <w:r w:rsidRPr="558F0A12" w:rsidR="00C53B64">
        <w:rPr>
          <w:i/>
          <w:iCs/>
        </w:rPr>
        <w:t>Financial Procedures Public Notice</w:t>
      </w:r>
      <w:r w:rsidRPr="009614B0" w:rsidR="00C53B64">
        <w:rPr>
          <w:szCs w:val="22"/>
        </w:rPr>
        <w:t>.</w:t>
      </w:r>
      <w:r w:rsidR="00C53B64">
        <w:rPr>
          <w:szCs w:val="22"/>
        </w:rPr>
        <w:t xml:space="preserve">  </w:t>
      </w:r>
      <w:r w:rsidRPr="00C935DC" w:rsidR="00C53B64">
        <w:t>Authori</w:t>
      </w:r>
      <w:r w:rsidR="00C53B64">
        <w:t xml:space="preserve">zed Agent(s) </w:t>
      </w:r>
      <w:r w:rsidRPr="00C935DC" w:rsidR="00C53B64">
        <w:t xml:space="preserve">will be able to view the exact amount allocated to </w:t>
      </w:r>
      <w:r w:rsidR="00613B04">
        <w:t xml:space="preserve">each entity via </w:t>
      </w:r>
      <w:r w:rsidRPr="00C935DC" w:rsidR="00C53B64">
        <w:t>in the Auction Payments component of the CORES Incentive Auction Financial Module.</w:t>
      </w:r>
      <w:r>
        <w:rPr>
          <w:rStyle w:val="FootnoteReference"/>
        </w:rPr>
        <w:footnoteReference w:id="22"/>
      </w:r>
      <w:r w:rsidR="00C53B64">
        <w:rPr>
          <w:szCs w:val="22"/>
        </w:rPr>
        <w:t xml:space="preserve">  </w:t>
      </w:r>
    </w:p>
    <w:p w:rsidR="00D27913" w:rsidRPr="00DC2EA0" w:rsidP="6991BD77" w14:paraId="28307C31" w14:textId="2A7126FA">
      <w:pPr>
        <w:numPr>
          <w:ilvl w:val="0"/>
          <w:numId w:val="7"/>
        </w:numPr>
        <w:spacing w:before="120" w:after="120"/>
        <w:ind w:left="0" w:firstLine="810"/>
      </w:pPr>
      <w:r w:rsidRPr="6555BE1C">
        <w:rPr>
          <w:snapToGrid/>
          <w:kern w:val="0"/>
        </w:rPr>
        <w:t>Th</w:t>
      </w:r>
      <w:r w:rsidRPr="6555BE1C" w:rsidR="545C9ACF">
        <w:rPr>
          <w:snapToGrid/>
          <w:kern w:val="0"/>
        </w:rPr>
        <w:t>is</w:t>
      </w:r>
      <w:r w:rsidRPr="6555BE1C">
        <w:rPr>
          <w:snapToGrid/>
          <w:kern w:val="0"/>
        </w:rPr>
        <w:t xml:space="preserve"> final allocation</w:t>
      </w:r>
      <w:r w:rsidRPr="6555BE1C" w:rsidR="545C9ACF">
        <w:rPr>
          <w:snapToGrid/>
          <w:kern w:val="0"/>
        </w:rPr>
        <w:t xml:space="preserve"> will</w:t>
      </w:r>
      <w:r w:rsidRPr="6555BE1C">
        <w:rPr>
          <w:snapToGrid/>
          <w:kern w:val="0"/>
        </w:rPr>
        <w:t xml:space="preserve"> permit entities to be fully reimbursed for approved expenses</w:t>
      </w:r>
      <w:r w:rsidR="00C3341A">
        <w:rPr>
          <w:snapToGrid/>
          <w:kern w:val="0"/>
        </w:rPr>
        <w:t>.  This will streamline the</w:t>
      </w:r>
      <w:r w:rsidRPr="6555BE1C">
        <w:rPr>
          <w:snapToGrid/>
          <w:kern w:val="0"/>
        </w:rPr>
        <w:t xml:space="preserve"> final close</w:t>
      </w:r>
      <w:r w:rsidR="6B31D522">
        <w:rPr>
          <w:snapToGrid/>
          <w:kern w:val="0"/>
          <w:szCs w:val="22"/>
        </w:rPr>
        <w:t>-</w:t>
      </w:r>
      <w:r w:rsidRPr="6555BE1C">
        <w:rPr>
          <w:snapToGrid/>
          <w:kern w:val="0"/>
        </w:rPr>
        <w:t xml:space="preserve">out procedures.  Entities that have already completed the interim close-out process may </w:t>
      </w:r>
      <w:r w:rsidRPr="6555BE1C" w:rsidR="08EEFDA1">
        <w:rPr>
          <w:snapToGrid/>
          <w:kern w:val="0"/>
        </w:rPr>
        <w:t xml:space="preserve">now </w:t>
      </w:r>
      <w:r w:rsidRPr="6555BE1C">
        <w:rPr>
          <w:snapToGrid/>
          <w:kern w:val="0"/>
        </w:rPr>
        <w:t>enter the final close</w:t>
      </w:r>
      <w:r w:rsidR="1D812E33">
        <w:rPr>
          <w:snapToGrid/>
          <w:kern w:val="0"/>
          <w:szCs w:val="22"/>
        </w:rPr>
        <w:t>-</w:t>
      </w:r>
      <w:r w:rsidRPr="6555BE1C">
        <w:rPr>
          <w:snapToGrid/>
          <w:kern w:val="0"/>
        </w:rPr>
        <w:t>out p</w:t>
      </w:r>
      <w:r w:rsidRPr="6555BE1C" w:rsidR="545C9ACF">
        <w:rPr>
          <w:snapToGrid/>
          <w:kern w:val="0"/>
        </w:rPr>
        <w:t>hase</w:t>
      </w:r>
      <w:r w:rsidRPr="6555BE1C">
        <w:rPr>
          <w:snapToGrid/>
          <w:kern w:val="0"/>
        </w:rPr>
        <w:t xml:space="preserve">.  Entities that initiate the close-out process after </w:t>
      </w:r>
      <w:r w:rsidRPr="6555BE1C" w:rsidR="545C9ACF">
        <w:rPr>
          <w:snapToGrid/>
          <w:kern w:val="0"/>
        </w:rPr>
        <w:t xml:space="preserve">we make </w:t>
      </w:r>
      <w:r w:rsidRPr="6555BE1C">
        <w:rPr>
          <w:snapToGrid/>
          <w:kern w:val="0"/>
        </w:rPr>
        <w:t>the final allocation will proceed through a streamlined, single-step close-out process, resulting in a resource savings for both the entities and the Commission.</w:t>
      </w:r>
    </w:p>
    <w:p w:rsidR="00617793" w:rsidRPr="00617793" w:rsidP="00950C85" w14:paraId="420BD8AD" w14:textId="1060D644">
      <w:pPr>
        <w:widowControl/>
        <w:numPr>
          <w:ilvl w:val="0"/>
          <w:numId w:val="7"/>
        </w:numPr>
        <w:spacing w:before="120" w:after="120"/>
        <w:ind w:left="0" w:firstLine="810"/>
      </w:pPr>
      <w:r w:rsidRPr="6555BE1C">
        <w:rPr>
          <w:b/>
          <w:bCs/>
          <w:i/>
          <w:iCs/>
          <w:u w:val="single"/>
        </w:rPr>
        <w:t xml:space="preserve">Post-Implementation </w:t>
      </w:r>
      <w:r w:rsidRPr="6555BE1C" w:rsidR="2BB87285">
        <w:rPr>
          <w:b/>
          <w:bCs/>
          <w:i/>
          <w:iCs/>
          <w:u w:val="single"/>
        </w:rPr>
        <w:t>Site Visit Program</w:t>
      </w:r>
      <w:r w:rsidRPr="006F6FE2" w:rsidR="2BB87285">
        <w:rPr>
          <w:b/>
          <w:bCs/>
        </w:rPr>
        <w:t>.</w:t>
      </w:r>
      <w:r w:rsidR="2BB87285">
        <w:t xml:space="preserve">  </w:t>
      </w:r>
      <w:r w:rsidR="72E77378">
        <w:t xml:space="preserve">The Commission has long stated its intent to </w:t>
      </w:r>
      <w:r w:rsidR="4E336EB9">
        <w:t xml:space="preserve">conduct site visits to </w:t>
      </w:r>
      <w:r w:rsidR="72E77378">
        <w:t xml:space="preserve">confirm the existence </w:t>
      </w:r>
      <w:r w:rsidR="545C9ACF">
        <w:t xml:space="preserve">and proper use </w:t>
      </w:r>
      <w:r w:rsidR="72E77378">
        <w:t xml:space="preserve">of </w:t>
      </w:r>
      <w:r w:rsidR="4E336EB9">
        <w:t>equipment paid for from the Reimbursement</w:t>
      </w:r>
      <w:r w:rsidR="72E77378">
        <w:t xml:space="preserve"> Fund.</w:t>
      </w:r>
      <w:r>
        <w:rPr>
          <w:rStyle w:val="FootnoteReference"/>
        </w:rPr>
        <w:footnoteReference w:id="23"/>
      </w:r>
      <w:r w:rsidR="72E77378">
        <w:t xml:space="preserve">  Such review </w:t>
      </w:r>
      <w:r w:rsidR="2C7B7013">
        <w:t>procedures</w:t>
      </w:r>
      <w:r w:rsidR="72E77378">
        <w:t xml:space="preserve"> </w:t>
      </w:r>
      <w:r w:rsidRPr="006E1741" w:rsidR="2C7B7013">
        <w:t xml:space="preserve">are </w:t>
      </w:r>
      <w:r w:rsidR="2C7B7013">
        <w:t xml:space="preserve">deemed </w:t>
      </w:r>
      <w:r w:rsidRPr="006E1741" w:rsidR="2C7B7013">
        <w:t xml:space="preserve">essential in preventing </w:t>
      </w:r>
      <w:r w:rsidRPr="006845F5" w:rsidR="2C7B7013">
        <w:t xml:space="preserve">fraud, </w:t>
      </w:r>
      <w:r w:rsidR="1D812E33">
        <w:t xml:space="preserve">waste, </w:t>
      </w:r>
      <w:r w:rsidRPr="006845F5" w:rsidR="2C7B7013">
        <w:t>and abuse, and th</w:t>
      </w:r>
      <w:r w:rsidR="2C7B7013">
        <w:t>ereby max</w:t>
      </w:r>
      <w:r w:rsidRPr="006845F5" w:rsidR="2C7B7013">
        <w:t>imize the amount of money available for</w:t>
      </w:r>
      <w:r w:rsidRPr="006E1741" w:rsidR="2C7B7013">
        <w:t xml:space="preserve"> reimbursement.</w:t>
      </w:r>
      <w:r>
        <w:rPr>
          <w:rStyle w:val="FootnoteReference"/>
        </w:rPr>
        <w:footnoteReference w:id="24"/>
      </w:r>
      <w:r w:rsidRPr="006E1741" w:rsidR="2C7B7013">
        <w:t xml:space="preserve"> </w:t>
      </w:r>
      <w:r w:rsidR="2C7B7013">
        <w:t xml:space="preserve"> </w:t>
      </w:r>
      <w:r w:rsidR="0216AFCC">
        <w:t>Therefore</w:t>
      </w:r>
      <w:r w:rsidR="1D812E33">
        <w:t>,</w:t>
      </w:r>
      <w:r w:rsidR="0216AFCC">
        <w:t xml:space="preserve"> we will </w:t>
      </w:r>
      <w:r w:rsidR="1D812E33">
        <w:t xml:space="preserve">begin making </w:t>
      </w:r>
      <w:r w:rsidRPr="00DC2EA0" w:rsidR="11B24D96">
        <w:t>p</w:t>
      </w:r>
      <w:r w:rsidRPr="00DC2EA0" w:rsidR="5DA2A19F">
        <w:t>ost-</w:t>
      </w:r>
      <w:r w:rsidRPr="00DC2EA0" w:rsidR="11B24D96">
        <w:t>i</w:t>
      </w:r>
      <w:r w:rsidRPr="00DC2EA0" w:rsidR="5DA2A19F">
        <w:t>mplementation</w:t>
      </w:r>
      <w:r w:rsidR="5DA2A19F">
        <w:t xml:space="preserve"> </w:t>
      </w:r>
      <w:r w:rsidR="11B24D96">
        <w:t>s</w:t>
      </w:r>
      <w:r w:rsidR="5DA2A19F">
        <w:t xml:space="preserve">ite </w:t>
      </w:r>
      <w:r w:rsidR="11B24D96">
        <w:t>v</w:t>
      </w:r>
      <w:r w:rsidR="5DA2A19F">
        <w:t>isit</w:t>
      </w:r>
      <w:r w:rsidR="1D812E33">
        <w:t>s</w:t>
      </w:r>
      <w:r w:rsidRPr="00BE74FB" w:rsidR="5DA2A19F">
        <w:rPr>
          <w:snapToGrid/>
          <w:kern w:val="0"/>
          <w:szCs w:val="22"/>
        </w:rPr>
        <w:t xml:space="preserve"> </w:t>
      </w:r>
      <w:r w:rsidRPr="558F0A12" w:rsidR="1D812E33">
        <w:rPr>
          <w:snapToGrid/>
          <w:kern w:val="0"/>
        </w:rPr>
        <w:t xml:space="preserve">to </w:t>
      </w:r>
      <w:r w:rsidRPr="558F0A12" w:rsidR="5DA2A19F">
        <w:rPr>
          <w:snapToGrid/>
          <w:kern w:val="0"/>
        </w:rPr>
        <w:t xml:space="preserve">facilities of </w:t>
      </w:r>
      <w:r w:rsidRPr="558F0A12" w:rsidR="0216AFCC">
        <w:rPr>
          <w:snapToGrid/>
          <w:kern w:val="0"/>
        </w:rPr>
        <w:t xml:space="preserve">certain </w:t>
      </w:r>
      <w:r w:rsidRPr="558F0A12" w:rsidR="5DA2A19F">
        <w:rPr>
          <w:snapToGrid/>
          <w:kern w:val="0"/>
        </w:rPr>
        <w:t xml:space="preserve">Reimbursement Fund participants to validate the existence and </w:t>
      </w:r>
      <w:r w:rsidRPr="558F0A12" w:rsidR="5DA2A19F">
        <w:t>operational status of post</w:t>
      </w:r>
      <w:r w:rsidR="1D812E33">
        <w:rPr>
          <w:szCs w:val="22"/>
        </w:rPr>
        <w:t>-</w:t>
      </w:r>
      <w:r w:rsidRPr="558F0A12" w:rsidR="5DA2A19F">
        <w:t xml:space="preserve">transition </w:t>
      </w:r>
      <w:r w:rsidRPr="000C15D5" w:rsidR="5DA2A19F">
        <w:t>equipment</w:t>
      </w:r>
      <w:r w:rsidRPr="558F0A12" w:rsidR="5DA2A19F">
        <w:t xml:space="preserve"> for which the entity received reimbursement</w:t>
      </w:r>
      <w:r w:rsidR="1D812E33">
        <w:rPr>
          <w:szCs w:val="22"/>
        </w:rPr>
        <w:t>,</w:t>
      </w:r>
      <w:r w:rsidRPr="558F0A12" w:rsidR="5DA2A19F">
        <w:t xml:space="preserve"> and</w:t>
      </w:r>
      <w:r w:rsidRPr="558F0A12" w:rsidR="1D812E33">
        <w:t xml:space="preserve"> to ensure</w:t>
      </w:r>
      <w:r w:rsidRPr="558F0A12" w:rsidR="5DA2A19F">
        <w:t xml:space="preserve"> that such equipment is being used </w:t>
      </w:r>
      <w:r w:rsidRPr="558F0A12" w:rsidR="18C80C65">
        <w:t xml:space="preserve">by the fund participant </w:t>
      </w:r>
      <w:r w:rsidRPr="558F0A12" w:rsidR="5DA2A19F">
        <w:t xml:space="preserve">for its intended purpose.  </w:t>
      </w:r>
    </w:p>
    <w:p w:rsidR="00950C85" w:rsidP="00950C85" w14:paraId="5ACFDE8E" w14:textId="10E5D0D3">
      <w:pPr>
        <w:widowControl/>
        <w:numPr>
          <w:ilvl w:val="0"/>
          <w:numId w:val="7"/>
        </w:numPr>
        <w:spacing w:before="120" w:after="120"/>
        <w:ind w:left="0" w:firstLine="810"/>
      </w:pPr>
      <w:r>
        <w:t xml:space="preserve">Not every </w:t>
      </w:r>
      <w:r w:rsidR="000A2C65">
        <w:t>Fund participant</w:t>
      </w:r>
      <w:r>
        <w:t xml:space="preserve"> will be visited.  Instead, we will randomly select a statistically valid sample of Fund </w:t>
      </w:r>
      <w:r w:rsidR="00DC2EA0">
        <w:t>participants</w:t>
      </w:r>
      <w:r>
        <w:t xml:space="preserve"> </w:t>
      </w:r>
      <w:r w:rsidR="00DC2EA0">
        <w:t xml:space="preserve">located </w:t>
      </w:r>
      <w:r>
        <w:t>in the contiguous United States</w:t>
      </w:r>
      <w:r w:rsidR="00C3341A">
        <w:t>.</w:t>
      </w:r>
      <w:r>
        <w:rPr>
          <w:rStyle w:val="FootnoteReference"/>
        </w:rPr>
        <w:footnoteReference w:id="25"/>
      </w:r>
      <w:r w:rsidR="00C3341A">
        <w:t xml:space="preserve">  In addition, other Fund participants may be selected for site visits based on specific facts or circumstances.</w:t>
      </w:r>
      <w:r w:rsidRPr="00976F39">
        <w:t xml:space="preserve"> </w:t>
      </w:r>
      <w:r>
        <w:t xml:space="preserve"> </w:t>
      </w:r>
    </w:p>
    <w:p w:rsidR="00950C85" w:rsidP="00950C85" w14:paraId="7399D91B" w14:textId="0B3F3497">
      <w:pPr>
        <w:widowControl/>
        <w:numPr>
          <w:ilvl w:val="0"/>
          <w:numId w:val="7"/>
        </w:numPr>
        <w:spacing w:before="120" w:after="120"/>
        <w:ind w:left="0" w:firstLine="810"/>
      </w:pPr>
      <w:r>
        <w:t>A</w:t>
      </w:r>
      <w:r w:rsidRPr="00573318">
        <w:t xml:space="preserve"> third-party contractor </w:t>
      </w:r>
      <w:r w:rsidR="2BB87285">
        <w:t xml:space="preserve">will </w:t>
      </w:r>
      <w:r>
        <w:t>conduct the site visits</w:t>
      </w:r>
      <w:r w:rsidR="2BB87285">
        <w:t>.</w:t>
      </w:r>
      <w:r>
        <w:rPr>
          <w:rStyle w:val="FootnoteReference"/>
        </w:rPr>
        <w:footnoteReference w:id="26"/>
      </w:r>
      <w:r w:rsidR="2BB87285">
        <w:t xml:space="preserve">  </w:t>
      </w:r>
      <w:r w:rsidR="377BDBDD">
        <w:t>We anticipate that e</w:t>
      </w:r>
      <w:r w:rsidR="2BB87285">
        <w:t>ach site visit</w:t>
      </w:r>
      <w:r w:rsidR="377BDBDD">
        <w:t xml:space="preserve"> will</w:t>
      </w:r>
      <w:r w:rsidR="2BB87285">
        <w:t xml:space="preserve"> consist of one or two contractor staff</w:t>
      </w:r>
      <w:r w:rsidR="377BDBDD">
        <w:t xml:space="preserve"> who will spend </w:t>
      </w:r>
      <w:r w:rsidR="2BB87285">
        <w:t>one or two day</w:t>
      </w:r>
      <w:r w:rsidR="377BDBDD">
        <w:t>s</w:t>
      </w:r>
      <w:r w:rsidR="2BB87285">
        <w:t xml:space="preserve"> on</w:t>
      </w:r>
      <w:r w:rsidR="351E18DE">
        <w:t xml:space="preserve"> </w:t>
      </w:r>
      <w:r w:rsidR="2BB87285">
        <w:t>site</w:t>
      </w:r>
      <w:r w:rsidR="377BDBDD">
        <w:t xml:space="preserve"> to</w:t>
      </w:r>
      <w:r w:rsidR="2BB87285">
        <w:t xml:space="preserve"> physical</w:t>
      </w:r>
      <w:r w:rsidR="377BDBDD">
        <w:t>ly</w:t>
      </w:r>
      <w:r w:rsidR="2BB87285">
        <w:t xml:space="preserve"> inspect the facility and equipment.  While on site, the contractor staff </w:t>
      </w:r>
      <w:r w:rsidR="377BDBDD">
        <w:t xml:space="preserve">also </w:t>
      </w:r>
      <w:r w:rsidR="2BB87285">
        <w:t xml:space="preserve">will verify the existence and functionality of equipment listed in the </w:t>
      </w:r>
      <w:r w:rsidR="716F8BE9">
        <w:t xml:space="preserve">entity’s </w:t>
      </w:r>
      <w:r w:rsidR="2BB87285">
        <w:t xml:space="preserve">Reimbursement Form.  The contractor will report </w:t>
      </w:r>
      <w:r w:rsidR="69EB1106">
        <w:t>its</w:t>
      </w:r>
      <w:r w:rsidR="351E18DE">
        <w:t xml:space="preserve"> </w:t>
      </w:r>
      <w:r w:rsidR="2BB87285">
        <w:t xml:space="preserve">findings </w:t>
      </w:r>
      <w:r w:rsidR="377BDBDD">
        <w:t>to</w:t>
      </w:r>
      <w:r w:rsidR="2BB87285">
        <w:t xml:space="preserve"> </w:t>
      </w:r>
      <w:r w:rsidR="49C4DE50">
        <w:t>us</w:t>
      </w:r>
      <w:r w:rsidR="377BDBDD">
        <w:t xml:space="preserve"> for</w:t>
      </w:r>
      <w:r w:rsidR="2BB87285">
        <w:t xml:space="preserve"> review.</w:t>
      </w:r>
      <w:r>
        <w:rPr>
          <w:rStyle w:val="FootnoteReference"/>
        </w:rPr>
        <w:footnoteReference w:id="27"/>
      </w:r>
    </w:p>
    <w:p w:rsidR="00950C85" w:rsidP="00950C85" w14:paraId="460B60E9" w14:textId="36D05F12">
      <w:pPr>
        <w:numPr>
          <w:ilvl w:val="0"/>
          <w:numId w:val="7"/>
        </w:numPr>
        <w:spacing w:before="120" w:after="120"/>
        <w:ind w:left="0" w:firstLine="810"/>
      </w:pPr>
      <w:r>
        <w:t>We will notify e</w:t>
      </w:r>
      <w:r w:rsidR="5DFD92E1">
        <w:t>ntities</w:t>
      </w:r>
      <w:r w:rsidR="2BB87285">
        <w:t xml:space="preserve"> selected </w:t>
      </w:r>
      <w:r w:rsidR="377BDBDD">
        <w:t>for</w:t>
      </w:r>
      <w:r w:rsidR="0502C865">
        <w:t xml:space="preserve"> site visit</w:t>
      </w:r>
      <w:r w:rsidR="377BDBDD">
        <w:t>s</w:t>
      </w:r>
      <w:r w:rsidR="0502C865">
        <w:t xml:space="preserve"> </w:t>
      </w:r>
      <w:r w:rsidR="2BB87285">
        <w:t xml:space="preserve">and the contractor will </w:t>
      </w:r>
      <w:r w:rsidR="351E18DE">
        <w:t>provide</w:t>
      </w:r>
      <w:r w:rsidR="5BED14A9">
        <w:t xml:space="preserve"> them</w:t>
      </w:r>
      <w:r w:rsidR="351E18DE">
        <w:t xml:space="preserve"> </w:t>
      </w:r>
      <w:r w:rsidR="678FE28D">
        <w:t xml:space="preserve">the opportunity to </w:t>
      </w:r>
      <w:r w:rsidR="2BB87285">
        <w:t xml:space="preserve">participate in a pre-visit teleconference to coordinate timing and other details of the visit.  Letters will be sent by both overnight mail and email to the </w:t>
      </w:r>
      <w:r w:rsidR="716F8BE9">
        <w:t>entity</w:t>
      </w:r>
      <w:r w:rsidR="5DFD92E1">
        <w:t>’s</w:t>
      </w:r>
      <w:r w:rsidR="2BB87285">
        <w:t xml:space="preserve"> reimbursement point of contact and counsel of record.  Pre-visit teleconferences will be set at mutually convenient time</w:t>
      </w:r>
      <w:r w:rsidR="678FE28D">
        <w:t>s</w:t>
      </w:r>
      <w:r w:rsidR="2BB87285">
        <w:t xml:space="preserve"> thereafter.  </w:t>
      </w:r>
      <w:r w:rsidR="377BDBDD">
        <w:t>S</w:t>
      </w:r>
      <w:r w:rsidR="2BB87285">
        <w:t xml:space="preserve">ite visits are expected </w:t>
      </w:r>
      <w:r w:rsidR="5DFD92E1">
        <w:t>to</w:t>
      </w:r>
      <w:r w:rsidR="2BB87285">
        <w:t xml:space="preserve"> </w:t>
      </w:r>
      <w:r w:rsidR="3F55CE4B">
        <w:t xml:space="preserve">begin in </w:t>
      </w:r>
      <w:r w:rsidR="2BB87285">
        <w:t>Ma</w:t>
      </w:r>
      <w:r w:rsidR="3F55CE4B">
        <w:t>rch</w:t>
      </w:r>
      <w:r w:rsidR="2BB87285">
        <w:t xml:space="preserve"> 20</w:t>
      </w:r>
      <w:r w:rsidR="3F55CE4B">
        <w:t>22</w:t>
      </w:r>
      <w:r w:rsidR="5DFD92E1">
        <w:t xml:space="preserve"> and </w:t>
      </w:r>
      <w:r w:rsidR="377BDBDD">
        <w:t>continue</w:t>
      </w:r>
      <w:r w:rsidR="5DFD92E1">
        <w:t xml:space="preserve"> throughout 2022</w:t>
      </w:r>
      <w:r w:rsidR="3F55CE4B">
        <w:t>.</w:t>
      </w:r>
    </w:p>
    <w:p w:rsidR="001F381B" w:rsidRPr="00C141D0" w:rsidP="001F381B" w14:paraId="6FC8283F" w14:textId="72DBFD9E">
      <w:pPr>
        <w:numPr>
          <w:ilvl w:val="0"/>
          <w:numId w:val="7"/>
        </w:numPr>
        <w:spacing w:before="120" w:after="120"/>
        <w:ind w:left="0" w:firstLine="810"/>
      </w:pPr>
      <w:r w:rsidRPr="558F0A12">
        <w:rPr>
          <w:b/>
          <w:bCs/>
          <w:i/>
          <w:iCs/>
          <w:u w:val="single"/>
        </w:rPr>
        <w:t>Invoice Filing Deadline</w:t>
      </w:r>
      <w:r w:rsidR="00C04DC1">
        <w:rPr>
          <w:b/>
          <w:bCs/>
          <w:i/>
          <w:iCs/>
          <w:u w:val="single"/>
        </w:rPr>
        <w:t>s</w:t>
      </w:r>
      <w:r w:rsidRPr="558F0A12">
        <w:rPr>
          <w:b/>
          <w:bCs/>
          <w:i/>
          <w:iCs/>
        </w:rPr>
        <w:t>.</w:t>
      </w:r>
      <w:r>
        <w:t xml:space="preserve">  A</w:t>
      </w:r>
      <w:r w:rsidRPr="558F0A12">
        <w:rPr>
          <w:snapToGrid/>
          <w:kern w:val="0"/>
        </w:rPr>
        <w:t>ll full power and Class A TV stations</w:t>
      </w:r>
      <w:r w:rsidRPr="558F0A12">
        <w:rPr>
          <w:b/>
          <w:bCs/>
          <w:snapToGrid/>
          <w:kern w:val="0"/>
        </w:rPr>
        <w:t xml:space="preserve"> </w:t>
      </w:r>
      <w:r w:rsidRPr="558F0A12">
        <w:rPr>
          <w:snapToGrid/>
          <w:kern w:val="0"/>
        </w:rPr>
        <w:t>assigned transition completion dates in phases 6</w:t>
      </w:r>
      <w:r w:rsidRPr="00B46FCD">
        <w:rPr>
          <w:snapToGrid/>
          <w:kern w:val="0"/>
          <w:szCs w:val="22"/>
        </w:rPr>
        <w:t>-</w:t>
      </w:r>
      <w:r w:rsidRPr="558F0A12">
        <w:rPr>
          <w:snapToGrid/>
          <w:kern w:val="0"/>
        </w:rPr>
        <w:t>10 of the Transition Scheduling Plan</w:t>
      </w:r>
      <w:r>
        <w:rPr>
          <w:rStyle w:val="FootnoteReference"/>
          <w:snapToGrid/>
          <w:kern w:val="0"/>
        </w:rPr>
        <w:footnoteReference w:id="28"/>
      </w:r>
      <w:r w:rsidRPr="558F0A12">
        <w:rPr>
          <w:snapToGrid/>
          <w:kern w:val="0"/>
        </w:rPr>
        <w:t xml:space="preserve"> must submit all remaining invoices for reimbursement from the Fund using the Reimbursement Form no later than </w:t>
      </w:r>
      <w:r w:rsidRPr="558F0A12">
        <w:rPr>
          <w:b/>
          <w:bCs/>
          <w:snapToGrid/>
          <w:kern w:val="0"/>
        </w:rPr>
        <w:t>March 22, 2022</w:t>
      </w:r>
      <w:r w:rsidRPr="00B46FCD">
        <w:rPr>
          <w:snapToGrid/>
          <w:kern w:val="0"/>
          <w:szCs w:val="22"/>
        </w:rPr>
        <w:t>.</w:t>
      </w:r>
      <w:r>
        <w:rPr>
          <w:rStyle w:val="FootnoteReference"/>
          <w:snapToGrid/>
          <w:kern w:val="0"/>
        </w:rPr>
        <w:footnoteReference w:id="29"/>
      </w:r>
      <w:r w:rsidRPr="00B46FCD">
        <w:rPr>
          <w:snapToGrid/>
          <w:kern w:val="0"/>
          <w:szCs w:val="22"/>
        </w:rPr>
        <w:t xml:space="preserve"> </w:t>
      </w:r>
      <w:r>
        <w:rPr>
          <w:snapToGrid/>
          <w:kern w:val="0"/>
          <w:szCs w:val="22"/>
        </w:rPr>
        <w:t xml:space="preserve"> </w:t>
      </w:r>
    </w:p>
    <w:p w:rsidR="00BC017E" w:rsidRPr="00BC017E" w:rsidP="558F0A12" w14:paraId="795F7AF8" w14:textId="77777777">
      <w:pPr>
        <w:numPr>
          <w:ilvl w:val="0"/>
          <w:numId w:val="7"/>
        </w:numPr>
        <w:spacing w:before="120" w:after="120"/>
        <w:ind w:left="0" w:firstLine="810"/>
      </w:pPr>
      <w:r>
        <w:t>Entities do not need to wait for the deadline to</w:t>
      </w:r>
      <w:r w:rsidR="4101AF14">
        <w:t xml:space="preserve"> submit all remaining invoices and initiate close-out procedures.</w:t>
      </w:r>
      <w:r w:rsidRPr="002D4169" w:rsidR="4101AF14">
        <w:rPr>
          <w:snapToGrid/>
          <w:kern w:val="0"/>
          <w:szCs w:val="22"/>
        </w:rPr>
        <w:t xml:space="preserve"> </w:t>
      </w:r>
      <w:r w:rsidR="4101AF14">
        <w:rPr>
          <w:snapToGrid/>
          <w:kern w:val="0"/>
          <w:szCs w:val="22"/>
        </w:rPr>
        <w:t xml:space="preserve"> </w:t>
      </w:r>
      <w:r w:rsidR="4101AF14">
        <w:t>E</w:t>
      </w:r>
      <w:r w:rsidRPr="6991BD77" w:rsidR="4101AF14">
        <w:t>xtensions of the assigned invoice submission deadlines</w:t>
      </w:r>
      <w:r w:rsidR="4101AF14">
        <w:t xml:space="preserve"> should not be required.</w:t>
      </w:r>
      <w:r>
        <w:rPr>
          <w:rStyle w:val="FootnoteReference"/>
        </w:rPr>
        <w:footnoteReference w:id="30"/>
      </w:r>
      <w:r w:rsidRPr="002D4169" w:rsidR="4101AF14">
        <w:rPr>
          <w:bCs/>
        </w:rPr>
        <w:t xml:space="preserve">  </w:t>
      </w:r>
      <w:r w:rsidRPr="558F0A12" w:rsidR="4101AF14">
        <w:t>In the event a station subject to the March 22, 2022</w:t>
      </w:r>
      <w:r w:rsidRPr="558F0A12" w:rsidR="7E811561">
        <w:t>,</w:t>
      </w:r>
      <w:r w:rsidRPr="558F0A12" w:rsidR="4101AF14">
        <w:t xml:space="preserve"> deadline faces circumstances beyond its control, however, we will consider a limited extension by means of shifting to the third, and last, invoice filing deadline assignment</w:t>
      </w:r>
      <w:r w:rsidRPr="558F0A12" w:rsidR="377BDBDD">
        <w:t xml:space="preserve"> of</w:t>
      </w:r>
      <w:r w:rsidRPr="558F0A12" w:rsidR="4101AF14">
        <w:t xml:space="preserve"> September 6, 2022.  An entity requesting such a shift will have to provide evidence that circumstances requiring the extension were outside of its control, such as local zoning or a force majeure event occurring proximate to the final submission deadline.</w:t>
      </w:r>
      <w:r w:rsidRPr="00AF6BB5" w:rsidR="4101AF14">
        <w:rPr>
          <w:rStyle w:val="FootnoteReference"/>
        </w:rPr>
        <w:t xml:space="preserve"> </w:t>
      </w:r>
      <w:r>
        <w:rPr>
          <w:rStyle w:val="FootnoteReference"/>
        </w:rPr>
        <w:footnoteReference w:id="31"/>
      </w:r>
      <w:r w:rsidR="4101AF14">
        <w:rPr>
          <w:bCs/>
        </w:rPr>
        <w:t xml:space="preserve">  </w:t>
      </w:r>
    </w:p>
    <w:p w:rsidR="001F381B" w:rsidRPr="00267910" w:rsidP="558F0A12" w14:paraId="6CBCE746" w14:textId="44D9FA2D">
      <w:pPr>
        <w:numPr>
          <w:ilvl w:val="0"/>
          <w:numId w:val="7"/>
        </w:numPr>
        <w:spacing w:before="120" w:after="120"/>
        <w:ind w:left="0" w:firstLine="810"/>
      </w:pPr>
      <w:r w:rsidRPr="00950C85">
        <w:t>The</w:t>
      </w:r>
      <w:r>
        <w:t xml:space="preserve"> Fund Administrator will initiate close out for any entity that has failed to initiate the process by the invoice filing deadline assigned to that entity.  Any unused allocations made to that entity’s account will be returned to the Fund and made available for allocation to other program participants.</w:t>
      </w:r>
    </w:p>
    <w:p w:rsidR="000476CF" w:rsidP="002D4169" w14:paraId="2D2D40F4" w14:textId="7BED7DB5">
      <w:pPr>
        <w:numPr>
          <w:ilvl w:val="0"/>
          <w:numId w:val="7"/>
        </w:numPr>
        <w:spacing w:before="120" w:after="120"/>
        <w:ind w:left="0" w:firstLine="810"/>
      </w:pPr>
      <w:r>
        <w:t>The third</w:t>
      </w:r>
      <w:r w:rsidR="5DFD92E1">
        <w:t>,</w:t>
      </w:r>
      <w:r>
        <w:t xml:space="preserve"> and last</w:t>
      </w:r>
      <w:r w:rsidR="5DFD92E1">
        <w:t>,</w:t>
      </w:r>
      <w:r>
        <w:t xml:space="preserve"> invoice filing deadline</w:t>
      </w:r>
      <w:r w:rsidR="7F7B6F00">
        <w:t xml:space="preserve"> of </w:t>
      </w:r>
      <w:r w:rsidRPr="00D60A51" w:rsidR="5DFD92E1">
        <w:rPr>
          <w:b/>
          <w:bCs/>
        </w:rPr>
        <w:t>September 6, 2022</w:t>
      </w:r>
      <w:r w:rsidR="5DFD92E1">
        <w:t>, applies to all MVPDs, FM stations, and LPTV/translator stations.</w:t>
      </w:r>
      <w:r>
        <w:rPr>
          <w:rStyle w:val="FootnoteReference"/>
        </w:rPr>
        <w:footnoteReference w:id="32"/>
      </w:r>
      <w:r>
        <w:t xml:space="preserve"> </w:t>
      </w:r>
      <w:r w:rsidR="5DFD92E1">
        <w:t xml:space="preserve"> </w:t>
      </w:r>
    </w:p>
    <w:p w:rsidR="009E3B8B" w:rsidP="002D4169" w14:paraId="3C218B3C" w14:textId="39891BC1">
      <w:pPr>
        <w:numPr>
          <w:ilvl w:val="0"/>
          <w:numId w:val="7"/>
        </w:numPr>
        <w:spacing w:before="120" w:after="120"/>
        <w:ind w:left="0" w:firstLine="810"/>
      </w:pPr>
      <w:r w:rsidRPr="006B49DB">
        <w:rPr>
          <w:b/>
          <w:bCs/>
          <w:i/>
          <w:iCs/>
          <w:u w:val="single"/>
        </w:rPr>
        <w:t>Record Retention</w:t>
      </w:r>
      <w:r w:rsidRPr="6555BE1C">
        <w:rPr>
          <w:b/>
          <w:bCs/>
          <w:i/>
          <w:iCs/>
        </w:rPr>
        <w:t xml:space="preserve">.  </w:t>
      </w:r>
      <w:r w:rsidR="2714497A">
        <w:t xml:space="preserve">We </w:t>
      </w:r>
      <w:r w:rsidR="5DFD92E1">
        <w:t xml:space="preserve">again </w:t>
      </w:r>
      <w:r w:rsidR="2714497A">
        <w:t>remind participants</w:t>
      </w:r>
      <w:r w:rsidRPr="00BA38A9" w:rsidR="2714497A">
        <w:t xml:space="preserve"> </w:t>
      </w:r>
      <w:r w:rsidR="2714497A">
        <w:t>that they must retain</w:t>
      </w:r>
      <w:r w:rsidRPr="00BA38A9" w:rsidR="2714497A">
        <w:t xml:space="preserve"> document</w:t>
      </w:r>
      <w:r w:rsidR="2714497A">
        <w:t>s</w:t>
      </w:r>
      <w:r w:rsidRPr="00BA38A9" w:rsidR="2714497A">
        <w:t xml:space="preserve"> </w:t>
      </w:r>
      <w:r w:rsidRPr="007F239A" w:rsidR="2714497A">
        <w:t xml:space="preserve">for a period ending 10 years after the date </w:t>
      </w:r>
      <w:r w:rsidR="2714497A">
        <w:t>they</w:t>
      </w:r>
      <w:r w:rsidRPr="007F239A" w:rsidR="2714497A">
        <w:t xml:space="preserve"> receive </w:t>
      </w:r>
      <w:r w:rsidR="2714497A">
        <w:t>their</w:t>
      </w:r>
      <w:r w:rsidRPr="007F239A" w:rsidR="2714497A">
        <w:t xml:space="preserve"> final payment</w:t>
      </w:r>
      <w:r w:rsidR="2714497A">
        <w:t>s</w:t>
      </w:r>
      <w:r w:rsidRPr="007F239A" w:rsidR="2714497A">
        <w:t xml:space="preserve"> from the Reimbursement Fund</w:t>
      </w:r>
      <w:r w:rsidRPr="00195146" w:rsidR="2714497A">
        <w:t>.</w:t>
      </w:r>
      <w:r>
        <w:rPr>
          <w:rStyle w:val="FootnoteReference"/>
        </w:rPr>
        <w:footnoteReference w:id="33"/>
      </w:r>
      <w:r w:rsidR="2714497A">
        <w:t xml:space="preserve"> </w:t>
      </w:r>
      <w:r w:rsidR="3DD67E14">
        <w:t>Additionally, e</w:t>
      </w:r>
      <w:r w:rsidRPr="00195146" w:rsidR="6CA8BEFA">
        <w:t xml:space="preserve">ntities may be selected for audits, data validations, and </w:t>
      </w:r>
      <w:r w:rsidRPr="00D80582" w:rsidR="6CA8BEFA">
        <w:t>site visits</w:t>
      </w:r>
      <w:r w:rsidRPr="00195146" w:rsidR="6CA8BEFA">
        <w:t xml:space="preserve"> </w:t>
      </w:r>
      <w:r w:rsidR="6CA8BEFA">
        <w:t xml:space="preserve">at any time during the repack and reimbursement process, i.e., </w:t>
      </w:r>
      <w:r w:rsidRPr="00195146" w:rsidR="6CA8BEFA">
        <w:t xml:space="preserve">before or after </w:t>
      </w:r>
      <w:r w:rsidR="6CA8BEFA">
        <w:t>the entity</w:t>
      </w:r>
      <w:r w:rsidRPr="00195146" w:rsidR="6CA8BEFA">
        <w:t xml:space="preserve"> has complete</w:t>
      </w:r>
      <w:r w:rsidR="6CA8BEFA">
        <w:t>d</w:t>
      </w:r>
      <w:r w:rsidRPr="00195146" w:rsidR="6CA8BEFA">
        <w:t xml:space="preserve"> its construction project</w:t>
      </w:r>
      <w:r w:rsidR="6CA8BEFA">
        <w:t>;</w:t>
      </w:r>
      <w:r w:rsidRPr="00195146" w:rsidR="6CA8BEFA">
        <w:t xml:space="preserve"> during the </w:t>
      </w:r>
      <w:r w:rsidR="6CA8BEFA">
        <w:t>c</w:t>
      </w:r>
      <w:r w:rsidRPr="00195146" w:rsidR="6CA8BEFA">
        <w:t>lose-out period</w:t>
      </w:r>
      <w:r w:rsidR="6CA8BEFA">
        <w:t xml:space="preserve">; </w:t>
      </w:r>
      <w:r w:rsidRPr="00195146" w:rsidR="6CA8BEFA">
        <w:t>or</w:t>
      </w:r>
      <w:r w:rsidR="6CA8BEFA">
        <w:t xml:space="preserve"> at a time</w:t>
      </w:r>
      <w:r w:rsidRPr="00195146" w:rsidR="6CA8BEFA">
        <w:t xml:space="preserve"> thereafter</w:t>
      </w:r>
      <w:r w:rsidR="6CA8BEFA">
        <w:t xml:space="preserve">.  </w:t>
      </w:r>
    </w:p>
    <w:p w:rsidR="00A726A1" w:rsidRPr="00B715D7" w:rsidP="002D4169" w14:paraId="6DE75848" w14:textId="77777777">
      <w:pPr>
        <w:numPr>
          <w:ilvl w:val="0"/>
          <w:numId w:val="7"/>
        </w:numPr>
        <w:spacing w:before="120" w:after="120"/>
        <w:ind w:left="0" w:firstLine="810"/>
      </w:pPr>
      <w:r w:rsidRPr="6991BD77">
        <w:rPr>
          <w:snapToGrid/>
          <w:kern w:val="0"/>
        </w:rPr>
        <w:t xml:space="preserve">For </w:t>
      </w:r>
      <w:r w:rsidRPr="00396B10">
        <w:t>additional</w:t>
      </w:r>
      <w:r w:rsidRPr="000927A5">
        <w:rPr>
          <w:snapToGrid/>
          <w:kern w:val="0"/>
          <w:szCs w:val="22"/>
        </w:rPr>
        <w:t xml:space="preserve"> </w:t>
      </w:r>
      <w:r w:rsidRPr="002D4169">
        <w:t>information</w:t>
      </w:r>
      <w:r w:rsidRPr="6991BD77">
        <w:rPr>
          <w:snapToGrid/>
          <w:kern w:val="0"/>
        </w:rPr>
        <w:t xml:space="preserve"> or questions about the reimbursement process, please call the Reimbursement Help Line at (202) 418-2009, or e-mail </w:t>
      </w:r>
      <w:hyperlink r:id="rId5" w:history="1">
        <w:r w:rsidRPr="6991BD77">
          <w:rPr>
            <w:rStyle w:val="Hyperlink"/>
            <w:snapToGrid/>
            <w:kern w:val="0"/>
          </w:rPr>
          <w:t>Reimburse@fcc.gov</w:t>
        </w:r>
      </w:hyperlink>
      <w:r>
        <w:rPr>
          <w:snapToGrid/>
          <w:kern w:val="0"/>
          <w:szCs w:val="22"/>
        </w:rPr>
        <w:t>.</w:t>
      </w:r>
    </w:p>
    <w:p w:rsidR="00B715D7" w:rsidRPr="00A726A1" w:rsidP="00B715D7" w14:paraId="5F32BA0A" w14:textId="77777777">
      <w:pPr>
        <w:spacing w:before="120" w:after="120"/>
        <w:ind w:left="810"/>
      </w:pPr>
    </w:p>
    <w:p w:rsidR="00F96F63" w:rsidRPr="00A726A1" w:rsidP="00A726A1" w14:paraId="38180373" w14:textId="77777777">
      <w:pPr>
        <w:jc w:val="center"/>
      </w:pPr>
      <w:r w:rsidRPr="000927A5">
        <w:rPr>
          <w:b/>
          <w:szCs w:val="22"/>
        </w:rPr>
        <w:t>–FCC–</w:t>
      </w:r>
    </w:p>
    <w:p w:rsidR="00930ECF" w:rsidRPr="00930ECF" w:rsidP="00AE1E90" w14:paraId="0C492940" w14:textId="30EFBC9A">
      <w:pPr>
        <w:rPr>
          <w:sz w:val="24"/>
        </w:rPr>
      </w:pPr>
    </w:p>
    <w:sectPr w:rsidSect="000E5884">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B1826" w:rsidP="0055614C" w14:paraId="789AF6E9" w14:textId="77777777">
    <w:pPr>
      <w:pStyle w:val="Footer"/>
      <w:framePr w:wrap="around" w:vAnchor="text" w:hAnchor="margin" w:xAlign="center" w:y="1"/>
    </w:pPr>
    <w:r>
      <w:fldChar w:fldCharType="begin"/>
    </w:r>
    <w:r>
      <w:instrText xml:space="preserve">PAGE  </w:instrText>
    </w:r>
    <w:r>
      <w:fldChar w:fldCharType="separate"/>
    </w:r>
    <w:r>
      <w:fldChar w:fldCharType="end"/>
    </w:r>
  </w:p>
  <w:p w:rsidR="001B1826" w14:paraId="6BFF53EF"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B1826" w:rsidP="00910F12" w14:paraId="71AC0C04"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B1826" w14:paraId="45E6F2FE"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1B1826" w14:paraId="6DC020E3" w14:textId="77777777">
      <w:r>
        <w:separator/>
      </w:r>
    </w:p>
  </w:footnote>
  <w:footnote w:type="continuationSeparator" w:id="1">
    <w:p w:rsidR="001B1826" w14:paraId="5846718F" w14:textId="77777777">
      <w:pPr>
        <w:rPr>
          <w:sz w:val="20"/>
        </w:rPr>
      </w:pPr>
      <w:r>
        <w:rPr>
          <w:sz w:val="20"/>
        </w:rPr>
        <w:t xml:space="preserve">(Continued from previous page)  </w:t>
      </w:r>
      <w:r>
        <w:rPr>
          <w:sz w:val="20"/>
        </w:rPr>
        <w:separator/>
      </w:r>
    </w:p>
  </w:footnote>
  <w:footnote w:type="continuationNotice" w:id="2">
    <w:p w:rsidR="001B1826" w:rsidP="00910F12" w14:paraId="314B685C" w14:textId="77777777">
      <w:pPr>
        <w:jc w:val="right"/>
        <w:rPr>
          <w:sz w:val="20"/>
        </w:rPr>
      </w:pPr>
      <w:r>
        <w:rPr>
          <w:sz w:val="20"/>
        </w:rPr>
        <w:t>(continued….)</w:t>
      </w:r>
    </w:p>
  </w:footnote>
  <w:footnote w:id="3">
    <w:p w:rsidR="00DD4D55" w14:paraId="786DB8AF" w14:textId="5A038A36">
      <w:pPr>
        <w:pStyle w:val="FootnoteText"/>
      </w:pPr>
      <w:r>
        <w:rPr>
          <w:rStyle w:val="FootnoteReference"/>
        </w:rPr>
        <w:footnoteRef/>
      </w:r>
      <w:r>
        <w:t xml:space="preserve"> Middle Class Tax Relief and Job Creation Act of 2012, Pub. L. No. 112-96, §§ 6402 (codified at 47 U.S.C. §309(j)(8)(G)), 6403 (codified at 47 U.S.C. § 1452), 126 Stat. 156 (2012) (Spectrum Act).  </w:t>
      </w:r>
    </w:p>
  </w:footnote>
  <w:footnote w:id="4">
    <w:p w:rsidR="001B1826" w:rsidP="008B62E4" w14:paraId="13919C16" w14:textId="4A7747B9">
      <w:pPr>
        <w:pStyle w:val="FootnoteText"/>
        <w:widowControl w:val="0"/>
      </w:pPr>
      <w:r>
        <w:rPr>
          <w:rStyle w:val="FootnoteReference"/>
        </w:rPr>
        <w:footnoteRef/>
      </w:r>
      <w:r>
        <w:t xml:space="preserve"> </w:t>
      </w:r>
      <w:r w:rsidRPr="00BA38A9" w:rsidR="00A71926">
        <w:t xml:space="preserve">This included 957 </w:t>
      </w:r>
      <w:r w:rsidR="00A71926">
        <w:t xml:space="preserve">repacked </w:t>
      </w:r>
      <w:r w:rsidRPr="00BA38A9" w:rsidR="00A71926">
        <w:t>stations</w:t>
      </w:r>
      <w:r w:rsidR="00A71926">
        <w:t xml:space="preserve"> eligible for reimbursement</w:t>
      </w:r>
      <w:r w:rsidRPr="00BA38A9" w:rsidR="00A71926">
        <w:t xml:space="preserve"> </w:t>
      </w:r>
      <w:r w:rsidR="00A71926">
        <w:t xml:space="preserve">and </w:t>
      </w:r>
      <w:r w:rsidRPr="00BA38A9" w:rsidR="00A71926">
        <w:t>30 band-changing winners from the reverse auction.</w:t>
      </w:r>
      <w:r w:rsidR="00A71926">
        <w:t xml:space="preserve">  </w:t>
      </w:r>
      <w:r w:rsidR="00A71926">
        <w:rPr>
          <w:i/>
          <w:iCs/>
        </w:rPr>
        <w:t xml:space="preserve">See </w:t>
      </w:r>
      <w:r>
        <w:rPr>
          <w:i/>
        </w:rPr>
        <w:t>Incentive Auction Closing and Channel Reassignment Public Notice; The Broadcast Television Incentive Auction Closes; Reverse Auction and Forward Auction Results Announced; Final Television Band Channel Assignments Announced; Post-Auction Deadlines Announced</w:t>
      </w:r>
      <w:r>
        <w:t xml:space="preserve">, Public Notice, 32 FCC </w:t>
      </w:r>
      <w:r>
        <w:t>Rcd</w:t>
      </w:r>
      <w:r>
        <w:t xml:space="preserve"> 2786 (IATF</w:t>
      </w:r>
      <w:r w:rsidR="00475DE7">
        <w:t>/</w:t>
      </w:r>
      <w:r>
        <w:t xml:space="preserve"> MB</w:t>
      </w:r>
      <w:r w:rsidR="00475DE7">
        <w:t>/</w:t>
      </w:r>
      <w:r>
        <w:t>WTB 2017) (</w:t>
      </w:r>
      <w:r>
        <w:rPr>
          <w:i/>
        </w:rPr>
        <w:t>Closing and Channel Reassignment PN</w:t>
      </w:r>
      <w:r>
        <w:t xml:space="preserve">).  </w:t>
      </w:r>
    </w:p>
  </w:footnote>
  <w:footnote w:id="5">
    <w:p w:rsidR="001B1826" w:rsidP="00950C85" w14:paraId="32B53DBD" w14:textId="4925C012">
      <w:pPr>
        <w:pStyle w:val="FootnoteText"/>
        <w:widowControl w:val="0"/>
      </w:pPr>
      <w:r>
        <w:rPr>
          <w:rStyle w:val="FootnoteReference"/>
        </w:rPr>
        <w:footnoteRef/>
      </w:r>
      <w:r>
        <w:t xml:space="preserve"> </w:t>
      </w:r>
      <w:r w:rsidR="00087A2D">
        <w:t>47 U.S.C. §§ 1452(b)(4)(A)(</w:t>
      </w:r>
      <w:r w:rsidR="00087A2D">
        <w:t>i</w:t>
      </w:r>
      <w:r w:rsidR="00087A2D">
        <w:t xml:space="preserve">), (ii), 142(d).  </w:t>
      </w:r>
      <w:r>
        <w:t>The reimbursement program began in 2017 for full power and Class A TV stations and MVPDs with the Spectrum Act’s provision of $1.75 billion</w:t>
      </w:r>
      <w:r w:rsidR="00087A2D">
        <w:t>.  T</w:t>
      </w:r>
      <w:r>
        <w:t>hereafter</w:t>
      </w:r>
      <w:r w:rsidR="00087A2D">
        <w:t>,</w:t>
      </w:r>
      <w:r>
        <w:t xml:space="preserve"> the REA expanded it to address an apparent shortfall in funding and include FM stations and LPTV/translator stations.  </w:t>
      </w:r>
      <w:r w:rsidRPr="000927A5">
        <w:t>The REA appropriated a total of $1 billion</w:t>
      </w:r>
      <w:r>
        <w:t>, including</w:t>
      </w:r>
      <w:r w:rsidRPr="000927A5">
        <w:t xml:space="preserve"> $600 million in fiscal year 2018 and $400 million in fiscal year 2019.  </w:t>
      </w:r>
      <w:r>
        <w:rPr>
          <w:i/>
        </w:rPr>
        <w:t>See</w:t>
      </w:r>
      <w:r>
        <w:t xml:space="preserve"> 47 U.S.C. § 1452(j)-(n).  </w:t>
      </w:r>
      <w:r w:rsidRPr="000927A5">
        <w:t>Not more than $350 million from the</w:t>
      </w:r>
      <w:r w:rsidR="00FE03D0">
        <w:t xml:space="preserve"> REA’s</w:t>
      </w:r>
      <w:r w:rsidRPr="000927A5">
        <w:t xml:space="preserve"> fiscal year 2018 funds is specified for reimbursement of full power and Class A stations and MVPDs.  </w:t>
      </w:r>
      <w:r>
        <w:t>T</w:t>
      </w:r>
      <w:r w:rsidRPr="000927A5">
        <w:t xml:space="preserve">he REA directs </w:t>
      </w:r>
      <w:r>
        <w:t xml:space="preserve">that </w:t>
      </w:r>
      <w:r w:rsidRPr="000927A5">
        <w:t xml:space="preserve">not more than $50 million </w:t>
      </w:r>
      <w:r>
        <w:t xml:space="preserve">of the funds appropriated in fiscal year 2018 be used to reimburse </w:t>
      </w:r>
      <w:r w:rsidRPr="000927A5">
        <w:t xml:space="preserve">FM radio stations, not more than $150 million </w:t>
      </w:r>
      <w:r>
        <w:t xml:space="preserve">be used </w:t>
      </w:r>
      <w:r w:rsidRPr="000927A5">
        <w:t>for LPTV/translator stations, and</w:t>
      </w:r>
      <w:r>
        <w:t xml:space="preserve"> </w:t>
      </w:r>
      <w:r w:rsidRPr="000927A5">
        <w:t xml:space="preserve">$50 million </w:t>
      </w:r>
      <w:r>
        <w:t xml:space="preserve">be used </w:t>
      </w:r>
      <w:r w:rsidRPr="000927A5">
        <w:t>for consumer education.</w:t>
      </w:r>
      <w:r>
        <w:t xml:space="preserve">  The Commission has determined that it will prioritize payment of full power and Class A television stations and MVPDs over payment of other entities beyond the funds defined in the REA as fiscal year 2018 funds.  </w:t>
      </w:r>
      <w:r>
        <w:rPr>
          <w:i/>
          <w:iCs/>
        </w:rPr>
        <w:t xml:space="preserve">See </w:t>
      </w:r>
      <w:r>
        <w:rPr>
          <w:i/>
        </w:rPr>
        <w:t>LPTV, TV Translator, and FM Broadcast Station Reimbursement; Expanding the Economic and Innovation Opportunities of Spectrum Through Incentive Auctions</w:t>
      </w:r>
      <w:r>
        <w:t xml:space="preserve">, Report and </w:t>
      </w:r>
      <w:r w:rsidRPr="00E972EC">
        <w:t xml:space="preserve">Order, 34 FCC </w:t>
      </w:r>
      <w:r w:rsidRPr="00E972EC">
        <w:t>Rcd</w:t>
      </w:r>
      <w:r w:rsidRPr="00E972EC">
        <w:t xml:space="preserve"> 1690</w:t>
      </w:r>
      <w:r>
        <w:t>,</w:t>
      </w:r>
      <w:r w:rsidRPr="00E972EC">
        <w:t xml:space="preserve"> 1</w:t>
      </w:r>
      <w:r>
        <w:t>699-1700</w:t>
      </w:r>
      <w:r w:rsidRPr="00E972EC">
        <w:t xml:space="preserve">, para. </w:t>
      </w:r>
      <w:r>
        <w:t>19</w:t>
      </w:r>
      <w:r w:rsidRPr="00E972EC">
        <w:t xml:space="preserve"> (2019</w:t>
      </w:r>
      <w:r>
        <w:t>) (</w:t>
      </w:r>
      <w:r w:rsidRPr="006A5ABA">
        <w:rPr>
          <w:i/>
        </w:rPr>
        <w:t>REA R</w:t>
      </w:r>
      <w:r>
        <w:rPr>
          <w:i/>
        </w:rPr>
        <w:t xml:space="preserve">eport </w:t>
      </w:r>
      <w:r w:rsidRPr="006A5ABA">
        <w:rPr>
          <w:i/>
        </w:rPr>
        <w:t>&amp;</w:t>
      </w:r>
      <w:r>
        <w:rPr>
          <w:i/>
        </w:rPr>
        <w:t xml:space="preserve"> </w:t>
      </w:r>
      <w:r w:rsidRPr="006A5ABA">
        <w:rPr>
          <w:i/>
        </w:rPr>
        <w:t>O</w:t>
      </w:r>
      <w:r>
        <w:rPr>
          <w:i/>
        </w:rPr>
        <w:t>rder</w:t>
      </w:r>
      <w:r>
        <w:t>).</w:t>
      </w:r>
      <w:r w:rsidRPr="0090263D">
        <w:t xml:space="preserve"> </w:t>
      </w:r>
      <w:r>
        <w:t xml:space="preserve"> </w:t>
      </w:r>
    </w:p>
  </w:footnote>
  <w:footnote w:id="6">
    <w:p w:rsidR="001B1826" w:rsidP="00950C85" w14:paraId="5D1A239A" w14:textId="14227F5D">
      <w:pPr>
        <w:pStyle w:val="FootnoteText"/>
      </w:pPr>
      <w:r>
        <w:rPr>
          <w:rStyle w:val="FootnoteReference"/>
        </w:rPr>
        <w:footnoteRef/>
      </w:r>
      <w:r>
        <w:t xml:space="preserve"> </w:t>
      </w:r>
      <w:r w:rsidRPr="00693B99">
        <w:rPr>
          <w:i/>
        </w:rPr>
        <w:t xml:space="preserve">See </w:t>
      </w:r>
      <w:r>
        <w:t xml:space="preserve">47 CFR </w:t>
      </w:r>
      <w:r w:rsidRPr="00693B99">
        <w:t>§</w:t>
      </w:r>
      <w:r>
        <w:t xml:space="preserve"> 73.3700(e)</w:t>
      </w:r>
      <w:r w:rsidRPr="00693B99">
        <w:t>.</w:t>
      </w:r>
      <w:r w:rsidRPr="00654351">
        <w:t xml:space="preserve"> </w:t>
      </w:r>
      <w:r>
        <w:t xml:space="preserve"> All estimated and actual reimbursement submissions are made </w:t>
      </w:r>
      <w:r w:rsidRPr="006E1741">
        <w:rPr>
          <w:szCs w:val="22"/>
        </w:rPr>
        <w:t>using FCC Form 2100, Schedule 399</w:t>
      </w:r>
      <w:r>
        <w:rPr>
          <w:szCs w:val="22"/>
        </w:rPr>
        <w:t xml:space="preserve">.  </w:t>
      </w:r>
      <w:r w:rsidR="00110BDB">
        <w:rPr>
          <w:i/>
        </w:rPr>
        <w:t xml:space="preserve">Expanding the Economic and Innovation Opportunities of Spectrum Through Incentive Auctions, </w:t>
      </w:r>
      <w:r w:rsidR="00110BDB">
        <w:t xml:space="preserve">Report and Order, 29 FCC </w:t>
      </w:r>
      <w:r w:rsidR="00110BDB">
        <w:t>Rcd</w:t>
      </w:r>
      <w:r w:rsidR="00110BDB">
        <w:t xml:space="preserve"> 6567, 6812-26, </w:t>
      </w:r>
      <w:r w:rsidRPr="00693B99" w:rsidR="00110BDB">
        <w:t>681</w:t>
      </w:r>
      <w:r w:rsidR="00110BDB">
        <w:t>7-18</w:t>
      </w:r>
      <w:r w:rsidRPr="00693B99" w:rsidR="00110BDB">
        <w:t>, para.</w:t>
      </w:r>
      <w:r w:rsidR="00110BDB">
        <w:t xml:space="preserve"> </w:t>
      </w:r>
      <w:r w:rsidRPr="00693B99" w:rsidR="00110BDB">
        <w:t>6</w:t>
      </w:r>
      <w:r w:rsidR="00110BDB">
        <w:t>11 n</w:t>
      </w:r>
      <w:r w:rsidR="008C3774">
        <w:t>.</w:t>
      </w:r>
      <w:r w:rsidR="00110BDB">
        <w:t>1725 (</w:t>
      </w:r>
      <w:r w:rsidRPr="000C05FE" w:rsidR="00110BDB">
        <w:rPr>
          <w:i/>
        </w:rPr>
        <w:t>Incentive Auction R&amp;O)</w:t>
      </w:r>
      <w:r w:rsidR="00110BDB">
        <w:rPr>
          <w:i/>
        </w:rPr>
        <w:t xml:space="preserve">; </w:t>
      </w:r>
      <w:r w:rsidRPr="005C5C60">
        <w:rPr>
          <w:i/>
          <w:szCs w:val="22"/>
        </w:rPr>
        <w:t>Incentive Auction Task Force and Media Bureau Announce Procedures for the Post-Incentive Auction Broadcast Transition</w:t>
      </w:r>
      <w:r>
        <w:rPr>
          <w:szCs w:val="22"/>
        </w:rPr>
        <w:t xml:space="preserve">, Public Notice, 32 FCC </w:t>
      </w:r>
      <w:r>
        <w:rPr>
          <w:szCs w:val="22"/>
        </w:rPr>
        <w:t>Rcd</w:t>
      </w:r>
      <w:r>
        <w:rPr>
          <w:szCs w:val="22"/>
        </w:rPr>
        <w:t xml:space="preserve"> 858, 883, para 77</w:t>
      </w:r>
      <w:r w:rsidRPr="005C5C60">
        <w:rPr>
          <w:szCs w:val="22"/>
        </w:rPr>
        <w:t xml:space="preserve"> (IATF/MB 2017)</w:t>
      </w:r>
      <w:r>
        <w:rPr>
          <w:szCs w:val="22"/>
        </w:rPr>
        <w:t xml:space="preserve"> (</w:t>
      </w:r>
      <w:r>
        <w:rPr>
          <w:i/>
          <w:szCs w:val="22"/>
        </w:rPr>
        <w:t>Broadcast Procedures PN)</w:t>
      </w:r>
      <w:r>
        <w:rPr>
          <w:szCs w:val="22"/>
        </w:rPr>
        <w:t>.</w:t>
      </w:r>
    </w:p>
  </w:footnote>
  <w:footnote w:id="7">
    <w:p w:rsidR="001B1826" w:rsidRPr="0028559F" w:rsidP="00F72593" w14:paraId="44EE75B6" w14:textId="58BED3BB">
      <w:pPr>
        <w:pStyle w:val="FootnoteText"/>
        <w:widowControl w:val="0"/>
      </w:pPr>
      <w:r>
        <w:rPr>
          <w:rStyle w:val="FootnoteReference"/>
        </w:rPr>
        <w:footnoteRef/>
      </w:r>
      <w:r>
        <w:t xml:space="preserve"> </w:t>
      </w:r>
      <w:r w:rsidRPr="00693B99">
        <w:rPr>
          <w:i/>
          <w:iCs/>
        </w:rPr>
        <w:t>Incentive Auction R&amp;O</w:t>
      </w:r>
      <w:r w:rsidRPr="00693B99">
        <w:t xml:space="preserve">, 29 FCC </w:t>
      </w:r>
      <w:r w:rsidRPr="00693B99">
        <w:t>Rcd</w:t>
      </w:r>
      <w:r w:rsidRPr="00693B99">
        <w:t xml:space="preserve"> at 681</w:t>
      </w:r>
      <w:r>
        <w:t>7-18</w:t>
      </w:r>
      <w:r w:rsidRPr="00693B99">
        <w:t>, para.</w:t>
      </w:r>
      <w:r>
        <w:t xml:space="preserve"> </w:t>
      </w:r>
      <w:r w:rsidRPr="00693B99">
        <w:t>6</w:t>
      </w:r>
      <w:r>
        <w:t xml:space="preserve">11 n.1725; </w:t>
      </w:r>
      <w:r>
        <w:rPr>
          <w:i/>
          <w:szCs w:val="22"/>
        </w:rPr>
        <w:t>Broadcast Procedures PN</w:t>
      </w:r>
      <w:r>
        <w:rPr>
          <w:szCs w:val="22"/>
        </w:rPr>
        <w:t xml:space="preserve">, 32 FCC </w:t>
      </w:r>
      <w:r w:rsidRPr="008C3774">
        <w:rPr>
          <w:szCs w:val="22"/>
        </w:rPr>
        <w:t>Rcd</w:t>
      </w:r>
      <w:r w:rsidRPr="008C3774">
        <w:rPr>
          <w:szCs w:val="22"/>
        </w:rPr>
        <w:t xml:space="preserve"> at</w:t>
      </w:r>
      <w:r>
        <w:rPr>
          <w:szCs w:val="22"/>
        </w:rPr>
        <w:t xml:space="preserve"> 882-83, paras. 75-77.</w:t>
      </w:r>
    </w:p>
  </w:footnote>
  <w:footnote w:id="8">
    <w:p w:rsidR="001B1826" w:rsidP="00950C85" w14:paraId="1EE3EF2C" w14:textId="6C9973C9">
      <w:pPr>
        <w:pStyle w:val="FootnoteText"/>
      </w:pPr>
      <w:r>
        <w:rPr>
          <w:rStyle w:val="FootnoteReference"/>
        </w:rPr>
        <w:footnoteRef/>
      </w:r>
      <w:r>
        <w:t xml:space="preserve"> </w:t>
      </w:r>
      <w:r w:rsidRPr="00DA646D">
        <w:rPr>
          <w:i/>
        </w:rPr>
        <w:t>Incentive Auction R&amp;O</w:t>
      </w:r>
      <w:r w:rsidRPr="00DA646D">
        <w:t xml:space="preserve">, 29 FCC </w:t>
      </w:r>
      <w:r w:rsidRPr="00DA646D">
        <w:t>Rcd</w:t>
      </w:r>
      <w:r w:rsidRPr="00DA646D">
        <w:t xml:space="preserve"> at 6819, para. 61</w:t>
      </w:r>
      <w:r>
        <w:t xml:space="preserve">4.  </w:t>
      </w:r>
    </w:p>
  </w:footnote>
  <w:footnote w:id="9">
    <w:p w:rsidR="001B1826" w:rsidRPr="00DF7546" w:rsidP="00003FD1" w14:paraId="33D0E18B" w14:textId="4CE1FE13">
      <w:pPr>
        <w:pStyle w:val="FootnoteText"/>
        <w:widowControl w:val="0"/>
      </w:pPr>
      <w:r>
        <w:rPr>
          <w:rStyle w:val="FootnoteReference"/>
        </w:rPr>
        <w:footnoteRef/>
      </w:r>
      <w:r>
        <w:t xml:space="preserve"> </w:t>
      </w:r>
      <w:r>
        <w:rPr>
          <w:i/>
        </w:rPr>
        <w:t xml:space="preserve">See </w:t>
      </w:r>
      <w:r w:rsidRPr="00DF7546">
        <w:rPr>
          <w:i/>
        </w:rPr>
        <w:t>Incentive Auction Task Force</w:t>
      </w:r>
      <w:r>
        <w:rPr>
          <w:i/>
        </w:rPr>
        <w:t xml:space="preserve"> and M</w:t>
      </w:r>
      <w:r w:rsidRPr="00DF7546">
        <w:rPr>
          <w:i/>
        </w:rPr>
        <w:t xml:space="preserve">edia Bureau Report on the Status of the Post-Incentive Auction Transition </w:t>
      </w:r>
      <w:r>
        <w:rPr>
          <w:i/>
        </w:rPr>
        <w:t>and</w:t>
      </w:r>
      <w:r w:rsidRPr="00DF7546">
        <w:rPr>
          <w:i/>
        </w:rPr>
        <w:t xml:space="preserve"> Reimbursement Program; Announce a Further Allocation from the Relocation Fund</w:t>
      </w:r>
      <w:r>
        <w:rPr>
          <w:i/>
        </w:rPr>
        <w:t>;</w:t>
      </w:r>
      <w:r w:rsidRPr="00DF7546">
        <w:rPr>
          <w:i/>
        </w:rPr>
        <w:t xml:space="preserve"> and </w:t>
      </w:r>
      <w:r>
        <w:rPr>
          <w:i/>
        </w:rPr>
        <w:t xml:space="preserve">Announce </w:t>
      </w:r>
      <w:r w:rsidRPr="00DF7546">
        <w:rPr>
          <w:i/>
        </w:rPr>
        <w:t>Procedures for Eligible Entities to Close Out Accounts in the Fund</w:t>
      </w:r>
      <w:r>
        <w:t xml:space="preserve">, Public Notice, 34 FCC </w:t>
      </w:r>
      <w:r>
        <w:t>Rcd</w:t>
      </w:r>
      <w:r>
        <w:t xml:space="preserve"> 304 (MB/IATF 2019)</w:t>
      </w:r>
      <w:r w:rsidR="00110BDB">
        <w:t xml:space="preserve"> (</w:t>
      </w:r>
      <w:r w:rsidR="00110BDB">
        <w:rPr>
          <w:i/>
          <w:iCs/>
        </w:rPr>
        <w:t>Close Out Procedures PN)</w:t>
      </w:r>
      <w:r>
        <w:t>.</w:t>
      </w:r>
    </w:p>
  </w:footnote>
  <w:footnote w:id="10">
    <w:p w:rsidR="001B1826" w:rsidP="00003FD1" w14:paraId="0E68CB9C" w14:textId="7FD977D3">
      <w:pPr>
        <w:pStyle w:val="FootnoteText"/>
        <w:widowControl w:val="0"/>
      </w:pPr>
      <w:r>
        <w:rPr>
          <w:rStyle w:val="FootnoteReference"/>
        </w:rPr>
        <w:footnoteRef/>
      </w:r>
      <w:r>
        <w:t xml:space="preserve"> </w:t>
      </w:r>
      <w:r w:rsidRPr="00693B99">
        <w:rPr>
          <w:i/>
          <w:iCs/>
        </w:rPr>
        <w:t>Incentive Auction R&amp;O</w:t>
      </w:r>
      <w:r w:rsidRPr="00693B99">
        <w:t xml:space="preserve">, 29 FCC </w:t>
      </w:r>
      <w:r w:rsidRPr="00693B99">
        <w:t>Rcd</w:t>
      </w:r>
      <w:r w:rsidRPr="00693B99">
        <w:t xml:space="preserve"> at 68</w:t>
      </w:r>
      <w:r>
        <w:t>15-16</w:t>
      </w:r>
      <w:r w:rsidRPr="00693B99">
        <w:t>, para.</w:t>
      </w:r>
      <w:r>
        <w:t xml:space="preserve"> </w:t>
      </w:r>
      <w:r w:rsidRPr="00693B99">
        <w:t>6</w:t>
      </w:r>
      <w:r>
        <w:t>07;</w:t>
      </w:r>
      <w:r w:rsidRPr="0040357E">
        <w:rPr>
          <w:i/>
        </w:rPr>
        <w:t xml:space="preserve"> </w:t>
      </w:r>
      <w:r w:rsidRPr="006273F4" w:rsidR="008E3F67">
        <w:rPr>
          <w:i/>
        </w:rPr>
        <w:t>Procedures for Submitting Financial Information Required for the Disbursement of Incentive Payments and Reimbursement Payments after the Incentive Auction Closes</w:t>
      </w:r>
      <w:r w:rsidRPr="00B773DF" w:rsidR="008E3F67">
        <w:t xml:space="preserve">, Public Notice, 32 FCC </w:t>
      </w:r>
      <w:r w:rsidRPr="00B773DF" w:rsidR="008E3F67">
        <w:t>Rcd</w:t>
      </w:r>
      <w:r w:rsidRPr="00B773DF" w:rsidR="008E3F67">
        <w:t xml:space="preserve"> 2003, </w:t>
      </w:r>
      <w:r w:rsidRPr="00843111" w:rsidR="008E3F67">
        <w:t>2023-25</w:t>
      </w:r>
      <w:r w:rsidRPr="00B773DF" w:rsidR="008E3F67">
        <w:t>, para</w:t>
      </w:r>
      <w:r w:rsidR="008E3F67">
        <w:t>s</w:t>
      </w:r>
      <w:r w:rsidRPr="00B773DF" w:rsidR="008E3F67">
        <w:t xml:space="preserve">. </w:t>
      </w:r>
      <w:r w:rsidR="008E3F67">
        <w:t>70-78</w:t>
      </w:r>
      <w:r w:rsidRPr="00B773DF" w:rsidR="008E3F67">
        <w:t xml:space="preserve"> (2017)</w:t>
      </w:r>
      <w:r w:rsidR="008E3F67">
        <w:t xml:space="preserve"> (</w:t>
      </w:r>
      <w:r w:rsidRPr="006273F4" w:rsidR="008E3F67">
        <w:rPr>
          <w:i/>
        </w:rPr>
        <w:t>Financial Procedures PN</w:t>
      </w:r>
      <w:r w:rsidR="008E3F67">
        <w:t>).</w:t>
      </w:r>
    </w:p>
  </w:footnote>
  <w:footnote w:id="11">
    <w:p w:rsidR="001C6513" w:rsidRPr="001C6513" w14:paraId="1E3E1174" w14:textId="474A5FB3">
      <w:pPr>
        <w:pStyle w:val="FootnoteText"/>
        <w:rPr>
          <w:i/>
          <w:iCs/>
        </w:rPr>
      </w:pPr>
      <w:r>
        <w:rPr>
          <w:rStyle w:val="FootnoteReference"/>
        </w:rPr>
        <w:footnoteRef/>
      </w:r>
      <w:r>
        <w:t xml:space="preserve"> </w:t>
      </w:r>
      <w:r>
        <w:rPr>
          <w:i/>
          <w:iCs/>
        </w:rPr>
        <w:t>See Close Out Procedure PN.</w:t>
      </w:r>
    </w:p>
  </w:footnote>
  <w:footnote w:id="12">
    <w:p w:rsidR="001B1826" w:rsidP="00003FD1" w14:paraId="6557E2A8" w14:textId="77777777">
      <w:pPr>
        <w:pStyle w:val="FootnoteText"/>
        <w:widowControl w:val="0"/>
      </w:pPr>
      <w:r>
        <w:rPr>
          <w:rStyle w:val="FootnoteReference"/>
        </w:rPr>
        <w:footnoteRef/>
      </w:r>
      <w:r>
        <w:t xml:space="preserve"> </w:t>
      </w:r>
      <w:r w:rsidRPr="006273F4">
        <w:rPr>
          <w:i/>
        </w:rPr>
        <w:t>Incentive Auction R&amp;O</w:t>
      </w:r>
      <w:r w:rsidRPr="00F05773">
        <w:t xml:space="preserve">, 29 FCC </w:t>
      </w:r>
      <w:r w:rsidRPr="00F05773">
        <w:t>Rcd</w:t>
      </w:r>
      <w:r w:rsidRPr="00F05773">
        <w:t xml:space="preserve"> at </w:t>
      </w:r>
      <w:r w:rsidRPr="00B803A5">
        <w:t>6825-26</w:t>
      </w:r>
      <w:r w:rsidRPr="00F05773">
        <w:t>, para. 6</w:t>
      </w:r>
      <w:r>
        <w:t>34 (“</w:t>
      </w:r>
      <w:r w:rsidRPr="00F05773">
        <w:t xml:space="preserve">each entity must retain all relevant documents </w:t>
      </w:r>
      <w:r>
        <w:t>…</w:t>
      </w:r>
      <w:r w:rsidRPr="00F05773">
        <w:t xml:space="preserve"> for a period ending 10 years after the date it receives its final payment from the Reimbursement Fund</w:t>
      </w:r>
      <w:r>
        <w:t>.”).</w:t>
      </w:r>
    </w:p>
  </w:footnote>
  <w:footnote w:id="13">
    <w:p w:rsidR="001B1826" w:rsidP="00003FD1" w14:paraId="779F2FB4" w14:textId="0B237FBD">
      <w:pPr>
        <w:pStyle w:val="FootnoteText"/>
        <w:widowControl w:val="0"/>
      </w:pPr>
      <w:r>
        <w:rPr>
          <w:rStyle w:val="FootnoteReference"/>
        </w:rPr>
        <w:footnoteRef/>
      </w:r>
      <w:r>
        <w:t xml:space="preserve"> </w:t>
      </w:r>
      <w:r w:rsidRPr="00AA149D" w:rsidR="00557E21">
        <w:t xml:space="preserve">47 U.S.C. </w:t>
      </w:r>
      <w:bookmarkStart w:id="1" w:name="_Hlk92879770"/>
      <w:r w:rsidRPr="00AA149D" w:rsidR="00557E21">
        <w:t>§</w:t>
      </w:r>
      <w:bookmarkEnd w:id="1"/>
      <w:r w:rsidRPr="00AA149D" w:rsidR="00557E21">
        <w:t xml:space="preserve"> 1452(j)(1)(A)-(B).</w:t>
      </w:r>
    </w:p>
  </w:footnote>
  <w:footnote w:id="14">
    <w:p w:rsidR="00AB7173" w:rsidRPr="009E31CF" w:rsidP="00AB7173" w14:paraId="0B2F183B" w14:textId="7F4AF3EA">
      <w:pPr>
        <w:pStyle w:val="FootnoteText"/>
      </w:pPr>
      <w:r>
        <w:rPr>
          <w:rStyle w:val="FootnoteReference"/>
        </w:rPr>
        <w:footnoteRef/>
      </w:r>
      <w:r>
        <w:t xml:space="preserve"> </w:t>
      </w:r>
      <w:r>
        <w:rPr>
          <w:i/>
          <w:iCs/>
        </w:rPr>
        <w:t xml:space="preserve">See </w:t>
      </w:r>
      <w:r w:rsidRPr="00AA149D">
        <w:rPr>
          <w:i/>
          <w:iCs/>
        </w:rPr>
        <w:t>Invoice Filing Deadlines for TV Broadcaster Relocation Fund</w:t>
      </w:r>
      <w:r w:rsidRPr="00AA149D">
        <w:t xml:space="preserve">, Public Notice, 35 FCC </w:t>
      </w:r>
      <w:r w:rsidRPr="00AA149D">
        <w:t>Rcd</w:t>
      </w:r>
      <w:r w:rsidRPr="00AA149D">
        <w:t xml:space="preserve"> 11273 (MB/IAT</w:t>
      </w:r>
      <w:r>
        <w:t>F</w:t>
      </w:r>
      <w:r w:rsidRPr="00AA149D">
        <w:t xml:space="preserve"> 2020) (</w:t>
      </w:r>
      <w:r w:rsidRPr="00AA149D">
        <w:rPr>
          <w:i/>
          <w:iCs/>
        </w:rPr>
        <w:t>Invoice Filing Deadline PN)</w:t>
      </w:r>
      <w:r w:rsidR="00FE0FC6">
        <w:rPr>
          <w:i/>
          <w:iCs/>
        </w:rPr>
        <w:t>.</w:t>
      </w:r>
    </w:p>
  </w:footnote>
  <w:footnote w:id="15">
    <w:p w:rsidR="001B1826" w14:paraId="4A424E45" w14:textId="7F790D3A">
      <w:pPr>
        <w:pStyle w:val="FootnoteText"/>
      </w:pPr>
      <w:r>
        <w:rPr>
          <w:rStyle w:val="FootnoteReference"/>
        </w:rPr>
        <w:footnoteRef/>
      </w:r>
      <w:r>
        <w:t xml:space="preserve"> </w:t>
      </w:r>
      <w:r w:rsidRPr="00AA149D">
        <w:rPr>
          <w:i/>
          <w:iCs/>
        </w:rPr>
        <w:t>Invoice Filing Deadline PN</w:t>
      </w:r>
      <w:r w:rsidRPr="00AA149D">
        <w:t xml:space="preserve">, 35 FCC </w:t>
      </w:r>
      <w:r w:rsidRPr="00AA149D">
        <w:t>Rcd</w:t>
      </w:r>
      <w:r w:rsidRPr="00FA3C7D">
        <w:t xml:space="preserve"> at</w:t>
      </w:r>
      <w:r>
        <w:rPr>
          <w:i/>
          <w:iCs/>
        </w:rPr>
        <w:t xml:space="preserve"> </w:t>
      </w:r>
      <w:r w:rsidRPr="00A9380C">
        <w:t>11276-78</w:t>
      </w:r>
      <w:r>
        <w:t>.</w:t>
      </w:r>
    </w:p>
  </w:footnote>
  <w:footnote w:id="16">
    <w:p w:rsidR="001B1826" w:rsidP="00003FD1" w14:paraId="0B7861B3" w14:textId="77777777">
      <w:pPr>
        <w:pStyle w:val="FootnoteText"/>
      </w:pPr>
      <w:r>
        <w:rPr>
          <w:rStyle w:val="FootnoteReference"/>
        </w:rPr>
        <w:footnoteRef/>
      </w:r>
      <w:r>
        <w:t xml:space="preserve"> </w:t>
      </w:r>
      <w:r w:rsidRPr="00693B99">
        <w:rPr>
          <w:i/>
          <w:iCs/>
        </w:rPr>
        <w:t>Incentive Auction R&amp;O</w:t>
      </w:r>
      <w:r>
        <w:t xml:space="preserve">, 29 FCC </w:t>
      </w:r>
      <w:r>
        <w:t>Rcd</w:t>
      </w:r>
      <w:r>
        <w:t xml:space="preserve"> at 6826</w:t>
      </w:r>
      <w:r w:rsidRPr="00693B99">
        <w:t>, para.</w:t>
      </w:r>
      <w:r>
        <w:t xml:space="preserve"> </w:t>
      </w:r>
      <w:r w:rsidRPr="00693B99">
        <w:t>6</w:t>
      </w:r>
      <w:r>
        <w:t>35.</w:t>
      </w:r>
    </w:p>
  </w:footnote>
  <w:footnote w:id="17">
    <w:p w:rsidR="001B1826" w:rsidRPr="00F70182" w:rsidP="00003FD1" w14:paraId="2448D4AA" w14:textId="77777777">
      <w:pPr>
        <w:pStyle w:val="FootnoteText"/>
        <w:rPr>
          <w:i/>
        </w:rPr>
      </w:pPr>
      <w:r>
        <w:rPr>
          <w:rStyle w:val="FootnoteReference"/>
        </w:rPr>
        <w:footnoteRef/>
      </w:r>
      <w:r>
        <w:t xml:space="preserve"> </w:t>
      </w:r>
      <w:r>
        <w:rPr>
          <w:i/>
        </w:rPr>
        <w:t>Id.</w:t>
      </w:r>
    </w:p>
  </w:footnote>
  <w:footnote w:id="18">
    <w:p w:rsidR="001B1826" w:rsidRPr="00976F39" w:rsidP="00003FD1" w14:paraId="19133FEC" w14:textId="00F062A1">
      <w:pPr>
        <w:pStyle w:val="FootnoteText"/>
      </w:pPr>
      <w:r>
        <w:rPr>
          <w:rStyle w:val="FootnoteReference"/>
        </w:rPr>
        <w:footnoteRef/>
      </w:r>
      <w:r>
        <w:t xml:space="preserve"> </w:t>
      </w:r>
      <w:r>
        <w:rPr>
          <w:i/>
        </w:rPr>
        <w:t>Id.</w:t>
      </w:r>
    </w:p>
  </w:footnote>
  <w:footnote w:id="19">
    <w:p w:rsidR="001B1826" w:rsidRPr="0028559F" w:rsidP="00003FD1" w14:paraId="12880320" w14:textId="5EFADB60">
      <w:pPr>
        <w:pStyle w:val="FootnoteText"/>
      </w:pPr>
      <w:r>
        <w:rPr>
          <w:rStyle w:val="FootnoteReference"/>
        </w:rPr>
        <w:footnoteRef/>
      </w:r>
      <w:r>
        <w:t xml:space="preserve"> </w:t>
      </w:r>
      <w:r w:rsidRPr="00693B99">
        <w:rPr>
          <w:i/>
          <w:iCs/>
        </w:rPr>
        <w:t>Incentive Auction R&amp;O</w:t>
      </w:r>
      <w:r w:rsidRPr="00693B99">
        <w:t xml:space="preserve">, 29 FCC </w:t>
      </w:r>
      <w:r w:rsidRPr="00693B99">
        <w:t>Rcd</w:t>
      </w:r>
      <w:r w:rsidRPr="00693B99">
        <w:t xml:space="preserve"> at 681</w:t>
      </w:r>
      <w:r>
        <w:t>7-18</w:t>
      </w:r>
      <w:r w:rsidRPr="00693B99">
        <w:t>, para.</w:t>
      </w:r>
      <w:r>
        <w:t xml:space="preserve"> </w:t>
      </w:r>
      <w:r w:rsidRPr="00693B99">
        <w:t>6</w:t>
      </w:r>
      <w:r>
        <w:t>11 n</w:t>
      </w:r>
      <w:r w:rsidR="00A9380C">
        <w:t>.</w:t>
      </w:r>
      <w:r>
        <w:t xml:space="preserve">1725; </w:t>
      </w:r>
      <w:r w:rsidR="00557E21">
        <w:rPr>
          <w:i/>
          <w:szCs w:val="22"/>
        </w:rPr>
        <w:t>Broadcast Procedures PN</w:t>
      </w:r>
      <w:r>
        <w:rPr>
          <w:szCs w:val="22"/>
        </w:rPr>
        <w:t xml:space="preserve">, 32 FCC </w:t>
      </w:r>
      <w:r>
        <w:rPr>
          <w:szCs w:val="22"/>
        </w:rPr>
        <w:t>Rcd</w:t>
      </w:r>
      <w:r>
        <w:rPr>
          <w:szCs w:val="22"/>
        </w:rPr>
        <w:t xml:space="preserve"> </w:t>
      </w:r>
      <w:r w:rsidR="00557E21">
        <w:rPr>
          <w:szCs w:val="22"/>
        </w:rPr>
        <w:t xml:space="preserve">at </w:t>
      </w:r>
      <w:r>
        <w:rPr>
          <w:szCs w:val="22"/>
        </w:rPr>
        <w:t>883, para 77.</w:t>
      </w:r>
    </w:p>
  </w:footnote>
  <w:footnote w:id="20">
    <w:p w:rsidR="001B1826" w:rsidRPr="00EE5115" w:rsidP="00003FD1" w14:paraId="06EC938F" w14:textId="77777777">
      <w:pPr>
        <w:pStyle w:val="FootnoteText"/>
      </w:pPr>
      <w:r>
        <w:rPr>
          <w:rStyle w:val="FootnoteReference"/>
        </w:rPr>
        <w:footnoteRef/>
      </w:r>
      <w:r>
        <w:t xml:space="preserve"> </w:t>
      </w:r>
      <w:r w:rsidRPr="00EE5115">
        <w:rPr>
          <w:i/>
          <w:iCs/>
        </w:rPr>
        <w:t>I</w:t>
      </w:r>
      <w:r>
        <w:rPr>
          <w:i/>
          <w:iCs/>
        </w:rPr>
        <w:t xml:space="preserve">ncentive Auction Task Force and Media Bureau Announce Site Visit Validation of TV Station Baseline Equipment As Part of Post-Incentive Auction Reimbursement Program, </w:t>
      </w:r>
      <w:r>
        <w:t xml:space="preserve">Public Notice, 33 FCC </w:t>
      </w:r>
      <w:r>
        <w:t>Rcd</w:t>
      </w:r>
      <w:r>
        <w:t xml:space="preserve"> 1135 (IATF/MB 2018) (</w:t>
      </w:r>
      <w:r>
        <w:rPr>
          <w:i/>
          <w:iCs/>
        </w:rPr>
        <w:t>Baseline Site Visit PN</w:t>
      </w:r>
      <w:r>
        <w:t>).</w:t>
      </w:r>
    </w:p>
  </w:footnote>
  <w:footnote w:id="21">
    <w:p w:rsidR="001B1826" w:rsidRPr="008C320F" w14:paraId="04D19DBB" w14:textId="0CEFB401">
      <w:pPr>
        <w:pStyle w:val="FootnoteText"/>
        <w:rPr>
          <w:i/>
          <w:iCs/>
        </w:rPr>
      </w:pPr>
      <w:r>
        <w:rPr>
          <w:rStyle w:val="FootnoteReference"/>
        </w:rPr>
        <w:footnoteRef/>
      </w:r>
      <w:r>
        <w:t xml:space="preserve"> </w:t>
      </w:r>
      <w:r>
        <w:rPr>
          <w:i/>
          <w:iCs/>
        </w:rPr>
        <w:t xml:space="preserve">See </w:t>
      </w:r>
      <w:r w:rsidR="00557E21">
        <w:rPr>
          <w:i/>
          <w:iCs/>
        </w:rPr>
        <w:t>Close Out Procedures PN</w:t>
      </w:r>
      <w:r>
        <w:rPr>
          <w:i/>
          <w:iCs/>
        </w:rPr>
        <w:t>.</w:t>
      </w:r>
    </w:p>
  </w:footnote>
  <w:footnote w:id="22">
    <w:p w:rsidR="00557E21" w:rsidRPr="00C935DC" w:rsidP="00557E21" w14:paraId="29679580" w14:textId="72B6D51E">
      <w:pPr>
        <w:pStyle w:val="FootnoteText"/>
      </w:pPr>
      <w:r w:rsidRPr="00C935DC">
        <w:rPr>
          <w:rStyle w:val="FootnoteReference"/>
        </w:rPr>
        <w:footnoteRef/>
      </w:r>
      <w:r>
        <w:t xml:space="preserve"> </w:t>
      </w:r>
      <w:r w:rsidRPr="00C935DC">
        <w:rPr>
          <w:i/>
        </w:rPr>
        <w:t>See</w:t>
      </w:r>
      <w:r w:rsidRPr="00C935DC">
        <w:t xml:space="preserve"> </w:t>
      </w:r>
      <w:r w:rsidRPr="006273F4">
        <w:rPr>
          <w:i/>
        </w:rPr>
        <w:t>Financial Procedures PN</w:t>
      </w:r>
      <w:r w:rsidRPr="00C935DC">
        <w:t xml:space="preserve">, 32 FCC </w:t>
      </w:r>
      <w:r w:rsidRPr="00C935DC">
        <w:t>Rcd</w:t>
      </w:r>
      <w:r w:rsidRPr="00C935DC">
        <w:t xml:space="preserve"> </w:t>
      </w:r>
      <w:r>
        <w:t>at</w:t>
      </w:r>
      <w:r w:rsidRPr="00C935DC">
        <w:t xml:space="preserve"> 2029, para. 96</w:t>
      </w:r>
      <w:r>
        <w:t>.</w:t>
      </w:r>
      <w:r w:rsidR="00C3341A">
        <w:t xml:space="preserve">  Adjustments to the allocation amounts for specific entities may be made as a result of the filing of additional information or a true up through the end of the program.</w:t>
      </w:r>
    </w:p>
  </w:footnote>
  <w:footnote w:id="23">
    <w:p w:rsidR="002847CA" w14:paraId="2DB73EC8" w14:textId="4FFB68C7">
      <w:pPr>
        <w:pStyle w:val="FootnoteText"/>
      </w:pPr>
      <w:r>
        <w:rPr>
          <w:rStyle w:val="FootnoteReference"/>
        </w:rPr>
        <w:footnoteRef/>
      </w:r>
      <w:r>
        <w:t xml:space="preserve"> </w:t>
      </w:r>
      <w:r>
        <w:rPr>
          <w:i/>
        </w:rPr>
        <w:t xml:space="preserve">See e.g. </w:t>
      </w:r>
      <w:r w:rsidRPr="00976F39">
        <w:rPr>
          <w:i/>
        </w:rPr>
        <w:t>Incentive Auction R&amp;O, 2</w:t>
      </w:r>
      <w:r w:rsidRPr="00F70182">
        <w:t xml:space="preserve">9 FCC </w:t>
      </w:r>
      <w:r w:rsidRPr="00F70182">
        <w:t>Rcd</w:t>
      </w:r>
      <w:r w:rsidRPr="00F70182">
        <w:t xml:space="preserve"> at</w:t>
      </w:r>
      <w:r>
        <w:t xml:space="preserve"> 6826-7</w:t>
      </w:r>
      <w:r w:rsidRPr="00F70182">
        <w:t>, para. 63</w:t>
      </w:r>
      <w:r>
        <w:t>6</w:t>
      </w:r>
      <w:r>
        <w:rPr>
          <w:i/>
        </w:rPr>
        <w:t>,</w:t>
      </w:r>
      <w:r>
        <w:t xml:space="preserve"> (stating “[t]</w:t>
      </w:r>
      <w:r w:rsidRPr="00976F39">
        <w:t>he Bureau or an authorized contractor also may conduct site visits to confirm that equipment paid for from the Reimbursement Fund has been deployed</w:t>
      </w:r>
      <w:r>
        <w:t>”), at 6832-3, para. 652 (stating “</w:t>
      </w:r>
      <w:r w:rsidRPr="00976F39">
        <w:t>we will use site visits to validate that entities that received reimbursement for purchasing new equipment actually have deployed that new equipment</w:t>
      </w:r>
      <w:r>
        <w:t>”).</w:t>
      </w:r>
    </w:p>
  </w:footnote>
  <w:footnote w:id="24">
    <w:p w:rsidR="001B1826" w:rsidP="00D27913" w14:paraId="15F9B2F8" w14:textId="77777777">
      <w:pPr>
        <w:pStyle w:val="FootnoteText"/>
      </w:pPr>
      <w:r>
        <w:rPr>
          <w:rStyle w:val="FootnoteReference"/>
        </w:rPr>
        <w:footnoteRef/>
      </w:r>
      <w:r>
        <w:t xml:space="preserve"> </w:t>
      </w:r>
      <w:r w:rsidRPr="00693B99">
        <w:rPr>
          <w:i/>
          <w:iCs/>
        </w:rPr>
        <w:t>Incentive Auction R&amp;O</w:t>
      </w:r>
      <w:r>
        <w:t xml:space="preserve">, 29 FCC </w:t>
      </w:r>
      <w:r>
        <w:t>Rcd</w:t>
      </w:r>
      <w:r>
        <w:t xml:space="preserve"> at 6826</w:t>
      </w:r>
      <w:r w:rsidRPr="00693B99">
        <w:t>, para.</w:t>
      </w:r>
      <w:r>
        <w:t xml:space="preserve"> </w:t>
      </w:r>
      <w:r w:rsidRPr="00693B99">
        <w:t>6</w:t>
      </w:r>
      <w:r>
        <w:t>35.</w:t>
      </w:r>
    </w:p>
  </w:footnote>
  <w:footnote w:id="25">
    <w:p w:rsidR="001B1826" w:rsidP="00950C85" w14:paraId="4131F866" w14:textId="5C69AE9A">
      <w:pPr>
        <w:pStyle w:val="FootnoteText"/>
      </w:pPr>
      <w:r>
        <w:rPr>
          <w:rStyle w:val="FootnoteReference"/>
        </w:rPr>
        <w:footnoteRef/>
      </w:r>
      <w:r>
        <w:t xml:space="preserve"> </w:t>
      </w:r>
      <w:r>
        <w:t xml:space="preserve">Consistent with ordinary practices for sample selection, we will select replacement </w:t>
      </w:r>
      <w:r w:rsidR="00621097">
        <w:t>entities</w:t>
      </w:r>
      <w:r>
        <w:t xml:space="preserve"> if necessitated by specific circumstances.  </w:t>
      </w:r>
    </w:p>
  </w:footnote>
  <w:footnote w:id="26">
    <w:p w:rsidR="001B1826" w14:paraId="605D85C5" w14:textId="0E56EE09">
      <w:pPr>
        <w:pStyle w:val="FootnoteText"/>
      </w:pPr>
      <w:r>
        <w:rPr>
          <w:rStyle w:val="FootnoteReference"/>
        </w:rPr>
        <w:footnoteRef/>
      </w:r>
      <w:r>
        <w:t xml:space="preserve"> </w:t>
      </w:r>
      <w:r>
        <w:t xml:space="preserve">The structure and procedure of this post-implementation site visit program are similar to the baseline site visit program conducted as part of the Reimbursement Program in 2018.  </w:t>
      </w:r>
      <w:r>
        <w:rPr>
          <w:i/>
          <w:iCs/>
        </w:rPr>
        <w:t>See Baseline Site Visit PN.</w:t>
      </w:r>
      <w:r>
        <w:t xml:space="preserve"> </w:t>
      </w:r>
    </w:p>
  </w:footnote>
  <w:footnote w:id="27">
    <w:p w:rsidR="001B1826" w:rsidP="00950C85" w14:paraId="3D685922" w14:textId="77777777">
      <w:pPr>
        <w:pStyle w:val="FootnoteText"/>
      </w:pPr>
      <w:r>
        <w:rPr>
          <w:rStyle w:val="FootnoteReference"/>
        </w:rPr>
        <w:footnoteRef/>
      </w:r>
      <w:r>
        <w:t xml:space="preserve"> </w:t>
      </w:r>
      <w:r>
        <w:rPr>
          <w:snapToGrid w:val="0"/>
        </w:rPr>
        <w:t>The site visits will be conducted under Consulting Standards of the American Institute of Certified Public Accountants.</w:t>
      </w:r>
    </w:p>
  </w:footnote>
  <w:footnote w:id="28">
    <w:p w:rsidR="001B1826" w:rsidRPr="00D23300" w:rsidP="001F381B" w14:paraId="1B634B47" w14:textId="586F45E6">
      <w:pPr>
        <w:pStyle w:val="FootnoteText"/>
      </w:pPr>
      <w:r>
        <w:rPr>
          <w:rStyle w:val="FootnoteReference"/>
        </w:rPr>
        <w:footnoteRef/>
      </w:r>
      <w:r>
        <w:t xml:space="preserve"> </w:t>
      </w:r>
      <w:r>
        <w:rPr>
          <w:i/>
        </w:rPr>
        <w:t xml:space="preserve">See </w:t>
      </w:r>
      <w:r w:rsidR="002666F3">
        <w:rPr>
          <w:i/>
        </w:rPr>
        <w:t>Incentive Auction Task Force and Media Bureau Adopt Post-Incentive Auction Transition Scheduling Plan</w:t>
      </w:r>
      <w:r w:rsidR="002666F3">
        <w:t xml:space="preserve">, Public Notice, 32 FCC </w:t>
      </w:r>
      <w:r w:rsidR="002666F3">
        <w:t>Rcd</w:t>
      </w:r>
      <w:r w:rsidR="002666F3">
        <w:t xml:space="preserve"> 890 (IATF/MB 2017) (</w:t>
      </w:r>
      <w:r w:rsidR="002666F3">
        <w:rPr>
          <w:i/>
          <w:iCs/>
        </w:rPr>
        <w:t>Transition Scheduling Plan PN).</w:t>
      </w:r>
      <w:r w:rsidRPr="008A4997">
        <w:t xml:space="preserve"> </w:t>
      </w:r>
      <w:r>
        <w:t xml:space="preserve"> A station that was granted permission to change phases is assigned to the deadline associated with its revised phase completion date.  This group also includes a small number of stations that were moved from the first invoice filing deadline, October 8, 2021, to the March 22, 2022 deadline due to circumstances beyond their control.  All 462 repacked stations in this group transitioned to their post-auction channels by the end of </w:t>
      </w:r>
      <w:r w:rsidRPr="002F1E68">
        <w:t>September 2020</w:t>
      </w:r>
      <w:r>
        <w:t xml:space="preserve">.  </w:t>
      </w:r>
    </w:p>
  </w:footnote>
  <w:footnote w:id="29">
    <w:p w:rsidR="001B1826" w:rsidRPr="009E31CF" w:rsidP="008E2DC9" w14:paraId="4B4BAE05" w14:textId="2E8CA633">
      <w:pPr>
        <w:pStyle w:val="FootnoteText"/>
      </w:pPr>
      <w:r>
        <w:rPr>
          <w:rStyle w:val="FootnoteReference"/>
        </w:rPr>
        <w:footnoteRef/>
      </w:r>
      <w:r>
        <w:t xml:space="preserve"> </w:t>
      </w:r>
      <w:r>
        <w:rPr>
          <w:i/>
          <w:iCs/>
        </w:rPr>
        <w:t xml:space="preserve">See </w:t>
      </w:r>
      <w:r w:rsidRPr="00AA149D">
        <w:rPr>
          <w:i/>
          <w:iCs/>
        </w:rPr>
        <w:t>Invoice Filing Deadline PN</w:t>
      </w:r>
      <w:r>
        <w:rPr>
          <w:i/>
          <w:iCs/>
        </w:rPr>
        <w:t>;</w:t>
      </w:r>
      <w:r w:rsidRPr="008B224F" w:rsidR="00FE0FC6">
        <w:rPr>
          <w:i/>
          <w:iCs/>
        </w:rPr>
        <w:t xml:space="preserve"> </w:t>
      </w:r>
      <w:r w:rsidRPr="00AA149D" w:rsidR="00FE0FC6">
        <w:rPr>
          <w:i/>
          <w:iCs/>
        </w:rPr>
        <w:t>Invoice Filing Deadlines for TV Broadcaster Relocation Fund</w:t>
      </w:r>
      <w:r w:rsidR="00FE0FC6">
        <w:rPr>
          <w:i/>
          <w:iCs/>
        </w:rPr>
        <w:t xml:space="preserve"> Reimbursement Begin on October 8 2021</w:t>
      </w:r>
      <w:r w:rsidRPr="00AA149D" w:rsidR="00FE0FC6">
        <w:t xml:space="preserve">, Public Notice, </w:t>
      </w:r>
      <w:r w:rsidRPr="006C6A4B" w:rsidR="00FE0FC6">
        <w:t>DA 21-404, 2021 WL 1328925</w:t>
      </w:r>
      <w:r w:rsidRPr="00AA149D" w:rsidR="00FE0FC6">
        <w:t xml:space="preserve"> (MB/IAT</w:t>
      </w:r>
      <w:r w:rsidR="00FE0FC6">
        <w:t>F</w:t>
      </w:r>
      <w:r w:rsidRPr="00AA149D" w:rsidR="00FE0FC6">
        <w:t xml:space="preserve"> </w:t>
      </w:r>
      <w:r w:rsidR="00FE0FC6">
        <w:t xml:space="preserve">Apr. 8, </w:t>
      </w:r>
      <w:r w:rsidRPr="00AA149D" w:rsidR="00FE0FC6">
        <w:t>202</w:t>
      </w:r>
      <w:r w:rsidR="00FE0FC6">
        <w:t>1</w:t>
      </w:r>
      <w:r w:rsidRPr="00AA149D" w:rsidR="00FE0FC6">
        <w:t>)</w:t>
      </w:r>
      <w:r w:rsidR="00FE0FC6">
        <w:t xml:space="preserve"> (</w:t>
      </w:r>
      <w:r w:rsidR="00FE0FC6">
        <w:rPr>
          <w:i/>
          <w:iCs/>
        </w:rPr>
        <w:t>Six Month Reminder of 1</w:t>
      </w:r>
      <w:r w:rsidRPr="001E43E6" w:rsidR="00FE0FC6">
        <w:rPr>
          <w:i/>
          <w:iCs/>
          <w:vertAlign w:val="superscript"/>
        </w:rPr>
        <w:t>st</w:t>
      </w:r>
      <w:r w:rsidR="00FE0FC6">
        <w:rPr>
          <w:i/>
          <w:iCs/>
        </w:rPr>
        <w:t xml:space="preserve"> Invoice Filing Deadline PN)</w:t>
      </w:r>
      <w:r w:rsidR="00FE0FC6">
        <w:t xml:space="preserve">; </w:t>
      </w:r>
      <w:r w:rsidRPr="00AF6BB5" w:rsidR="00FE0FC6">
        <w:rPr>
          <w:i/>
          <w:iCs/>
        </w:rPr>
        <w:t>TV Broadcaster Relocation Fund Filing Deadline Approaches in Sixty Days</w:t>
      </w:r>
      <w:r w:rsidR="00FE0FC6">
        <w:t xml:space="preserve">, Public Notice, </w:t>
      </w:r>
      <w:r w:rsidRPr="006C6A4B" w:rsidR="00FE0FC6">
        <w:t>DA 21-970, 2021 WL 3501416</w:t>
      </w:r>
      <w:r w:rsidR="00FE0FC6">
        <w:t xml:space="preserve"> (MB/IATF rel. Aug. 9, 2021); (</w:t>
      </w:r>
      <w:r w:rsidR="00FE0FC6">
        <w:rPr>
          <w:i/>
          <w:iCs/>
        </w:rPr>
        <w:t>Sixty Day Reminder of 1</w:t>
      </w:r>
      <w:r w:rsidRPr="001E43E6" w:rsidR="00FE0FC6">
        <w:rPr>
          <w:i/>
          <w:iCs/>
          <w:vertAlign w:val="superscript"/>
        </w:rPr>
        <w:t>st</w:t>
      </w:r>
      <w:r w:rsidR="00FE0FC6">
        <w:rPr>
          <w:i/>
          <w:iCs/>
        </w:rPr>
        <w:t xml:space="preserve"> Invoice Filing Deadline PN</w:t>
      </w:r>
      <w:r w:rsidR="00FE0FC6">
        <w:t xml:space="preserve">); </w:t>
      </w:r>
      <w:r w:rsidR="00FE0FC6">
        <w:rPr>
          <w:i/>
          <w:iCs/>
        </w:rPr>
        <w:t xml:space="preserve">TV Broadcaster Relocation Fund Filing Deadline Approaches in Thirty </w:t>
      </w:r>
      <w:r w:rsidRPr="009E31CF" w:rsidR="00FE0FC6">
        <w:rPr>
          <w:i/>
          <w:iCs/>
        </w:rPr>
        <w:t>Days</w:t>
      </w:r>
      <w:r w:rsidR="00FE0FC6">
        <w:t xml:space="preserve">, Public Notice, </w:t>
      </w:r>
      <w:r w:rsidRPr="006C6A4B" w:rsidR="00FE0FC6">
        <w:t>DA-21-1117</w:t>
      </w:r>
      <w:r w:rsidR="00FE0FC6">
        <w:t xml:space="preserve"> (MB/IATF Sep. 28, 2021) (</w:t>
      </w:r>
      <w:r w:rsidR="00FE0FC6">
        <w:rPr>
          <w:i/>
          <w:iCs/>
        </w:rPr>
        <w:t>Thirty Day Reminder of 1</w:t>
      </w:r>
      <w:r w:rsidRPr="001E43E6" w:rsidR="00FE0FC6">
        <w:rPr>
          <w:i/>
          <w:iCs/>
          <w:vertAlign w:val="superscript"/>
        </w:rPr>
        <w:t>st</w:t>
      </w:r>
      <w:r w:rsidR="00FE0FC6">
        <w:rPr>
          <w:i/>
          <w:iCs/>
        </w:rPr>
        <w:t xml:space="preserve"> Invoice Filing Deadline PN</w:t>
      </w:r>
      <w:r w:rsidRPr="001E43E6" w:rsidR="00FE0FC6">
        <w:t>)</w:t>
      </w:r>
      <w:r w:rsidR="00FE0FC6">
        <w:t xml:space="preserve">; </w:t>
      </w:r>
      <w:r w:rsidR="008E2DC9">
        <w:rPr>
          <w:i/>
          <w:iCs/>
        </w:rPr>
        <w:t xml:space="preserve">TV Broadcaster Relocation Fund Invoice Filing Deadline Approaches in Sixty Days, </w:t>
      </w:r>
      <w:r w:rsidR="008E2DC9">
        <w:t>Public Notice, DA 22-72 (MB/IATF Jan. 22, 2022) (</w:t>
      </w:r>
      <w:r w:rsidR="008E2DC9">
        <w:rPr>
          <w:i/>
          <w:iCs/>
        </w:rPr>
        <w:t>Sixty Day Reminder of 2</w:t>
      </w:r>
      <w:r w:rsidRPr="008E2DC9" w:rsidR="008E2DC9">
        <w:rPr>
          <w:i/>
          <w:iCs/>
          <w:vertAlign w:val="superscript"/>
        </w:rPr>
        <w:t>nd</w:t>
      </w:r>
      <w:r w:rsidR="008E2DC9">
        <w:rPr>
          <w:i/>
          <w:iCs/>
        </w:rPr>
        <w:t xml:space="preserve"> Invoice Filing Deadline PN).</w:t>
      </w:r>
    </w:p>
  </w:footnote>
  <w:footnote w:id="30">
    <w:p w:rsidR="001B1826" w:rsidP="001F381B" w14:paraId="45CA9964" w14:textId="69E706C0">
      <w:pPr>
        <w:pStyle w:val="FootnoteText"/>
      </w:pPr>
      <w:r>
        <w:rPr>
          <w:rStyle w:val="FootnoteReference"/>
        </w:rPr>
        <w:footnoteRef/>
      </w:r>
      <w:r>
        <w:t xml:space="preserve"> </w:t>
      </w:r>
      <w:r>
        <w:t>Close-out procedures were announced almost three years ago on February 16, 2019</w:t>
      </w:r>
      <w:r w:rsidRPr="000927A5">
        <w:t>.</w:t>
      </w:r>
      <w:r>
        <w:t xml:space="preserve">  </w:t>
      </w:r>
      <w:r>
        <w:rPr>
          <w:i/>
        </w:rPr>
        <w:t xml:space="preserve">See </w:t>
      </w:r>
      <w:r>
        <w:rPr>
          <w:i/>
          <w:iCs/>
        </w:rPr>
        <w:t>Close Out Procedures P</w:t>
      </w:r>
      <w:r w:rsidR="001A6050">
        <w:rPr>
          <w:i/>
          <w:iCs/>
        </w:rPr>
        <w:t>N</w:t>
      </w:r>
      <w:r>
        <w:t xml:space="preserve">.  </w:t>
      </w:r>
      <w:r w:rsidRPr="6991BD77">
        <w:t xml:space="preserve">The upcoming </w:t>
      </w:r>
      <w:r>
        <w:t>March 22, 2022</w:t>
      </w:r>
      <w:r w:rsidRPr="6991BD77">
        <w:t xml:space="preserve"> invoice filing deadline</w:t>
      </w:r>
      <w:r w:rsidR="00AE1E90">
        <w:t>, which</w:t>
      </w:r>
      <w:r w:rsidRPr="6991BD77">
        <w:t xml:space="preserve"> </w:t>
      </w:r>
      <w:r w:rsidR="00AE1E90">
        <w:t>w</w:t>
      </w:r>
      <w:r w:rsidR="000A2C65">
        <w:t>e</w:t>
      </w:r>
      <w:r w:rsidR="00AE1E90">
        <w:t xml:space="preserve"> announced in October 2020, provided entities  with more than a year’s </w:t>
      </w:r>
      <w:r w:rsidRPr="6991BD77">
        <w:t>advance</w:t>
      </w:r>
      <w:r>
        <w:t xml:space="preserve"> </w:t>
      </w:r>
      <w:r w:rsidR="00AE1E90">
        <w:t>notice</w:t>
      </w:r>
      <w:r w:rsidRPr="6991BD77">
        <w:t>.</w:t>
      </w:r>
      <w:r>
        <w:t xml:space="preserve">  </w:t>
      </w:r>
      <w:r w:rsidRPr="007A4520">
        <w:rPr>
          <w:i/>
          <w:iCs/>
        </w:rPr>
        <w:t>See</w:t>
      </w:r>
      <w:r>
        <w:t xml:space="preserve"> </w:t>
      </w:r>
      <w:r w:rsidRPr="00AA149D">
        <w:rPr>
          <w:i/>
          <w:iCs/>
        </w:rPr>
        <w:t>Invoice Filing Deadline PN</w:t>
      </w:r>
      <w:r>
        <w:rPr>
          <w:i/>
          <w:iCs/>
        </w:rPr>
        <w:t xml:space="preserve">, </w:t>
      </w:r>
      <w:r w:rsidRPr="00067E35">
        <w:t xml:space="preserve">35 FCC </w:t>
      </w:r>
      <w:r w:rsidRPr="00067E35">
        <w:t>Rcd</w:t>
      </w:r>
      <w:r w:rsidRPr="00067E35">
        <w:t xml:space="preserve"> 11273.</w:t>
      </w:r>
      <w:r>
        <w:t xml:space="preserve">  </w:t>
      </w:r>
    </w:p>
  </w:footnote>
  <w:footnote w:id="31">
    <w:p w:rsidR="001B1826" w:rsidRPr="00FA3C7D" w:rsidP="001F381B" w14:paraId="1ACA7001" w14:textId="31C36B14">
      <w:pPr>
        <w:pStyle w:val="FootnoteText"/>
      </w:pPr>
      <w:r>
        <w:rPr>
          <w:rStyle w:val="FootnoteReference"/>
        </w:rPr>
        <w:footnoteRef/>
      </w:r>
      <w:r>
        <w:t xml:space="preserve"> </w:t>
      </w:r>
      <w:r>
        <w:rPr>
          <w:bCs/>
        </w:rPr>
        <w:t xml:space="preserve">Requests for a limited extension from the second to third deadline should be filed as a legal STA in LMS.  Waiver of the filing fee may be selected when filing the STA in LMS.  </w:t>
      </w:r>
      <w:r>
        <w:t xml:space="preserve">Additional guidance is available on the Commission’s Reimbursement Fund webpage </w:t>
      </w:r>
      <w:hyperlink r:id="rId1" w:history="1">
        <w:r w:rsidRPr="00E17785">
          <w:rPr>
            <w:rStyle w:val="Hyperlink"/>
          </w:rPr>
          <w:t>https://www.fcc.gov/about-fcc/fcc-initiatives/incentive-auctions/reimbursement</w:t>
        </w:r>
      </w:hyperlink>
      <w:r>
        <w:t xml:space="preserve"> under the “Education and Reference” tab, Reimbursement FAQs for Full Power and Class A Stations and MVPDs at page 18.  </w:t>
      </w:r>
      <w:r w:rsidRPr="001A0524">
        <w:rPr>
          <w:bCs/>
        </w:rPr>
        <w:t>We will not consider the availability of reimbursement or the status of specific reimbursement requests to be a mitigating factor in evaluating extension requests</w:t>
      </w:r>
      <w:r w:rsidR="00AE1E90">
        <w:rPr>
          <w:bCs/>
        </w:rPr>
        <w:t>,</w:t>
      </w:r>
      <w:r w:rsidRPr="001A0524">
        <w:rPr>
          <w:bCs/>
        </w:rPr>
        <w:t xml:space="preserve"> and we will not grant extensions that do not provide the staff with sufficient processing time to complete close-out procedures for all stations.</w:t>
      </w:r>
      <w:r>
        <w:rPr>
          <w:bCs/>
        </w:rPr>
        <w:t xml:space="preserve">  Thus, an entity’s failure to complete construction in a timely manner and to make final submissions by the assigned deadlines could preclude that entity from receiving full reimbursement because unobligated amounts in the Fund must be rescinded to Treasury by July 3, 2023.  </w:t>
      </w:r>
      <w:r w:rsidRPr="00AA149D">
        <w:rPr>
          <w:i/>
          <w:iCs/>
        </w:rPr>
        <w:t>Invoice Filing Deadline PN</w:t>
      </w:r>
      <w:r w:rsidRPr="00AA149D">
        <w:t xml:space="preserve">, 35 FCC </w:t>
      </w:r>
      <w:r w:rsidRPr="00AA149D">
        <w:t>Rcd</w:t>
      </w:r>
      <w:r w:rsidRPr="00FA3C7D">
        <w:t xml:space="preserve"> at</w:t>
      </w:r>
      <w:r>
        <w:rPr>
          <w:i/>
          <w:iCs/>
        </w:rPr>
        <w:t xml:space="preserve"> </w:t>
      </w:r>
      <w:r>
        <w:t xml:space="preserve">11277-78, para 13; </w:t>
      </w:r>
      <w:r>
        <w:rPr>
          <w:i/>
          <w:iCs/>
        </w:rPr>
        <w:t>Six Month Reminder of 1</w:t>
      </w:r>
      <w:r w:rsidRPr="001E43E6">
        <w:rPr>
          <w:i/>
          <w:iCs/>
          <w:vertAlign w:val="superscript"/>
        </w:rPr>
        <w:t>st</w:t>
      </w:r>
      <w:r>
        <w:rPr>
          <w:i/>
          <w:iCs/>
        </w:rPr>
        <w:t xml:space="preserve"> Invoice Filing PN</w:t>
      </w:r>
      <w:r>
        <w:t xml:space="preserve">, at *2, para 5; </w:t>
      </w:r>
      <w:r>
        <w:rPr>
          <w:i/>
          <w:iCs/>
        </w:rPr>
        <w:t>Sixty Day Reminder of 1</w:t>
      </w:r>
      <w:r w:rsidRPr="001E43E6">
        <w:rPr>
          <w:i/>
          <w:iCs/>
          <w:vertAlign w:val="superscript"/>
        </w:rPr>
        <w:t>st</w:t>
      </w:r>
      <w:r>
        <w:rPr>
          <w:i/>
          <w:iCs/>
        </w:rPr>
        <w:t xml:space="preserve"> Invoice Filing PN</w:t>
      </w:r>
      <w:r>
        <w:t xml:space="preserve"> at n.4; </w:t>
      </w:r>
      <w:r>
        <w:rPr>
          <w:i/>
          <w:iCs/>
        </w:rPr>
        <w:t>Thirty Day Reminder of 1</w:t>
      </w:r>
      <w:r w:rsidRPr="001E43E6">
        <w:rPr>
          <w:i/>
          <w:iCs/>
          <w:vertAlign w:val="superscript"/>
        </w:rPr>
        <w:t>st</w:t>
      </w:r>
      <w:r>
        <w:rPr>
          <w:i/>
          <w:iCs/>
        </w:rPr>
        <w:t xml:space="preserve"> Invoice Filing PN </w:t>
      </w:r>
      <w:r>
        <w:t>at para 2</w:t>
      </w:r>
      <w:r w:rsidR="00D81855">
        <w:t xml:space="preserve">; </w:t>
      </w:r>
      <w:r w:rsidR="00D81855">
        <w:rPr>
          <w:i/>
          <w:iCs/>
        </w:rPr>
        <w:t>Sixty Day Reminder of 2</w:t>
      </w:r>
      <w:r w:rsidRPr="008E2DC9" w:rsidR="00D81855">
        <w:rPr>
          <w:i/>
          <w:iCs/>
          <w:vertAlign w:val="superscript"/>
        </w:rPr>
        <w:t>nd</w:t>
      </w:r>
      <w:r w:rsidR="00D81855">
        <w:rPr>
          <w:i/>
          <w:iCs/>
        </w:rPr>
        <w:t xml:space="preserve"> Invoice Filing Deadline PN </w:t>
      </w:r>
      <w:r w:rsidR="00D81855">
        <w:t>at para 2</w:t>
      </w:r>
      <w:r>
        <w:rPr>
          <w:i/>
          <w:iCs/>
        </w:rPr>
        <w:t>.</w:t>
      </w:r>
      <w:r>
        <w:t xml:space="preserve">  </w:t>
      </w:r>
    </w:p>
  </w:footnote>
  <w:footnote w:id="32">
    <w:p w:rsidR="001B1826" w:rsidP="00BF5AD0" w14:paraId="180929F3" w14:textId="43560555">
      <w:pPr>
        <w:pStyle w:val="FootnoteText"/>
      </w:pPr>
      <w:r>
        <w:rPr>
          <w:rStyle w:val="FootnoteReference"/>
        </w:rPr>
        <w:footnoteRef/>
      </w:r>
      <w:r>
        <w:t xml:space="preserve"> </w:t>
      </w:r>
      <w:r w:rsidR="001A6050">
        <w:rPr>
          <w:i/>
          <w:iCs/>
        </w:rPr>
        <w:t>See Sixty Day Reminder of 2</w:t>
      </w:r>
      <w:r w:rsidRPr="008E2DC9" w:rsidR="001A6050">
        <w:rPr>
          <w:i/>
          <w:iCs/>
          <w:vertAlign w:val="superscript"/>
        </w:rPr>
        <w:t>nd</w:t>
      </w:r>
      <w:r w:rsidR="001A6050">
        <w:rPr>
          <w:i/>
          <w:iCs/>
        </w:rPr>
        <w:t xml:space="preserve"> Invoice Filing Deadline PN</w:t>
      </w:r>
      <w:r>
        <w:rPr>
          <w:i/>
          <w:iCs/>
        </w:rPr>
        <w:t>.</w:t>
      </w:r>
    </w:p>
  </w:footnote>
  <w:footnote w:id="33">
    <w:p w:rsidR="001B1826" w:rsidRPr="00AA149D" w:rsidP="009D22FB" w14:paraId="0E8481DB" w14:textId="77777777">
      <w:pPr>
        <w:pStyle w:val="FootnoteText"/>
      </w:pPr>
      <w:r w:rsidRPr="00AA149D">
        <w:rPr>
          <w:rStyle w:val="FootnoteReference"/>
        </w:rPr>
        <w:footnoteRef/>
      </w:r>
      <w:r w:rsidRPr="00AA149D">
        <w:t xml:space="preserve"> </w:t>
      </w:r>
      <w:r w:rsidRPr="00AA149D">
        <w:rPr>
          <w:i/>
          <w:iCs/>
        </w:rPr>
        <w:t>See Invoice Filing Deadline PN</w:t>
      </w:r>
      <w:r w:rsidRPr="00AA149D">
        <w:t xml:space="preserve">, 35 FCC </w:t>
      </w:r>
      <w:r w:rsidRPr="00AA149D">
        <w:t>Rcd</w:t>
      </w:r>
      <w:r w:rsidRPr="00AA149D">
        <w:t xml:space="preserve"> at 11278-79, paras</w:t>
      </w:r>
      <w:r>
        <w:t>.</w:t>
      </w:r>
      <w:r w:rsidRPr="00AA149D">
        <w:t xml:space="preserve"> 15-17.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B1826" w:rsidRPr="009838BC" w:rsidP="009838BC" w14:paraId="138D41D6" w14:textId="7555B871">
    <w:pPr>
      <w:tabs>
        <w:tab w:val="center" w:pos="4680"/>
        <w:tab w:val="right" w:pos="9360"/>
      </w:tabs>
    </w:pPr>
    <w:r w:rsidRPr="009838BC">
      <w:rPr>
        <w:b/>
      </w:rPr>
      <w:tab/>
    </w:r>
    <w:r w:rsidRPr="009838BC">
      <w:rPr>
        <w:b/>
      </w:rPr>
      <w:t>Federal Communications Commission</w:t>
    </w:r>
    <w:r w:rsidRPr="009838BC">
      <w:rPr>
        <w:b/>
      </w:rPr>
      <w:tab/>
    </w:r>
    <w:r>
      <w:rPr>
        <w:b/>
      </w:rPr>
      <w:t>DA 22-</w:t>
    </w:r>
    <w:r w:rsidR="007F6969">
      <w:rPr>
        <w:b/>
      </w:rPr>
      <w:t>191</w:t>
    </w:r>
  </w:p>
  <w:p w:rsidR="001B1826" w:rsidRPr="009838BC" w:rsidP="009838BC" w14:paraId="2D236837"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65408" behindDoc="1" locked="0" layoutInCell="0" allowOverlap="1">
              <wp:simplePos x="0" y="0"/>
              <wp:positionH relativeFrom="margin">
                <wp:posOffset>0</wp:posOffset>
              </wp:positionH>
              <wp:positionV relativeFrom="paragraph">
                <wp:posOffset>0</wp:posOffset>
              </wp:positionV>
              <wp:extent cx="5943600" cy="12065"/>
              <wp:effectExtent l="0" t="0" r="0" b="0"/>
              <wp:wrapNone/>
              <wp:docPr id="4"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0048" o:allowincell="f" fillcolor="black" stroked="f" strokeweight="0.05pt">
              <w10:wrap anchorx="margin"/>
            </v:rect>
          </w:pict>
        </mc:Fallback>
      </mc:AlternateContent>
    </w:r>
  </w:p>
  <w:p w:rsidR="001B1826" w:rsidRPr="009838BC" w:rsidP="009838BC" w14:paraId="4261C5AB"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B1826" w:rsidRPr="00A866AC" w:rsidP="009838BC" w14:paraId="283D53B7" w14:textId="77777777">
    <w:pPr>
      <w:spacing w:before="40"/>
      <w:rPr>
        <w:rFonts w:ascii="Arial" w:hAnsi="Arial" w:cs="Arial"/>
        <w:b/>
        <w:sz w:val="96"/>
      </w:rPr>
    </w:pPr>
    <w:r>
      <w:rPr>
        <w:noProof/>
      </w:rPr>
      <mc:AlternateContent>
        <mc:Choice Requires="wps">
          <w:drawing>
            <wp:anchor distT="0" distB="0" distL="114300" distR="114300" simplePos="0" relativeHeight="251658240"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3"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1B1826" w:rsidP="009838BC" w14:textId="77777777">
                          <w:pPr>
                            <w:rPr>
                              <w:rFonts w:ascii="Arial" w:hAnsi="Arial"/>
                              <w:b/>
                            </w:rPr>
                          </w:pPr>
                          <w:r>
                            <w:rPr>
                              <w:rFonts w:ascii="Arial" w:hAnsi="Arial"/>
                              <w:b/>
                            </w:rPr>
                            <w:t>Federal Communications Commission</w:t>
                          </w:r>
                        </w:p>
                        <w:p w:rsidR="001B1826" w:rsidP="009838BC" w14:textId="77777777">
                          <w:pPr>
                            <w:rPr>
                              <w:rFonts w:ascii="Arial" w:hAnsi="Arial"/>
                              <w:b/>
                            </w:rPr>
                          </w:pPr>
                          <w:r w:rsidRPr="00F14870">
                            <w:rPr>
                              <w:rFonts w:ascii="Arial" w:hAnsi="Arial"/>
                              <w:b/>
                            </w:rPr>
                            <w:t>45 L Street NE</w:t>
                          </w:r>
                        </w:p>
                        <w:p w:rsidR="001B1826" w:rsidP="009838BC" w14:textId="777777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59264" o:allowincell="f" stroked="f">
              <v:textbox>
                <w:txbxContent>
                  <w:p w:rsidR="001B1826" w:rsidP="009838BC" w14:paraId="01593FB4" w14:textId="77777777">
                    <w:pPr>
                      <w:rPr>
                        <w:rFonts w:ascii="Arial" w:hAnsi="Arial"/>
                        <w:b/>
                      </w:rPr>
                    </w:pPr>
                    <w:r>
                      <w:rPr>
                        <w:rFonts w:ascii="Arial" w:hAnsi="Arial"/>
                        <w:b/>
                      </w:rPr>
                      <w:t>Federal Communications Commission</w:t>
                    </w:r>
                  </w:p>
                  <w:p w:rsidR="001B1826" w:rsidP="009838BC" w14:paraId="57ED8C92" w14:textId="77777777">
                    <w:pPr>
                      <w:rPr>
                        <w:rFonts w:ascii="Arial" w:hAnsi="Arial"/>
                        <w:b/>
                      </w:rPr>
                    </w:pPr>
                    <w:r w:rsidRPr="00F14870">
                      <w:rPr>
                        <w:rFonts w:ascii="Arial" w:hAnsi="Arial"/>
                        <w:b/>
                      </w:rPr>
                      <w:t>45 L Street NE</w:t>
                    </w:r>
                  </w:p>
                  <w:p w:rsidR="001B1826" w:rsidP="009838BC" w14:paraId="4F368F03" w14:textId="77777777">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0288"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1027"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Pr="00A866AC">
      <w:rPr>
        <w:rFonts w:ascii="Arial" w:hAnsi="Arial" w:cs="Arial"/>
        <w:b/>
        <w:sz w:val="96"/>
      </w:rPr>
      <w:t>PUBLIC NOTICE</w:t>
    </w:r>
  </w:p>
  <w:p w:rsidR="001B1826" w:rsidRPr="00357D50" w:rsidP="009838BC" w14:paraId="53C15771" w14:textId="77777777">
    <w:pPr>
      <w:spacing w:before="40"/>
      <w:rPr>
        <w:rFonts w:ascii="Arial" w:hAnsi="Arial" w:cs="Arial"/>
        <w:b/>
        <w:sz w:val="96"/>
      </w:rPr>
    </w:pPr>
    <w:r>
      <w:rPr>
        <w:noProof/>
      </w:rPr>
      <mc:AlternateContent>
        <mc:Choice Requires="wps">
          <w:drawing>
            <wp:anchor distT="0" distB="0" distL="114300" distR="114300" simplePos="0" relativeHeight="251661312" behindDoc="0" locked="0" layoutInCell="0" allowOverlap="1">
              <wp:simplePos x="0" y="0"/>
              <wp:positionH relativeFrom="margin">
                <wp:align>right</wp:align>
              </wp:positionH>
              <wp:positionV relativeFrom="paragraph">
                <wp:posOffset>720090</wp:posOffset>
              </wp:positionV>
              <wp:extent cx="5943600" cy="0"/>
              <wp:effectExtent l="11430" t="5715" r="7620" b="13335"/>
              <wp:wrapNone/>
              <wp:docPr id="2"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mso-wrap-distance-left:9pt;mso-wrap-distance-right:9pt;mso-wrap-distance-top:0;mso-wrap-style:square;position:absolute;visibility:visible;z-index:251662336" from="416.8pt,56.7pt" to="884.8pt,56.7pt" o:allowincell="f">
              <w10:wrap anchorx="margin"/>
            </v:line>
          </w:pict>
        </mc:Fallback>
      </mc:AlternateContent>
    </w:r>
    <w:r>
      <w:rPr>
        <w:noProof/>
      </w:rPr>
      <mc:AlternateContent>
        <mc:Choice Requires="wps">
          <w:drawing>
            <wp:anchor distT="0" distB="0" distL="114300" distR="114300" simplePos="0" relativeHeight="251663360" behindDoc="0" locked="0" layoutInCell="0" allowOverlap="1">
              <wp:simplePos x="0" y="0"/>
              <wp:positionH relativeFrom="column">
                <wp:posOffset>3343275</wp:posOffset>
              </wp:positionH>
              <wp:positionV relativeFrom="paragraph">
                <wp:posOffset>178435</wp:posOffset>
              </wp:positionV>
              <wp:extent cx="2640965" cy="447675"/>
              <wp:effectExtent l="0" t="0" r="0" b="2540"/>
              <wp:wrapNone/>
              <wp:docPr id="1"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1B1826" w:rsidP="009838BC" w14:textId="77777777">
                          <w:pPr>
                            <w:spacing w:before="40"/>
                            <w:jc w:val="right"/>
                            <w:rPr>
                              <w:rFonts w:ascii="Arial" w:hAnsi="Arial"/>
                              <w:b/>
                              <w:sz w:val="16"/>
                            </w:rPr>
                          </w:pPr>
                          <w:r>
                            <w:rPr>
                              <w:rFonts w:ascii="Arial" w:hAnsi="Arial"/>
                              <w:b/>
                              <w:sz w:val="16"/>
                            </w:rPr>
                            <w:t>News Media Information 202 / 418-0500</w:t>
                          </w:r>
                        </w:p>
                        <w:p w:rsidR="001B1826" w:rsidP="009838BC" w14:textId="77777777">
                          <w:pPr>
                            <w:jc w:val="right"/>
                            <w:rPr>
                              <w:rFonts w:ascii="Arial" w:hAnsi="Arial"/>
                              <w:b/>
                              <w:sz w:val="16"/>
                            </w:rPr>
                          </w:pPr>
                          <w:r>
                            <w:rPr>
                              <w:rFonts w:ascii="Arial" w:hAnsi="Arial"/>
                              <w:b/>
                              <w:sz w:val="16"/>
                            </w:rPr>
                            <w:t xml:space="preserve">Internet: </w:t>
                          </w:r>
                          <w:bookmarkStart w:id="2" w:name="_Hlt233824"/>
                          <w:hyperlink r:id="rId2" w:history="1">
                            <w:r w:rsidRPr="00D216CD">
                              <w:rPr>
                                <w:rStyle w:val="Hyperlink"/>
                                <w:rFonts w:ascii="Arial" w:hAnsi="Arial"/>
                                <w:b/>
                                <w:sz w:val="16"/>
                              </w:rPr>
                              <w:t>h</w:t>
                            </w:r>
                            <w:bookmarkEnd w:id="2"/>
                            <w:r w:rsidRPr="00D216CD">
                              <w:rPr>
                                <w:rStyle w:val="Hyperlink"/>
                                <w:rFonts w:ascii="Arial" w:hAnsi="Arial"/>
                                <w:b/>
                                <w:sz w:val="16"/>
                              </w:rPr>
                              <w:t>ttps://www.fcc.gov</w:t>
                            </w:r>
                          </w:hyperlink>
                        </w:p>
                        <w:p w:rsidR="001B1826" w:rsidP="009838BC"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4384" o:allowincell="f" stroked="f">
              <v:textbox inset=",0,,0">
                <w:txbxContent>
                  <w:p w:rsidR="001B1826" w:rsidP="009838BC" w14:paraId="12CA7E3B" w14:textId="77777777">
                    <w:pPr>
                      <w:spacing w:before="40"/>
                      <w:jc w:val="right"/>
                      <w:rPr>
                        <w:rFonts w:ascii="Arial" w:hAnsi="Arial"/>
                        <w:b/>
                        <w:sz w:val="16"/>
                      </w:rPr>
                    </w:pPr>
                    <w:r>
                      <w:rPr>
                        <w:rFonts w:ascii="Arial" w:hAnsi="Arial"/>
                        <w:b/>
                        <w:sz w:val="16"/>
                      </w:rPr>
                      <w:t>News Media Information 202 / 418-0500</w:t>
                    </w:r>
                  </w:p>
                  <w:p w:rsidR="001B1826" w:rsidP="009838BC" w14:paraId="7D595A0C" w14:textId="77777777">
                    <w:pPr>
                      <w:jc w:val="right"/>
                      <w:rPr>
                        <w:rFonts w:ascii="Arial" w:hAnsi="Arial"/>
                        <w:b/>
                        <w:sz w:val="16"/>
                      </w:rPr>
                    </w:pPr>
                    <w:r>
                      <w:rPr>
                        <w:rFonts w:ascii="Arial" w:hAnsi="Arial"/>
                        <w:b/>
                        <w:sz w:val="16"/>
                      </w:rPr>
                      <w:t xml:space="preserve">Internet: </w:t>
                    </w:r>
                    <w:bookmarkStart w:id="2" w:name="_Hlt233824"/>
                    <w:hyperlink r:id="rId2" w:history="1">
                      <w:r w:rsidRPr="00D216CD">
                        <w:rPr>
                          <w:rStyle w:val="Hyperlink"/>
                          <w:rFonts w:ascii="Arial" w:hAnsi="Arial"/>
                          <w:b/>
                          <w:sz w:val="16"/>
                        </w:rPr>
                        <w:t>h</w:t>
                      </w:r>
                      <w:bookmarkEnd w:id="2"/>
                      <w:r w:rsidRPr="00D216CD">
                        <w:rPr>
                          <w:rStyle w:val="Hyperlink"/>
                          <w:rFonts w:ascii="Arial" w:hAnsi="Arial"/>
                          <w:b/>
                          <w:sz w:val="16"/>
                        </w:rPr>
                        <w:t>ttps://www.fcc.gov</w:t>
                      </w:r>
                    </w:hyperlink>
                  </w:p>
                  <w:p w:rsidR="001B1826" w:rsidP="009838BC" w14:paraId="67E07C89" w14:textId="77777777">
                    <w:pPr>
                      <w:jc w:val="right"/>
                    </w:pPr>
                    <w:r>
                      <w:rPr>
                        <w:rFonts w:ascii="Arial" w:hAnsi="Arial"/>
                        <w:b/>
                        <w:sz w:val="16"/>
                      </w:rPr>
                      <w:t>TTY: 1-888-835-5322</w:t>
                    </w:r>
                  </w:p>
                </w:txbxContent>
              </v:textbox>
            </v:shape>
          </w:pict>
        </mc:Fallback>
      </mc:AlternateContent>
    </w:r>
  </w:p>
  <w:p w:rsidR="001B1826" w:rsidRPr="009838BC" w:rsidP="009838BC" w14:paraId="3B445A3A"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13D4BBD"/>
    <w:multiLevelType w:val="hybridMultilevel"/>
    <w:tmpl w:val="C98C8CF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2B4668BC"/>
    <w:multiLevelType w:val="hybridMultilevel"/>
    <w:tmpl w:val="7C7E94E0"/>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6">
    <w:nsid w:val="38A148C9"/>
    <w:multiLevelType w:val="hybridMultilevel"/>
    <w:tmpl w:val="766EB538"/>
    <w:lvl w:ilvl="0">
      <w:start w:val="1"/>
      <w:numFmt w:val="decimal"/>
      <w:lvlText w:val="%1."/>
      <w:lvlJc w:val="left"/>
      <w:pPr>
        <w:ind w:left="1170" w:hanging="360"/>
      </w:pPr>
    </w:lvl>
    <w:lvl w:ilvl="1" w:tentative="1">
      <w:start w:val="1"/>
      <w:numFmt w:val="lowerLetter"/>
      <w:lvlText w:val="%2."/>
      <w:lvlJc w:val="left"/>
      <w:pPr>
        <w:ind w:left="1530" w:hanging="360"/>
      </w:pPr>
    </w:lvl>
    <w:lvl w:ilvl="2" w:tentative="1">
      <w:start w:val="1"/>
      <w:numFmt w:val="lowerRoman"/>
      <w:lvlText w:val="%3."/>
      <w:lvlJc w:val="right"/>
      <w:pPr>
        <w:ind w:left="2250" w:hanging="180"/>
      </w:pPr>
    </w:lvl>
    <w:lvl w:ilvl="3" w:tentative="1">
      <w:start w:val="1"/>
      <w:numFmt w:val="decimal"/>
      <w:lvlText w:val="%4."/>
      <w:lvlJc w:val="left"/>
      <w:pPr>
        <w:ind w:left="2970" w:hanging="360"/>
      </w:pPr>
    </w:lvl>
    <w:lvl w:ilvl="4" w:tentative="1">
      <w:start w:val="1"/>
      <w:numFmt w:val="lowerLetter"/>
      <w:lvlText w:val="%5."/>
      <w:lvlJc w:val="left"/>
      <w:pPr>
        <w:ind w:left="3690" w:hanging="360"/>
      </w:pPr>
    </w:lvl>
    <w:lvl w:ilvl="5" w:tentative="1">
      <w:start w:val="1"/>
      <w:numFmt w:val="lowerRoman"/>
      <w:lvlText w:val="%6."/>
      <w:lvlJc w:val="right"/>
      <w:pPr>
        <w:ind w:left="4410" w:hanging="180"/>
      </w:pPr>
    </w:lvl>
    <w:lvl w:ilvl="6" w:tentative="1">
      <w:start w:val="1"/>
      <w:numFmt w:val="decimal"/>
      <w:lvlText w:val="%7."/>
      <w:lvlJc w:val="left"/>
      <w:pPr>
        <w:ind w:left="5130" w:hanging="360"/>
      </w:pPr>
    </w:lvl>
    <w:lvl w:ilvl="7" w:tentative="1">
      <w:start w:val="1"/>
      <w:numFmt w:val="lowerLetter"/>
      <w:lvlText w:val="%8."/>
      <w:lvlJc w:val="left"/>
      <w:pPr>
        <w:ind w:left="5850" w:hanging="360"/>
      </w:pPr>
    </w:lvl>
    <w:lvl w:ilvl="8" w:tentative="1">
      <w:start w:val="1"/>
      <w:numFmt w:val="lowerRoman"/>
      <w:lvlText w:val="%9."/>
      <w:lvlJc w:val="right"/>
      <w:pPr>
        <w:ind w:left="6570" w:hanging="180"/>
      </w:pPr>
    </w:lvl>
  </w:abstractNum>
  <w:abstractNum w:abstractNumId="7">
    <w:nsid w:val="4BAE11E2"/>
    <w:multiLevelType w:val="hybridMultilevel"/>
    <w:tmpl w:val="99A6F1B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9">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10">
    <w:nsid w:val="61610324"/>
    <w:multiLevelType w:val="hybridMultilevel"/>
    <w:tmpl w:val="766EB538"/>
    <w:lvl w:ilvl="0">
      <w:start w:val="1"/>
      <w:numFmt w:val="decimal"/>
      <w:lvlText w:val="%1."/>
      <w:lvlJc w:val="left"/>
      <w:pPr>
        <w:ind w:left="1170" w:hanging="360"/>
      </w:pPr>
    </w:lvl>
    <w:lvl w:ilvl="1" w:tentative="1">
      <w:start w:val="1"/>
      <w:numFmt w:val="lowerLetter"/>
      <w:lvlText w:val="%2."/>
      <w:lvlJc w:val="left"/>
      <w:pPr>
        <w:ind w:left="1530" w:hanging="360"/>
      </w:pPr>
    </w:lvl>
    <w:lvl w:ilvl="2" w:tentative="1">
      <w:start w:val="1"/>
      <w:numFmt w:val="lowerRoman"/>
      <w:lvlText w:val="%3."/>
      <w:lvlJc w:val="right"/>
      <w:pPr>
        <w:ind w:left="2250" w:hanging="180"/>
      </w:pPr>
    </w:lvl>
    <w:lvl w:ilvl="3" w:tentative="1">
      <w:start w:val="1"/>
      <w:numFmt w:val="decimal"/>
      <w:lvlText w:val="%4."/>
      <w:lvlJc w:val="left"/>
      <w:pPr>
        <w:ind w:left="2970" w:hanging="360"/>
      </w:pPr>
    </w:lvl>
    <w:lvl w:ilvl="4" w:tentative="1">
      <w:start w:val="1"/>
      <w:numFmt w:val="lowerLetter"/>
      <w:lvlText w:val="%5."/>
      <w:lvlJc w:val="left"/>
      <w:pPr>
        <w:ind w:left="3690" w:hanging="360"/>
      </w:pPr>
    </w:lvl>
    <w:lvl w:ilvl="5" w:tentative="1">
      <w:start w:val="1"/>
      <w:numFmt w:val="lowerRoman"/>
      <w:lvlText w:val="%6."/>
      <w:lvlJc w:val="right"/>
      <w:pPr>
        <w:ind w:left="4410" w:hanging="180"/>
      </w:pPr>
    </w:lvl>
    <w:lvl w:ilvl="6" w:tentative="1">
      <w:start w:val="1"/>
      <w:numFmt w:val="decimal"/>
      <w:lvlText w:val="%7."/>
      <w:lvlJc w:val="left"/>
      <w:pPr>
        <w:ind w:left="5130" w:hanging="360"/>
      </w:pPr>
    </w:lvl>
    <w:lvl w:ilvl="7" w:tentative="1">
      <w:start w:val="1"/>
      <w:numFmt w:val="lowerLetter"/>
      <w:lvlText w:val="%8."/>
      <w:lvlJc w:val="left"/>
      <w:pPr>
        <w:ind w:left="5850" w:hanging="360"/>
      </w:pPr>
    </w:lvl>
    <w:lvl w:ilvl="8" w:tentative="1">
      <w:start w:val="1"/>
      <w:numFmt w:val="lowerRoman"/>
      <w:lvlText w:val="%9."/>
      <w:lvlJc w:val="right"/>
      <w:pPr>
        <w:ind w:left="6570" w:hanging="180"/>
      </w:pPr>
    </w:lvl>
  </w:abstractNum>
  <w:num w:numId="1">
    <w:abstractNumId w:val="2"/>
  </w:num>
  <w:num w:numId="2">
    <w:abstractNumId w:val="9"/>
  </w:num>
  <w:num w:numId="3">
    <w:abstractNumId w:val="4"/>
  </w:num>
  <w:num w:numId="4">
    <w:abstractNumId w:val="8"/>
  </w:num>
  <w:num w:numId="5">
    <w:abstractNumId w:val="3"/>
  </w:num>
  <w:num w:numId="6">
    <w:abstractNumId w:val="0"/>
  </w:num>
  <w:num w:numId="7">
    <w:abstractNumId w:val="6"/>
  </w:num>
  <w:num w:numId="8">
    <w:abstractNumId w:val="1"/>
  </w:num>
  <w:num w:numId="9">
    <w:abstractNumId w:val="7"/>
  </w:num>
  <w:num w:numId="10">
    <w:abstractNumId w:val="1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6A1"/>
    <w:rsid w:val="00003FD1"/>
    <w:rsid w:val="000072CE"/>
    <w:rsid w:val="00010B3D"/>
    <w:rsid w:val="00013A8B"/>
    <w:rsid w:val="00021445"/>
    <w:rsid w:val="00036039"/>
    <w:rsid w:val="00037F90"/>
    <w:rsid w:val="000442BD"/>
    <w:rsid w:val="00047015"/>
    <w:rsid w:val="000476CF"/>
    <w:rsid w:val="00050718"/>
    <w:rsid w:val="000653A1"/>
    <w:rsid w:val="00067E35"/>
    <w:rsid w:val="00070C8D"/>
    <w:rsid w:val="000764C7"/>
    <w:rsid w:val="0008596F"/>
    <w:rsid w:val="000875BF"/>
    <w:rsid w:val="00087A2D"/>
    <w:rsid w:val="000927A5"/>
    <w:rsid w:val="00096D8C"/>
    <w:rsid w:val="000A0F54"/>
    <w:rsid w:val="000A2C65"/>
    <w:rsid w:val="000A5CB7"/>
    <w:rsid w:val="000A7138"/>
    <w:rsid w:val="000B4CCF"/>
    <w:rsid w:val="000C05FE"/>
    <w:rsid w:val="000C0B65"/>
    <w:rsid w:val="000C15D5"/>
    <w:rsid w:val="000D050B"/>
    <w:rsid w:val="000D3553"/>
    <w:rsid w:val="000E16F5"/>
    <w:rsid w:val="000E3D42"/>
    <w:rsid w:val="000E5884"/>
    <w:rsid w:val="000F0A00"/>
    <w:rsid w:val="000F4250"/>
    <w:rsid w:val="00101FEC"/>
    <w:rsid w:val="00107BB2"/>
    <w:rsid w:val="00110BDB"/>
    <w:rsid w:val="001110CE"/>
    <w:rsid w:val="001164B1"/>
    <w:rsid w:val="00120245"/>
    <w:rsid w:val="00120A2A"/>
    <w:rsid w:val="00122BD5"/>
    <w:rsid w:val="00133C25"/>
    <w:rsid w:val="0013412A"/>
    <w:rsid w:val="00141EE4"/>
    <w:rsid w:val="00155B30"/>
    <w:rsid w:val="00160D3D"/>
    <w:rsid w:val="00161C63"/>
    <w:rsid w:val="0018168E"/>
    <w:rsid w:val="00184079"/>
    <w:rsid w:val="00186847"/>
    <w:rsid w:val="00195146"/>
    <w:rsid w:val="00195A82"/>
    <w:rsid w:val="001979D9"/>
    <w:rsid w:val="001A0524"/>
    <w:rsid w:val="001A2226"/>
    <w:rsid w:val="001A6050"/>
    <w:rsid w:val="001A718D"/>
    <w:rsid w:val="001B0EAF"/>
    <w:rsid w:val="001B1826"/>
    <w:rsid w:val="001B343E"/>
    <w:rsid w:val="001C3162"/>
    <w:rsid w:val="001C4509"/>
    <w:rsid w:val="001C6513"/>
    <w:rsid w:val="001D6BCF"/>
    <w:rsid w:val="001E01CA"/>
    <w:rsid w:val="001E43E6"/>
    <w:rsid w:val="001E6ECF"/>
    <w:rsid w:val="001E6EFE"/>
    <w:rsid w:val="001F381B"/>
    <w:rsid w:val="001F544E"/>
    <w:rsid w:val="00201EFB"/>
    <w:rsid w:val="002060D9"/>
    <w:rsid w:val="00206B17"/>
    <w:rsid w:val="00220FB7"/>
    <w:rsid w:val="0022311B"/>
    <w:rsid w:val="00226822"/>
    <w:rsid w:val="00244D06"/>
    <w:rsid w:val="00253687"/>
    <w:rsid w:val="00255647"/>
    <w:rsid w:val="00255D23"/>
    <w:rsid w:val="002579EE"/>
    <w:rsid w:val="002604D5"/>
    <w:rsid w:val="00260594"/>
    <w:rsid w:val="002666F3"/>
    <w:rsid w:val="00267910"/>
    <w:rsid w:val="00277D13"/>
    <w:rsid w:val="002815DC"/>
    <w:rsid w:val="002835CF"/>
    <w:rsid w:val="002847CA"/>
    <w:rsid w:val="00285017"/>
    <w:rsid w:val="0028559F"/>
    <w:rsid w:val="00296F6E"/>
    <w:rsid w:val="002A2D2E"/>
    <w:rsid w:val="002A42F7"/>
    <w:rsid w:val="002B1528"/>
    <w:rsid w:val="002D3A83"/>
    <w:rsid w:val="002D4169"/>
    <w:rsid w:val="002F0CFB"/>
    <w:rsid w:val="002F1E68"/>
    <w:rsid w:val="002F1EBC"/>
    <w:rsid w:val="003010AE"/>
    <w:rsid w:val="00306E9E"/>
    <w:rsid w:val="00306F8C"/>
    <w:rsid w:val="00316481"/>
    <w:rsid w:val="00320735"/>
    <w:rsid w:val="00320F33"/>
    <w:rsid w:val="00327278"/>
    <w:rsid w:val="00332298"/>
    <w:rsid w:val="00332C6E"/>
    <w:rsid w:val="003363F4"/>
    <w:rsid w:val="00336707"/>
    <w:rsid w:val="00343749"/>
    <w:rsid w:val="00357D50"/>
    <w:rsid w:val="00365078"/>
    <w:rsid w:val="00381C85"/>
    <w:rsid w:val="003925DC"/>
    <w:rsid w:val="00392B76"/>
    <w:rsid w:val="00396B10"/>
    <w:rsid w:val="003A5BC0"/>
    <w:rsid w:val="003B0550"/>
    <w:rsid w:val="003B0E46"/>
    <w:rsid w:val="003B694F"/>
    <w:rsid w:val="003C30A1"/>
    <w:rsid w:val="003D01F3"/>
    <w:rsid w:val="003D2E6A"/>
    <w:rsid w:val="003E5DD9"/>
    <w:rsid w:val="003E7C3E"/>
    <w:rsid w:val="003F171C"/>
    <w:rsid w:val="003F70AB"/>
    <w:rsid w:val="0040357E"/>
    <w:rsid w:val="00412FC5"/>
    <w:rsid w:val="00422276"/>
    <w:rsid w:val="004242F1"/>
    <w:rsid w:val="00437AF0"/>
    <w:rsid w:val="00445A00"/>
    <w:rsid w:val="004516E0"/>
    <w:rsid w:val="00451B0F"/>
    <w:rsid w:val="00455EF4"/>
    <w:rsid w:val="0045638B"/>
    <w:rsid w:val="0046125F"/>
    <w:rsid w:val="0046224B"/>
    <w:rsid w:val="004653E9"/>
    <w:rsid w:val="00475DE7"/>
    <w:rsid w:val="00482403"/>
    <w:rsid w:val="0048453C"/>
    <w:rsid w:val="00487524"/>
    <w:rsid w:val="0049323F"/>
    <w:rsid w:val="00494132"/>
    <w:rsid w:val="00494296"/>
    <w:rsid w:val="00496106"/>
    <w:rsid w:val="004B17B3"/>
    <w:rsid w:val="004B22C7"/>
    <w:rsid w:val="004C12D0"/>
    <w:rsid w:val="004C14A5"/>
    <w:rsid w:val="004C26F8"/>
    <w:rsid w:val="004C2EE3"/>
    <w:rsid w:val="004C3B7E"/>
    <w:rsid w:val="004D2D66"/>
    <w:rsid w:val="004D3B04"/>
    <w:rsid w:val="004D7158"/>
    <w:rsid w:val="004D7C0D"/>
    <w:rsid w:val="004E45B6"/>
    <w:rsid w:val="004E4A22"/>
    <w:rsid w:val="004E5FCB"/>
    <w:rsid w:val="004F5C09"/>
    <w:rsid w:val="0050303C"/>
    <w:rsid w:val="00503630"/>
    <w:rsid w:val="00511025"/>
    <w:rsid w:val="00511968"/>
    <w:rsid w:val="0051436E"/>
    <w:rsid w:val="00524C44"/>
    <w:rsid w:val="00524D16"/>
    <w:rsid w:val="00525EC0"/>
    <w:rsid w:val="005307BE"/>
    <w:rsid w:val="005318B3"/>
    <w:rsid w:val="00532D26"/>
    <w:rsid w:val="00533AD1"/>
    <w:rsid w:val="00546ADB"/>
    <w:rsid w:val="0055614C"/>
    <w:rsid w:val="00557E21"/>
    <w:rsid w:val="00573318"/>
    <w:rsid w:val="005767CA"/>
    <w:rsid w:val="0059529D"/>
    <w:rsid w:val="005A7AF0"/>
    <w:rsid w:val="005B120F"/>
    <w:rsid w:val="005B41A8"/>
    <w:rsid w:val="005C137F"/>
    <w:rsid w:val="005C15AA"/>
    <w:rsid w:val="005C29DC"/>
    <w:rsid w:val="005C5C60"/>
    <w:rsid w:val="005F2E23"/>
    <w:rsid w:val="005F34FF"/>
    <w:rsid w:val="005F713F"/>
    <w:rsid w:val="00603B37"/>
    <w:rsid w:val="00606F3B"/>
    <w:rsid w:val="00607BA5"/>
    <w:rsid w:val="00613B04"/>
    <w:rsid w:val="00617793"/>
    <w:rsid w:val="00621097"/>
    <w:rsid w:val="00623BCA"/>
    <w:rsid w:val="00625219"/>
    <w:rsid w:val="00626EB6"/>
    <w:rsid w:val="006273F4"/>
    <w:rsid w:val="0063529B"/>
    <w:rsid w:val="006353A3"/>
    <w:rsid w:val="0064191B"/>
    <w:rsid w:val="0064192F"/>
    <w:rsid w:val="00641F86"/>
    <w:rsid w:val="006431E0"/>
    <w:rsid w:val="00643787"/>
    <w:rsid w:val="00654351"/>
    <w:rsid w:val="00655D03"/>
    <w:rsid w:val="00662B59"/>
    <w:rsid w:val="006724EA"/>
    <w:rsid w:val="006815B8"/>
    <w:rsid w:val="00683E32"/>
    <w:rsid w:val="00683F84"/>
    <w:rsid w:val="006845F5"/>
    <w:rsid w:val="00687768"/>
    <w:rsid w:val="00691426"/>
    <w:rsid w:val="00691B94"/>
    <w:rsid w:val="00693B99"/>
    <w:rsid w:val="006A3AFC"/>
    <w:rsid w:val="006A5ABA"/>
    <w:rsid w:val="006A6A81"/>
    <w:rsid w:val="006B49DB"/>
    <w:rsid w:val="006B7B2B"/>
    <w:rsid w:val="006C6A4B"/>
    <w:rsid w:val="006D2BDB"/>
    <w:rsid w:val="006E1741"/>
    <w:rsid w:val="006E26AF"/>
    <w:rsid w:val="006E5A14"/>
    <w:rsid w:val="006F2AD2"/>
    <w:rsid w:val="006F57D7"/>
    <w:rsid w:val="006F6FE2"/>
    <w:rsid w:val="006F7393"/>
    <w:rsid w:val="0070224F"/>
    <w:rsid w:val="007115F7"/>
    <w:rsid w:val="00711A63"/>
    <w:rsid w:val="0071723D"/>
    <w:rsid w:val="00724E48"/>
    <w:rsid w:val="00750C87"/>
    <w:rsid w:val="00750DF0"/>
    <w:rsid w:val="00755F17"/>
    <w:rsid w:val="0077322E"/>
    <w:rsid w:val="0077382D"/>
    <w:rsid w:val="00785689"/>
    <w:rsid w:val="007972D3"/>
    <w:rsid w:val="0079754B"/>
    <w:rsid w:val="007A152D"/>
    <w:rsid w:val="007A1E6D"/>
    <w:rsid w:val="007A4520"/>
    <w:rsid w:val="007A4888"/>
    <w:rsid w:val="007C20DF"/>
    <w:rsid w:val="007E668A"/>
    <w:rsid w:val="007F239A"/>
    <w:rsid w:val="007F4C45"/>
    <w:rsid w:val="007F6969"/>
    <w:rsid w:val="00802742"/>
    <w:rsid w:val="008046CB"/>
    <w:rsid w:val="00804ABA"/>
    <w:rsid w:val="00805B9E"/>
    <w:rsid w:val="00807835"/>
    <w:rsid w:val="0081656D"/>
    <w:rsid w:val="00822CE0"/>
    <w:rsid w:val="008304E6"/>
    <w:rsid w:val="008318F6"/>
    <w:rsid w:val="00831CC8"/>
    <w:rsid w:val="00837C62"/>
    <w:rsid w:val="00841AB1"/>
    <w:rsid w:val="00843111"/>
    <w:rsid w:val="008517AA"/>
    <w:rsid w:val="00864B4F"/>
    <w:rsid w:val="0087392A"/>
    <w:rsid w:val="00876127"/>
    <w:rsid w:val="0089665B"/>
    <w:rsid w:val="008A4997"/>
    <w:rsid w:val="008B0D0F"/>
    <w:rsid w:val="008B224F"/>
    <w:rsid w:val="008B62E4"/>
    <w:rsid w:val="008C22FD"/>
    <w:rsid w:val="008C320F"/>
    <w:rsid w:val="008C3774"/>
    <w:rsid w:val="008C3AE3"/>
    <w:rsid w:val="008C429C"/>
    <w:rsid w:val="008E2DC9"/>
    <w:rsid w:val="008E3F67"/>
    <w:rsid w:val="008F2DB5"/>
    <w:rsid w:val="009020EE"/>
    <w:rsid w:val="0090263D"/>
    <w:rsid w:val="00910533"/>
    <w:rsid w:val="00910F12"/>
    <w:rsid w:val="0091191C"/>
    <w:rsid w:val="00912378"/>
    <w:rsid w:val="009167FE"/>
    <w:rsid w:val="00926503"/>
    <w:rsid w:val="00930ECF"/>
    <w:rsid w:val="00937289"/>
    <w:rsid w:val="0094592F"/>
    <w:rsid w:val="00947AEB"/>
    <w:rsid w:val="00950C85"/>
    <w:rsid w:val="00956A2A"/>
    <w:rsid w:val="009614B0"/>
    <w:rsid w:val="00965C5A"/>
    <w:rsid w:val="00966724"/>
    <w:rsid w:val="00976F39"/>
    <w:rsid w:val="009838BC"/>
    <w:rsid w:val="009867B8"/>
    <w:rsid w:val="00995F40"/>
    <w:rsid w:val="009B418C"/>
    <w:rsid w:val="009C32F0"/>
    <w:rsid w:val="009D22FB"/>
    <w:rsid w:val="009D6FBC"/>
    <w:rsid w:val="009D7F87"/>
    <w:rsid w:val="009E31CF"/>
    <w:rsid w:val="009E3B8B"/>
    <w:rsid w:val="009F72B7"/>
    <w:rsid w:val="00A01633"/>
    <w:rsid w:val="00A03998"/>
    <w:rsid w:val="00A2088F"/>
    <w:rsid w:val="00A3208A"/>
    <w:rsid w:val="00A3525B"/>
    <w:rsid w:val="00A41870"/>
    <w:rsid w:val="00A45F4F"/>
    <w:rsid w:val="00A521DE"/>
    <w:rsid w:val="00A52753"/>
    <w:rsid w:val="00A53A92"/>
    <w:rsid w:val="00A56631"/>
    <w:rsid w:val="00A600A9"/>
    <w:rsid w:val="00A603EA"/>
    <w:rsid w:val="00A71926"/>
    <w:rsid w:val="00A71F89"/>
    <w:rsid w:val="00A726A1"/>
    <w:rsid w:val="00A7652F"/>
    <w:rsid w:val="00A8047D"/>
    <w:rsid w:val="00A8241D"/>
    <w:rsid w:val="00A83732"/>
    <w:rsid w:val="00A866AC"/>
    <w:rsid w:val="00A905E9"/>
    <w:rsid w:val="00A91E3E"/>
    <w:rsid w:val="00A9380C"/>
    <w:rsid w:val="00AA149D"/>
    <w:rsid w:val="00AA50D0"/>
    <w:rsid w:val="00AA55B7"/>
    <w:rsid w:val="00AA5B9E"/>
    <w:rsid w:val="00AA6034"/>
    <w:rsid w:val="00AB2407"/>
    <w:rsid w:val="00AB53DF"/>
    <w:rsid w:val="00AB7173"/>
    <w:rsid w:val="00AC23E8"/>
    <w:rsid w:val="00AC759F"/>
    <w:rsid w:val="00AC79F9"/>
    <w:rsid w:val="00AD0079"/>
    <w:rsid w:val="00AD2C78"/>
    <w:rsid w:val="00AE01F0"/>
    <w:rsid w:val="00AE1E90"/>
    <w:rsid w:val="00AE6FED"/>
    <w:rsid w:val="00AE74C7"/>
    <w:rsid w:val="00AF3E7D"/>
    <w:rsid w:val="00AF6937"/>
    <w:rsid w:val="00AF6BB5"/>
    <w:rsid w:val="00B0283D"/>
    <w:rsid w:val="00B07E5C"/>
    <w:rsid w:val="00B13145"/>
    <w:rsid w:val="00B13E6B"/>
    <w:rsid w:val="00B20363"/>
    <w:rsid w:val="00B22DC3"/>
    <w:rsid w:val="00B23D5C"/>
    <w:rsid w:val="00B23FE8"/>
    <w:rsid w:val="00B326E3"/>
    <w:rsid w:val="00B46FCD"/>
    <w:rsid w:val="00B47A07"/>
    <w:rsid w:val="00B573C6"/>
    <w:rsid w:val="00B657F3"/>
    <w:rsid w:val="00B664BF"/>
    <w:rsid w:val="00B703A4"/>
    <w:rsid w:val="00B715D7"/>
    <w:rsid w:val="00B7262F"/>
    <w:rsid w:val="00B72E12"/>
    <w:rsid w:val="00B773DF"/>
    <w:rsid w:val="00B803A5"/>
    <w:rsid w:val="00B811F7"/>
    <w:rsid w:val="00B91CC5"/>
    <w:rsid w:val="00B97EF5"/>
    <w:rsid w:val="00BA0524"/>
    <w:rsid w:val="00BA2BDA"/>
    <w:rsid w:val="00BA38A9"/>
    <w:rsid w:val="00BA5DC6"/>
    <w:rsid w:val="00BA6196"/>
    <w:rsid w:val="00BA7E1E"/>
    <w:rsid w:val="00BB0184"/>
    <w:rsid w:val="00BB0944"/>
    <w:rsid w:val="00BC017E"/>
    <w:rsid w:val="00BC3677"/>
    <w:rsid w:val="00BC3B91"/>
    <w:rsid w:val="00BC6D8C"/>
    <w:rsid w:val="00BE0176"/>
    <w:rsid w:val="00BE74FB"/>
    <w:rsid w:val="00BF4153"/>
    <w:rsid w:val="00BF5AD0"/>
    <w:rsid w:val="00C04DC1"/>
    <w:rsid w:val="00C07EC6"/>
    <w:rsid w:val="00C10488"/>
    <w:rsid w:val="00C1141E"/>
    <w:rsid w:val="00C11B73"/>
    <w:rsid w:val="00C141D0"/>
    <w:rsid w:val="00C16AF2"/>
    <w:rsid w:val="00C16B99"/>
    <w:rsid w:val="00C20B31"/>
    <w:rsid w:val="00C3341A"/>
    <w:rsid w:val="00C34006"/>
    <w:rsid w:val="00C34246"/>
    <w:rsid w:val="00C373AF"/>
    <w:rsid w:val="00C426B1"/>
    <w:rsid w:val="00C53B64"/>
    <w:rsid w:val="00C61EA7"/>
    <w:rsid w:val="00C63A99"/>
    <w:rsid w:val="00C6584E"/>
    <w:rsid w:val="00C76677"/>
    <w:rsid w:val="00C82B6B"/>
    <w:rsid w:val="00C875F9"/>
    <w:rsid w:val="00C90D6A"/>
    <w:rsid w:val="00C935DC"/>
    <w:rsid w:val="00C970B5"/>
    <w:rsid w:val="00CA0A8E"/>
    <w:rsid w:val="00CA2C70"/>
    <w:rsid w:val="00CB271F"/>
    <w:rsid w:val="00CB4908"/>
    <w:rsid w:val="00CC0AA4"/>
    <w:rsid w:val="00CC72B6"/>
    <w:rsid w:val="00CD1F99"/>
    <w:rsid w:val="00CE3BCD"/>
    <w:rsid w:val="00D0184A"/>
    <w:rsid w:val="00D0218D"/>
    <w:rsid w:val="00D06C90"/>
    <w:rsid w:val="00D216CD"/>
    <w:rsid w:val="00D23300"/>
    <w:rsid w:val="00D2774D"/>
    <w:rsid w:val="00D27913"/>
    <w:rsid w:val="00D27F79"/>
    <w:rsid w:val="00D3058D"/>
    <w:rsid w:val="00D3157E"/>
    <w:rsid w:val="00D47ECE"/>
    <w:rsid w:val="00D60A51"/>
    <w:rsid w:val="00D617B0"/>
    <w:rsid w:val="00D61D5B"/>
    <w:rsid w:val="00D63DC6"/>
    <w:rsid w:val="00D70912"/>
    <w:rsid w:val="00D77B2F"/>
    <w:rsid w:val="00D80582"/>
    <w:rsid w:val="00D81855"/>
    <w:rsid w:val="00D81DA1"/>
    <w:rsid w:val="00D85BDF"/>
    <w:rsid w:val="00D93A8A"/>
    <w:rsid w:val="00D9472F"/>
    <w:rsid w:val="00D974C6"/>
    <w:rsid w:val="00DA2529"/>
    <w:rsid w:val="00DA377D"/>
    <w:rsid w:val="00DA646D"/>
    <w:rsid w:val="00DB130A"/>
    <w:rsid w:val="00DB1768"/>
    <w:rsid w:val="00DB7366"/>
    <w:rsid w:val="00DC10A1"/>
    <w:rsid w:val="00DC2EA0"/>
    <w:rsid w:val="00DC5061"/>
    <w:rsid w:val="00DC655F"/>
    <w:rsid w:val="00DD4D55"/>
    <w:rsid w:val="00DD5C9F"/>
    <w:rsid w:val="00DD64AE"/>
    <w:rsid w:val="00DD7EBD"/>
    <w:rsid w:val="00DE4BD9"/>
    <w:rsid w:val="00DF62B6"/>
    <w:rsid w:val="00DF69D7"/>
    <w:rsid w:val="00DF7546"/>
    <w:rsid w:val="00E01B41"/>
    <w:rsid w:val="00E02AE9"/>
    <w:rsid w:val="00E07225"/>
    <w:rsid w:val="00E11084"/>
    <w:rsid w:val="00E12EBE"/>
    <w:rsid w:val="00E155B7"/>
    <w:rsid w:val="00E17785"/>
    <w:rsid w:val="00E17F3C"/>
    <w:rsid w:val="00E272BC"/>
    <w:rsid w:val="00E40BD9"/>
    <w:rsid w:val="00E5409F"/>
    <w:rsid w:val="00E610E7"/>
    <w:rsid w:val="00E868B5"/>
    <w:rsid w:val="00E9401D"/>
    <w:rsid w:val="00E95E6B"/>
    <w:rsid w:val="00E972EC"/>
    <w:rsid w:val="00EA2C2D"/>
    <w:rsid w:val="00EA692F"/>
    <w:rsid w:val="00EA7AE6"/>
    <w:rsid w:val="00EB02B5"/>
    <w:rsid w:val="00EB1394"/>
    <w:rsid w:val="00EC0185"/>
    <w:rsid w:val="00EC6BDD"/>
    <w:rsid w:val="00ED404D"/>
    <w:rsid w:val="00ED7DB2"/>
    <w:rsid w:val="00EE13E7"/>
    <w:rsid w:val="00EE3CB9"/>
    <w:rsid w:val="00EE5115"/>
    <w:rsid w:val="00EF23A8"/>
    <w:rsid w:val="00EF2971"/>
    <w:rsid w:val="00EF3E12"/>
    <w:rsid w:val="00EF403C"/>
    <w:rsid w:val="00F021FA"/>
    <w:rsid w:val="00F05773"/>
    <w:rsid w:val="00F139A4"/>
    <w:rsid w:val="00F14870"/>
    <w:rsid w:val="00F14B54"/>
    <w:rsid w:val="00F15C81"/>
    <w:rsid w:val="00F243CD"/>
    <w:rsid w:val="00F3111F"/>
    <w:rsid w:val="00F31AF5"/>
    <w:rsid w:val="00F35F20"/>
    <w:rsid w:val="00F47F7D"/>
    <w:rsid w:val="00F55569"/>
    <w:rsid w:val="00F57450"/>
    <w:rsid w:val="00F57ACA"/>
    <w:rsid w:val="00F62E97"/>
    <w:rsid w:val="00F64209"/>
    <w:rsid w:val="00F70182"/>
    <w:rsid w:val="00F72593"/>
    <w:rsid w:val="00F74352"/>
    <w:rsid w:val="00F93BF5"/>
    <w:rsid w:val="00F96F63"/>
    <w:rsid w:val="00FA2F77"/>
    <w:rsid w:val="00FA340E"/>
    <w:rsid w:val="00FA3C7D"/>
    <w:rsid w:val="00FA54AE"/>
    <w:rsid w:val="00FB6AB9"/>
    <w:rsid w:val="00FD3ECC"/>
    <w:rsid w:val="00FE03D0"/>
    <w:rsid w:val="00FE0FC6"/>
    <w:rsid w:val="00FE3D75"/>
    <w:rsid w:val="00FF31CC"/>
    <w:rsid w:val="00FF568F"/>
    <w:rsid w:val="017D9ED5"/>
    <w:rsid w:val="0216AFCC"/>
    <w:rsid w:val="022D3E0E"/>
    <w:rsid w:val="030A05ED"/>
    <w:rsid w:val="030C995F"/>
    <w:rsid w:val="0502C865"/>
    <w:rsid w:val="0666BC13"/>
    <w:rsid w:val="066BCD97"/>
    <w:rsid w:val="06ECF13E"/>
    <w:rsid w:val="07CE55B4"/>
    <w:rsid w:val="082B6277"/>
    <w:rsid w:val="08A9FF2D"/>
    <w:rsid w:val="08EEFDA1"/>
    <w:rsid w:val="090E340A"/>
    <w:rsid w:val="0A86CBB8"/>
    <w:rsid w:val="0CF6816D"/>
    <w:rsid w:val="0D94AA12"/>
    <w:rsid w:val="0E82C63B"/>
    <w:rsid w:val="11B24D96"/>
    <w:rsid w:val="11BF2E06"/>
    <w:rsid w:val="12DA346F"/>
    <w:rsid w:val="13F020DB"/>
    <w:rsid w:val="154BFED3"/>
    <w:rsid w:val="15980142"/>
    <w:rsid w:val="178BA14B"/>
    <w:rsid w:val="1844F083"/>
    <w:rsid w:val="188D4966"/>
    <w:rsid w:val="18C80C65"/>
    <w:rsid w:val="18DE09E5"/>
    <w:rsid w:val="1D812E33"/>
    <w:rsid w:val="1DAD1498"/>
    <w:rsid w:val="1DCFCFA2"/>
    <w:rsid w:val="1E3BF9A9"/>
    <w:rsid w:val="1EA347AA"/>
    <w:rsid w:val="1F2721F0"/>
    <w:rsid w:val="1F48E4F9"/>
    <w:rsid w:val="20CCBF05"/>
    <w:rsid w:val="21B1765E"/>
    <w:rsid w:val="22409F84"/>
    <w:rsid w:val="2424C2DF"/>
    <w:rsid w:val="243E88DF"/>
    <w:rsid w:val="268159B2"/>
    <w:rsid w:val="26AF2347"/>
    <w:rsid w:val="26F46B2B"/>
    <w:rsid w:val="2714497A"/>
    <w:rsid w:val="27195AFE"/>
    <w:rsid w:val="2751E2F3"/>
    <w:rsid w:val="280D2C5D"/>
    <w:rsid w:val="2856AAC3"/>
    <w:rsid w:val="294FEF6C"/>
    <w:rsid w:val="2BB87285"/>
    <w:rsid w:val="2C051C42"/>
    <w:rsid w:val="2C7B7013"/>
    <w:rsid w:val="2ECC3426"/>
    <w:rsid w:val="30D75F61"/>
    <w:rsid w:val="30EB8E82"/>
    <w:rsid w:val="3375EEC6"/>
    <w:rsid w:val="33E9118D"/>
    <w:rsid w:val="34173D9E"/>
    <w:rsid w:val="3432699C"/>
    <w:rsid w:val="351E18DE"/>
    <w:rsid w:val="35CC9B03"/>
    <w:rsid w:val="36BF642F"/>
    <w:rsid w:val="377BDBDD"/>
    <w:rsid w:val="379B5D33"/>
    <w:rsid w:val="3909A4DF"/>
    <w:rsid w:val="3AF31C52"/>
    <w:rsid w:val="3AF8B022"/>
    <w:rsid w:val="3DD67E14"/>
    <w:rsid w:val="3F55CE4B"/>
    <w:rsid w:val="3FA7B9B5"/>
    <w:rsid w:val="4101AF14"/>
    <w:rsid w:val="43BD561E"/>
    <w:rsid w:val="43D1D2CD"/>
    <w:rsid w:val="45DDD137"/>
    <w:rsid w:val="47096229"/>
    <w:rsid w:val="47F8DE8B"/>
    <w:rsid w:val="481ADFB3"/>
    <w:rsid w:val="49C4DE50"/>
    <w:rsid w:val="4B1A1F8C"/>
    <w:rsid w:val="4B687FCD"/>
    <w:rsid w:val="4C5413A1"/>
    <w:rsid w:val="4D78B513"/>
    <w:rsid w:val="4E336EB9"/>
    <w:rsid w:val="4FA1FCF5"/>
    <w:rsid w:val="4FE71173"/>
    <w:rsid w:val="4FFC200A"/>
    <w:rsid w:val="5032D260"/>
    <w:rsid w:val="50B055D5"/>
    <w:rsid w:val="52E1FCAE"/>
    <w:rsid w:val="52F79891"/>
    <w:rsid w:val="545C9ACF"/>
    <w:rsid w:val="558F0A12"/>
    <w:rsid w:val="55919CF7"/>
    <w:rsid w:val="563CB52E"/>
    <w:rsid w:val="56E7B7F4"/>
    <w:rsid w:val="57066EFC"/>
    <w:rsid w:val="57D8858F"/>
    <w:rsid w:val="58EEA70C"/>
    <w:rsid w:val="597455F0"/>
    <w:rsid w:val="5980DF38"/>
    <w:rsid w:val="59DC33C4"/>
    <w:rsid w:val="59FE8138"/>
    <w:rsid w:val="5B127629"/>
    <w:rsid w:val="5BED14A9"/>
    <w:rsid w:val="5C6B240B"/>
    <w:rsid w:val="5DA2A19F"/>
    <w:rsid w:val="5DFD92E1"/>
    <w:rsid w:val="5E4AF878"/>
    <w:rsid w:val="5EF9A321"/>
    <w:rsid w:val="600543D4"/>
    <w:rsid w:val="6056562E"/>
    <w:rsid w:val="60824CF9"/>
    <w:rsid w:val="60EFD3BB"/>
    <w:rsid w:val="6221D533"/>
    <w:rsid w:val="623143E3"/>
    <w:rsid w:val="62F40D12"/>
    <w:rsid w:val="633CE496"/>
    <w:rsid w:val="639528AD"/>
    <w:rsid w:val="645D0D93"/>
    <w:rsid w:val="64C3807B"/>
    <w:rsid w:val="65312300"/>
    <w:rsid w:val="6555BE1C"/>
    <w:rsid w:val="65B92EAB"/>
    <w:rsid w:val="65E69D4E"/>
    <w:rsid w:val="665A3182"/>
    <w:rsid w:val="668E0CD2"/>
    <w:rsid w:val="66DC4135"/>
    <w:rsid w:val="678FE28D"/>
    <w:rsid w:val="68C050AD"/>
    <w:rsid w:val="6991BD77"/>
    <w:rsid w:val="69EB1106"/>
    <w:rsid w:val="6A1C6FB5"/>
    <w:rsid w:val="6A2DB908"/>
    <w:rsid w:val="6A92AA1D"/>
    <w:rsid w:val="6B31D522"/>
    <w:rsid w:val="6BA5891B"/>
    <w:rsid w:val="6CA8BEFA"/>
    <w:rsid w:val="6D996E82"/>
    <w:rsid w:val="6F15298E"/>
    <w:rsid w:val="70949EDA"/>
    <w:rsid w:val="716F8BE9"/>
    <w:rsid w:val="72E77378"/>
    <w:rsid w:val="74256F26"/>
    <w:rsid w:val="7AB24E31"/>
    <w:rsid w:val="7BC8FCD7"/>
    <w:rsid w:val="7C4E1E92"/>
    <w:rsid w:val="7E44633E"/>
    <w:rsid w:val="7E811561"/>
    <w:rsid w:val="7F7B6F0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2890DB4D"/>
  <w15:chartTrackingRefBased/>
  <w15:docId w15:val="{F76366A1-0A61-4354-A91E-47BFE1663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6969"/>
    <w:pPr>
      <w:widowControl w:val="0"/>
    </w:pPr>
    <w:rPr>
      <w:snapToGrid w:val="0"/>
      <w:kern w:val="28"/>
      <w:sz w:val="22"/>
    </w:rPr>
  </w:style>
  <w:style w:type="paragraph" w:styleId="Heading1">
    <w:name w:val="heading 1"/>
    <w:basedOn w:val="Normal"/>
    <w:next w:val="ParaNum"/>
    <w:qFormat/>
    <w:rsid w:val="007F6969"/>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F6969"/>
    <w:pPr>
      <w:keepNext/>
      <w:numPr>
        <w:ilvl w:val="1"/>
        <w:numId w:val="3"/>
      </w:numPr>
      <w:spacing w:after="120"/>
      <w:outlineLvl w:val="1"/>
    </w:pPr>
    <w:rPr>
      <w:b/>
    </w:rPr>
  </w:style>
  <w:style w:type="paragraph" w:styleId="Heading3">
    <w:name w:val="heading 3"/>
    <w:basedOn w:val="Normal"/>
    <w:next w:val="ParaNum"/>
    <w:qFormat/>
    <w:rsid w:val="007F6969"/>
    <w:pPr>
      <w:keepNext/>
      <w:numPr>
        <w:ilvl w:val="2"/>
        <w:numId w:val="3"/>
      </w:numPr>
      <w:tabs>
        <w:tab w:val="left" w:pos="2160"/>
      </w:tabs>
      <w:spacing w:after="120"/>
      <w:outlineLvl w:val="2"/>
    </w:pPr>
    <w:rPr>
      <w:b/>
    </w:rPr>
  </w:style>
  <w:style w:type="paragraph" w:styleId="Heading4">
    <w:name w:val="heading 4"/>
    <w:basedOn w:val="Normal"/>
    <w:next w:val="ParaNum"/>
    <w:qFormat/>
    <w:rsid w:val="007F6969"/>
    <w:pPr>
      <w:keepNext/>
      <w:numPr>
        <w:ilvl w:val="3"/>
        <w:numId w:val="3"/>
      </w:numPr>
      <w:tabs>
        <w:tab w:val="left" w:pos="2880"/>
      </w:tabs>
      <w:spacing w:after="120"/>
      <w:outlineLvl w:val="3"/>
    </w:pPr>
    <w:rPr>
      <w:b/>
    </w:rPr>
  </w:style>
  <w:style w:type="paragraph" w:styleId="Heading5">
    <w:name w:val="heading 5"/>
    <w:basedOn w:val="Normal"/>
    <w:next w:val="ParaNum"/>
    <w:qFormat/>
    <w:rsid w:val="007F6969"/>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7F6969"/>
    <w:pPr>
      <w:numPr>
        <w:ilvl w:val="5"/>
        <w:numId w:val="3"/>
      </w:numPr>
      <w:tabs>
        <w:tab w:val="left" w:pos="4320"/>
      </w:tabs>
      <w:spacing w:after="120"/>
      <w:outlineLvl w:val="5"/>
    </w:pPr>
    <w:rPr>
      <w:b/>
    </w:rPr>
  </w:style>
  <w:style w:type="paragraph" w:styleId="Heading7">
    <w:name w:val="heading 7"/>
    <w:basedOn w:val="Normal"/>
    <w:next w:val="ParaNum"/>
    <w:qFormat/>
    <w:rsid w:val="007F696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7F6969"/>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7F6969"/>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semiHidden/>
    <w:rsid w:val="007F696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rsid w:val="007F6969"/>
  </w:style>
  <w:style w:type="paragraph" w:customStyle="1" w:styleId="ParaNum">
    <w:name w:val="ParaNum"/>
    <w:basedOn w:val="Normal"/>
    <w:rsid w:val="007F6969"/>
    <w:pPr>
      <w:numPr>
        <w:numId w:val="2"/>
      </w:numPr>
      <w:tabs>
        <w:tab w:val="clear" w:pos="1080"/>
        <w:tab w:val="num" w:pos="1440"/>
      </w:tabs>
      <w:spacing w:after="120"/>
    </w:pPr>
  </w:style>
  <w:style w:type="paragraph" w:styleId="EndnoteText">
    <w:name w:val="endnote text"/>
    <w:basedOn w:val="Normal"/>
    <w:semiHidden/>
    <w:rsid w:val="007F6969"/>
    <w:rPr>
      <w:sz w:val="20"/>
    </w:rPr>
  </w:style>
  <w:style w:type="character" w:styleId="EndnoteReference">
    <w:name w:val="endnote reference"/>
    <w:semiHidden/>
    <w:rsid w:val="007F6969"/>
    <w:rPr>
      <w:vertAlign w:val="superscript"/>
    </w:rPr>
  </w:style>
  <w:style w:type="paragraph" w:styleId="FootnoteText">
    <w:name w:val="footnote text"/>
    <w:aliases w:val="ALTS FOOTNOTE,ALTS FOOTNOTE Char,Footnote Text Char,Footnote Text Char Char,Footnote Text Char1,Footnote Text Char1 Char Char,Footnote Text Char1 Char Char Char,Footnote Text Char1 Char1,Footnote Text Char2,Footnote Text Char2 Char Char,fn"/>
    <w:link w:val="FootnoteTextChar3"/>
    <w:rsid w:val="007F6969"/>
    <w:pPr>
      <w:spacing w:after="120"/>
    </w:pPr>
  </w:style>
  <w:style w:type="character" w:styleId="FootnoteReference">
    <w:name w:val="footnote reference"/>
    <w:aliases w:val="(NECG) Footnote Reference,-E Funotenzeichen,Appel note de bas de p,FR,Footnote Reference/,Footnote Reference1,Style 12,Style 124,Style 13,Style 17,Style 20,Style 3,Style 34,Style 4,Style 6,Style 7,Style 9,callout,fr,o"/>
    <w:rsid w:val="007F6969"/>
    <w:rPr>
      <w:rFonts w:ascii="Times New Roman" w:hAnsi="Times New Roman"/>
      <w:dstrike w:val="0"/>
      <w:color w:val="auto"/>
      <w:sz w:val="22"/>
      <w:vertAlign w:val="superscript"/>
    </w:rPr>
  </w:style>
  <w:style w:type="paragraph" w:styleId="TOC1">
    <w:name w:val="toc 1"/>
    <w:basedOn w:val="Normal"/>
    <w:next w:val="Normal"/>
    <w:uiPriority w:val="39"/>
    <w:rsid w:val="007F6969"/>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7F6969"/>
    <w:pPr>
      <w:tabs>
        <w:tab w:val="left" w:pos="720"/>
        <w:tab w:val="right" w:leader="dot" w:pos="9360"/>
      </w:tabs>
      <w:suppressAutoHyphens/>
      <w:ind w:left="720" w:right="720" w:hanging="360"/>
    </w:pPr>
    <w:rPr>
      <w:noProof/>
    </w:rPr>
  </w:style>
  <w:style w:type="paragraph" w:styleId="TOC3">
    <w:name w:val="toc 3"/>
    <w:basedOn w:val="Normal"/>
    <w:next w:val="Normal"/>
    <w:semiHidden/>
    <w:rsid w:val="007F6969"/>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7F6969"/>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7F6969"/>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7F6969"/>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7F6969"/>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7F6969"/>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7F6969"/>
    <w:pPr>
      <w:tabs>
        <w:tab w:val="left" w:pos="3240"/>
        <w:tab w:val="right" w:leader="dot" w:pos="9360"/>
      </w:tabs>
      <w:suppressAutoHyphens/>
      <w:ind w:left="3240" w:hanging="360"/>
    </w:pPr>
    <w:rPr>
      <w:noProof/>
    </w:rPr>
  </w:style>
  <w:style w:type="paragraph" w:styleId="TOAHeading">
    <w:name w:val="toa heading"/>
    <w:basedOn w:val="Normal"/>
    <w:next w:val="Normal"/>
    <w:semiHidden/>
    <w:rsid w:val="007F6969"/>
    <w:pPr>
      <w:tabs>
        <w:tab w:val="right" w:pos="9360"/>
      </w:tabs>
      <w:suppressAutoHyphens/>
    </w:pPr>
  </w:style>
  <w:style w:type="character" w:customStyle="1" w:styleId="EquationCaption">
    <w:name w:val="_Equation Caption"/>
    <w:rsid w:val="007F6969"/>
  </w:style>
  <w:style w:type="paragraph" w:styleId="Header">
    <w:name w:val="header"/>
    <w:basedOn w:val="Normal"/>
    <w:autoRedefine/>
    <w:rsid w:val="007F6969"/>
    <w:pPr>
      <w:tabs>
        <w:tab w:val="center" w:pos="4680"/>
        <w:tab w:val="right" w:pos="9360"/>
      </w:tabs>
    </w:pPr>
    <w:rPr>
      <w:rFonts w:ascii="Arial" w:hAnsi="Arial" w:cs="Arial"/>
      <w:b/>
      <w:sz w:val="96"/>
      <w:szCs w:val="96"/>
    </w:rPr>
  </w:style>
  <w:style w:type="paragraph" w:styleId="Footer">
    <w:name w:val="footer"/>
    <w:basedOn w:val="Normal"/>
    <w:link w:val="FooterChar"/>
    <w:uiPriority w:val="99"/>
    <w:rsid w:val="007F6969"/>
    <w:pPr>
      <w:tabs>
        <w:tab w:val="center" w:pos="4320"/>
        <w:tab w:val="right" w:pos="8640"/>
      </w:tabs>
    </w:pPr>
  </w:style>
  <w:style w:type="character" w:styleId="PageNumber">
    <w:name w:val="page number"/>
    <w:basedOn w:val="DefaultParagraphFont"/>
    <w:rsid w:val="007F6969"/>
  </w:style>
  <w:style w:type="paragraph" w:styleId="BlockText">
    <w:name w:val="Block Text"/>
    <w:basedOn w:val="Normal"/>
    <w:rsid w:val="007F6969"/>
    <w:pPr>
      <w:spacing w:after="240"/>
      <w:ind w:left="1440" w:right="1440"/>
    </w:pPr>
  </w:style>
  <w:style w:type="paragraph" w:customStyle="1" w:styleId="Paratitle">
    <w:name w:val="Para title"/>
    <w:basedOn w:val="Normal"/>
    <w:rsid w:val="007F6969"/>
    <w:pPr>
      <w:tabs>
        <w:tab w:val="center" w:pos="9270"/>
      </w:tabs>
      <w:spacing w:after="240"/>
    </w:pPr>
    <w:rPr>
      <w:spacing w:val="-2"/>
    </w:rPr>
  </w:style>
  <w:style w:type="paragraph" w:customStyle="1" w:styleId="Bullet">
    <w:name w:val="Bullet"/>
    <w:basedOn w:val="Normal"/>
    <w:rsid w:val="007F6969"/>
    <w:pPr>
      <w:numPr>
        <w:numId w:val="1"/>
      </w:numPr>
      <w:tabs>
        <w:tab w:val="clear" w:pos="360"/>
        <w:tab w:val="left" w:pos="2160"/>
      </w:tabs>
      <w:spacing w:after="220"/>
      <w:ind w:left="2160" w:hanging="720"/>
    </w:pPr>
  </w:style>
  <w:style w:type="paragraph" w:customStyle="1" w:styleId="TableFormat">
    <w:name w:val="TableFormat"/>
    <w:basedOn w:val="Bullet"/>
    <w:rsid w:val="007F6969"/>
    <w:pPr>
      <w:numPr>
        <w:numId w:val="0"/>
      </w:numPr>
      <w:tabs>
        <w:tab w:val="clear" w:pos="2160"/>
        <w:tab w:val="left" w:pos="5040"/>
      </w:tabs>
      <w:ind w:left="5040" w:hanging="3600"/>
    </w:pPr>
  </w:style>
  <w:style w:type="paragraph" w:customStyle="1" w:styleId="TOCTitle">
    <w:name w:val="TOC Title"/>
    <w:basedOn w:val="Normal"/>
    <w:rsid w:val="007F6969"/>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7F6969"/>
    <w:pPr>
      <w:jc w:val="center"/>
    </w:pPr>
    <w:rPr>
      <w:rFonts w:ascii="Times New Roman Bold" w:hAnsi="Times New Roman Bold"/>
      <w:b/>
      <w:bCs/>
      <w:caps/>
      <w:szCs w:val="22"/>
    </w:rPr>
  </w:style>
  <w:style w:type="character" w:styleId="Hyperlink">
    <w:name w:val="Hyperlink"/>
    <w:rsid w:val="007F6969"/>
    <w:rPr>
      <w:color w:val="0000FF"/>
      <w:u w:val="single"/>
    </w:rPr>
  </w:style>
  <w:style w:type="character" w:customStyle="1" w:styleId="FooterChar">
    <w:name w:val="Footer Char"/>
    <w:link w:val="Footer"/>
    <w:uiPriority w:val="99"/>
    <w:rsid w:val="007F6969"/>
    <w:rPr>
      <w:snapToGrid w:val="0"/>
      <w:kern w:val="28"/>
      <w:sz w:val="22"/>
    </w:rPr>
  </w:style>
  <w:style w:type="character" w:customStyle="1" w:styleId="FootnoteTextChar3">
    <w:name w:val="Footnote Text Char3"/>
    <w:aliases w:val="ALTS FOOTNOTE Char Char,ALTS FOOTNOTE Char1,Footnote Text Char Char Char,Footnote Text Char Char1,Footnote Text Char1 Char,Footnote Text Char1 Char Char Char Char,Footnote Text Char1 Char Char Char1,Footnote Text Char1 Char1 Char"/>
    <w:link w:val="FootnoteText"/>
    <w:rsid w:val="00A726A1"/>
  </w:style>
  <w:style w:type="paragraph" w:styleId="BalloonText">
    <w:name w:val="Balloon Text"/>
    <w:basedOn w:val="Normal"/>
    <w:link w:val="BalloonTextChar"/>
    <w:uiPriority w:val="99"/>
    <w:semiHidden/>
    <w:unhideWhenUsed/>
    <w:rsid w:val="00AE74C7"/>
    <w:rPr>
      <w:rFonts w:ascii="Segoe UI" w:hAnsi="Segoe UI" w:cs="Segoe UI"/>
      <w:sz w:val="18"/>
      <w:szCs w:val="18"/>
    </w:rPr>
  </w:style>
  <w:style w:type="character" w:customStyle="1" w:styleId="BalloonTextChar">
    <w:name w:val="Balloon Text Char"/>
    <w:link w:val="BalloonText"/>
    <w:uiPriority w:val="99"/>
    <w:semiHidden/>
    <w:rsid w:val="00AE74C7"/>
    <w:rPr>
      <w:rFonts w:ascii="Segoe UI" w:hAnsi="Segoe UI" w:cs="Segoe UI"/>
      <w:snapToGrid w:val="0"/>
      <w:kern w:val="28"/>
      <w:sz w:val="18"/>
      <w:szCs w:val="18"/>
    </w:rPr>
  </w:style>
  <w:style w:type="character" w:styleId="CommentReference">
    <w:name w:val="annotation reference"/>
    <w:uiPriority w:val="99"/>
    <w:semiHidden/>
    <w:unhideWhenUsed/>
    <w:rsid w:val="005B41A8"/>
    <w:rPr>
      <w:sz w:val="16"/>
      <w:szCs w:val="16"/>
    </w:rPr>
  </w:style>
  <w:style w:type="paragraph" w:styleId="CommentText">
    <w:name w:val="annotation text"/>
    <w:basedOn w:val="Normal"/>
    <w:link w:val="CommentTextChar"/>
    <w:uiPriority w:val="99"/>
    <w:semiHidden/>
    <w:unhideWhenUsed/>
    <w:rsid w:val="005B41A8"/>
    <w:rPr>
      <w:sz w:val="20"/>
    </w:rPr>
  </w:style>
  <w:style w:type="character" w:customStyle="1" w:styleId="CommentTextChar">
    <w:name w:val="Comment Text Char"/>
    <w:link w:val="CommentText"/>
    <w:uiPriority w:val="99"/>
    <w:semiHidden/>
    <w:rsid w:val="005B41A8"/>
    <w:rPr>
      <w:snapToGrid w:val="0"/>
      <w:kern w:val="28"/>
    </w:rPr>
  </w:style>
  <w:style w:type="paragraph" w:styleId="CommentSubject">
    <w:name w:val="annotation subject"/>
    <w:basedOn w:val="CommentText"/>
    <w:next w:val="CommentText"/>
    <w:link w:val="CommentSubjectChar"/>
    <w:uiPriority w:val="99"/>
    <w:semiHidden/>
    <w:unhideWhenUsed/>
    <w:rsid w:val="005B41A8"/>
    <w:rPr>
      <w:b/>
      <w:bCs/>
    </w:rPr>
  </w:style>
  <w:style w:type="character" w:customStyle="1" w:styleId="CommentSubjectChar">
    <w:name w:val="Comment Subject Char"/>
    <w:link w:val="CommentSubject"/>
    <w:uiPriority w:val="99"/>
    <w:semiHidden/>
    <w:rsid w:val="005B41A8"/>
    <w:rPr>
      <w:b/>
      <w:bCs/>
      <w:snapToGrid w:val="0"/>
      <w:kern w:val="28"/>
    </w:rPr>
  </w:style>
  <w:style w:type="character" w:customStyle="1" w:styleId="UnresolvedMention1">
    <w:name w:val="Unresolved Mention1"/>
    <w:uiPriority w:val="99"/>
    <w:rsid w:val="00107BB2"/>
    <w:rPr>
      <w:color w:val="605E5C"/>
      <w:shd w:val="clear" w:color="auto" w:fill="E1DFDD"/>
    </w:rPr>
  </w:style>
  <w:style w:type="paragraph" w:styleId="Revision">
    <w:name w:val="Revision"/>
    <w:hidden/>
    <w:uiPriority w:val="99"/>
    <w:semiHidden/>
    <w:rsid w:val="004C14A5"/>
    <w:rPr>
      <w:snapToGrid w:val="0"/>
      <w:kern w:val="28"/>
      <w:sz w:val="22"/>
    </w:rPr>
  </w:style>
  <w:style w:type="character" w:customStyle="1" w:styleId="UnresolvedMention2">
    <w:name w:val="Unresolved Mention2"/>
    <w:uiPriority w:val="99"/>
    <w:unhideWhenUsed/>
    <w:rsid w:val="00C11B73"/>
    <w:rPr>
      <w:color w:val="605E5C"/>
      <w:shd w:val="clear" w:color="auto" w:fill="E1DFDD"/>
    </w:rPr>
  </w:style>
  <w:style w:type="character" w:customStyle="1" w:styleId="UnresolvedMention3">
    <w:name w:val="Unresolved Mention3"/>
    <w:uiPriority w:val="99"/>
    <w:unhideWhenUsed/>
    <w:rsid w:val="004C26F8"/>
    <w:rPr>
      <w:color w:val="605E5C"/>
      <w:shd w:val="clear" w:color="auto" w:fill="E1DFDD"/>
    </w:rPr>
  </w:style>
  <w:style w:type="character" w:customStyle="1" w:styleId="UnresolvedMention4">
    <w:name w:val="Unresolved Mention4"/>
    <w:uiPriority w:val="99"/>
    <w:unhideWhenUsed/>
    <w:rsid w:val="00306E9E"/>
    <w:rPr>
      <w:color w:val="605E5C"/>
      <w:shd w:val="clear" w:color="auto" w:fill="E1DFDD"/>
    </w:rPr>
  </w:style>
  <w:style w:type="character" w:customStyle="1" w:styleId="UnresolvedMention">
    <w:name w:val="Unresolved Mention"/>
    <w:uiPriority w:val="99"/>
    <w:unhideWhenUsed/>
    <w:rsid w:val="007F6969"/>
    <w:rPr>
      <w:color w:val="605E5C"/>
      <w:shd w:val="clear" w:color="auto" w:fill="E1DFDD"/>
    </w:rPr>
  </w:style>
  <w:style w:type="character" w:customStyle="1" w:styleId="FootnoteTextChar3CharCharChar">
    <w:name w:val="Footnote Text Char3 Char Char Char"/>
    <w:aliases w:val="Footnote Text Char Char Char1 Char Char Char Char,Footnote Text Char1 Char1 Char Char Char Char,Footnote Text Char2 Char Char Char Char,Footnote Text Char2 Char1,fn Char"/>
    <w:locked/>
    <w:rsid w:val="00950C85"/>
  </w:style>
  <w:style w:type="paragraph" w:styleId="ListParagraph">
    <w:name w:val="List Paragraph"/>
    <w:basedOn w:val="Normal"/>
    <w:uiPriority w:val="34"/>
    <w:qFormat/>
    <w:rsid w:val="00950C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Reimburse@fcc.gov"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_rels/footnotes.xml.rels><?xml version="1.0" encoding="utf-8" standalone="yes"?><Relationships xmlns="http://schemas.openxmlformats.org/package/2006/relationships"><Relationship Id="rId1" Type="http://schemas.openxmlformats.org/officeDocument/2006/relationships/hyperlink" Target="https://www.fcc.gov/about-fcc/fcc-initiatives/incentive-auctions/reimbursement"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