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6820F8" w:rsidP="00FE0540" w14:paraId="098812AB" w14:textId="77777777">
            <w:pPr>
              <w:tabs>
                <w:tab w:val="center" w:pos="4680"/>
              </w:tabs>
              <w:suppressAutoHyphens/>
              <w:rPr>
                <w:spacing w:val="-2"/>
                <w:lang w:val="es-ES"/>
              </w:rPr>
            </w:pPr>
            <w:r w:rsidRPr="006820F8">
              <w:rPr>
                <w:spacing w:val="-2"/>
                <w:lang w:val="es-ES"/>
              </w:rPr>
              <w:t xml:space="preserve">In re </w:t>
            </w:r>
            <w:r w:rsidRPr="006820F8">
              <w:rPr>
                <w:spacing w:val="-2"/>
                <w:lang w:val="es-ES"/>
              </w:rPr>
              <w:t>Application</w:t>
            </w:r>
            <w:r w:rsidRPr="006820F8">
              <w:rPr>
                <w:spacing w:val="-2"/>
                <w:lang w:val="es-ES"/>
              </w:rPr>
              <w:t xml:space="preserve"> </w:t>
            </w:r>
            <w:r w:rsidRPr="006820F8">
              <w:rPr>
                <w:spacing w:val="-2"/>
                <w:lang w:val="es-ES"/>
              </w:rPr>
              <w:t>of</w:t>
            </w:r>
            <w:r w:rsidRPr="006820F8">
              <w:rPr>
                <w:spacing w:val="-2"/>
                <w:lang w:val="es-ES"/>
              </w:rPr>
              <w:t xml:space="preserve">  </w:t>
            </w:r>
          </w:p>
          <w:p w:rsidR="00FE0540" w:rsidRPr="006820F8" w:rsidP="00FE0540" w14:paraId="4440CD7D" w14:textId="77777777">
            <w:pPr>
              <w:tabs>
                <w:tab w:val="center" w:pos="4680"/>
              </w:tabs>
              <w:suppressAutoHyphens/>
              <w:rPr>
                <w:spacing w:val="-2"/>
                <w:lang w:val="es-ES"/>
              </w:rPr>
            </w:pPr>
          </w:p>
          <w:p w:rsidR="00FE0540" w:rsidRPr="006820F8" w:rsidP="00FE0540" w14:paraId="05609084" w14:textId="7BAAF7E3">
            <w:pPr>
              <w:tabs>
                <w:tab w:val="center" w:pos="4680"/>
              </w:tabs>
              <w:suppressAutoHyphens/>
              <w:rPr>
                <w:spacing w:val="-2"/>
                <w:lang w:val="es-ES"/>
              </w:rPr>
            </w:pPr>
            <w:r w:rsidRPr="006820F8">
              <w:rPr>
                <w:b/>
                <w:bCs/>
                <w:spacing w:val="-2"/>
                <w:lang w:val="es-ES"/>
              </w:rPr>
              <w:t>L</w:t>
            </w:r>
            <w:r w:rsidRPr="006820F8" w:rsidR="00EF3391">
              <w:rPr>
                <w:b/>
                <w:bCs/>
                <w:spacing w:val="-2"/>
                <w:lang w:val="es-ES"/>
              </w:rPr>
              <w:t>a</w:t>
            </w:r>
            <w:r w:rsidRPr="006820F8">
              <w:rPr>
                <w:b/>
                <w:bCs/>
                <w:spacing w:val="-2"/>
                <w:lang w:val="es-ES"/>
              </w:rPr>
              <w:t xml:space="preserve"> C</w:t>
            </w:r>
            <w:r w:rsidRPr="006820F8" w:rsidR="00EF3391">
              <w:rPr>
                <w:b/>
                <w:bCs/>
                <w:spacing w:val="-2"/>
                <w:lang w:val="es-ES"/>
              </w:rPr>
              <w:t>asa</w:t>
            </w:r>
            <w:r w:rsidRPr="006820F8">
              <w:rPr>
                <w:b/>
                <w:bCs/>
                <w:spacing w:val="-2"/>
                <w:lang w:val="es-ES"/>
              </w:rPr>
              <w:t xml:space="preserve"> D</w:t>
            </w:r>
            <w:r w:rsidRPr="006820F8" w:rsidR="00530AC4">
              <w:rPr>
                <w:b/>
                <w:bCs/>
                <w:spacing w:val="-2"/>
                <w:lang w:val="es-ES"/>
              </w:rPr>
              <w:t>e</w:t>
            </w:r>
            <w:r w:rsidRPr="006820F8">
              <w:rPr>
                <w:b/>
                <w:bCs/>
                <w:spacing w:val="-2"/>
                <w:lang w:val="es-ES"/>
              </w:rPr>
              <w:t xml:space="preserve"> </w:t>
            </w:r>
            <w:r w:rsidRPr="006820F8" w:rsidR="00530AC4">
              <w:rPr>
                <w:b/>
                <w:bCs/>
                <w:spacing w:val="-2"/>
                <w:lang w:val="es-ES"/>
              </w:rPr>
              <w:t>La</w:t>
            </w:r>
            <w:r w:rsidRPr="006820F8">
              <w:rPr>
                <w:b/>
                <w:bCs/>
                <w:spacing w:val="-2"/>
                <w:lang w:val="es-ES"/>
              </w:rPr>
              <w:t xml:space="preserve"> R</w:t>
            </w:r>
            <w:r w:rsidRPr="006820F8" w:rsidR="00530AC4">
              <w:rPr>
                <w:b/>
                <w:bCs/>
                <w:spacing w:val="-2"/>
                <w:lang w:val="es-ES"/>
              </w:rPr>
              <w:t>aza</w:t>
            </w:r>
          </w:p>
          <w:p w:rsidR="007373BD" w:rsidRPr="006820F8" w:rsidP="00FE0540" w14:paraId="2E50E2F6" w14:textId="77777777">
            <w:pPr>
              <w:tabs>
                <w:tab w:val="center" w:pos="4680"/>
              </w:tabs>
              <w:suppressAutoHyphens/>
              <w:rPr>
                <w:spacing w:val="-2"/>
                <w:lang w:val="es-ES"/>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367607B0">
            <w:pPr>
              <w:tabs>
                <w:tab w:val="center" w:pos="4680"/>
              </w:tabs>
              <w:suppressAutoHyphens/>
              <w:rPr>
                <w:spacing w:val="-2"/>
              </w:rPr>
            </w:pPr>
            <w:r w:rsidRPr="00FE0540">
              <w:rPr>
                <w:spacing w:val="-2"/>
              </w:rPr>
              <w:t xml:space="preserve">Station </w:t>
            </w:r>
            <w:r w:rsidRPr="00EF3391" w:rsidR="00EF3391">
              <w:rPr>
                <w:spacing w:val="-2"/>
              </w:rPr>
              <w:t>KZAA-LP</w:t>
            </w:r>
          </w:p>
          <w:p w:rsidR="004C2EE3" w:rsidRPr="007115F7" w:rsidP="007115F7" w14:paraId="594146C3" w14:textId="7619DC37">
            <w:pPr>
              <w:tabs>
                <w:tab w:val="center" w:pos="4680"/>
              </w:tabs>
              <w:suppressAutoHyphens/>
              <w:rPr>
                <w:spacing w:val="-2"/>
              </w:rPr>
            </w:pPr>
            <w:r>
              <w:rPr>
                <w:spacing w:val="-2"/>
              </w:rPr>
              <w:t>Santa Barbara</w:t>
            </w:r>
            <w:r w:rsidR="00177AF1">
              <w:rPr>
                <w:spacing w:val="-2"/>
              </w:rPr>
              <w:t xml:space="preserve">, </w:t>
            </w:r>
            <w:r w:rsidR="007373BD">
              <w:rPr>
                <w:spacing w:val="-2"/>
              </w:rPr>
              <w:t>California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2C63BE" w:rsidP="00FE0540" w14:paraId="499C24B5" w14:textId="456DFA8F">
            <w:pPr>
              <w:pStyle w:val="TOAHeading"/>
              <w:tabs>
                <w:tab w:val="center" w:pos="4680"/>
              </w:tabs>
              <w:rPr>
                <w:spacing w:val="-2"/>
              </w:rPr>
            </w:pPr>
            <w:r w:rsidRPr="00FE0540">
              <w:rPr>
                <w:spacing w:val="-2"/>
              </w:rPr>
              <w:t>Facility ID No.</w:t>
            </w:r>
            <w:r w:rsidRPr="00524E06">
              <w:rPr>
                <w:spacing w:val="-2"/>
              </w:rPr>
              <w:t xml:space="preserve"> </w:t>
            </w:r>
            <w:r w:rsidRPr="002C63BE" w:rsidR="00530AC4">
              <w:rPr>
                <w:spacing w:val="-2"/>
              </w:rPr>
              <w:t>196434</w:t>
            </w:r>
          </w:p>
          <w:p w:rsidR="00FE0540" w:rsidRPr="00FE0540" w:rsidP="00FE0540" w14:paraId="06391CBB" w14:textId="222CF373">
            <w:pPr>
              <w:pStyle w:val="TOAHeading"/>
              <w:tabs>
                <w:tab w:val="center" w:pos="4680"/>
              </w:tabs>
              <w:rPr>
                <w:spacing w:val="-2"/>
              </w:rPr>
            </w:pPr>
            <w:r w:rsidRPr="00FE0540">
              <w:rPr>
                <w:spacing w:val="-2"/>
              </w:rPr>
              <w:t>NAL/Acct. No. MB-</w:t>
            </w:r>
            <w:r w:rsidR="001556EF">
              <w:t>202241410007</w:t>
            </w:r>
          </w:p>
          <w:p w:rsidR="00FE0540" w:rsidRPr="00FE0540" w:rsidP="00FE0540" w14:paraId="580FF7C4" w14:textId="61C1CA31">
            <w:pPr>
              <w:pStyle w:val="TOAHeading"/>
              <w:tabs>
                <w:tab w:val="center" w:pos="4680"/>
              </w:tabs>
              <w:rPr>
                <w:spacing w:val="-2"/>
              </w:rPr>
            </w:pPr>
            <w:r w:rsidRPr="00FE0540">
              <w:rPr>
                <w:spacing w:val="-2"/>
              </w:rPr>
              <w:t xml:space="preserve">FRN:  </w:t>
            </w:r>
            <w:r w:rsidRPr="002C63BE" w:rsidR="002C63BE">
              <w:rPr>
                <w:spacing w:val="-2"/>
              </w:rPr>
              <w:t>0031459852</w:t>
            </w:r>
          </w:p>
          <w:p w:rsidR="004C2EE3" w:rsidP="00FE0540" w14:paraId="77A0FF21" w14:textId="409FD235">
            <w:pPr>
              <w:tabs>
                <w:tab w:val="center" w:pos="4680"/>
              </w:tabs>
              <w:suppressAutoHyphens/>
              <w:rPr>
                <w:spacing w:val="-2"/>
              </w:rPr>
            </w:pPr>
            <w:r w:rsidRPr="00FE0540">
              <w:rPr>
                <w:spacing w:val="-2"/>
              </w:rPr>
              <w:t xml:space="preserve">File No. </w:t>
            </w:r>
            <w:r w:rsidRPr="002C63BE" w:rsidR="002C63BE">
              <w:rPr>
                <w:spacing w:val="-2"/>
              </w:rPr>
              <w:t>0000162528</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1ECCC0B4">
      <w:pPr>
        <w:tabs>
          <w:tab w:val="left" w:pos="720"/>
          <w:tab w:val="right" w:pos="9360"/>
        </w:tabs>
        <w:suppressAutoHyphens/>
        <w:spacing w:line="227" w:lineRule="auto"/>
        <w:rPr>
          <w:spacing w:val="-2"/>
        </w:rPr>
      </w:pPr>
      <w:r>
        <w:rPr>
          <w:b/>
          <w:spacing w:val="-2"/>
        </w:rPr>
        <w:t xml:space="preserve">Adopted:  </w:t>
      </w:r>
      <w:r w:rsidR="001556EF">
        <w:rPr>
          <w:b/>
          <w:spacing w:val="-2"/>
        </w:rPr>
        <w:t>February 25,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56EF">
        <w:rPr>
          <w:b/>
          <w:spacing w:val="-2"/>
        </w:rPr>
        <w:t>February 25, 2022</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0ED16287">
      <w:pPr>
        <w:pStyle w:val="ParaNum"/>
      </w:pPr>
      <w:r w:rsidRPr="00FE0540">
        <w:t>The Media Bureau (Bureau) has before it the application (Application)</w:t>
      </w:r>
      <w:r>
        <w:rPr>
          <w:vertAlign w:val="superscript"/>
        </w:rPr>
        <w:footnoteReference w:id="3"/>
      </w:r>
      <w:r w:rsidRPr="00FE0540">
        <w:t xml:space="preserve"> of </w:t>
      </w:r>
      <w:bookmarkStart w:id="0" w:name="_Hlk96672133"/>
      <w:r w:rsidR="0012675B">
        <w:t>La Casa De La Raza</w:t>
      </w:r>
      <w:bookmarkEnd w:id="0"/>
      <w:r w:rsidR="00524E06">
        <w:t xml:space="preserve"> </w:t>
      </w:r>
      <w:r w:rsidRPr="00FE0540">
        <w:t xml:space="preserve">(Licensee)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12675B">
        <w:t>KZAA</w:t>
      </w:r>
      <w:r w:rsidRPr="00FE0540">
        <w:t xml:space="preserve">-LP, </w:t>
      </w:r>
      <w:r w:rsidR="0012675B">
        <w:rPr>
          <w:spacing w:val="-2"/>
        </w:rPr>
        <w:t>Santa Barbara</w:t>
      </w:r>
      <w:r w:rsidRPr="00FE0540">
        <w:t xml:space="preserve">, </w:t>
      </w:r>
      <w:r w:rsidR="00B45E56">
        <w:rPr>
          <w:spacing w:val="-2"/>
        </w:rPr>
        <w:t>California</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3B4CA0" w:rsidRPr="00FE0540" w:rsidP="003B4CA0" w14:paraId="6AC4A326" w14:textId="76415D5C">
      <w:pPr>
        <w:pStyle w:val="ParaNum"/>
        <w:widowControl/>
        <w:numPr>
          <w:ilvl w:val="0"/>
          <w:numId w:val="15"/>
        </w:numPr>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3B4CA0">
        <w:rPr>
          <w:szCs w:val="22"/>
        </w:rPr>
        <w:t xml:space="preserve">filed by </w:t>
      </w:r>
      <w:r w:rsidRPr="003B4CA0" w:rsidR="00D37A0C">
        <w:rPr>
          <w:szCs w:val="22"/>
        </w:rPr>
        <w:t xml:space="preserve">August </w:t>
      </w:r>
      <w:r w:rsidRPr="003B4CA0" w:rsidR="0033533E">
        <w:rPr>
          <w:szCs w:val="22"/>
        </w:rPr>
        <w:t>2</w:t>
      </w:r>
      <w:r w:rsidRPr="003B4CA0">
        <w:rPr>
          <w:szCs w:val="22"/>
        </w:rPr>
        <w:t xml:space="preserve">, </w:t>
      </w:r>
      <w:r w:rsidRPr="00AB0E74">
        <w:rPr>
          <w:szCs w:val="22"/>
        </w:rPr>
        <w:t>20</w:t>
      </w:r>
      <w:r w:rsidRPr="00AB0E74" w:rsidR="00C23B3F">
        <w:rPr>
          <w:szCs w:val="22"/>
        </w:rPr>
        <w:t>2</w:t>
      </w:r>
      <w:r w:rsidRPr="00AB0E74" w:rsidR="00D37A0C">
        <w:rPr>
          <w:szCs w:val="22"/>
        </w:rPr>
        <w:t>1</w:t>
      </w:r>
      <w:r w:rsidRPr="00AB0E74">
        <w:rPr>
          <w:szCs w:val="22"/>
        </w:rPr>
        <w:t xml:space="preserve">, the first day of the fourth full calendar month prior to the Station’s </w:t>
      </w:r>
      <w:r w:rsidRPr="00AB0E74" w:rsidR="0033533E">
        <w:rPr>
          <w:szCs w:val="22"/>
        </w:rPr>
        <w:t>December 1</w:t>
      </w:r>
      <w:r w:rsidRPr="00AB0E74">
        <w:rPr>
          <w:szCs w:val="22"/>
        </w:rPr>
        <w:t>, 202</w:t>
      </w:r>
      <w:r w:rsidRPr="00AB0E74" w:rsidR="0033533E">
        <w:rPr>
          <w:szCs w:val="22"/>
        </w:rPr>
        <w:t>1,</w:t>
      </w:r>
      <w:r w:rsidRPr="00AB0E74">
        <w:rPr>
          <w:szCs w:val="22"/>
        </w:rPr>
        <w:t xml:space="preserve"> license expiration date.</w:t>
      </w:r>
      <w:r>
        <w:rPr>
          <w:szCs w:val="22"/>
          <w:vertAlign w:val="superscript"/>
        </w:rPr>
        <w:footnoteReference w:id="7"/>
      </w:r>
      <w:r w:rsidRPr="00AB0E74">
        <w:rPr>
          <w:szCs w:val="22"/>
        </w:rPr>
        <w:t xml:space="preserve">  The Application was not filed until </w:t>
      </w:r>
      <w:r w:rsidRPr="00AB0E74" w:rsidR="00D37A0C">
        <w:rPr>
          <w:szCs w:val="22"/>
        </w:rPr>
        <w:t>October</w:t>
      </w:r>
      <w:r w:rsidRPr="00AB0E74" w:rsidR="00C23B3F">
        <w:rPr>
          <w:szCs w:val="22"/>
        </w:rPr>
        <w:t xml:space="preserve"> </w:t>
      </w:r>
      <w:r w:rsidRPr="00AB0E74" w:rsidR="00D37A0C">
        <w:rPr>
          <w:szCs w:val="22"/>
        </w:rPr>
        <w:t>1</w:t>
      </w:r>
      <w:r w:rsidRPr="00AB0E74">
        <w:rPr>
          <w:szCs w:val="22"/>
        </w:rPr>
        <w:t>, 202</w:t>
      </w:r>
      <w:r w:rsidRPr="00AB0E74" w:rsidR="00D37A0C">
        <w:rPr>
          <w:szCs w:val="22"/>
        </w:rPr>
        <w:t>1</w:t>
      </w:r>
      <w:r w:rsidRPr="00AB0E74">
        <w:rPr>
          <w:szCs w:val="22"/>
        </w:rPr>
        <w:t>.</w:t>
      </w:r>
      <w:r w:rsidRPr="00AB0E74" w:rsidR="00D03915">
        <w:rPr>
          <w:szCs w:val="22"/>
        </w:rPr>
        <w:t xml:space="preserve">  </w:t>
      </w:r>
      <w:r w:rsidRPr="00AB0E74">
        <w:rPr>
          <w:szCs w:val="22"/>
        </w:rPr>
        <w:t>The Licensee explains that it was “not aware” of the filing deadline due to staff change</w:t>
      </w:r>
      <w:r w:rsidRPr="00AB0E74" w:rsidR="00CC06B3">
        <w:rPr>
          <w:szCs w:val="22"/>
        </w:rPr>
        <w:t>s.</w:t>
      </w:r>
      <w:r>
        <w:rPr>
          <w:rStyle w:val="FootnoteReference"/>
          <w:szCs w:val="22"/>
        </w:rPr>
        <w:footnoteReference w:id="8"/>
      </w:r>
      <w:r w:rsidRPr="00AB0E74" w:rsidR="00CC06B3">
        <w:rPr>
          <w:szCs w:val="22"/>
        </w:rPr>
        <w:t xml:space="preserve">  Licensee explains that it </w:t>
      </w:r>
      <w:r w:rsidRPr="00AB0E74" w:rsidR="00712340">
        <w:rPr>
          <w:szCs w:val="22"/>
        </w:rPr>
        <w:t>did not monitor</w:t>
      </w:r>
      <w:r w:rsidRPr="00AB0E74" w:rsidR="00CC06B3">
        <w:rPr>
          <w:szCs w:val="22"/>
        </w:rPr>
        <w:t xml:space="preserve"> the email accounts </w:t>
      </w:r>
      <w:r w:rsidRPr="00AB0E74" w:rsidR="00712340">
        <w:rPr>
          <w:szCs w:val="22"/>
        </w:rPr>
        <w:t xml:space="preserve">of its former employees in order </w:t>
      </w:r>
      <w:r w:rsidRPr="00AB0E74" w:rsidR="00CC06B3">
        <w:rPr>
          <w:szCs w:val="22"/>
        </w:rPr>
        <w:t>to obtain communications associated with the renewal requirement</w:t>
      </w:r>
      <w:r w:rsidRPr="00AB0E74">
        <w:rPr>
          <w:szCs w:val="22"/>
        </w:rPr>
        <w:t>.</w:t>
      </w:r>
      <w:r>
        <w:rPr>
          <w:rStyle w:val="FootnoteReference"/>
          <w:szCs w:val="22"/>
        </w:rPr>
        <w:footnoteReference w:id="9"/>
      </w:r>
      <w:r w:rsidRPr="00AB0E74">
        <w:rPr>
          <w:szCs w:val="22"/>
        </w:rPr>
        <w:t xml:space="preserve">  </w:t>
      </w:r>
      <w:r w:rsidRPr="00AB0E74" w:rsidR="00712340">
        <w:rPr>
          <w:szCs w:val="22"/>
        </w:rPr>
        <w:t>Licensee</w:t>
      </w:r>
      <w:r w:rsidR="00712340">
        <w:rPr>
          <w:szCs w:val="22"/>
        </w:rPr>
        <w:t xml:space="preserve"> also states that</w:t>
      </w:r>
      <w:r w:rsidR="00D03915">
        <w:rPr>
          <w:szCs w:val="22"/>
        </w:rPr>
        <w:t xml:space="preserve"> it had limited staffing</w:t>
      </w:r>
      <w:r w:rsidR="00712340">
        <w:rPr>
          <w:szCs w:val="22"/>
        </w:rPr>
        <w:t xml:space="preserve">, due to the </w:t>
      </w:r>
      <w:r w:rsidR="00712340">
        <w:rPr>
          <w:szCs w:val="22"/>
        </w:rPr>
        <w:t xml:space="preserve">COVID-19 pandemic, and </w:t>
      </w:r>
      <w:r w:rsidR="00AB0E74">
        <w:rPr>
          <w:szCs w:val="22"/>
        </w:rPr>
        <w:t xml:space="preserve">that </w:t>
      </w:r>
      <w:r w:rsidR="00712340">
        <w:rPr>
          <w:szCs w:val="22"/>
        </w:rPr>
        <w:t>its staff did not have time to “reenable the disused email account.”</w:t>
      </w:r>
      <w:r>
        <w:rPr>
          <w:rStyle w:val="FootnoteReference"/>
          <w:szCs w:val="22"/>
        </w:rPr>
        <w:footnoteReference w:id="10"/>
      </w:r>
      <w:r w:rsidR="00712340">
        <w:rPr>
          <w:szCs w:val="22"/>
        </w:rPr>
        <w:t xml:space="preserve"> </w:t>
      </w:r>
      <w:r w:rsidR="00AB0E74">
        <w:rPr>
          <w:szCs w:val="22"/>
        </w:rPr>
        <w:t xml:space="preserve"> </w:t>
      </w:r>
      <w:r w:rsidRPr="003B4CA0">
        <w:rPr>
          <w:szCs w:val="22"/>
        </w:rPr>
        <w:t xml:space="preserve">The Licensee </w:t>
      </w:r>
      <w:r>
        <w:rPr>
          <w:szCs w:val="22"/>
        </w:rPr>
        <w:t>explains that it has taken steps to ensure future compliance</w:t>
      </w:r>
      <w:r w:rsidR="00CC06B3">
        <w:rPr>
          <w:szCs w:val="22"/>
        </w:rPr>
        <w:t>,</w:t>
      </w:r>
      <w:r>
        <w:rPr>
          <w:szCs w:val="22"/>
        </w:rPr>
        <w:t xml:space="preserve"> including updating the Commission’s L</w:t>
      </w:r>
      <w:r w:rsidR="00CC06B3">
        <w:rPr>
          <w:szCs w:val="22"/>
        </w:rPr>
        <w:t>icense Management System</w:t>
      </w:r>
      <w:r>
        <w:rPr>
          <w:szCs w:val="22"/>
        </w:rPr>
        <w:t xml:space="preserve"> </w:t>
      </w:r>
      <w:r w:rsidR="00CC06B3">
        <w:rPr>
          <w:szCs w:val="22"/>
        </w:rPr>
        <w:t>with email addresses that are more easily transferrable.</w:t>
      </w:r>
      <w:r>
        <w:rPr>
          <w:rStyle w:val="FootnoteReference"/>
          <w:szCs w:val="22"/>
        </w:rPr>
        <w:footnoteReference w:id="11"/>
      </w:r>
      <w:r w:rsidR="00CC06B3">
        <w:rPr>
          <w:szCs w:val="22"/>
        </w:rPr>
        <w:t xml:space="preserve"> </w:t>
      </w:r>
    </w:p>
    <w:p w:rsidR="00FE0540" w:rsidRPr="000A22F1" w:rsidP="00FE0540" w14:paraId="45A78F53" w14:textId="77777777">
      <w:pPr>
        <w:pStyle w:val="Heading1"/>
      </w:pPr>
      <w:r w:rsidRPr="000A22F1">
        <w:t>DISCUSSION</w:t>
      </w:r>
    </w:p>
    <w:p w:rsidR="00FE0540" w:rsidRPr="000A22F1" w:rsidP="006C2672" w14:paraId="48323C04" w14:textId="5F4520C7">
      <w:pPr>
        <w:pStyle w:val="ParaNum"/>
        <w:widowControl/>
      </w:pPr>
      <w:r w:rsidRPr="000A22F1">
        <w:rPr>
          <w:i/>
        </w:rPr>
        <w:t>Proposed Forfeiture</w:t>
      </w:r>
      <w:r w:rsidRPr="000A22F1">
        <w:t xml:space="preserve">.  In this case, the Licensee failed to file the Application on or before </w:t>
      </w:r>
      <w:r w:rsidRPr="000A22F1" w:rsidR="00376EC8">
        <w:rPr>
          <w:szCs w:val="22"/>
        </w:rPr>
        <w:t xml:space="preserve">August </w:t>
      </w:r>
      <w:r w:rsidRPr="000A22F1" w:rsidR="0033533E">
        <w:rPr>
          <w:szCs w:val="22"/>
        </w:rPr>
        <w:t>2</w:t>
      </w:r>
      <w:r w:rsidRPr="000A22F1" w:rsidR="00376EC8">
        <w:rPr>
          <w:szCs w:val="22"/>
        </w:rPr>
        <w:t>, 2021</w:t>
      </w:r>
      <w:r w:rsidRPr="000A22F1">
        <w:t xml:space="preserve">, as required by section 73.3539(a) of the Rules.  The Application was not received until </w:t>
      </w:r>
      <w:r w:rsidRPr="000A22F1" w:rsidR="00376EC8">
        <w:rPr>
          <w:szCs w:val="22"/>
        </w:rPr>
        <w:t>October 1, 2021</w:t>
      </w:r>
      <w:r w:rsidRPr="000A22F1">
        <w:t>.</w:t>
      </w:r>
      <w:r w:rsidR="00AB0E74">
        <w:t xml:space="preserve">  </w:t>
      </w:r>
      <w:r w:rsidR="00BC3220">
        <w:t xml:space="preserve">The Licensee explains that it was not aware of its filing obligation due to </w:t>
      </w:r>
      <w:r w:rsidR="00AB0E74">
        <w:t xml:space="preserve">staffing changes and </w:t>
      </w:r>
      <w:r w:rsidR="00442BE0">
        <w:t xml:space="preserve">problems </w:t>
      </w:r>
      <w:r w:rsidR="00AB0E74">
        <w:t>accessing the email accounts of its former employees</w:t>
      </w:r>
      <w:r w:rsidRPr="00FE0540" w:rsidR="00BC3220">
        <w:t xml:space="preserve">.   </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12"/>
      </w:r>
      <w:r w:rsidRPr="0089695D">
        <w:t xml:space="preserve">  Section 312(f)(1) of the Act defines willful as “the conscious and deliberate commission or omission of [any] act, irrespective of any intent to violate” the law.</w:t>
      </w:r>
      <w:r>
        <w:rPr>
          <w:vertAlign w:val="superscript"/>
        </w:rPr>
        <w:footnoteReference w:id="13"/>
      </w:r>
      <w:r w:rsidRPr="0089695D">
        <w:t xml:space="preserve">  The legislative history to section 312(f)(1) of the Act clarifies that this definition of willful applies to both sections 312 and 503(b) of the Act,</w:t>
      </w:r>
      <w:r>
        <w:rPr>
          <w:vertAlign w:val="superscript"/>
        </w:rPr>
        <w:footnoteReference w:id="14"/>
      </w:r>
      <w:r w:rsidRPr="0089695D">
        <w:t xml:space="preserve"> and the Commission has so interpreted the term in the section 503(b)</w:t>
      </w:r>
      <w:r w:rsidRPr="00FE0540">
        <w:t xml:space="preserve"> context.</w:t>
      </w:r>
      <w:r>
        <w:rPr>
          <w:vertAlign w:val="superscript"/>
        </w:rPr>
        <w:footnoteReference w:id="15"/>
      </w:r>
    </w:p>
    <w:p w:rsidR="00FE0540" w:rsidP="00FE0540" w14:paraId="7A3C95B9" w14:textId="3AE87BFD">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6"/>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7"/>
      </w:r>
    </w:p>
    <w:p w:rsidR="00AB0E74" w:rsidP="00AB0E74" w14:paraId="7C5D2968" w14:textId="5DEB6E12">
      <w:pPr>
        <w:pStyle w:val="ParaNum"/>
      </w:pPr>
      <w:r w:rsidRPr="007B777F">
        <w:rPr>
          <w:szCs w:val="22"/>
        </w:rPr>
        <w:t xml:space="preserve">In this case, the Licensee failed to file a timely renewal application for the Station. </w:t>
      </w:r>
      <w:r w:rsidRPr="007B777F" w:rsidR="0044445E">
        <w:rPr>
          <w:szCs w:val="22"/>
          <w:shd w:val="clear" w:color="auto" w:fill="FFFFFF"/>
        </w:rPr>
        <w:t xml:space="preserve">Licensee's explanation that it </w:t>
      </w:r>
      <w:r w:rsidRPr="007B777F" w:rsidR="007B777F">
        <w:rPr>
          <w:szCs w:val="22"/>
          <w:shd w:val="clear" w:color="auto" w:fill="FFFFFF"/>
        </w:rPr>
        <w:t xml:space="preserve">was unaware of the filing deadline does not excuse its inaction. </w:t>
      </w:r>
      <w:r w:rsidR="00442BE0">
        <w:rPr>
          <w:szCs w:val="22"/>
          <w:shd w:val="clear" w:color="auto" w:fill="FFFFFF"/>
        </w:rPr>
        <w:t xml:space="preserve"> </w:t>
      </w:r>
      <w:r w:rsidRPr="007B777F" w:rsidR="007B777F">
        <w:rPr>
          <w:szCs w:val="22"/>
          <w:shd w:val="clear" w:color="auto" w:fill="FFFFFF"/>
        </w:rPr>
        <w:t xml:space="preserve">The Commission has been clear that </w:t>
      </w:r>
      <w:r w:rsidRPr="007B777F" w:rsidR="007B777F">
        <w:rPr>
          <w:rStyle w:val="cosearchterm"/>
          <w:szCs w:val="22"/>
          <w:bdr w:val="none" w:sz="0" w:space="0" w:color="auto" w:frame="1"/>
        </w:rPr>
        <w:t>ignorance</w:t>
      </w:r>
      <w:r w:rsidRPr="007B777F" w:rsidR="007B777F">
        <w:rPr>
          <w:szCs w:val="22"/>
          <w:shd w:val="clear" w:color="auto" w:fill="FFFFFF"/>
        </w:rPr>
        <w:t> of the </w:t>
      </w:r>
      <w:r w:rsidRPr="007B777F" w:rsidR="007B777F">
        <w:rPr>
          <w:rStyle w:val="cosearchterm"/>
          <w:szCs w:val="22"/>
          <w:bdr w:val="none" w:sz="0" w:space="0" w:color="auto" w:frame="1"/>
        </w:rPr>
        <w:t>law</w:t>
      </w:r>
      <w:r w:rsidRPr="007B777F" w:rsidR="007B777F">
        <w:rPr>
          <w:szCs w:val="22"/>
          <w:shd w:val="clear" w:color="auto" w:fill="FFFFFF"/>
        </w:rPr>
        <w:t> is not an excuse for failure to comply with Commission rules and regulations.</w:t>
      </w:r>
      <w:r>
        <w:rPr>
          <w:szCs w:val="22"/>
          <w:shd w:val="clear" w:color="auto" w:fill="FFFFFF"/>
          <w:vertAlign w:val="superscript"/>
        </w:rPr>
        <w:footnoteReference w:id="18"/>
      </w:r>
      <w:r w:rsidRPr="007B777F" w:rsidR="007B777F">
        <w:rPr>
          <w:szCs w:val="22"/>
          <w:shd w:val="clear" w:color="auto" w:fill="FFFFFF"/>
        </w:rPr>
        <w:t xml:space="preserve">  </w:t>
      </w:r>
      <w:r w:rsidRPr="006820F8" w:rsidR="006820F8">
        <w:rPr>
          <w:szCs w:val="22"/>
          <w:shd w:val="clear" w:color="auto" w:fill="FFFFFF"/>
        </w:rPr>
        <w:t>In addition, correspondence reminding a licensee that a renewal deadline is approaching is a mere courtesy and does not in any way change the licensee's obligation to file a renewal application before the deadline.</w:t>
      </w:r>
      <w:r>
        <w:rPr>
          <w:rStyle w:val="FootnoteReference"/>
          <w:szCs w:val="22"/>
          <w:shd w:val="clear" w:color="auto" w:fill="FFFFFF"/>
        </w:rPr>
        <w:footnoteReference w:id="19"/>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w:t>
      </w:r>
      <w:r w:rsidRPr="00FE0540">
        <w:t xml:space="preserve">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20"/>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21"/>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22"/>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23"/>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24"/>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FE0540" w14:paraId="2919E4A9" w14:textId="674FC28C">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25"/>
      </w:r>
      <w:r w:rsidRPr="00FE0540">
        <w:t xml:space="preserve"> </w:t>
      </w:r>
      <w:r w:rsidRPr="00A046CA">
        <w:t xml:space="preserve">that </w:t>
      </w:r>
      <w:r w:rsidR="007A71C3">
        <w:t>La Casa De La Raza</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6"/>
      </w:r>
    </w:p>
    <w:p w:rsidR="00354607" w:rsidP="00354607" w14:paraId="7EE4E7C0" w14:textId="6734F0C5">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7A71C3">
        <w:t>La Casa De La Raza</w:t>
      </w:r>
      <w:r w:rsidRPr="00924C2F" w:rsidR="00A046CA">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w:t>
      </w:r>
      <w:r w:rsidRPr="00FE0540">
        <w:t xml:space="preserve">reduction or cancellation of the proposed forfeiture.  </w:t>
      </w:r>
    </w:p>
    <w:p w:rsidR="00C05F37" w:rsidRPr="00BE3744" w:rsidP="00C05F37" w14:paraId="5FAB3CE8" w14:textId="47DC9F82">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7"/>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8"/>
      </w:r>
      <w:r w:rsidRPr="00514C8E">
        <w:rPr>
          <w:szCs w:val="22"/>
        </w:rPr>
        <w:t xml:space="preserve"> </w:t>
      </w:r>
    </w:p>
    <w:p w:rsidR="00C05F37" w:rsidRPr="00514C8E" w:rsidP="00C05F37" w14:paraId="474C7642"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5B61A3FB"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4BDCC480"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18483344" w14:textId="3B6A7310">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30"/>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1F68881F" w14:textId="404992EF">
      <w:pPr>
        <w:pStyle w:val="ParaNum"/>
        <w:rPr>
          <w:szCs w:val="22"/>
        </w:rPr>
      </w:pPr>
      <w:r w:rsidRPr="00DF1523">
        <w:t xml:space="preserve">Any written response seeking reduction or cancellation of the proposed forfeiture must </w:t>
      </w:r>
      <w:r w:rsidRPr="00DF1523">
        <w:t>include a detailed factual statement supported by appropriate documentation and affidavits pursuant to sections 1.16 and 1.80(</w:t>
      </w:r>
      <w:r w:rsidR="00B33760">
        <w:t>g</w:t>
      </w:r>
      <w:r w:rsidRPr="00DF1523">
        <w:t>)(3) of the Commission’s rules.</w:t>
      </w:r>
      <w:r>
        <w:rPr>
          <w:vertAlign w:val="superscript"/>
        </w:rPr>
        <w:footnoteReference w:id="31"/>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2"/>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083ACFA7"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533CEA98" w14:textId="77777777">
      <w:pPr>
        <w:pStyle w:val="ParaNum"/>
        <w:numPr>
          <w:ilvl w:val="0"/>
          <w:numId w:val="8"/>
        </w:numPr>
        <w:ind w:left="1080"/>
      </w:pPr>
      <w:r w:rsidRPr="00344EC6">
        <w:t>Postal Service first-class, Express, and Priority mail must be addressed to 45 L Street, NE, Washington, DC 20554.</w:t>
      </w:r>
    </w:p>
    <w:bookmarkEnd w:id="1"/>
    <w:p w:rsidR="00BE0988" w:rsidRPr="007A73B9" w:rsidP="007A73B9" w14:paraId="09AC6214" w14:textId="6DAD75EC">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33"/>
      </w:r>
      <w:r w:rsidRPr="007A73B9" w:rsidR="008A39AC">
        <w:rPr>
          <w:vertAlign w:val="superscript"/>
        </w:rPr>
        <w:t xml:space="preserve">  </w:t>
      </w:r>
    </w:p>
    <w:p w:rsidR="00303C5B" w:rsidRPr="00BE0988" w:rsidP="007A73B9" w14:paraId="0D5DFB02" w14:textId="38BE598D">
      <w:pPr>
        <w:pStyle w:val="ParaNum"/>
      </w:pPr>
      <w:r w:rsidRPr="007A73B9">
        <w:rPr>
          <w:b/>
          <w:bCs/>
          <w:szCs w:val="22"/>
        </w:rPr>
        <w:t>IT IS FURTHER ORDERED</w:t>
      </w:r>
      <w:r w:rsidRPr="007A73B9">
        <w:rPr>
          <w:szCs w:val="22"/>
        </w:rPr>
        <w:t xml:space="preserve">, that copies of this </w:t>
      </w:r>
      <w:r w:rsidRPr="007A73B9">
        <w:rPr>
          <w:szCs w:val="22"/>
        </w:rPr>
        <w:t xml:space="preserve">Notice of Apparent Liability </w:t>
      </w:r>
      <w:r w:rsidRPr="007A73B9">
        <w:rPr>
          <w:szCs w:val="22"/>
        </w:rPr>
        <w:t>shall be sent by First Class and Certified Mail, Return Receipt Requested, to</w:t>
      </w:r>
      <w:r w:rsidR="00C05F37">
        <w:rPr>
          <w:szCs w:val="22"/>
        </w:rPr>
        <w:t xml:space="preserve"> </w:t>
      </w:r>
      <w:r w:rsidRPr="004939B3" w:rsidR="0086162E">
        <w:rPr>
          <w:szCs w:val="22"/>
        </w:rPr>
        <w:t xml:space="preserve">Lisa Valencia </w:t>
      </w:r>
      <w:r w:rsidRPr="004939B3" w:rsidR="0086162E">
        <w:rPr>
          <w:szCs w:val="22"/>
        </w:rPr>
        <w:t>Sherratt</w:t>
      </w:r>
      <w:r w:rsidR="0086162E">
        <w:rPr>
          <w:szCs w:val="22"/>
        </w:rPr>
        <w:t>, Legal R</w:t>
      </w:r>
      <w:r w:rsidR="004939B3">
        <w:rPr>
          <w:szCs w:val="22"/>
        </w:rPr>
        <w:t xml:space="preserve">epresentative, </w:t>
      </w:r>
      <w:r w:rsidRPr="00F67F32" w:rsidR="00056FDF">
        <w:rPr>
          <w:szCs w:val="22"/>
        </w:rPr>
        <w:t>La Casa De La Raza</w:t>
      </w:r>
      <w:r w:rsidR="00C05F37">
        <w:rPr>
          <w:szCs w:val="22"/>
        </w:rPr>
        <w:t xml:space="preserve">, </w:t>
      </w:r>
      <w:r w:rsidRPr="00F67F32" w:rsidR="00DE5DD0">
        <w:rPr>
          <w:szCs w:val="22"/>
        </w:rPr>
        <w:t>601 East Montecito Street</w:t>
      </w:r>
      <w:r w:rsidR="00C05F37">
        <w:rPr>
          <w:szCs w:val="22"/>
        </w:rPr>
        <w:t xml:space="preserve">, </w:t>
      </w:r>
      <w:r w:rsidRPr="00F67F32" w:rsidR="007F0480">
        <w:rPr>
          <w:szCs w:val="22"/>
        </w:rPr>
        <w:t>Santa Barbara</w:t>
      </w:r>
      <w:r w:rsidR="00C05F37">
        <w:rPr>
          <w:szCs w:val="22"/>
        </w:rPr>
        <w:t xml:space="preserve">, CA </w:t>
      </w:r>
      <w:r w:rsidRPr="00F67F32" w:rsidR="00DA17A2">
        <w:rPr>
          <w:szCs w:val="22"/>
        </w:rPr>
        <w:t>93103</w:t>
      </w:r>
      <w:r w:rsidR="00DA17A2">
        <w:rPr>
          <w:szCs w:val="22"/>
        </w:rPr>
        <w:t>.</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D51939" w14:paraId="797C9A88" w14:textId="77777777"/>
    <w:p w:rsidR="00C33011" w:rsidP="00D51939" w14:paraId="3C415F39" w14:textId="77777777"/>
    <w:p w:rsidR="00C33011" w:rsidP="00D51939" w14:paraId="32EEE573" w14:textId="0118E5E2"/>
    <w:p w:rsidR="00E70391" w:rsidP="00D51939"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939" w14:paraId="67681FF9" w14:textId="77777777">
      <w:r>
        <w:separator/>
      </w:r>
    </w:p>
  </w:footnote>
  <w:footnote w:type="continuationSeparator" w:id="1">
    <w:p w:rsidR="00D51939" w:rsidP="00C721AC" w14:paraId="22CB84C5" w14:textId="77777777">
      <w:pPr>
        <w:spacing w:before="120"/>
        <w:rPr>
          <w:sz w:val="20"/>
        </w:rPr>
      </w:pPr>
      <w:r>
        <w:rPr>
          <w:sz w:val="20"/>
        </w:rPr>
        <w:t xml:space="preserve">(Continued from previous page)  </w:t>
      </w:r>
      <w:r>
        <w:rPr>
          <w:sz w:val="20"/>
        </w:rPr>
        <w:separator/>
      </w:r>
    </w:p>
  </w:footnote>
  <w:footnote w:type="continuationNotice" w:id="2">
    <w:p w:rsidR="00D51939" w:rsidP="00C721AC" w14:paraId="4F024F2C" w14:textId="77777777">
      <w:pPr>
        <w:jc w:val="right"/>
        <w:rPr>
          <w:sz w:val="20"/>
        </w:rPr>
      </w:pPr>
      <w:r>
        <w:rPr>
          <w:sz w:val="20"/>
        </w:rPr>
        <w:t>(continued….)</w:t>
      </w:r>
    </w:p>
  </w:footnote>
  <w:footnote w:id="3">
    <w:p w:rsidR="00FE0540" w:rsidRPr="000725CB" w:rsidP="00FE0540" w14:paraId="3E1EC6BD" w14:textId="698562D9">
      <w:pPr>
        <w:pStyle w:val="FootnoteText"/>
      </w:pPr>
      <w:r w:rsidRPr="000725CB">
        <w:rPr>
          <w:rStyle w:val="FootnoteReference"/>
        </w:rPr>
        <w:footnoteRef/>
      </w:r>
      <w:r w:rsidRPr="000725CB">
        <w:t xml:space="preserve"> </w:t>
      </w:r>
      <w:r w:rsidR="00B45E56">
        <w:t xml:space="preserve">Application </w:t>
      </w:r>
      <w:r w:rsidRPr="00D57DF9">
        <w:t xml:space="preserve">File No. </w:t>
      </w:r>
      <w:r w:rsidRPr="00D57DF9" w:rsidR="00442BE0">
        <w:rPr>
          <w:color w:val="333333"/>
          <w:shd w:val="clear" w:color="auto" w:fill="FFFFFF"/>
        </w:rPr>
        <w:t>0000162528</w:t>
      </w:r>
      <w:r w:rsidRPr="00D57DF9" w:rsidR="00A304DF">
        <w:t xml:space="preserve"> </w:t>
      </w:r>
      <w:r w:rsidRPr="00D57DF9" w:rsidR="00B45E56">
        <w:t xml:space="preserve">(filed Oct. 1, 2021) </w:t>
      </w:r>
      <w:r w:rsidRPr="00D57DF9" w:rsidR="00A304DF">
        <w:t>(Application</w:t>
      </w:r>
      <w:r w:rsidR="00A304DF">
        <w:t>)</w:t>
      </w:r>
      <w:r w:rsidRPr="00524E06">
        <w:t>.</w:t>
      </w:r>
    </w:p>
  </w:footnote>
  <w:footnote w:id="4">
    <w:p w:rsidR="00FE0540" w:rsidRPr="000725CB" w:rsidP="00FE0540" w14:paraId="3DBB0C43" w14:textId="04ACE97A">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w:t>
      </w:r>
      <w:r w:rsidR="00981EAF">
        <w:t>R</w:t>
      </w:r>
      <w:r w:rsidRPr="000725CB">
        <w:t xml:space="preserve">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D03915" w14:paraId="7B4A0631" w14:textId="7FE2D76C">
      <w:pPr>
        <w:pStyle w:val="FootnoteText"/>
      </w:pPr>
      <w:r>
        <w:rPr>
          <w:rStyle w:val="FootnoteReference"/>
        </w:rPr>
        <w:footnoteRef/>
      </w:r>
      <w:r>
        <w:t xml:space="preserve"> </w:t>
      </w:r>
      <w:r w:rsidR="00AB0E74">
        <w:t>Application, Attachment, FCC License for Renewal for KZAA-LP 2021.</w:t>
      </w:r>
    </w:p>
  </w:footnote>
  <w:footnote w:id="9">
    <w:p w:rsidR="003B4CA0" w:rsidP="003B4CA0" w14:paraId="5013BC1E" w14:textId="0177CE13">
      <w:pPr>
        <w:pStyle w:val="FootnoteText"/>
      </w:pPr>
      <w:r>
        <w:rPr>
          <w:rStyle w:val="FootnoteReference"/>
        </w:rPr>
        <w:footnoteRef/>
      </w:r>
      <w:r>
        <w:t xml:space="preserve"> </w:t>
      </w:r>
      <w:r w:rsidRPr="00AB0E74" w:rsidR="00AB0E74">
        <w:rPr>
          <w:i/>
          <w:iCs/>
        </w:rPr>
        <w:t>Id</w:t>
      </w:r>
      <w:r>
        <w:t xml:space="preserve">. </w:t>
      </w:r>
    </w:p>
  </w:footnote>
  <w:footnote w:id="10">
    <w:p w:rsidR="00712340" w:rsidP="00712340" w14:paraId="78DE25E9" w14:textId="54F5D6E1">
      <w:pPr>
        <w:pStyle w:val="FootnoteText"/>
      </w:pPr>
      <w:r>
        <w:rPr>
          <w:rStyle w:val="FootnoteReference"/>
        </w:rPr>
        <w:footnoteRef/>
      </w:r>
      <w:r>
        <w:t xml:space="preserve"> </w:t>
      </w:r>
      <w:r w:rsidRPr="00AB0E74" w:rsidR="00AB0E74">
        <w:rPr>
          <w:i/>
          <w:iCs/>
        </w:rPr>
        <w:t>Id</w:t>
      </w:r>
      <w:r w:rsidR="00AB0E74">
        <w:t xml:space="preserve">. </w:t>
      </w:r>
    </w:p>
  </w:footnote>
  <w:footnote w:id="11">
    <w:p w:rsidR="00AB0E74" w14:paraId="44A79AA4" w14:textId="3D83D09E">
      <w:pPr>
        <w:pStyle w:val="FootnoteText"/>
      </w:pPr>
      <w:r>
        <w:rPr>
          <w:rStyle w:val="FootnoteReference"/>
        </w:rPr>
        <w:footnoteRef/>
      </w:r>
      <w:r>
        <w:t xml:space="preserve"> </w:t>
      </w:r>
      <w:r w:rsidRPr="00AB0E74">
        <w:rPr>
          <w:i/>
          <w:iCs/>
        </w:rPr>
        <w:t>Id</w:t>
      </w:r>
      <w:r>
        <w:t xml:space="preserve">. </w:t>
      </w:r>
    </w:p>
  </w:footnote>
  <w:footnote w:id="12">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3">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4">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5">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6">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7">
    <w:p w:rsidR="00FE0540" w:rsidRPr="00D423B0" w:rsidP="00FE0540" w14:paraId="509482D9" w14:textId="76CAA0B5">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8">
    <w:p w:rsidR="00D97CF7" w:rsidRPr="006820F8" w:rsidP="007B777F" w14:paraId="451A4A75" w14:textId="5A6ED27D">
      <w:pPr>
        <w:pStyle w:val="ParaNum"/>
        <w:numPr>
          <w:ilvl w:val="0"/>
          <w:numId w:val="0"/>
        </w:numPr>
        <w:rPr>
          <w:sz w:val="20"/>
          <w:shd w:val="clear" w:color="auto" w:fill="FFFFFF"/>
        </w:rPr>
      </w:pPr>
      <w:r w:rsidRPr="00003614">
        <w:rPr>
          <w:rStyle w:val="FootnoteReference"/>
        </w:rPr>
        <w:footnoteRef/>
      </w:r>
      <w:r w:rsidRPr="00003614">
        <w:rPr>
          <w:sz w:val="20"/>
        </w:rPr>
        <w:t xml:space="preserve"> </w:t>
      </w:r>
      <w:r w:rsidRPr="00D97CF7">
        <w:rPr>
          <w:i/>
          <w:iCs/>
          <w:snapToGrid/>
          <w:sz w:val="20"/>
          <w:bdr w:val="none" w:sz="0" w:space="0" w:color="auto" w:frame="1"/>
        </w:rPr>
        <w:t>Provision Ministry</w:t>
      </w:r>
      <w:r w:rsidRPr="00003614">
        <w:rPr>
          <w:snapToGrid/>
          <w:sz w:val="20"/>
        </w:rPr>
        <w:t xml:space="preserve">, </w:t>
      </w:r>
      <w:r w:rsidRPr="002910CD">
        <w:rPr>
          <w:snapToGrid/>
          <w:sz w:val="20"/>
        </w:rPr>
        <w:t xml:space="preserve">Forfeiture Order, </w:t>
      </w:r>
      <w:r w:rsidRPr="002910CD" w:rsidR="00690973">
        <w:rPr>
          <w:sz w:val="20"/>
          <w:shd w:val="clear" w:color="auto" w:fill="FFFFFF"/>
        </w:rPr>
        <w:t xml:space="preserve">DA 21-765, </w:t>
      </w:r>
      <w:r w:rsidRPr="002910CD">
        <w:rPr>
          <w:snapToGrid/>
          <w:sz w:val="20"/>
        </w:rPr>
        <w:t>2021 WL 2689752, at *2 (</w:t>
      </w:r>
      <w:r w:rsidRPr="002910CD" w:rsidR="00690973">
        <w:rPr>
          <w:snapToGrid/>
          <w:sz w:val="20"/>
        </w:rPr>
        <w:t>MB</w:t>
      </w:r>
      <w:r w:rsidRPr="002910CD">
        <w:rPr>
          <w:snapToGrid/>
          <w:sz w:val="20"/>
        </w:rPr>
        <w:t xml:space="preserve"> June </w:t>
      </w:r>
      <w:r w:rsidRPr="00003614">
        <w:rPr>
          <w:snapToGrid/>
          <w:sz w:val="20"/>
        </w:rPr>
        <w:t xml:space="preserve">29, 2021) (citing </w:t>
      </w:r>
      <w:r w:rsidRPr="00003614">
        <w:rPr>
          <w:rStyle w:val="Emphasis"/>
          <w:sz w:val="20"/>
          <w:bdr w:val="none" w:sz="0" w:space="0" w:color="auto" w:frame="1"/>
          <w:shd w:val="clear" w:color="auto" w:fill="FFFFFF"/>
        </w:rPr>
        <w:t xml:space="preserve">Whidbey Island Center for the Arts, </w:t>
      </w:r>
      <w:r w:rsidRPr="00690973">
        <w:rPr>
          <w:rStyle w:val="Emphasis"/>
          <w:i w:val="0"/>
          <w:iCs w:val="0"/>
          <w:sz w:val="20"/>
          <w:bdr w:val="none" w:sz="0" w:space="0" w:color="auto" w:frame="1"/>
          <w:shd w:val="clear" w:color="auto" w:fill="FFFFFF"/>
        </w:rPr>
        <w:t xml:space="preserve">Forfeiture Order, 25 FCC </w:t>
      </w:r>
      <w:r w:rsidRPr="00690973">
        <w:rPr>
          <w:rStyle w:val="Emphasis"/>
          <w:i w:val="0"/>
          <w:iCs w:val="0"/>
          <w:sz w:val="20"/>
          <w:bdr w:val="none" w:sz="0" w:space="0" w:color="auto" w:frame="1"/>
          <w:shd w:val="clear" w:color="auto" w:fill="FFFFFF"/>
        </w:rPr>
        <w:t>Rcd</w:t>
      </w:r>
      <w:r w:rsidRPr="00690973">
        <w:rPr>
          <w:rStyle w:val="Emphasis"/>
          <w:i w:val="0"/>
          <w:iCs w:val="0"/>
          <w:sz w:val="20"/>
          <w:bdr w:val="none" w:sz="0" w:space="0" w:color="auto" w:frame="1"/>
          <w:shd w:val="clear" w:color="auto" w:fill="FFFFFF"/>
        </w:rPr>
        <w:t xml:space="preserve"> 8204 (MB 2010);</w:t>
      </w:r>
      <w:r w:rsidRPr="00003614">
        <w:rPr>
          <w:rStyle w:val="Emphasis"/>
          <w:sz w:val="20"/>
          <w:bdr w:val="none" w:sz="0" w:space="0" w:color="auto" w:frame="1"/>
          <w:shd w:val="clear" w:color="auto" w:fill="FFFFFF"/>
        </w:rPr>
        <w:t xml:space="preserve"> PJB Communications of Virginia, Inc.</w:t>
      </w:r>
      <w:r w:rsidRPr="00003614">
        <w:rPr>
          <w:sz w:val="20"/>
          <w:shd w:val="clear" w:color="auto" w:fill="FFFFFF"/>
        </w:rPr>
        <w:t>, Memorandum Opinion and Order, </w:t>
      </w:r>
      <w:r w:rsidRPr="00003614">
        <w:rPr>
          <w:sz w:val="20"/>
          <w:bdr w:val="none" w:sz="0" w:space="0" w:color="auto" w:frame="1"/>
          <w:shd w:val="clear" w:color="auto" w:fill="FFFFFF"/>
        </w:rPr>
        <w:t xml:space="preserve">7 FCC </w:t>
      </w:r>
      <w:r w:rsidRPr="00003614">
        <w:rPr>
          <w:sz w:val="20"/>
          <w:bdr w:val="none" w:sz="0" w:space="0" w:color="auto" w:frame="1"/>
          <w:shd w:val="clear" w:color="auto" w:fill="FFFFFF"/>
        </w:rPr>
        <w:t>Rcd</w:t>
      </w:r>
      <w:r w:rsidRPr="00003614">
        <w:rPr>
          <w:sz w:val="20"/>
          <w:bdr w:val="none" w:sz="0" w:space="0" w:color="auto" w:frame="1"/>
          <w:shd w:val="clear" w:color="auto" w:fill="FFFFFF"/>
        </w:rPr>
        <w:t xml:space="preserve"> 2088 (1992)</w:t>
      </w:r>
      <w:r w:rsidRPr="00003614">
        <w:rPr>
          <w:sz w:val="20"/>
          <w:shd w:val="clear" w:color="auto" w:fill="FFFFFF"/>
        </w:rPr>
        <w:t>; </w:t>
      </w:r>
      <w:r w:rsidRPr="00003614">
        <w:rPr>
          <w:rStyle w:val="Emphasis"/>
          <w:sz w:val="20"/>
          <w:bdr w:val="none" w:sz="0" w:space="0" w:color="auto" w:frame="1"/>
          <w:shd w:val="clear" w:color="auto" w:fill="FFFFFF"/>
        </w:rPr>
        <w:t>Southern California Broadcasting Co.,</w:t>
      </w:r>
      <w:r w:rsidRPr="00003614">
        <w:rPr>
          <w:sz w:val="20"/>
          <w:shd w:val="clear" w:color="auto" w:fill="FFFFFF"/>
        </w:rPr>
        <w:t> Memorandum Opinion and Order, </w:t>
      </w:r>
      <w:r w:rsidRPr="00003614">
        <w:rPr>
          <w:sz w:val="20"/>
          <w:bdr w:val="none" w:sz="0" w:space="0" w:color="auto" w:frame="1"/>
          <w:shd w:val="clear" w:color="auto" w:fill="FFFFFF"/>
        </w:rPr>
        <w:t xml:space="preserve">6 FCC </w:t>
      </w:r>
      <w:r w:rsidRPr="00003614">
        <w:rPr>
          <w:sz w:val="20"/>
          <w:bdr w:val="none" w:sz="0" w:space="0" w:color="auto" w:frame="1"/>
          <w:shd w:val="clear" w:color="auto" w:fill="FFFFFF"/>
        </w:rPr>
        <w:t>Rcd</w:t>
      </w:r>
      <w:r w:rsidRPr="00003614">
        <w:rPr>
          <w:sz w:val="20"/>
          <w:bdr w:val="none" w:sz="0" w:space="0" w:color="auto" w:frame="1"/>
          <w:shd w:val="clear" w:color="auto" w:fill="FFFFFF"/>
        </w:rPr>
        <w:t xml:space="preserve"> 4387, 4387 (1991)</w:t>
      </w:r>
      <w:r w:rsidRPr="00003614">
        <w:rPr>
          <w:sz w:val="20"/>
          <w:shd w:val="clear" w:color="auto" w:fill="FFFFFF"/>
        </w:rPr>
        <w:t>, </w:t>
      </w:r>
      <w:r w:rsidRPr="00003614">
        <w:rPr>
          <w:rStyle w:val="Emphasis"/>
          <w:sz w:val="20"/>
          <w:bdr w:val="none" w:sz="0" w:space="0" w:color="auto" w:frame="1"/>
          <w:shd w:val="clear" w:color="auto" w:fill="FFFFFF"/>
        </w:rPr>
        <w:t>recon. denied,</w:t>
      </w:r>
      <w:r w:rsidRPr="00003614">
        <w:rPr>
          <w:sz w:val="20"/>
          <w:shd w:val="clear" w:color="auto" w:fill="FFFFFF"/>
        </w:rPr>
        <w:t> </w:t>
      </w:r>
      <w:r w:rsidRPr="00003614">
        <w:rPr>
          <w:sz w:val="20"/>
          <w:bdr w:val="none" w:sz="0" w:space="0" w:color="auto" w:frame="1"/>
          <w:shd w:val="clear" w:color="auto" w:fill="FFFFFF"/>
        </w:rPr>
        <w:t xml:space="preserve">7 FCC </w:t>
      </w:r>
      <w:r w:rsidRPr="00003614">
        <w:rPr>
          <w:sz w:val="20"/>
          <w:bdr w:val="none" w:sz="0" w:space="0" w:color="auto" w:frame="1"/>
          <w:shd w:val="clear" w:color="auto" w:fill="FFFFFF"/>
        </w:rPr>
        <w:t>Rcd</w:t>
      </w:r>
      <w:r w:rsidRPr="00003614">
        <w:rPr>
          <w:sz w:val="20"/>
          <w:bdr w:val="none" w:sz="0" w:space="0" w:color="auto" w:frame="1"/>
          <w:shd w:val="clear" w:color="auto" w:fill="FFFFFF"/>
        </w:rPr>
        <w:t xml:space="preserve"> 3454 (1992)</w:t>
      </w:r>
      <w:r w:rsidRPr="00003614">
        <w:rPr>
          <w:sz w:val="20"/>
          <w:shd w:val="clear" w:color="auto" w:fill="FFFFFF"/>
        </w:rPr>
        <w:t> (stating that “inadvertence ... is at best, ignorance of the law, which the Commission does not consider a mitigating circumstance”)).</w:t>
      </w:r>
      <w:r w:rsidR="006820F8">
        <w:rPr>
          <w:sz w:val="20"/>
          <w:shd w:val="clear" w:color="auto" w:fill="FFFFFF"/>
        </w:rPr>
        <w:t xml:space="preserve">  </w:t>
      </w:r>
    </w:p>
  </w:footnote>
  <w:footnote w:id="19">
    <w:p w:rsidR="006820F8" w14:paraId="781DB271" w14:textId="25BFB882">
      <w:pPr>
        <w:pStyle w:val="FootnoteText"/>
      </w:pPr>
      <w:r>
        <w:rPr>
          <w:rStyle w:val="FootnoteReference"/>
        </w:rPr>
        <w:footnoteRef/>
      </w:r>
      <w:r>
        <w:t xml:space="preserve"> </w:t>
      </w:r>
      <w:r w:rsidRPr="00060A7A">
        <w:rPr>
          <w:i/>
          <w:iCs/>
        </w:rPr>
        <w:t>Christian Radio Translator Association/Salmon, Inc</w:t>
      </w:r>
      <w:r w:rsidRPr="006820F8">
        <w:t xml:space="preserve">., Forfeiture Order, 24 FCC </w:t>
      </w:r>
      <w:r w:rsidRPr="006820F8">
        <w:t>Rcd</w:t>
      </w:r>
      <w:r w:rsidRPr="006820F8">
        <w:t xml:space="preserve"> 11288</w:t>
      </w:r>
      <w:r>
        <w:t>, 11289, para.6</w:t>
      </w:r>
      <w:r w:rsidRPr="006820F8">
        <w:t xml:space="preserve"> (MB 2009) (holding that a Licensee's mistaken assumption that it would receive a reminder of the filing date from the Commission did not excuse the failure to file a timely renewal application)</w:t>
      </w:r>
      <w:r w:rsidR="0071528D">
        <w:t xml:space="preserve">; </w:t>
      </w:r>
      <w:r w:rsidR="0071528D">
        <w:rPr>
          <w:i/>
          <w:iCs/>
          <w:shd w:val="clear" w:color="auto" w:fill="FFFFFF"/>
        </w:rPr>
        <w:t>Cutting Edge Broadcasting</w:t>
      </w:r>
      <w:r w:rsidR="0071528D">
        <w:rPr>
          <w:shd w:val="clear" w:color="auto" w:fill="FFFFFF"/>
        </w:rPr>
        <w:t xml:space="preserve">, Memorandum Opinion and Order and Notice of Apparent Liability for Forfeiture, 27 FCC </w:t>
      </w:r>
      <w:r w:rsidR="0071528D">
        <w:rPr>
          <w:shd w:val="clear" w:color="auto" w:fill="FFFFFF"/>
        </w:rPr>
        <w:t>Rcd</w:t>
      </w:r>
      <w:r w:rsidR="0071528D">
        <w:rPr>
          <w:shd w:val="clear" w:color="auto" w:fill="FFFFFF"/>
        </w:rPr>
        <w:t xml:space="preserve"> 19174, 19174, para. 2 (MB 2007) (failure to receive reminder notices because of outdated contact information does not excuse untimely filing)</w:t>
      </w:r>
      <w:r w:rsidR="00060A7A">
        <w:rPr>
          <w:shd w:val="clear" w:color="auto" w:fill="FFFFFF"/>
        </w:rPr>
        <w:t>.</w:t>
      </w:r>
    </w:p>
  </w:footnote>
  <w:footnote w:id="20">
    <w:p w:rsidR="00AB0E74" w:rsidRPr="000A65AC" w:rsidP="00AB0E74" w14:paraId="1D0A70F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21">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2">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3">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24">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5">
    <w:p w:rsidR="008A39AC" w14:paraId="288F8E5B" w14:textId="4A89202A">
      <w:pPr>
        <w:pStyle w:val="FootnoteText"/>
      </w:pPr>
      <w:r>
        <w:rPr>
          <w:rStyle w:val="FootnoteReference"/>
        </w:rPr>
        <w:footnoteRef/>
      </w:r>
      <w:r>
        <w:t xml:space="preserve"> 47 U.S.C. § 503(b); 47 CFR § 1.80.</w:t>
      </w:r>
    </w:p>
  </w:footnote>
  <w:footnote w:id="26">
    <w:p w:rsidR="008A39AC" w14:paraId="2FAD067E" w14:textId="61158C6A">
      <w:pPr>
        <w:pStyle w:val="FootnoteText"/>
      </w:pPr>
      <w:r>
        <w:rPr>
          <w:rStyle w:val="FootnoteReference"/>
        </w:rPr>
        <w:footnoteRef/>
      </w:r>
      <w:r>
        <w:t xml:space="preserve"> 47 CFR § 73.3539.</w:t>
      </w:r>
    </w:p>
  </w:footnote>
  <w:footnote w:id="27">
    <w:p w:rsidR="00C05F37" w:rsidRPr="00514C8E" w:rsidP="00C05F37" w14:paraId="6F6B470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8">
    <w:p w:rsidR="00C05F37" w:rsidRPr="00514C8E" w:rsidP="00C05F37" w14:paraId="0191B4CA"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C05F37" w:rsidRPr="00514C8E" w:rsidP="00C05F37" w14:paraId="4DD14E9F"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7A73B9" w14:paraId="53FA6EE5" w14:textId="378D8143">
      <w:pPr>
        <w:pStyle w:val="FootnoteText"/>
      </w:pPr>
      <w:r>
        <w:rPr>
          <w:rStyle w:val="FootnoteReference"/>
        </w:rPr>
        <w:footnoteRef/>
      </w:r>
      <w:r>
        <w:t xml:space="preserve"> </w:t>
      </w:r>
      <w:r w:rsidRPr="004B33E9">
        <w:rPr>
          <w:i/>
        </w:rPr>
        <w:t>See</w:t>
      </w:r>
      <w:r w:rsidRPr="004B33E9">
        <w:t xml:space="preserve"> 47 CFR § 1.1914.</w:t>
      </w:r>
    </w:p>
  </w:footnote>
  <w:footnote w:id="31">
    <w:p w:rsidR="008A39AC" w:rsidP="008A39AC" w14:paraId="2DFFFFA5" w14:textId="38CE55E2">
      <w:pPr>
        <w:pStyle w:val="FootnoteText"/>
        <w:widowControl w:val="0"/>
      </w:pPr>
      <w:r>
        <w:rPr>
          <w:rStyle w:val="FootnoteReference"/>
        </w:rPr>
        <w:footnoteRef/>
      </w:r>
      <w:r>
        <w:t xml:space="preserve"> 47 CFR §§ 1.16 and 1.80(</w:t>
      </w:r>
      <w:r w:rsidR="00B33760">
        <w:t>g</w:t>
      </w:r>
      <w:r>
        <w:t>)(3).</w:t>
      </w:r>
    </w:p>
  </w:footnote>
  <w:footnote w:id="32">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3">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67B4577D">
    <w:pPr>
      <w:pStyle w:val="Header"/>
      <w:rPr>
        <w:b w:val="0"/>
      </w:rPr>
    </w:pPr>
    <w:r>
      <w:tab/>
    </w:r>
    <w:r>
      <w:t>Federal Communications Commission</w:t>
    </w:r>
    <w:r>
      <w:tab/>
      <w:t>DA 2</w:t>
    </w:r>
    <w:r w:rsidR="002C2A92">
      <w:t>2</w:t>
    </w:r>
    <w:r>
      <w:t>-</w:t>
    </w:r>
    <w:r w:rsidR="001556EF">
      <w:t>195</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7BEF1C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1556EF">
      <w:rPr>
        <w:spacing w:val="-2"/>
      </w:rPr>
      <w:t>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21174"/>
    <w:rsid w:val="0002652D"/>
    <w:rsid w:val="00036039"/>
    <w:rsid w:val="00037F90"/>
    <w:rsid w:val="00040666"/>
    <w:rsid w:val="00056FDF"/>
    <w:rsid w:val="00060A7A"/>
    <w:rsid w:val="000725CB"/>
    <w:rsid w:val="000875BF"/>
    <w:rsid w:val="00096D8C"/>
    <w:rsid w:val="000A22F1"/>
    <w:rsid w:val="000A65AC"/>
    <w:rsid w:val="000C0B65"/>
    <w:rsid w:val="000E05FE"/>
    <w:rsid w:val="000E3D42"/>
    <w:rsid w:val="00122BD5"/>
    <w:rsid w:val="0012675B"/>
    <w:rsid w:val="00132193"/>
    <w:rsid w:val="00133F79"/>
    <w:rsid w:val="00141BD4"/>
    <w:rsid w:val="001556EF"/>
    <w:rsid w:val="00177AF1"/>
    <w:rsid w:val="00194A66"/>
    <w:rsid w:val="001D6BCF"/>
    <w:rsid w:val="001E01CA"/>
    <w:rsid w:val="001E24D9"/>
    <w:rsid w:val="002252D3"/>
    <w:rsid w:val="002546D1"/>
    <w:rsid w:val="0026699D"/>
    <w:rsid w:val="00275CF5"/>
    <w:rsid w:val="0028301F"/>
    <w:rsid w:val="00285017"/>
    <w:rsid w:val="002910CD"/>
    <w:rsid w:val="002A2D2E"/>
    <w:rsid w:val="002B39D0"/>
    <w:rsid w:val="002C00E8"/>
    <w:rsid w:val="002C2A92"/>
    <w:rsid w:val="002C63BE"/>
    <w:rsid w:val="002C7CD5"/>
    <w:rsid w:val="002E5985"/>
    <w:rsid w:val="00303C5B"/>
    <w:rsid w:val="0031050C"/>
    <w:rsid w:val="0033533E"/>
    <w:rsid w:val="00343749"/>
    <w:rsid w:val="00344EC6"/>
    <w:rsid w:val="00354607"/>
    <w:rsid w:val="003660ED"/>
    <w:rsid w:val="00366FB3"/>
    <w:rsid w:val="00376EC8"/>
    <w:rsid w:val="003B0550"/>
    <w:rsid w:val="003B4CA0"/>
    <w:rsid w:val="003B694F"/>
    <w:rsid w:val="003F171C"/>
    <w:rsid w:val="003F5E50"/>
    <w:rsid w:val="00412FC5"/>
    <w:rsid w:val="0042173A"/>
    <w:rsid w:val="00422276"/>
    <w:rsid w:val="004242F1"/>
    <w:rsid w:val="0043351F"/>
    <w:rsid w:val="00442BE0"/>
    <w:rsid w:val="0044445E"/>
    <w:rsid w:val="004450EA"/>
    <w:rsid w:val="00445A00"/>
    <w:rsid w:val="00451B0F"/>
    <w:rsid w:val="00464742"/>
    <w:rsid w:val="004939B3"/>
    <w:rsid w:val="004B33E9"/>
    <w:rsid w:val="004C2EE3"/>
    <w:rsid w:val="004C44C7"/>
    <w:rsid w:val="004E4A22"/>
    <w:rsid w:val="00503C12"/>
    <w:rsid w:val="00511968"/>
    <w:rsid w:val="00514C8E"/>
    <w:rsid w:val="00524E06"/>
    <w:rsid w:val="00525F98"/>
    <w:rsid w:val="00530AC4"/>
    <w:rsid w:val="005404A0"/>
    <w:rsid w:val="00546822"/>
    <w:rsid w:val="0055494B"/>
    <w:rsid w:val="00555D44"/>
    <w:rsid w:val="0055614C"/>
    <w:rsid w:val="00566D06"/>
    <w:rsid w:val="00591634"/>
    <w:rsid w:val="00591AAC"/>
    <w:rsid w:val="005E14C2"/>
    <w:rsid w:val="00607BA5"/>
    <w:rsid w:val="0061180A"/>
    <w:rsid w:val="00626EB6"/>
    <w:rsid w:val="00641A34"/>
    <w:rsid w:val="00655D03"/>
    <w:rsid w:val="00666507"/>
    <w:rsid w:val="0067201F"/>
    <w:rsid w:val="006820F8"/>
    <w:rsid w:val="00683388"/>
    <w:rsid w:val="00683750"/>
    <w:rsid w:val="00683F84"/>
    <w:rsid w:val="00690973"/>
    <w:rsid w:val="006A6A81"/>
    <w:rsid w:val="006C2672"/>
    <w:rsid w:val="006C5AEC"/>
    <w:rsid w:val="006F7393"/>
    <w:rsid w:val="00700B77"/>
    <w:rsid w:val="0070224F"/>
    <w:rsid w:val="007115F7"/>
    <w:rsid w:val="00712340"/>
    <w:rsid w:val="0071528D"/>
    <w:rsid w:val="0073510B"/>
    <w:rsid w:val="007373BD"/>
    <w:rsid w:val="00756FC8"/>
    <w:rsid w:val="007846AA"/>
    <w:rsid w:val="00785689"/>
    <w:rsid w:val="0079754B"/>
    <w:rsid w:val="007A1E6D"/>
    <w:rsid w:val="007A71C3"/>
    <w:rsid w:val="007A73B9"/>
    <w:rsid w:val="007B0EB2"/>
    <w:rsid w:val="007B464B"/>
    <w:rsid w:val="007B777F"/>
    <w:rsid w:val="007C377D"/>
    <w:rsid w:val="007D3B81"/>
    <w:rsid w:val="007F0480"/>
    <w:rsid w:val="00800237"/>
    <w:rsid w:val="00810B6F"/>
    <w:rsid w:val="00815718"/>
    <w:rsid w:val="00822CE0"/>
    <w:rsid w:val="00832EC7"/>
    <w:rsid w:val="00841AB1"/>
    <w:rsid w:val="0086162E"/>
    <w:rsid w:val="008668C6"/>
    <w:rsid w:val="00874E66"/>
    <w:rsid w:val="00894513"/>
    <w:rsid w:val="0089695D"/>
    <w:rsid w:val="00897334"/>
    <w:rsid w:val="008A39AC"/>
    <w:rsid w:val="008C2795"/>
    <w:rsid w:val="008C68F1"/>
    <w:rsid w:val="008F6FFF"/>
    <w:rsid w:val="00921803"/>
    <w:rsid w:val="00924C2F"/>
    <w:rsid w:val="00926503"/>
    <w:rsid w:val="00930967"/>
    <w:rsid w:val="00947B4D"/>
    <w:rsid w:val="009726D8"/>
    <w:rsid w:val="00981EAF"/>
    <w:rsid w:val="009922F5"/>
    <w:rsid w:val="00995CD1"/>
    <w:rsid w:val="009C1EE6"/>
    <w:rsid w:val="009D7308"/>
    <w:rsid w:val="009F36FF"/>
    <w:rsid w:val="009F76DB"/>
    <w:rsid w:val="00A046CA"/>
    <w:rsid w:val="00A304DF"/>
    <w:rsid w:val="00A32C3B"/>
    <w:rsid w:val="00A45F4F"/>
    <w:rsid w:val="00A600A9"/>
    <w:rsid w:val="00A72D95"/>
    <w:rsid w:val="00A871FD"/>
    <w:rsid w:val="00AA55B7"/>
    <w:rsid w:val="00AA5B9E"/>
    <w:rsid w:val="00AB0E74"/>
    <w:rsid w:val="00AB2407"/>
    <w:rsid w:val="00AB53DF"/>
    <w:rsid w:val="00AD2902"/>
    <w:rsid w:val="00B07E5C"/>
    <w:rsid w:val="00B33760"/>
    <w:rsid w:val="00B45E56"/>
    <w:rsid w:val="00B811F7"/>
    <w:rsid w:val="00B86644"/>
    <w:rsid w:val="00B97556"/>
    <w:rsid w:val="00BA5DC6"/>
    <w:rsid w:val="00BA6196"/>
    <w:rsid w:val="00BC3220"/>
    <w:rsid w:val="00BC6D8C"/>
    <w:rsid w:val="00BE0988"/>
    <w:rsid w:val="00BE3744"/>
    <w:rsid w:val="00C05F37"/>
    <w:rsid w:val="00C1209E"/>
    <w:rsid w:val="00C23B3F"/>
    <w:rsid w:val="00C33011"/>
    <w:rsid w:val="00C34006"/>
    <w:rsid w:val="00C36B4C"/>
    <w:rsid w:val="00C426B1"/>
    <w:rsid w:val="00C56FA6"/>
    <w:rsid w:val="00C66160"/>
    <w:rsid w:val="00C721AC"/>
    <w:rsid w:val="00C90D6A"/>
    <w:rsid w:val="00CA247E"/>
    <w:rsid w:val="00CA6D21"/>
    <w:rsid w:val="00CC06B3"/>
    <w:rsid w:val="00CC72B6"/>
    <w:rsid w:val="00CE3CDF"/>
    <w:rsid w:val="00D0218D"/>
    <w:rsid w:val="00D03915"/>
    <w:rsid w:val="00D25FB5"/>
    <w:rsid w:val="00D27175"/>
    <w:rsid w:val="00D37A0C"/>
    <w:rsid w:val="00D423B0"/>
    <w:rsid w:val="00D44223"/>
    <w:rsid w:val="00D51939"/>
    <w:rsid w:val="00D57DF9"/>
    <w:rsid w:val="00D97CF7"/>
    <w:rsid w:val="00DA17A2"/>
    <w:rsid w:val="00DA2529"/>
    <w:rsid w:val="00DB130A"/>
    <w:rsid w:val="00DB2EBB"/>
    <w:rsid w:val="00DC024C"/>
    <w:rsid w:val="00DC10A1"/>
    <w:rsid w:val="00DC1DEF"/>
    <w:rsid w:val="00DC655F"/>
    <w:rsid w:val="00DD0B59"/>
    <w:rsid w:val="00DD7EBD"/>
    <w:rsid w:val="00DE5DD0"/>
    <w:rsid w:val="00DF1523"/>
    <w:rsid w:val="00DF62B6"/>
    <w:rsid w:val="00E07225"/>
    <w:rsid w:val="00E1189A"/>
    <w:rsid w:val="00E12895"/>
    <w:rsid w:val="00E4519B"/>
    <w:rsid w:val="00E5409F"/>
    <w:rsid w:val="00E70391"/>
    <w:rsid w:val="00E938D4"/>
    <w:rsid w:val="00EE6488"/>
    <w:rsid w:val="00EF3391"/>
    <w:rsid w:val="00F021FA"/>
    <w:rsid w:val="00F40AD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D226D2"/>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556EF"/>
    <w:pPr>
      <w:widowControl w:val="0"/>
    </w:pPr>
    <w:rPr>
      <w:snapToGrid w:val="0"/>
      <w:kern w:val="28"/>
      <w:sz w:val="22"/>
    </w:rPr>
  </w:style>
  <w:style w:type="paragraph" w:styleId="Heading1">
    <w:name w:val="heading 1"/>
    <w:basedOn w:val="Normal"/>
    <w:next w:val="ParaNum"/>
    <w:qFormat/>
    <w:rsid w:val="001556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56EF"/>
    <w:pPr>
      <w:keepNext/>
      <w:numPr>
        <w:ilvl w:val="1"/>
        <w:numId w:val="3"/>
      </w:numPr>
      <w:spacing w:after="120"/>
      <w:outlineLvl w:val="1"/>
    </w:pPr>
    <w:rPr>
      <w:b/>
    </w:rPr>
  </w:style>
  <w:style w:type="paragraph" w:styleId="Heading3">
    <w:name w:val="heading 3"/>
    <w:basedOn w:val="Normal"/>
    <w:next w:val="ParaNum"/>
    <w:qFormat/>
    <w:rsid w:val="001556EF"/>
    <w:pPr>
      <w:keepNext/>
      <w:numPr>
        <w:ilvl w:val="2"/>
        <w:numId w:val="3"/>
      </w:numPr>
      <w:tabs>
        <w:tab w:val="left" w:pos="2160"/>
      </w:tabs>
      <w:spacing w:after="120"/>
      <w:outlineLvl w:val="2"/>
    </w:pPr>
    <w:rPr>
      <w:b/>
    </w:rPr>
  </w:style>
  <w:style w:type="paragraph" w:styleId="Heading4">
    <w:name w:val="heading 4"/>
    <w:basedOn w:val="Normal"/>
    <w:next w:val="ParaNum"/>
    <w:qFormat/>
    <w:rsid w:val="001556EF"/>
    <w:pPr>
      <w:keepNext/>
      <w:numPr>
        <w:ilvl w:val="3"/>
        <w:numId w:val="3"/>
      </w:numPr>
      <w:tabs>
        <w:tab w:val="left" w:pos="2880"/>
      </w:tabs>
      <w:spacing w:after="120"/>
      <w:outlineLvl w:val="3"/>
    </w:pPr>
    <w:rPr>
      <w:b/>
    </w:rPr>
  </w:style>
  <w:style w:type="paragraph" w:styleId="Heading5">
    <w:name w:val="heading 5"/>
    <w:basedOn w:val="Normal"/>
    <w:next w:val="ParaNum"/>
    <w:qFormat/>
    <w:rsid w:val="001556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56EF"/>
    <w:pPr>
      <w:numPr>
        <w:ilvl w:val="5"/>
        <w:numId w:val="3"/>
      </w:numPr>
      <w:tabs>
        <w:tab w:val="left" w:pos="4320"/>
      </w:tabs>
      <w:spacing w:after="120"/>
      <w:outlineLvl w:val="5"/>
    </w:pPr>
    <w:rPr>
      <w:b/>
    </w:rPr>
  </w:style>
  <w:style w:type="paragraph" w:styleId="Heading7">
    <w:name w:val="heading 7"/>
    <w:basedOn w:val="Normal"/>
    <w:next w:val="ParaNum"/>
    <w:qFormat/>
    <w:rsid w:val="001556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56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56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56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6EF"/>
  </w:style>
  <w:style w:type="paragraph" w:customStyle="1" w:styleId="ParaNum">
    <w:name w:val="ParaNum"/>
    <w:basedOn w:val="Normal"/>
    <w:link w:val="ParaNumChar"/>
    <w:rsid w:val="001556EF"/>
    <w:pPr>
      <w:numPr>
        <w:numId w:val="2"/>
      </w:numPr>
      <w:tabs>
        <w:tab w:val="clear" w:pos="1080"/>
        <w:tab w:val="num" w:pos="1440"/>
      </w:tabs>
      <w:spacing w:after="120"/>
    </w:pPr>
  </w:style>
  <w:style w:type="paragraph" w:styleId="EndnoteText">
    <w:name w:val="endnote text"/>
    <w:basedOn w:val="Normal"/>
    <w:semiHidden/>
    <w:rsid w:val="001556EF"/>
    <w:rPr>
      <w:sz w:val="20"/>
    </w:rPr>
  </w:style>
  <w:style w:type="character" w:styleId="EndnoteReference">
    <w:name w:val="endnote reference"/>
    <w:semiHidden/>
    <w:rsid w:val="001556EF"/>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556E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556EF"/>
    <w:rPr>
      <w:rFonts w:ascii="Times New Roman" w:hAnsi="Times New Roman"/>
      <w:dstrike w:val="0"/>
      <w:color w:val="auto"/>
      <w:sz w:val="20"/>
      <w:vertAlign w:val="superscript"/>
    </w:rPr>
  </w:style>
  <w:style w:type="paragraph" w:styleId="TOC1">
    <w:name w:val="toc 1"/>
    <w:basedOn w:val="Normal"/>
    <w:next w:val="Normal"/>
    <w:semiHidden/>
    <w:rsid w:val="001556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56EF"/>
    <w:pPr>
      <w:tabs>
        <w:tab w:val="left" w:pos="720"/>
        <w:tab w:val="right" w:leader="dot" w:pos="9360"/>
      </w:tabs>
      <w:suppressAutoHyphens/>
      <w:ind w:left="720" w:right="720" w:hanging="360"/>
    </w:pPr>
    <w:rPr>
      <w:noProof/>
    </w:rPr>
  </w:style>
  <w:style w:type="paragraph" w:styleId="TOC3">
    <w:name w:val="toc 3"/>
    <w:basedOn w:val="Normal"/>
    <w:next w:val="Normal"/>
    <w:semiHidden/>
    <w:rsid w:val="001556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56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56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56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56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56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56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56EF"/>
    <w:pPr>
      <w:tabs>
        <w:tab w:val="right" w:pos="9360"/>
      </w:tabs>
      <w:suppressAutoHyphens/>
    </w:pPr>
  </w:style>
  <w:style w:type="character" w:customStyle="1" w:styleId="EquationCaption">
    <w:name w:val="_Equation Caption"/>
    <w:rsid w:val="001556EF"/>
  </w:style>
  <w:style w:type="paragraph" w:styleId="Header">
    <w:name w:val="header"/>
    <w:basedOn w:val="Normal"/>
    <w:autoRedefine/>
    <w:rsid w:val="001556EF"/>
    <w:pPr>
      <w:tabs>
        <w:tab w:val="center" w:pos="4680"/>
        <w:tab w:val="right" w:pos="9360"/>
      </w:tabs>
    </w:pPr>
    <w:rPr>
      <w:b/>
    </w:rPr>
  </w:style>
  <w:style w:type="paragraph" w:styleId="Footer">
    <w:name w:val="footer"/>
    <w:basedOn w:val="Normal"/>
    <w:link w:val="FooterChar"/>
    <w:uiPriority w:val="99"/>
    <w:rsid w:val="001556EF"/>
    <w:pPr>
      <w:tabs>
        <w:tab w:val="center" w:pos="4320"/>
        <w:tab w:val="right" w:pos="8640"/>
      </w:tabs>
    </w:pPr>
  </w:style>
  <w:style w:type="character" w:styleId="PageNumber">
    <w:name w:val="page number"/>
    <w:basedOn w:val="DefaultParagraphFont"/>
    <w:rsid w:val="001556EF"/>
  </w:style>
  <w:style w:type="paragraph" w:styleId="BlockText">
    <w:name w:val="Block Text"/>
    <w:basedOn w:val="Normal"/>
    <w:rsid w:val="001556EF"/>
    <w:pPr>
      <w:spacing w:after="240"/>
      <w:ind w:left="1440" w:right="1440"/>
    </w:pPr>
  </w:style>
  <w:style w:type="paragraph" w:customStyle="1" w:styleId="Paratitle">
    <w:name w:val="Para title"/>
    <w:basedOn w:val="Normal"/>
    <w:rsid w:val="001556EF"/>
    <w:pPr>
      <w:tabs>
        <w:tab w:val="center" w:pos="9270"/>
      </w:tabs>
      <w:spacing w:after="240"/>
    </w:pPr>
    <w:rPr>
      <w:spacing w:val="-2"/>
    </w:rPr>
  </w:style>
  <w:style w:type="paragraph" w:customStyle="1" w:styleId="Bullet">
    <w:name w:val="Bullet"/>
    <w:basedOn w:val="Normal"/>
    <w:rsid w:val="001556EF"/>
    <w:pPr>
      <w:tabs>
        <w:tab w:val="left" w:pos="2160"/>
      </w:tabs>
      <w:spacing w:after="220"/>
      <w:ind w:left="2160" w:hanging="720"/>
    </w:pPr>
  </w:style>
  <w:style w:type="paragraph" w:customStyle="1" w:styleId="TableFormat">
    <w:name w:val="TableFormat"/>
    <w:basedOn w:val="Bullet"/>
    <w:rsid w:val="001556EF"/>
    <w:pPr>
      <w:tabs>
        <w:tab w:val="clear" w:pos="2160"/>
        <w:tab w:val="left" w:pos="5040"/>
      </w:tabs>
      <w:ind w:left="5040" w:hanging="3600"/>
    </w:pPr>
  </w:style>
  <w:style w:type="paragraph" w:customStyle="1" w:styleId="TOCTitle">
    <w:name w:val="TOC Title"/>
    <w:basedOn w:val="Normal"/>
    <w:rsid w:val="001556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56EF"/>
    <w:pPr>
      <w:jc w:val="center"/>
    </w:pPr>
    <w:rPr>
      <w:rFonts w:ascii="Times New Roman Bold" w:hAnsi="Times New Roman Bold"/>
      <w:b/>
      <w:bCs/>
      <w:caps/>
      <w:szCs w:val="22"/>
    </w:rPr>
  </w:style>
  <w:style w:type="character" w:styleId="Hyperlink">
    <w:name w:val="Hyperlink"/>
    <w:rsid w:val="001556EF"/>
    <w:rPr>
      <w:color w:val="0000FF"/>
      <w:u w:val="single"/>
    </w:rPr>
  </w:style>
  <w:style w:type="character" w:customStyle="1" w:styleId="FooterChar">
    <w:name w:val="Footer Char"/>
    <w:link w:val="Footer"/>
    <w:uiPriority w:val="99"/>
    <w:rsid w:val="001556EF"/>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