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096A8AA8"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5755FEAF" w14:textId="77777777">
      <w:pPr>
        <w:pStyle w:val="StyleBoldCentered"/>
      </w:pPr>
      <w:r>
        <w:t>F</w:t>
      </w:r>
      <w:r>
        <w:rPr>
          <w:caps w:val="0"/>
        </w:rPr>
        <w:t>ederal Communications Commission</w:t>
      </w:r>
    </w:p>
    <w:p w:rsidR="004C2EE3" w:rsidP="00096D8C" w14:paraId="19186D7F" w14:textId="77777777">
      <w:pPr>
        <w:pStyle w:val="StyleBoldCentered"/>
      </w:pPr>
      <w:r>
        <w:rPr>
          <w:caps w:val="0"/>
        </w:rPr>
        <w:t>Washington, D.C. 20554</w:t>
      </w:r>
    </w:p>
    <w:p w:rsidR="004C2EE3" w:rsidP="0070224F" w14:paraId="592D6685" w14:textId="77777777"/>
    <w:p w:rsidR="004C2EE3" w:rsidP="0070224F" w14:paraId="3DC2DDCC" w14:textId="77777777"/>
    <w:tbl>
      <w:tblPr>
        <w:tblW w:w="0" w:type="auto"/>
        <w:tblLayout w:type="fixed"/>
        <w:tblLook w:val="0000"/>
      </w:tblPr>
      <w:tblGrid>
        <w:gridCol w:w="4698"/>
        <w:gridCol w:w="630"/>
        <w:gridCol w:w="4248"/>
      </w:tblGrid>
      <w:tr w14:paraId="0C0B53AC" w14:textId="77777777">
        <w:tblPrEx>
          <w:tblW w:w="0" w:type="auto"/>
          <w:tblLayout w:type="fixed"/>
          <w:tblLook w:val="0000"/>
        </w:tblPrEx>
        <w:tc>
          <w:tcPr>
            <w:tcW w:w="4698" w:type="dxa"/>
          </w:tcPr>
          <w:p w:rsidR="004C2EE3" w14:paraId="77C3C102" w14:textId="77777777">
            <w:pPr>
              <w:tabs>
                <w:tab w:val="center" w:pos="4680"/>
              </w:tabs>
              <w:suppressAutoHyphens/>
              <w:rPr>
                <w:spacing w:val="-2"/>
              </w:rPr>
            </w:pPr>
            <w:r>
              <w:rPr>
                <w:spacing w:val="-2"/>
              </w:rPr>
              <w:t>In the Matter of</w:t>
            </w:r>
          </w:p>
          <w:p w:rsidR="004C2EE3" w14:paraId="2BD06B21" w14:textId="77777777">
            <w:pPr>
              <w:tabs>
                <w:tab w:val="center" w:pos="4680"/>
              </w:tabs>
              <w:suppressAutoHyphens/>
              <w:rPr>
                <w:spacing w:val="-2"/>
              </w:rPr>
            </w:pPr>
          </w:p>
          <w:p w:rsidR="004C2EE3" w:rsidRPr="007115F7" w:rsidP="007115F7" w14:paraId="75AA9F23" w14:textId="6E8E889B">
            <w:pPr>
              <w:tabs>
                <w:tab w:val="center" w:pos="4680"/>
              </w:tabs>
              <w:suppressAutoHyphens/>
              <w:rPr>
                <w:spacing w:val="-2"/>
              </w:rPr>
            </w:pPr>
            <w:r>
              <w:rPr>
                <w:spacing w:val="-2"/>
              </w:rPr>
              <w:t>Connect America Fund</w:t>
            </w:r>
          </w:p>
        </w:tc>
        <w:tc>
          <w:tcPr>
            <w:tcW w:w="630" w:type="dxa"/>
          </w:tcPr>
          <w:p w:rsidR="004C2EE3" w14:paraId="2DA7ECDD" w14:textId="77777777">
            <w:pPr>
              <w:tabs>
                <w:tab w:val="center" w:pos="4680"/>
              </w:tabs>
              <w:suppressAutoHyphens/>
              <w:rPr>
                <w:b/>
                <w:spacing w:val="-2"/>
              </w:rPr>
            </w:pPr>
            <w:r>
              <w:rPr>
                <w:b/>
                <w:spacing w:val="-2"/>
              </w:rPr>
              <w:t>)</w:t>
            </w:r>
          </w:p>
          <w:p w:rsidR="004C2EE3" w14:paraId="1E36AA89" w14:textId="77777777">
            <w:pPr>
              <w:tabs>
                <w:tab w:val="center" w:pos="4680"/>
              </w:tabs>
              <w:suppressAutoHyphens/>
              <w:rPr>
                <w:b/>
                <w:spacing w:val="-2"/>
              </w:rPr>
            </w:pPr>
            <w:r>
              <w:rPr>
                <w:b/>
                <w:spacing w:val="-2"/>
              </w:rPr>
              <w:t>)</w:t>
            </w:r>
          </w:p>
          <w:p w:rsidR="004C2EE3" w14:paraId="323911DA" w14:textId="77777777">
            <w:pPr>
              <w:tabs>
                <w:tab w:val="center" w:pos="4680"/>
              </w:tabs>
              <w:suppressAutoHyphens/>
              <w:rPr>
                <w:b/>
                <w:spacing w:val="-2"/>
              </w:rPr>
            </w:pPr>
            <w:r>
              <w:rPr>
                <w:b/>
                <w:spacing w:val="-2"/>
              </w:rPr>
              <w:t>)</w:t>
            </w:r>
          </w:p>
          <w:p w:rsidR="004C2EE3" w:rsidP="004067DF" w14:paraId="4C72C7C4" w14:textId="52F0ED26">
            <w:pPr>
              <w:tabs>
                <w:tab w:val="center" w:pos="4680"/>
              </w:tabs>
              <w:suppressAutoHyphens/>
              <w:rPr>
                <w:spacing w:val="-2"/>
              </w:rPr>
            </w:pPr>
          </w:p>
        </w:tc>
        <w:tc>
          <w:tcPr>
            <w:tcW w:w="4248" w:type="dxa"/>
          </w:tcPr>
          <w:p w:rsidR="004C2EE3" w14:paraId="6A6676A1" w14:textId="77777777">
            <w:pPr>
              <w:tabs>
                <w:tab w:val="center" w:pos="4680"/>
              </w:tabs>
              <w:suppressAutoHyphens/>
              <w:rPr>
                <w:spacing w:val="-2"/>
              </w:rPr>
            </w:pPr>
          </w:p>
          <w:p w:rsidR="004C2EE3" w14:paraId="77E1E2D0" w14:textId="77777777">
            <w:pPr>
              <w:pStyle w:val="TOAHeading"/>
              <w:tabs>
                <w:tab w:val="center" w:pos="4680"/>
                <w:tab w:val="clear" w:pos="9360"/>
              </w:tabs>
              <w:rPr>
                <w:spacing w:val="-2"/>
              </w:rPr>
            </w:pPr>
          </w:p>
          <w:p w:rsidR="004C2EE3" w14:paraId="2FC74E15" w14:textId="13AA8058">
            <w:pPr>
              <w:tabs>
                <w:tab w:val="center" w:pos="4680"/>
              </w:tabs>
              <w:suppressAutoHyphens/>
              <w:rPr>
                <w:spacing w:val="-2"/>
              </w:rPr>
            </w:pPr>
            <w:r>
              <w:rPr>
                <w:spacing w:val="-2"/>
              </w:rPr>
              <w:t>Docket No. 10-90</w:t>
            </w:r>
          </w:p>
        </w:tc>
      </w:tr>
    </w:tbl>
    <w:p w:rsidR="004C2EE3" w:rsidP="0070224F" w14:paraId="2995B15F" w14:textId="77777777"/>
    <w:p w:rsidR="00841AB1" w:rsidP="00F021FA" w14:paraId="6EC252B7" w14:textId="0CCDB5B7">
      <w:pPr>
        <w:pStyle w:val="StyleBoldCentered"/>
      </w:pPr>
      <w:r>
        <w:t>Order</w:t>
      </w:r>
    </w:p>
    <w:p w:rsidR="004C2EE3" w14:paraId="2FEC2214" w14:textId="77777777">
      <w:pPr>
        <w:tabs>
          <w:tab w:val="left" w:pos="-720"/>
        </w:tabs>
        <w:suppressAutoHyphens/>
        <w:spacing w:line="227" w:lineRule="auto"/>
        <w:rPr>
          <w:spacing w:val="-2"/>
        </w:rPr>
      </w:pPr>
    </w:p>
    <w:p w:rsidR="004C2EE3" w:rsidP="00133F79" w14:paraId="10E42CD0" w14:textId="1D0C3812">
      <w:pPr>
        <w:tabs>
          <w:tab w:val="left" w:pos="720"/>
          <w:tab w:val="right" w:pos="9360"/>
        </w:tabs>
        <w:suppressAutoHyphens/>
        <w:spacing w:line="227" w:lineRule="auto"/>
        <w:rPr>
          <w:spacing w:val="-2"/>
        </w:rPr>
      </w:pPr>
      <w:r>
        <w:rPr>
          <w:b/>
          <w:spacing w:val="-2"/>
        </w:rPr>
        <w:t xml:space="preserve">Adopted:  </w:t>
      </w:r>
      <w:r w:rsidR="00594F8D">
        <w:rPr>
          <w:b/>
          <w:spacing w:val="-2"/>
        </w:rPr>
        <w:t>January 3,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4F8D">
        <w:rPr>
          <w:b/>
          <w:spacing w:val="-2"/>
        </w:rPr>
        <w:t>January 3, 2022</w:t>
      </w:r>
    </w:p>
    <w:p w:rsidR="00822CE0" w14:paraId="1C97EF59" w14:textId="77777777"/>
    <w:p w:rsidR="004C2EE3" w14:paraId="0BC5DD43" w14:textId="5BBC1BD4">
      <w:pPr>
        <w:rPr>
          <w:spacing w:val="-2"/>
        </w:rPr>
      </w:pPr>
      <w:r>
        <w:t xml:space="preserve">By </w:t>
      </w:r>
      <w:r w:rsidR="004E4A22">
        <w:t>the</w:t>
      </w:r>
      <w:r w:rsidR="002A2D2E">
        <w:t xml:space="preserve"> </w:t>
      </w:r>
      <w:r w:rsidR="002258A8">
        <w:rPr>
          <w:spacing w:val="-2"/>
        </w:rPr>
        <w:t>Chief, Wireline Competition Bureau</w:t>
      </w:r>
      <w:r>
        <w:rPr>
          <w:spacing w:val="-2"/>
        </w:rPr>
        <w:t>:</w:t>
      </w:r>
    </w:p>
    <w:p w:rsidR="00822CE0" w14:paraId="40C60218" w14:textId="77777777">
      <w:pPr>
        <w:rPr>
          <w:spacing w:val="-2"/>
        </w:rPr>
      </w:pPr>
    </w:p>
    <w:p w:rsidR="00F11E88" w:rsidP="00F11E88" w14:paraId="007F280D" w14:textId="6D6113F7">
      <w:pPr>
        <w:pStyle w:val="Heading1"/>
      </w:pPr>
      <w:r>
        <w:t>Introduction</w:t>
      </w:r>
    </w:p>
    <w:p w:rsidR="00412FC5" w:rsidP="003930D0" w14:paraId="074B39C0" w14:textId="7F4B3E43">
      <w:pPr>
        <w:pStyle w:val="ParaNum"/>
      </w:pPr>
      <w:r>
        <w:t xml:space="preserve">In this Order, the Wireline Competition Bureau (Bureau) </w:t>
      </w:r>
      <w:r w:rsidR="0062314D">
        <w:t>provides relief to carriers</w:t>
      </w:r>
      <w:r w:rsidR="00D94264">
        <w:t xml:space="preserve"> subject to the Commission’s performance testing requirements</w:t>
      </w:r>
      <w:r w:rsidR="00634C0D">
        <w:t>.</w:t>
      </w:r>
      <w:r>
        <w:rPr>
          <w:rStyle w:val="FootnoteReference"/>
        </w:rPr>
        <w:footnoteReference w:id="3"/>
      </w:r>
      <w:r w:rsidR="0062314D">
        <w:t xml:space="preserve">  </w:t>
      </w:r>
      <w:r w:rsidR="00A90BAB">
        <w:t>We</w:t>
      </w:r>
      <w:r w:rsidR="0062314D">
        <w:t xml:space="preserve"> </w:t>
      </w:r>
      <w:r w:rsidR="004E419C">
        <w:t>grant</w:t>
      </w:r>
      <w:r w:rsidR="00854F92">
        <w:t xml:space="preserve"> in part</w:t>
      </w:r>
      <w:r w:rsidR="004E419C">
        <w:t xml:space="preserve"> NTC</w:t>
      </w:r>
      <w:r w:rsidR="008C49DF">
        <w:t xml:space="preserve">A – </w:t>
      </w:r>
      <w:r w:rsidR="00DF64A1">
        <w:t>T</w:t>
      </w:r>
      <w:r w:rsidR="00854F92">
        <w:t xml:space="preserve">he </w:t>
      </w:r>
      <w:r w:rsidR="00DF64A1">
        <w:t>R</w:t>
      </w:r>
      <w:r w:rsidR="00854F92">
        <w:t xml:space="preserve">ural </w:t>
      </w:r>
      <w:r w:rsidR="00DF64A1">
        <w:t>B</w:t>
      </w:r>
      <w:r w:rsidR="00854F92">
        <w:t xml:space="preserve">roadband </w:t>
      </w:r>
      <w:r w:rsidR="00DF64A1">
        <w:t>A</w:t>
      </w:r>
      <w:r w:rsidR="00854F92">
        <w:t xml:space="preserve">ssociation’s </w:t>
      </w:r>
      <w:r w:rsidR="00B46EFC">
        <w:t xml:space="preserve">(NTCA’s) </w:t>
      </w:r>
      <w:r w:rsidR="00A90BAB">
        <w:t xml:space="preserve">petition for waiver for </w:t>
      </w:r>
      <w:r>
        <w:t>recipients of Alternative Connect America Cost Model I (A-CAM</w:t>
      </w:r>
      <w:r w:rsidR="0005405E">
        <w:t xml:space="preserve"> I</w:t>
      </w:r>
      <w:r>
        <w:t xml:space="preserve">) support, Rural Broadband Experiment support, and Alaska Plan support (together, A-CAM/RBE/Alaska </w:t>
      </w:r>
      <w:r w:rsidR="00320880">
        <w:t xml:space="preserve">Plan </w:t>
      </w:r>
      <w:r>
        <w:t>carriers)</w:t>
      </w:r>
      <w:r w:rsidR="00A90BAB">
        <w:t>,</w:t>
      </w:r>
      <w:r>
        <w:t xml:space="preserve"> </w:t>
      </w:r>
      <w:r w:rsidR="00A90BAB">
        <w:t xml:space="preserve">and, </w:t>
      </w:r>
      <w:r w:rsidRPr="0062314D" w:rsidR="00BA6075">
        <w:rPr>
          <w:i/>
          <w:iCs/>
        </w:rPr>
        <w:t>sua</w:t>
      </w:r>
      <w:r w:rsidRPr="0062314D" w:rsidR="00BA6075">
        <w:rPr>
          <w:i/>
          <w:iCs/>
        </w:rPr>
        <w:t xml:space="preserve"> sponte</w:t>
      </w:r>
      <w:r w:rsidR="00A90BAB">
        <w:t>,</w:t>
      </w:r>
      <w:r w:rsidR="00BA6075">
        <w:t xml:space="preserve"> </w:t>
      </w:r>
      <w:r w:rsidR="0062314D">
        <w:t xml:space="preserve">extend </w:t>
      </w:r>
      <w:r w:rsidR="002D0EC4">
        <w:t xml:space="preserve">similar </w:t>
      </w:r>
      <w:r w:rsidR="0062314D">
        <w:t>relief to Alternative Connect America Cost Model II (A-CAM II), Connect America Fund Broadband Loop Support (</w:t>
      </w:r>
      <w:r w:rsidR="000318EA">
        <w:t xml:space="preserve">CAF </w:t>
      </w:r>
      <w:r w:rsidR="0062314D">
        <w:t xml:space="preserve">BLS), and </w:t>
      </w:r>
      <w:r w:rsidR="00EF5E74">
        <w:t>Connect America Fund (</w:t>
      </w:r>
      <w:r w:rsidR="0062314D">
        <w:t>CAF</w:t>
      </w:r>
      <w:r w:rsidR="00151605">
        <w:t>)</w:t>
      </w:r>
      <w:r w:rsidR="0062314D">
        <w:t xml:space="preserve"> II Auction carriers.</w:t>
      </w:r>
      <w:r>
        <w:rPr>
          <w:rStyle w:val="FootnoteReference"/>
        </w:rPr>
        <w:footnoteReference w:id="4"/>
      </w:r>
      <w:r w:rsidR="0062314D">
        <w:t xml:space="preserve">  </w:t>
      </w:r>
      <w:r w:rsidR="00A90BAB">
        <w:t>Next, we</w:t>
      </w:r>
      <w:r w:rsidR="002D0EC4">
        <w:t xml:space="preserve"> deny NTCA’s request</w:t>
      </w:r>
      <w:r w:rsidR="00592DE5">
        <w:t xml:space="preserve">s to </w:t>
      </w:r>
      <w:r w:rsidR="00441D0D">
        <w:t xml:space="preserve">adopt a simplified waiver process </w:t>
      </w:r>
      <w:r w:rsidR="00861A07">
        <w:t>and</w:t>
      </w:r>
      <w:r w:rsidR="002D0EC4">
        <w:t xml:space="preserve"> to extend the pre-testing </w:t>
      </w:r>
      <w:r w:rsidR="00A90BAB">
        <w:t>period</w:t>
      </w:r>
      <w:r w:rsidR="002D0EC4">
        <w:t xml:space="preserve"> for A-CAM/RBE/A</w:t>
      </w:r>
      <w:r w:rsidR="000318EA">
        <w:t xml:space="preserve">laska </w:t>
      </w:r>
      <w:r w:rsidR="00812E0D">
        <w:t xml:space="preserve">Plan </w:t>
      </w:r>
      <w:r w:rsidR="002D0EC4">
        <w:t>carriers.  Finally</w:t>
      </w:r>
      <w:r w:rsidR="00F11E88">
        <w:t xml:space="preserve">, </w:t>
      </w:r>
      <w:r w:rsidR="0062314D">
        <w:t>we grant</w:t>
      </w:r>
      <w:r w:rsidR="00DF14C4">
        <w:t xml:space="preserve"> </w:t>
      </w:r>
      <w:r w:rsidR="0062314D">
        <w:t xml:space="preserve">a petition for waiver </w:t>
      </w:r>
      <w:r w:rsidR="00DF14C4">
        <w:t>filed by</w:t>
      </w:r>
      <w:r w:rsidR="0062314D">
        <w:t xml:space="preserve"> </w:t>
      </w:r>
      <w:r w:rsidRPr="00D94264" w:rsidR="00D94264">
        <w:t xml:space="preserve">Reserve Communications and Computer, L.L.C. </w:t>
      </w:r>
      <w:r w:rsidR="00D94264">
        <w:t>(REV Broadband)</w:t>
      </w:r>
      <w:r w:rsidR="0062314D">
        <w:t>.</w:t>
      </w:r>
      <w:r>
        <w:rPr>
          <w:rStyle w:val="FootnoteReference"/>
        </w:rPr>
        <w:footnoteReference w:id="5"/>
      </w:r>
    </w:p>
    <w:p w:rsidR="00F11E88" w:rsidP="00F11E88" w14:paraId="63EFCA15" w14:textId="33D7E131">
      <w:pPr>
        <w:pStyle w:val="Heading1"/>
      </w:pPr>
      <w:r w:rsidRPr="00530049">
        <w:t>Background</w:t>
      </w:r>
    </w:p>
    <w:p w:rsidR="00D0517E" w:rsidP="0017270C" w14:paraId="5D79EAE7" w14:textId="7AA382F1">
      <w:pPr>
        <w:pStyle w:val="ParaNum"/>
      </w:pPr>
      <w:r>
        <w:t>As a condition of receiving high-cost universal service support, eligible telecommunications carriers must offer broadband service that meets certain basic performance requirements in their supported areas.</w:t>
      </w:r>
      <w:r>
        <w:rPr>
          <w:rStyle w:val="FootnoteReference"/>
        </w:rPr>
        <w:footnoteReference w:id="6"/>
      </w:r>
      <w:r>
        <w:t xml:space="preserve">  Recipients of high-cost support must also test their broadband networks for compliance with speed and latency metrics and certify and report the results to the Universal Service Administrative Company (USAC), with those results subject to audit.</w:t>
      </w:r>
      <w:r>
        <w:rPr>
          <w:rStyle w:val="FootnoteReference"/>
        </w:rPr>
        <w:footnoteReference w:id="7"/>
      </w:r>
      <w:r w:rsidR="00530049">
        <w:t xml:space="preserve">  </w:t>
      </w:r>
      <w:r w:rsidR="0017270C">
        <w:t xml:space="preserve">This testing is necessary to protect ratepayers’ investment and ensure that carriers receiving high-cost support deploy networks that </w:t>
      </w:r>
      <w:r w:rsidR="0017270C">
        <w:t>meet the performance standards they promised to deliver to rural consumers.</w:t>
      </w:r>
      <w:r>
        <w:rPr>
          <w:rStyle w:val="FootnoteReference"/>
        </w:rPr>
        <w:footnoteReference w:id="8"/>
      </w:r>
      <w:r w:rsidR="0017270C">
        <w:t xml:space="preserve">  </w:t>
      </w:r>
      <w:r w:rsidR="00F32E90">
        <w:t>Carriers conduct their t</w:t>
      </w:r>
      <w:r w:rsidR="00530049">
        <w:t xml:space="preserve">esting </w:t>
      </w:r>
      <w:r w:rsidR="00100F85">
        <w:t xml:space="preserve">of </w:t>
      </w:r>
      <w:r w:rsidR="00530049">
        <w:t>a random sample of subscriber</w:t>
      </w:r>
      <w:r w:rsidR="00F32E90">
        <w:t xml:space="preserve"> location</w:t>
      </w:r>
      <w:r w:rsidR="00530049">
        <w:t>s</w:t>
      </w:r>
      <w:r w:rsidR="00100F85">
        <w:t xml:space="preserve"> determined b</w:t>
      </w:r>
      <w:r w:rsidR="006206CE">
        <w:t xml:space="preserve">y </w:t>
      </w:r>
      <w:r w:rsidR="00530049">
        <w:t>USAC</w:t>
      </w:r>
      <w:r w:rsidR="00A003A9">
        <w:t>’s</w:t>
      </w:r>
      <w:r w:rsidR="00530049">
        <w:t xml:space="preserve"> </w:t>
      </w:r>
      <w:r w:rsidR="006206CE">
        <w:t xml:space="preserve">Performance </w:t>
      </w:r>
      <w:r w:rsidR="00F702E6">
        <w:t>Measures Module (PMM) system</w:t>
      </w:r>
      <w:r w:rsidR="00530049">
        <w:t>.</w:t>
      </w:r>
      <w:r>
        <w:rPr>
          <w:rStyle w:val="FootnoteReference"/>
        </w:rPr>
        <w:footnoteReference w:id="9"/>
      </w:r>
      <w:r w:rsidR="00530049">
        <w:t xml:space="preserve">  Carriers </w:t>
      </w:r>
      <w:r w:rsidR="00F32E90">
        <w:t>that fail</w:t>
      </w:r>
      <w:r w:rsidR="00530049">
        <w:t xml:space="preserve"> to meet the required</w:t>
      </w:r>
      <w:r w:rsidR="0017270C">
        <w:t xml:space="preserve"> performance</w:t>
      </w:r>
      <w:r w:rsidR="00530049">
        <w:t xml:space="preserve"> standards will </w:t>
      </w:r>
      <w:r w:rsidR="00F32E90">
        <w:t>have universal service support withhel</w:t>
      </w:r>
      <w:r w:rsidR="0017270C">
        <w:t xml:space="preserve">d </w:t>
      </w:r>
      <w:r w:rsidR="00530049">
        <w:t>based on the level of non-compliance</w:t>
      </w:r>
      <w:r w:rsidR="00283C5C">
        <w:t>.</w:t>
      </w:r>
      <w:r>
        <w:rPr>
          <w:rStyle w:val="FootnoteReference"/>
        </w:rPr>
        <w:footnoteReference w:id="10"/>
      </w:r>
    </w:p>
    <w:p w:rsidR="00283C5C" w:rsidP="00992EA8" w14:paraId="1DBEE0B0" w14:textId="743CE8BB">
      <w:pPr>
        <w:pStyle w:val="ParaNum"/>
      </w:pPr>
      <w:r>
        <w:t>To allow carriers to become accustomed to performance testing, the Commission implemented a pre-testing period that would occur prior to the commencement of each carrier’s testing start date</w:t>
      </w:r>
      <w:r w:rsidR="0022046D">
        <w:t>.</w:t>
      </w:r>
      <w:r>
        <w:rPr>
          <w:rStyle w:val="FootnoteReference"/>
        </w:rPr>
        <w:footnoteReference w:id="11"/>
      </w:r>
      <w:r w:rsidR="0022046D">
        <w:t xml:space="preserve"> </w:t>
      </w:r>
      <w:r w:rsidR="00F32E90">
        <w:t xml:space="preserve"> </w:t>
      </w:r>
      <w:r>
        <w:t>During the pre-testing period, carriers must test the speed and latency of their networks quarterly for a week</w:t>
      </w:r>
      <w:r w:rsidR="00992794">
        <w:t>-</w:t>
      </w:r>
      <w:r>
        <w:t>long period and submit the results within one week of the end of each quarter of pre-testing.  However, no support reductions are assessed during the pre-testing period as long as carriers perform the pre-testing and report their results.</w:t>
      </w:r>
      <w:r>
        <w:rPr>
          <w:rStyle w:val="FootnoteReference"/>
        </w:rPr>
        <w:footnoteReference w:id="12"/>
      </w:r>
      <w:r>
        <w:t xml:space="preserve">  Carriers that fail to conduct pre-testing and submit results in a timely fashion have five percent of their monthly support payments withheld until they come into compliance.</w:t>
      </w:r>
      <w:r>
        <w:rPr>
          <w:rStyle w:val="FootnoteReference"/>
        </w:rPr>
        <w:footnoteReference w:id="13"/>
      </w:r>
      <w:r>
        <w:t xml:space="preserve">  </w:t>
      </w:r>
      <w:r w:rsidR="00577D00">
        <w:t>During testing, c</w:t>
      </w:r>
      <w:r>
        <w:t>arriers whose results show they are not meeting minimum requirements are subject to support withholding/reductions and additional reporting</w:t>
      </w:r>
      <w:r>
        <w:t>.</w:t>
      </w:r>
      <w:r>
        <w:rPr>
          <w:rStyle w:val="FootnoteReference"/>
        </w:rPr>
        <w:footnoteReference w:id="14"/>
      </w:r>
      <w:r>
        <w:t xml:space="preserve">  </w:t>
      </w:r>
      <w:r w:rsidR="00676391">
        <w:t>A-CAM</w:t>
      </w:r>
      <w:r w:rsidR="0005405E">
        <w:t xml:space="preserve"> I</w:t>
      </w:r>
      <w:r w:rsidR="00676391">
        <w:t xml:space="preserve"> </w:t>
      </w:r>
      <w:r w:rsidR="000C53F9">
        <w:t xml:space="preserve">carriers </w:t>
      </w:r>
      <w:r w:rsidR="00676391">
        <w:t>are in pre-testing until the end of 2021.</w:t>
      </w:r>
      <w:r>
        <w:rPr>
          <w:rStyle w:val="FootnoteReference"/>
        </w:rPr>
        <w:footnoteReference w:id="15"/>
      </w:r>
      <w:r w:rsidR="00676391">
        <w:t xml:space="preserve">  </w:t>
      </w:r>
    </w:p>
    <w:p w:rsidR="00634C0D" w:rsidP="00992EA8" w14:paraId="2EAF1D7C" w14:textId="5FB94238">
      <w:pPr>
        <w:pStyle w:val="ParaNum"/>
      </w:pPr>
      <w:r>
        <w:t>I</w:t>
      </w:r>
      <w:r w:rsidR="00FB462D">
        <w:t xml:space="preserve">n April 2020, in response to the COVID-19 pandemic, the Bureau waived certain network performance pre-testing requirements for recipients of CAF Phase II </w:t>
      </w:r>
      <w:r w:rsidR="00295CD8">
        <w:t>M</w:t>
      </w:r>
      <w:r w:rsidR="00FB462D">
        <w:t>odel-based support.</w:t>
      </w:r>
      <w:r>
        <w:rPr>
          <w:rStyle w:val="FootnoteReference"/>
        </w:rPr>
        <w:footnoteReference w:id="16"/>
      </w:r>
      <w:r w:rsidR="00FB462D">
        <w:t xml:space="preserve">  </w:t>
      </w:r>
      <w:r w:rsidR="003A27D3">
        <w:t>Then, i</w:t>
      </w:r>
      <w:r w:rsidR="00FB462D">
        <w:t xml:space="preserve">n December 2020, because of the continued challenges of the COVID-19 pandemic and related supply chain issues, the Bureau </w:t>
      </w:r>
      <w:r w:rsidRPr="003A27D3" w:rsidR="00FB462D">
        <w:rPr>
          <w:i/>
          <w:iCs/>
        </w:rPr>
        <w:t>sua</w:t>
      </w:r>
      <w:r w:rsidRPr="003A27D3" w:rsidR="00FB462D">
        <w:rPr>
          <w:i/>
          <w:iCs/>
        </w:rPr>
        <w:t xml:space="preserve"> sponte</w:t>
      </w:r>
      <w:r w:rsidR="00FB462D">
        <w:t xml:space="preserve"> </w:t>
      </w:r>
      <w:r w:rsidRPr="007873B7" w:rsidR="00FB462D">
        <w:t xml:space="preserve">granted a waiver </w:t>
      </w:r>
      <w:r w:rsidRPr="00E5283D" w:rsidR="00FB462D">
        <w:t>modif</w:t>
      </w:r>
      <w:r w:rsidR="00FB462D">
        <w:t>ying</w:t>
      </w:r>
      <w:r w:rsidRPr="00E5283D" w:rsidR="00FB462D">
        <w:t xml:space="preserve"> the </w:t>
      </w:r>
      <w:r w:rsidR="00042F6E">
        <w:t xml:space="preserve">requirement </w:t>
      </w:r>
      <w:r w:rsidR="0088162D">
        <w:t>that</w:t>
      </w:r>
      <w:r w:rsidRPr="00042F6E" w:rsidR="00042F6E">
        <w:t xml:space="preserve"> </w:t>
      </w:r>
      <w:bookmarkStart w:id="0" w:name="_Hlk91599016"/>
      <w:r w:rsidRPr="00042F6E" w:rsidR="00042F6E">
        <w:t>A-CAM/RBE/Alaska Plan carriers</w:t>
      </w:r>
      <w:r w:rsidR="00042F6E">
        <w:t xml:space="preserve"> pre-test 100% of USAC-selected </w:t>
      </w:r>
      <w:r w:rsidRPr="00E5283D" w:rsidR="00FB462D">
        <w:t>sample</w:t>
      </w:r>
      <w:r w:rsidR="00042F6E">
        <w:t>s</w:t>
      </w:r>
      <w:bookmarkEnd w:id="0"/>
      <w:r w:rsidR="0088162D">
        <w:t xml:space="preserve"> through December 2021.</w:t>
      </w:r>
      <w:r>
        <w:rPr>
          <w:rStyle w:val="FootnoteReference"/>
        </w:rPr>
        <w:footnoteReference w:id="17"/>
      </w:r>
      <w:r w:rsidR="0088162D">
        <w:t xml:space="preserve">  Specifically, under the </w:t>
      </w:r>
      <w:r w:rsidRPr="00D7013B" w:rsidR="0088162D">
        <w:rPr>
          <w:i/>
        </w:rPr>
        <w:t>December 2020 Waiver Order</w:t>
      </w:r>
      <w:r w:rsidR="0088162D">
        <w:t xml:space="preserve">, </w:t>
      </w:r>
      <w:r w:rsidRPr="0088162D" w:rsidR="0088162D">
        <w:t xml:space="preserve">A-CAM/RBE/Alaska Plan carriers </w:t>
      </w:r>
      <w:r w:rsidR="0088162D">
        <w:t>must</w:t>
      </w:r>
      <w:r w:rsidRPr="0088162D" w:rsidR="0088162D">
        <w:t xml:space="preserve"> pre-test </w:t>
      </w:r>
      <w:r w:rsidR="00C81579">
        <w:t xml:space="preserve">only </w:t>
      </w:r>
      <w:r w:rsidR="0088162D">
        <w:t>7</w:t>
      </w:r>
      <w:r w:rsidRPr="0088162D" w:rsidR="0088162D">
        <w:t xml:space="preserve">0% of </w:t>
      </w:r>
      <w:r w:rsidR="0088162D">
        <w:t xml:space="preserve">their </w:t>
      </w:r>
      <w:r w:rsidRPr="0088162D" w:rsidR="0088162D">
        <w:t>USAC-selected samples</w:t>
      </w:r>
      <w:r w:rsidR="00AD42B5">
        <w:t>, instead of 100% as required by the rule</w:t>
      </w:r>
      <w:r w:rsidR="00FB462D">
        <w:t>.</w:t>
      </w:r>
      <w:r>
        <w:rPr>
          <w:rStyle w:val="FootnoteReference"/>
        </w:rPr>
        <w:footnoteReference w:id="18"/>
      </w:r>
      <w:r w:rsidR="003A27D3">
        <w:t xml:space="preserve"> </w:t>
      </w:r>
      <w:r w:rsidR="00677254">
        <w:t xml:space="preserve"> </w:t>
      </w:r>
      <w:r w:rsidR="003A27D3">
        <w:t>Next, i</w:t>
      </w:r>
      <w:r w:rsidR="00E16E3E">
        <w:t xml:space="preserve">n </w:t>
      </w:r>
      <w:r w:rsidR="000318EA">
        <w:t>September</w:t>
      </w:r>
      <w:r w:rsidR="00E16E3E">
        <w:t xml:space="preserve"> 2021, in </w:t>
      </w:r>
      <w:r w:rsidRPr="00E16E3E" w:rsidR="00E16E3E">
        <w:t>response to the damage caused by Hurricane Ida</w:t>
      </w:r>
      <w:r w:rsidR="00E16E3E">
        <w:t>, the Bureau waived the requirement to test the speed and latency performance of supported networks in the third and fourth quarters of 2021</w:t>
      </w:r>
      <w:r w:rsidR="00CB252F">
        <w:t xml:space="preserve"> </w:t>
      </w:r>
      <w:r w:rsidR="00E16E3E">
        <w:t>for CAF II Model</w:t>
      </w:r>
      <w:r w:rsidR="00295CD8">
        <w:t>-based</w:t>
      </w:r>
      <w:r w:rsidR="00E16E3E">
        <w:t xml:space="preserve"> support recipients with eligible locations in the Affected Disaster Areas.</w:t>
      </w:r>
      <w:r>
        <w:rPr>
          <w:rStyle w:val="FootnoteReference"/>
        </w:rPr>
        <w:footnoteReference w:id="19"/>
      </w:r>
      <w:r w:rsidR="00E16E3E">
        <w:t xml:space="preserve">  </w:t>
      </w:r>
      <w:r w:rsidR="003A27D3">
        <w:t>And, f</w:t>
      </w:r>
      <w:r w:rsidR="00E16E3E">
        <w:t xml:space="preserve">or recipients of A-CAM I support with eligible locations in the Affected Disaster Areas, </w:t>
      </w:r>
      <w:r w:rsidR="000318EA">
        <w:t>the Bureau</w:t>
      </w:r>
      <w:r w:rsidR="00E16E3E">
        <w:t xml:space="preserve"> waived the requirement to pre-test the speed and latency performance of supported networks in the third and fourth quarters of 2021</w:t>
      </w:r>
      <w:r w:rsidR="00CB252F">
        <w:t>.</w:t>
      </w:r>
      <w:r>
        <w:rPr>
          <w:rStyle w:val="FootnoteReference"/>
        </w:rPr>
        <w:footnoteReference w:id="20"/>
      </w:r>
    </w:p>
    <w:p w:rsidR="004C2880" w:rsidP="00643442" w14:paraId="77B2EDC4" w14:textId="47D14752">
      <w:pPr>
        <w:pStyle w:val="ParaNum"/>
        <w:widowControl/>
      </w:pPr>
      <w:r>
        <w:t>Earlier this month</w:t>
      </w:r>
      <w:r>
        <w:t xml:space="preserve">, </w:t>
      </w:r>
      <w:r w:rsidR="008E46DA">
        <w:t>NTCA and REV Broadband filed</w:t>
      </w:r>
      <w:r>
        <w:t xml:space="preserve"> petitions for waiver </w:t>
      </w:r>
      <w:r w:rsidR="008E46DA">
        <w:t>requesting that the Commission</w:t>
      </w:r>
      <w:r w:rsidR="007933B3">
        <w:t xml:space="preserve"> extend the relief provided</w:t>
      </w:r>
      <w:r w:rsidR="00BE238D">
        <w:t xml:space="preserve"> </w:t>
      </w:r>
      <w:r w:rsidR="00A934FF">
        <w:t>in</w:t>
      </w:r>
      <w:r w:rsidR="003030EC">
        <w:t>, respectively,</w:t>
      </w:r>
      <w:r w:rsidR="007933B3">
        <w:t xml:space="preserve"> the </w:t>
      </w:r>
      <w:r w:rsidRPr="00971CFA" w:rsidR="007933B3">
        <w:rPr>
          <w:i/>
          <w:iCs/>
        </w:rPr>
        <w:t xml:space="preserve">December 2020 </w:t>
      </w:r>
      <w:r w:rsidRPr="00C4745B" w:rsidR="000C6DF1">
        <w:rPr>
          <w:i/>
          <w:iCs/>
        </w:rPr>
        <w:t xml:space="preserve">Waiver </w:t>
      </w:r>
      <w:r w:rsidRPr="00971CFA" w:rsidR="007933B3">
        <w:rPr>
          <w:i/>
          <w:iCs/>
        </w:rPr>
        <w:t>Order</w:t>
      </w:r>
      <w:r w:rsidR="007933B3">
        <w:t xml:space="preserve"> and the </w:t>
      </w:r>
      <w:r w:rsidRPr="00971CFA" w:rsidR="007933B3">
        <w:rPr>
          <w:i/>
          <w:iCs/>
        </w:rPr>
        <w:t xml:space="preserve">Hurricane Ida </w:t>
      </w:r>
      <w:r w:rsidRPr="00C4745B" w:rsidR="000C6DF1">
        <w:rPr>
          <w:i/>
          <w:iCs/>
        </w:rPr>
        <w:t xml:space="preserve">Relief </w:t>
      </w:r>
      <w:r w:rsidRPr="00971CFA" w:rsidR="007933B3">
        <w:rPr>
          <w:i/>
          <w:iCs/>
        </w:rPr>
        <w:t>Order</w:t>
      </w:r>
      <w:r w:rsidR="007933B3">
        <w:t>.</w:t>
      </w:r>
      <w:r>
        <w:rPr>
          <w:rStyle w:val="FootnoteReference"/>
        </w:rPr>
        <w:footnoteReference w:id="21"/>
      </w:r>
      <w:r w:rsidR="008E46DA">
        <w:t xml:space="preserve"> </w:t>
      </w:r>
      <w:r w:rsidR="007933B3">
        <w:t xml:space="preserve"> NTCA</w:t>
      </w:r>
      <w:r w:rsidR="00DE7AC6">
        <w:t xml:space="preserve">, an </w:t>
      </w:r>
      <w:r w:rsidR="00C310F0">
        <w:t xml:space="preserve">industry </w:t>
      </w:r>
      <w:r w:rsidR="00DE7AC6">
        <w:t>organization repres</w:t>
      </w:r>
      <w:r w:rsidR="0057137C">
        <w:t>en</w:t>
      </w:r>
      <w:r w:rsidR="00DE7AC6">
        <w:t>ting rural incumbent local exchange companies,</w:t>
      </w:r>
      <w:r w:rsidR="007933B3">
        <w:t xml:space="preserve"> </w:t>
      </w:r>
      <w:r w:rsidR="00A8064E">
        <w:t>explained</w:t>
      </w:r>
      <w:r w:rsidR="0057137C">
        <w:t xml:space="preserve"> in its petition</w:t>
      </w:r>
      <w:r w:rsidR="00D02C71">
        <w:t xml:space="preserve"> that </w:t>
      </w:r>
      <w:r w:rsidRPr="00DC234E" w:rsidR="00D02C71">
        <w:t xml:space="preserve">A-CAM/RBE/Alaska </w:t>
      </w:r>
      <w:r w:rsidR="00D02C71">
        <w:t xml:space="preserve">Plan </w:t>
      </w:r>
      <w:r w:rsidRPr="00DC234E" w:rsidR="00D02C71">
        <w:t xml:space="preserve">carriers </w:t>
      </w:r>
      <w:r w:rsidR="00D02C71">
        <w:t>continue to face challenges stemming from the COVID-19 pandemic, including supply chain delay</w:t>
      </w:r>
      <w:r w:rsidR="0057137C">
        <w:t>s.</w:t>
      </w:r>
      <w:r>
        <w:rPr>
          <w:rStyle w:val="FootnoteReference"/>
        </w:rPr>
        <w:footnoteReference w:id="22"/>
      </w:r>
      <w:r w:rsidR="0057137C">
        <w:t xml:space="preserve">  NTCA</w:t>
      </w:r>
      <w:r w:rsidR="00D02C71">
        <w:t xml:space="preserve"> request</w:t>
      </w:r>
      <w:r w:rsidR="00A8064E">
        <w:t>s</w:t>
      </w:r>
      <w:r w:rsidR="00D02C71">
        <w:t xml:space="preserve"> that the Commission:  (1) </w:t>
      </w:r>
      <w:r w:rsidR="003030EC">
        <w:t>continue to</w:t>
      </w:r>
      <w:r w:rsidR="00D02C71">
        <w:t xml:space="preserve"> </w:t>
      </w:r>
      <w:r w:rsidR="001D5FBE">
        <w:t>allow</w:t>
      </w:r>
      <w:r w:rsidR="00D02C71">
        <w:t xml:space="preserve"> </w:t>
      </w:r>
      <w:r w:rsidR="00B66308">
        <w:t>A-CAM/RBE/Alaska Plan carriers</w:t>
      </w:r>
      <w:r w:rsidR="001D5FBE">
        <w:t xml:space="preserve"> to only </w:t>
      </w:r>
      <w:r w:rsidR="0088162D">
        <w:t>pre-</w:t>
      </w:r>
      <w:r w:rsidR="000A73D2">
        <w:t xml:space="preserve">test </w:t>
      </w:r>
      <w:r w:rsidR="00D02C71">
        <w:t>70% of the</w:t>
      </w:r>
      <w:r w:rsidR="000A73D2">
        <w:t xml:space="preserve"> </w:t>
      </w:r>
      <w:r w:rsidR="0088162D">
        <w:t xml:space="preserve">USAC-selected </w:t>
      </w:r>
      <w:r w:rsidR="000A73D2">
        <w:t>sampled</w:t>
      </w:r>
      <w:r w:rsidR="00D02C71">
        <w:t xml:space="preserve"> locations that would otherwise be required</w:t>
      </w:r>
      <w:r w:rsidR="00C9693F">
        <w:t xml:space="preserve"> for the first two quarters of 2022</w:t>
      </w:r>
      <w:r w:rsidR="00D02C71">
        <w:t xml:space="preserve">; (2) </w:t>
      </w:r>
      <w:r w:rsidR="002F65D5">
        <w:t xml:space="preserve">extend the form of </w:t>
      </w:r>
      <w:r w:rsidR="00AC1E74">
        <w:t>a “simple” waiver request for A-CAM/RBE/Alaska Plan carriers</w:t>
      </w:r>
      <w:r w:rsidR="00F6408B">
        <w:t xml:space="preserve">; and (3) </w:t>
      </w:r>
      <w:r w:rsidRPr="00F6408B" w:rsidR="00F6408B">
        <w:t>exten</w:t>
      </w:r>
      <w:r w:rsidR="00AC1E74">
        <w:t xml:space="preserve">d </w:t>
      </w:r>
      <w:r w:rsidRPr="00F6408B" w:rsidR="00F6408B">
        <w:t>the pre-testing period</w:t>
      </w:r>
      <w:r w:rsidR="00AC1E74">
        <w:t xml:space="preserve"> for A-CAM/RBE/Alaska Plan carriers</w:t>
      </w:r>
      <w:r w:rsidR="00F6408B">
        <w:t>.</w:t>
      </w:r>
      <w:r>
        <w:rPr>
          <w:rStyle w:val="FootnoteReference"/>
        </w:rPr>
        <w:footnoteReference w:id="23"/>
      </w:r>
      <w:r w:rsidR="00F6408B">
        <w:t xml:space="preserve">  </w:t>
      </w:r>
      <w:r w:rsidR="00364E94">
        <w:t xml:space="preserve">Similarly, </w:t>
      </w:r>
      <w:r w:rsidR="00F6408B">
        <w:t>REV Broadband</w:t>
      </w:r>
      <w:r w:rsidR="005C1F52">
        <w:t xml:space="preserve">, </w:t>
      </w:r>
      <w:r w:rsidR="00A21217">
        <w:t>an organization with CAF BLS subsidiaries in areas affected by Hurricane Ida,</w:t>
      </w:r>
      <w:r w:rsidR="00D02C71">
        <w:t xml:space="preserve"> </w:t>
      </w:r>
      <w:r w:rsidR="00295948">
        <w:t>asserts</w:t>
      </w:r>
      <w:r w:rsidR="00A92D53">
        <w:t xml:space="preserve"> in its petition</w:t>
      </w:r>
      <w:r w:rsidR="00295948">
        <w:t xml:space="preserve"> that </w:t>
      </w:r>
      <w:r w:rsidR="00F1153C">
        <w:t>the lingering effects of Hurricane Ida</w:t>
      </w:r>
      <w:r w:rsidR="00D95DB3">
        <w:t xml:space="preserve"> have delayed their efforts to rebuild, repair, and restore services to affected customers</w:t>
      </w:r>
      <w:r w:rsidR="00A92D53">
        <w:t>.</w:t>
      </w:r>
      <w:r>
        <w:rPr>
          <w:rStyle w:val="FootnoteReference"/>
        </w:rPr>
        <w:footnoteReference w:id="24"/>
      </w:r>
      <w:r w:rsidR="00A92D53">
        <w:t xml:space="preserve">  REV Broadband</w:t>
      </w:r>
      <w:r w:rsidR="00C4745B">
        <w:t xml:space="preserve"> requests that the Commission</w:t>
      </w:r>
      <w:r w:rsidR="00BD5A28">
        <w:t xml:space="preserve"> </w:t>
      </w:r>
      <w:r w:rsidR="00B325EC">
        <w:t xml:space="preserve">waive the </w:t>
      </w:r>
      <w:r w:rsidR="00BD5A28">
        <w:t xml:space="preserve">performance testing requirements for </w:t>
      </w:r>
      <w:r w:rsidR="00ED6D68">
        <w:t xml:space="preserve">its </w:t>
      </w:r>
      <w:r w:rsidR="0060657A">
        <w:t>CAF BLS</w:t>
      </w:r>
      <w:r w:rsidR="00BD5A28">
        <w:t xml:space="preserve"> subsidiaries, which were located in areas affected by Hurricane Ida, through </w:t>
      </w:r>
      <w:r w:rsidR="00D95DB3">
        <w:t>the first quarter of 2022</w:t>
      </w:r>
      <w:r>
        <w:t>.</w:t>
      </w:r>
      <w:r>
        <w:rPr>
          <w:rStyle w:val="FootnoteReference"/>
        </w:rPr>
        <w:footnoteReference w:id="25"/>
      </w:r>
    </w:p>
    <w:p w:rsidR="00F11E88" w:rsidP="00F11E88" w14:paraId="60F59E02" w14:textId="45EA1F34">
      <w:pPr>
        <w:pStyle w:val="Heading1"/>
      </w:pPr>
      <w:r w:rsidRPr="006F7754">
        <w:t>Discussion</w:t>
      </w:r>
    </w:p>
    <w:p w:rsidR="00342DC0" w:rsidP="006F7754" w14:paraId="72174F85" w14:textId="2EC94EBC">
      <w:pPr>
        <w:pStyle w:val="ParaNum"/>
      </w:pPr>
      <w:r>
        <w:t>As explained below, w</w:t>
      </w:r>
      <w:r w:rsidR="003A27D3">
        <w:t xml:space="preserve">e find good cause to </w:t>
      </w:r>
      <w:r w:rsidR="00A90BAB">
        <w:t>grant in part NTCA’s request for an extension of the waiver of the performance testing requirements for A-CAM/RBE/Alaska</w:t>
      </w:r>
      <w:r w:rsidR="00812E0D">
        <w:t xml:space="preserve"> Plan</w:t>
      </w:r>
      <w:r w:rsidR="00A90BAB">
        <w:t xml:space="preserve"> carriers.</w:t>
      </w:r>
      <w:r>
        <w:rPr>
          <w:rStyle w:val="FootnoteReference"/>
        </w:rPr>
        <w:footnoteReference w:id="26"/>
      </w:r>
      <w:r w:rsidR="00ED4B94">
        <w:t xml:space="preserve">  We </w:t>
      </w:r>
      <w:r w:rsidR="00EE4A5F">
        <w:t>also find good cause to grant the petition for waiver filed by REV Broadband.</w:t>
      </w:r>
      <w:r>
        <w:rPr>
          <w:rStyle w:val="FootnoteReference"/>
        </w:rPr>
        <w:footnoteReference w:id="27"/>
      </w:r>
    </w:p>
    <w:p w:rsidR="00A90BAB" w:rsidP="006F7754" w14:paraId="2819624F" w14:textId="46BD9559">
      <w:pPr>
        <w:pStyle w:val="ParaNum"/>
      </w:pPr>
      <w:r w:rsidRPr="00F56F06">
        <w:t>Generally, the Commission’s rules may be waived for good cause shown.</w:t>
      </w:r>
      <w:r>
        <w:rPr>
          <w:rStyle w:val="FootnoteReference"/>
        </w:rPr>
        <w:footnoteReference w:id="28"/>
      </w:r>
      <w:r>
        <w:t xml:space="preserve">  The Bureau may exercise its discretion to waive a rule where the particular facts make strict compliance inconsistent with the public interest.</w:t>
      </w:r>
      <w:r>
        <w:rPr>
          <w:rStyle w:val="FootnoteReference"/>
        </w:rPr>
        <w:footnoteReference w:id="29"/>
      </w:r>
      <w:r>
        <w:t xml:space="preserve">  In addition, the Bureau may take into account considerations of hardship, equity, or more effective implementation of overall policy on an individual basis.</w:t>
      </w:r>
      <w:r>
        <w:rPr>
          <w:rStyle w:val="FootnoteReference"/>
        </w:rPr>
        <w:footnoteReference w:id="30"/>
      </w:r>
      <w:r>
        <w:t xml:space="preserve">  Waiver of the Commission’s rules is appropriate when (</w:t>
      </w:r>
      <w:r>
        <w:t>i</w:t>
      </w:r>
      <w:r>
        <w:t>) special circumstances warrant a deviation from the general rule, and (ii) such deviation will serve the public interest.</w:t>
      </w:r>
      <w:r>
        <w:rPr>
          <w:rStyle w:val="FootnoteReference"/>
        </w:rPr>
        <w:footnoteReference w:id="31"/>
      </w:r>
    </w:p>
    <w:p w:rsidR="00E1255F" w:rsidRPr="00ED2FB7" w:rsidP="00992EA8" w14:paraId="18A0D8AD" w14:textId="7BAFF6F8">
      <w:pPr>
        <w:pStyle w:val="ParaNum"/>
        <w:rPr>
          <w:szCs w:val="22"/>
        </w:rPr>
      </w:pPr>
      <w:r w:rsidRPr="00ED2FB7">
        <w:rPr>
          <w:szCs w:val="22"/>
        </w:rPr>
        <w:t>First,</w:t>
      </w:r>
      <w:r w:rsidRPr="00CE14FB" w:rsidR="00342DC0">
        <w:rPr>
          <w:szCs w:val="22"/>
        </w:rPr>
        <w:t xml:space="preserve"> </w:t>
      </w:r>
      <w:r w:rsidRPr="00F909DF" w:rsidR="00F57295">
        <w:rPr>
          <w:szCs w:val="22"/>
        </w:rPr>
        <w:t>w</w:t>
      </w:r>
      <w:r w:rsidRPr="006F22E4" w:rsidR="00342DC0">
        <w:rPr>
          <w:szCs w:val="22"/>
        </w:rPr>
        <w:t>e find good cause to</w:t>
      </w:r>
      <w:r w:rsidRPr="00535E79" w:rsidR="00E26D4E">
        <w:rPr>
          <w:szCs w:val="22"/>
        </w:rPr>
        <w:t xml:space="preserve"> extend</w:t>
      </w:r>
      <w:r w:rsidRPr="00EE6777" w:rsidR="00785782">
        <w:rPr>
          <w:szCs w:val="22"/>
        </w:rPr>
        <w:t xml:space="preserve"> our</w:t>
      </w:r>
      <w:r w:rsidRPr="009C4EF7" w:rsidR="00E26D4E">
        <w:rPr>
          <w:szCs w:val="22"/>
        </w:rPr>
        <w:t xml:space="preserve"> waiver</w:t>
      </w:r>
      <w:r w:rsidRPr="004C63DA" w:rsidR="0086299A">
        <w:rPr>
          <w:szCs w:val="22"/>
        </w:rPr>
        <w:t xml:space="preserve"> regarding sample size s</w:t>
      </w:r>
      <w:r w:rsidRPr="008C79A7" w:rsidR="002D7432">
        <w:rPr>
          <w:szCs w:val="22"/>
        </w:rPr>
        <w:t>uch that</w:t>
      </w:r>
      <w:r w:rsidRPr="008C79A7" w:rsidR="00E26D4E">
        <w:rPr>
          <w:szCs w:val="22"/>
        </w:rPr>
        <w:t xml:space="preserve"> A-CAM/RBE/Alaska </w:t>
      </w:r>
      <w:r w:rsidRPr="00891FAB" w:rsidR="0055345A">
        <w:rPr>
          <w:szCs w:val="22"/>
        </w:rPr>
        <w:t xml:space="preserve">Plan </w:t>
      </w:r>
      <w:r w:rsidRPr="00F676F0" w:rsidR="00E26D4E">
        <w:rPr>
          <w:szCs w:val="22"/>
        </w:rPr>
        <w:t xml:space="preserve">carriers </w:t>
      </w:r>
      <w:r w:rsidRPr="0085023C" w:rsidR="002D7432">
        <w:rPr>
          <w:szCs w:val="22"/>
        </w:rPr>
        <w:t>must only test</w:t>
      </w:r>
      <w:r w:rsidRPr="00E6702F" w:rsidR="00E26D4E">
        <w:rPr>
          <w:szCs w:val="22"/>
        </w:rPr>
        <w:t xml:space="preserve"> 70% of their USAC-selected samples during the first two quarters of 2</w:t>
      </w:r>
      <w:r w:rsidRPr="00A91547" w:rsidR="00E26D4E">
        <w:rPr>
          <w:szCs w:val="22"/>
        </w:rPr>
        <w:t>022.</w:t>
      </w:r>
      <w:r w:rsidRPr="00A91547" w:rsidR="004A73F2">
        <w:rPr>
          <w:szCs w:val="22"/>
        </w:rPr>
        <w:t xml:space="preserve">  </w:t>
      </w:r>
      <w:r w:rsidRPr="00A91547" w:rsidR="0062314D">
        <w:rPr>
          <w:szCs w:val="22"/>
        </w:rPr>
        <w:t xml:space="preserve">NTCA </w:t>
      </w:r>
      <w:r w:rsidRPr="004523A3" w:rsidR="00AC1E74">
        <w:rPr>
          <w:szCs w:val="22"/>
        </w:rPr>
        <w:t>explained</w:t>
      </w:r>
      <w:r w:rsidRPr="00D7013B" w:rsidR="00342DC0">
        <w:rPr>
          <w:szCs w:val="22"/>
        </w:rPr>
        <w:t xml:space="preserve"> that</w:t>
      </w:r>
      <w:r w:rsidRPr="00D7013B" w:rsidR="0062314D">
        <w:rPr>
          <w:szCs w:val="22"/>
        </w:rPr>
        <w:t xml:space="preserve"> A-CAM/RBE/Alaska</w:t>
      </w:r>
      <w:r w:rsidRPr="00D7013B" w:rsidR="00CD293B">
        <w:rPr>
          <w:szCs w:val="22"/>
        </w:rPr>
        <w:t xml:space="preserve"> Plan</w:t>
      </w:r>
      <w:r w:rsidRPr="00D7013B" w:rsidR="0062314D">
        <w:rPr>
          <w:szCs w:val="22"/>
        </w:rPr>
        <w:t xml:space="preserve"> carriers continue to encounter supply chain disruptions that are creating challenges to deploying testing-compatible equipment at user locations.</w:t>
      </w:r>
      <w:r>
        <w:rPr>
          <w:rStyle w:val="FootnoteReference"/>
          <w:sz w:val="22"/>
          <w:szCs w:val="22"/>
        </w:rPr>
        <w:footnoteReference w:id="32"/>
      </w:r>
      <w:r w:rsidRPr="00ED2FB7" w:rsidR="0062314D">
        <w:rPr>
          <w:szCs w:val="22"/>
        </w:rPr>
        <w:t xml:space="preserve">  </w:t>
      </w:r>
      <w:r w:rsidRPr="00F909DF" w:rsidR="0014014F">
        <w:rPr>
          <w:szCs w:val="22"/>
        </w:rPr>
        <w:t xml:space="preserve">NTCA </w:t>
      </w:r>
      <w:r w:rsidRPr="006F22E4" w:rsidR="00561245">
        <w:rPr>
          <w:szCs w:val="22"/>
        </w:rPr>
        <w:t>highlighted that</w:t>
      </w:r>
      <w:r w:rsidRPr="006F22E4" w:rsidR="0014014F">
        <w:rPr>
          <w:szCs w:val="22"/>
        </w:rPr>
        <w:t xml:space="preserve"> multiple carriers have filed comments </w:t>
      </w:r>
      <w:r w:rsidRPr="00535E79" w:rsidR="0014014F">
        <w:rPr>
          <w:szCs w:val="22"/>
        </w:rPr>
        <w:t>with the Commission asserting that s</w:t>
      </w:r>
      <w:r w:rsidRPr="00535E79" w:rsidR="00FF2CB5">
        <w:rPr>
          <w:szCs w:val="22"/>
        </w:rPr>
        <w:t xml:space="preserve">upply chain delays have </w:t>
      </w:r>
      <w:r w:rsidRPr="00D7013B" w:rsidR="00FF2CB5">
        <w:rPr>
          <w:szCs w:val="22"/>
        </w:rPr>
        <w:t xml:space="preserve">interfered with </w:t>
      </w:r>
      <w:r w:rsidRPr="00D7013B" w:rsidR="0014014F">
        <w:rPr>
          <w:szCs w:val="22"/>
        </w:rPr>
        <w:t>their</w:t>
      </w:r>
      <w:r w:rsidRPr="00D7013B" w:rsidR="00FF2CB5">
        <w:rPr>
          <w:szCs w:val="22"/>
        </w:rPr>
        <w:t xml:space="preserve"> abilities to source and purchase equipment</w:t>
      </w:r>
      <w:r w:rsidRPr="00D7013B" w:rsidR="00561245">
        <w:rPr>
          <w:szCs w:val="22"/>
        </w:rPr>
        <w:t xml:space="preserve"> and are expected to persist well into 2022.</w:t>
      </w:r>
      <w:r>
        <w:rPr>
          <w:rStyle w:val="FootnoteReference"/>
          <w:sz w:val="22"/>
          <w:szCs w:val="22"/>
        </w:rPr>
        <w:footnoteReference w:id="33"/>
      </w:r>
      <w:r w:rsidRPr="00D7013B" w:rsidR="00561245">
        <w:rPr>
          <w:szCs w:val="22"/>
        </w:rPr>
        <w:t xml:space="preserve">  We agree that</w:t>
      </w:r>
      <w:r w:rsidRPr="00ED2FB7" w:rsidR="00FF2CB5">
        <w:rPr>
          <w:szCs w:val="22"/>
        </w:rPr>
        <w:t xml:space="preserve"> the </w:t>
      </w:r>
      <w:r w:rsidRPr="00D7013B" w:rsidR="00FF2CB5">
        <w:rPr>
          <w:szCs w:val="22"/>
        </w:rPr>
        <w:t>global semiconductor shortage</w:t>
      </w:r>
      <w:r w:rsidRPr="00D7013B" w:rsidR="00F62901">
        <w:rPr>
          <w:szCs w:val="22"/>
        </w:rPr>
        <w:t xml:space="preserve"> has </w:t>
      </w:r>
      <w:r w:rsidRPr="00D7013B" w:rsidR="0014014F">
        <w:rPr>
          <w:szCs w:val="22"/>
        </w:rPr>
        <w:t>caused</w:t>
      </w:r>
      <w:r w:rsidRPr="00D7013B" w:rsidR="00FF2CB5">
        <w:rPr>
          <w:szCs w:val="22"/>
        </w:rPr>
        <w:t xml:space="preserve"> delays </w:t>
      </w:r>
      <w:r w:rsidRPr="00D7013B" w:rsidR="00FF2CB5">
        <w:rPr>
          <w:szCs w:val="22"/>
        </w:rPr>
        <w:t>in both</w:t>
      </w:r>
      <w:r w:rsidRPr="00D7013B" w:rsidR="0014014F">
        <w:rPr>
          <w:szCs w:val="22"/>
        </w:rPr>
        <w:t xml:space="preserve"> the manufacture and the delivery of equipment.</w:t>
      </w:r>
      <w:r>
        <w:rPr>
          <w:rStyle w:val="FootnoteReference"/>
          <w:sz w:val="22"/>
          <w:szCs w:val="22"/>
        </w:rPr>
        <w:footnoteReference w:id="34"/>
      </w:r>
      <w:r w:rsidRPr="00D7013B" w:rsidR="009D6353">
        <w:rPr>
          <w:szCs w:val="22"/>
        </w:rPr>
        <w:t xml:space="preserve">  We continue to find these issues constitute good cause justifying a waiver </w:t>
      </w:r>
      <w:r w:rsidRPr="00D7013B" w:rsidR="0094197D">
        <w:rPr>
          <w:szCs w:val="22"/>
        </w:rPr>
        <w:t xml:space="preserve">of the sample size </w:t>
      </w:r>
      <w:r w:rsidRPr="00D7013B" w:rsidR="009D6353">
        <w:rPr>
          <w:szCs w:val="22"/>
        </w:rPr>
        <w:t>of the performance testing requirements.</w:t>
      </w:r>
      <w:r w:rsidRPr="00D7013B" w:rsidR="0094197D">
        <w:rPr>
          <w:szCs w:val="22"/>
        </w:rPr>
        <w:t xml:space="preserve">  Nonetheless, we encourage carriers to move as swiftly as possible to</w:t>
      </w:r>
      <w:r w:rsidRPr="00D7013B" w:rsidR="001F1E7B">
        <w:rPr>
          <w:szCs w:val="22"/>
        </w:rPr>
        <w:t xml:space="preserve"> test their full sample size.</w:t>
      </w:r>
    </w:p>
    <w:p w:rsidR="008A06AA" w:rsidP="00992EA8" w14:paraId="6F45C560" w14:textId="71365D07">
      <w:pPr>
        <w:pStyle w:val="ParaNum"/>
      </w:pPr>
      <w:r>
        <w:t>Second</w:t>
      </w:r>
      <w:r w:rsidR="00A40337">
        <w:t>, w</w:t>
      </w:r>
      <w:r w:rsidR="00785782">
        <w:t xml:space="preserve">e </w:t>
      </w:r>
      <w:r w:rsidRPr="003700B2" w:rsidR="00785782">
        <w:rPr>
          <w:i/>
          <w:iCs/>
        </w:rPr>
        <w:t>sua</w:t>
      </w:r>
      <w:r w:rsidRPr="003700B2" w:rsidR="00785782">
        <w:rPr>
          <w:i/>
          <w:iCs/>
        </w:rPr>
        <w:t xml:space="preserve"> sponte</w:t>
      </w:r>
      <w:r w:rsidR="005B4EE1">
        <w:t xml:space="preserve"> provide </w:t>
      </w:r>
      <w:r w:rsidR="003700B2">
        <w:t xml:space="preserve">similar </w:t>
      </w:r>
      <w:r w:rsidR="005B4EE1">
        <w:t>relief</w:t>
      </w:r>
      <w:r w:rsidR="00785782">
        <w:t xml:space="preserve"> </w:t>
      </w:r>
      <w:r w:rsidR="005B4EE1">
        <w:t>to</w:t>
      </w:r>
      <w:r w:rsidR="004C03D0">
        <w:t xml:space="preserve"> </w:t>
      </w:r>
      <w:r w:rsidR="005D03FE">
        <w:t>A-CAM II</w:t>
      </w:r>
      <w:r w:rsidR="009D6353">
        <w:t>,</w:t>
      </w:r>
      <w:r w:rsidR="005B4EE1">
        <w:t xml:space="preserve"> </w:t>
      </w:r>
      <w:r w:rsidR="00FD2C4F">
        <w:t>CAF BLS</w:t>
      </w:r>
      <w:r w:rsidR="009D6353">
        <w:t>,</w:t>
      </w:r>
      <w:r w:rsidR="005D03FE">
        <w:t xml:space="preserve"> and </w:t>
      </w:r>
      <w:r w:rsidR="00FD2C4F">
        <w:t xml:space="preserve">CAF II </w:t>
      </w:r>
      <w:r w:rsidR="00C728B8">
        <w:t xml:space="preserve">Auction </w:t>
      </w:r>
      <w:r w:rsidR="005D03FE">
        <w:t>carriers</w:t>
      </w:r>
      <w:r w:rsidR="005B4EE1">
        <w:t xml:space="preserve">.  </w:t>
      </w:r>
      <w:r w:rsidRPr="003700B2" w:rsidR="00785782">
        <w:t xml:space="preserve">Specifically, we </w:t>
      </w:r>
      <w:r w:rsidR="009D6353">
        <w:t xml:space="preserve">find good cause to </w:t>
      </w:r>
      <w:r w:rsidRPr="003700B2" w:rsidR="004A6D90">
        <w:t xml:space="preserve">waive </w:t>
      </w:r>
      <w:r w:rsidR="004077E2">
        <w:t xml:space="preserve">the </w:t>
      </w:r>
      <w:r w:rsidRPr="003700B2" w:rsidR="004A6D90">
        <w:t xml:space="preserve">subscriber sampling requirements </w:t>
      </w:r>
      <w:r w:rsidR="00E06562">
        <w:t>for these carri</w:t>
      </w:r>
      <w:r w:rsidR="00914DA5">
        <w:t xml:space="preserve">ers </w:t>
      </w:r>
      <w:r w:rsidR="004E24F6">
        <w:t xml:space="preserve">as they are likely to suffer from the same difficulties obtaining equipment as </w:t>
      </w:r>
      <w:r w:rsidR="004C133A">
        <w:t>A-CAM/RBE/Alaska Plan carriers.</w:t>
      </w:r>
      <w:r>
        <w:rPr>
          <w:rStyle w:val="FootnoteReference"/>
        </w:rPr>
        <w:footnoteReference w:id="35"/>
      </w:r>
      <w:r w:rsidR="00E16E3E">
        <w:t xml:space="preserve">  </w:t>
      </w:r>
      <w:r w:rsidR="003700B2">
        <w:t xml:space="preserve">Accordingly, we </w:t>
      </w:r>
      <w:r w:rsidR="00096542">
        <w:t>modify the pre-testing requirement such that these carriers are only required to pre-test 70% of their required sample size for the first two quarters of 2022.</w:t>
      </w:r>
      <w:r w:rsidR="003700B2">
        <w:t xml:space="preserve">  </w:t>
      </w:r>
      <w:r w:rsidR="00C728B8">
        <w:t xml:space="preserve">Nonetheless, we urge these carriers to </w:t>
      </w:r>
      <w:r w:rsidR="003038B6">
        <w:t>work to pre-test 100% of their sample as quickly as possible.</w:t>
      </w:r>
    </w:p>
    <w:p w:rsidR="009C6779" w:rsidP="00992EA8" w14:paraId="40DE3AA4" w14:textId="538F9176">
      <w:pPr>
        <w:pStyle w:val="ParaNum"/>
      </w:pPr>
      <w:r>
        <w:t xml:space="preserve">Third, </w:t>
      </w:r>
      <w:r w:rsidR="00590A2D">
        <w:t xml:space="preserve">we deny NTCA’s request that we </w:t>
      </w:r>
      <w:r w:rsidR="00C83D6A">
        <w:t xml:space="preserve">extend the form of </w:t>
      </w:r>
      <w:r w:rsidR="00590A2D">
        <w:t xml:space="preserve">a </w:t>
      </w:r>
      <w:r w:rsidR="006E0FA2">
        <w:t>“simple”</w:t>
      </w:r>
      <w:r w:rsidR="003E3B3A">
        <w:t xml:space="preserve"> waiver request for A-CAM/RBE/Alaska Plan carriers.</w:t>
      </w:r>
      <w:r>
        <w:rPr>
          <w:rStyle w:val="FootnoteReference"/>
        </w:rPr>
        <w:footnoteReference w:id="36"/>
      </w:r>
      <w:r w:rsidR="00897BF1">
        <w:t xml:space="preserve">  </w:t>
      </w:r>
      <w:r w:rsidR="00D8702F">
        <w:t>We note that n</w:t>
      </w:r>
      <w:r w:rsidR="002A30AD">
        <w:t xml:space="preserve">o modification of the Commission’s waiver process was granted in the </w:t>
      </w:r>
      <w:r w:rsidRPr="00831004" w:rsidR="002A30AD">
        <w:rPr>
          <w:i/>
          <w:iCs/>
        </w:rPr>
        <w:t>December 2020 Waiver O</w:t>
      </w:r>
      <w:r w:rsidRPr="00831004" w:rsidR="00A50D73">
        <w:rPr>
          <w:i/>
          <w:iCs/>
        </w:rPr>
        <w:t>rder</w:t>
      </w:r>
      <w:r w:rsidRPr="00D31A15">
        <w:rPr>
          <w:szCs w:val="22"/>
        </w:rPr>
        <w:t>.</w:t>
      </w:r>
      <w:r>
        <w:rPr>
          <w:rStyle w:val="FootnoteReference"/>
          <w:sz w:val="22"/>
          <w:szCs w:val="22"/>
        </w:rPr>
        <w:footnoteReference w:id="37"/>
      </w:r>
      <w:r w:rsidRPr="00D31A15">
        <w:rPr>
          <w:szCs w:val="22"/>
        </w:rPr>
        <w:t xml:space="preserve">  </w:t>
      </w:r>
      <w:r w:rsidRPr="00D31A15" w:rsidR="009A061F">
        <w:rPr>
          <w:szCs w:val="22"/>
        </w:rPr>
        <w:t>T</w:t>
      </w:r>
      <w:r w:rsidRPr="00D31A15" w:rsidR="008154A4">
        <w:rPr>
          <w:szCs w:val="22"/>
        </w:rPr>
        <w:t xml:space="preserve">he Bureau </w:t>
      </w:r>
      <w:r w:rsidRPr="00D31A15" w:rsidR="00DB74C1">
        <w:rPr>
          <w:szCs w:val="22"/>
        </w:rPr>
        <w:t xml:space="preserve">simply </w:t>
      </w:r>
      <w:r w:rsidRPr="00D31A15" w:rsidR="00B2115F">
        <w:rPr>
          <w:szCs w:val="22"/>
        </w:rPr>
        <w:t xml:space="preserve">provided guidance </w:t>
      </w:r>
      <w:r w:rsidRPr="00D31A15" w:rsidR="008154A4">
        <w:rPr>
          <w:szCs w:val="22"/>
        </w:rPr>
        <w:t xml:space="preserve">that carriers </w:t>
      </w:r>
      <w:r w:rsidRPr="00D31A15" w:rsidR="00786CA2">
        <w:rPr>
          <w:szCs w:val="22"/>
        </w:rPr>
        <w:t xml:space="preserve">seeking </w:t>
      </w:r>
      <w:r w:rsidRPr="00D31A15" w:rsidR="00FD52D5">
        <w:rPr>
          <w:szCs w:val="22"/>
        </w:rPr>
        <w:t xml:space="preserve">additional relief </w:t>
      </w:r>
      <w:r w:rsidRPr="00D31A15" w:rsidR="003B16C6">
        <w:rPr>
          <w:szCs w:val="22"/>
        </w:rPr>
        <w:t xml:space="preserve">should </w:t>
      </w:r>
      <w:r w:rsidRPr="00D31A15" w:rsidR="00FD52D5">
        <w:rPr>
          <w:szCs w:val="22"/>
        </w:rPr>
        <w:t xml:space="preserve">file a waiver request that included specific evidence of the supply </w:t>
      </w:r>
      <w:r w:rsidRPr="00D31A15" w:rsidR="00FC56E3">
        <w:rPr>
          <w:szCs w:val="22"/>
        </w:rPr>
        <w:t xml:space="preserve">chain </w:t>
      </w:r>
      <w:r w:rsidRPr="00D31A15" w:rsidR="00F90E29">
        <w:rPr>
          <w:szCs w:val="22"/>
        </w:rPr>
        <w:t>issues they were encountering.</w:t>
      </w:r>
      <w:r>
        <w:rPr>
          <w:rStyle w:val="FootnoteReference"/>
          <w:sz w:val="22"/>
          <w:szCs w:val="22"/>
        </w:rPr>
        <w:footnoteReference w:id="38"/>
      </w:r>
      <w:r w:rsidRPr="00D31A15" w:rsidR="00F90E29">
        <w:rPr>
          <w:szCs w:val="22"/>
        </w:rPr>
        <w:t xml:space="preserve">  </w:t>
      </w:r>
      <w:r w:rsidRPr="00D31A15" w:rsidR="00540F70">
        <w:rPr>
          <w:szCs w:val="22"/>
        </w:rPr>
        <w:t>The Bureau suggested t</w:t>
      </w:r>
      <w:r w:rsidRPr="00D31A15" w:rsidR="00DF6484">
        <w:rPr>
          <w:szCs w:val="22"/>
        </w:rPr>
        <w:t>hat</w:t>
      </w:r>
      <w:r w:rsidRPr="00D31A15" w:rsidR="00F90E29">
        <w:rPr>
          <w:szCs w:val="22"/>
        </w:rPr>
        <w:t xml:space="preserve"> carriers</w:t>
      </w:r>
      <w:r w:rsidRPr="00D31A15" w:rsidR="00FC56E3">
        <w:rPr>
          <w:szCs w:val="22"/>
        </w:rPr>
        <w:t xml:space="preserve"> </w:t>
      </w:r>
      <w:r w:rsidRPr="00D31A15">
        <w:rPr>
          <w:szCs w:val="22"/>
        </w:rPr>
        <w:t xml:space="preserve">that are </w:t>
      </w:r>
      <w:r w:rsidR="00E60A2A">
        <w:rPr>
          <w:szCs w:val="22"/>
        </w:rPr>
        <w:t>affected</w:t>
      </w:r>
      <w:r w:rsidRPr="00D31A15">
        <w:rPr>
          <w:szCs w:val="22"/>
        </w:rPr>
        <w:t xml:space="preserve"> by </w:t>
      </w:r>
      <w:r w:rsidRPr="00D31A15" w:rsidR="00FC56E3">
        <w:rPr>
          <w:szCs w:val="22"/>
        </w:rPr>
        <w:t>supply chain issues</w:t>
      </w:r>
      <w:r w:rsidRPr="00D31A15">
        <w:rPr>
          <w:szCs w:val="22"/>
        </w:rPr>
        <w:t xml:space="preserve"> </w:t>
      </w:r>
      <w:r w:rsidRPr="00D31A15" w:rsidR="00BD6EE1">
        <w:rPr>
          <w:szCs w:val="22"/>
        </w:rPr>
        <w:t xml:space="preserve">such that </w:t>
      </w:r>
      <w:r w:rsidRPr="00D31A15" w:rsidR="00750197">
        <w:rPr>
          <w:szCs w:val="22"/>
        </w:rPr>
        <w:t>they</w:t>
      </w:r>
      <w:r w:rsidRPr="00D31A15" w:rsidR="00BD6EE1">
        <w:rPr>
          <w:szCs w:val="22"/>
        </w:rPr>
        <w:t xml:space="preserve"> cannot </w:t>
      </w:r>
      <w:r w:rsidRPr="00D31A15" w:rsidR="00FF10A2">
        <w:rPr>
          <w:szCs w:val="22"/>
        </w:rPr>
        <w:t>test</w:t>
      </w:r>
      <w:r w:rsidRPr="00D31A15" w:rsidR="00BD6EE1">
        <w:rPr>
          <w:szCs w:val="22"/>
        </w:rPr>
        <w:t xml:space="preserve"> 70% of their USAC-selected sample should file a request for waiver with the Commission </w:t>
      </w:r>
      <w:r w:rsidRPr="00D31A15">
        <w:rPr>
          <w:szCs w:val="22"/>
        </w:rPr>
        <w:t>that includes the following:  (1) an affidavit signed by a company official explaining that the carrier does not h</w:t>
      </w:r>
      <w:r>
        <w:t>ave sufficient testing equipment, the reason(s) therefor, and when the company anticipates having sufficient equipment</w:t>
      </w:r>
      <w:r w:rsidR="00067D22">
        <w:t>,</w:t>
      </w:r>
      <w:r>
        <w:t xml:space="preserve"> and (2) evidence, such as an order form, showing when the order for testing equipment was placed (confidential information, such as price and quantity of the equipment ordered, may be redacted).</w:t>
      </w:r>
      <w:r w:rsidR="00EA3974">
        <w:t xml:space="preserve">  </w:t>
      </w:r>
      <w:r w:rsidR="00B52768">
        <w:t xml:space="preserve">The suggestions regarding what evidence would be most effective in supporting a waiver petition </w:t>
      </w:r>
      <w:r w:rsidR="0059016E">
        <w:t>are</w:t>
      </w:r>
      <w:r w:rsidR="00B52768">
        <w:t xml:space="preserve"> still </w:t>
      </w:r>
      <w:r w:rsidR="00BB2F62">
        <w:t>relevant</w:t>
      </w:r>
      <w:r w:rsidR="00370A53">
        <w:t xml:space="preserve"> and app</w:t>
      </w:r>
      <w:r w:rsidR="00F92A62">
        <w:t>ly</w:t>
      </w:r>
      <w:r w:rsidR="00370A53">
        <w:t xml:space="preserve"> </w:t>
      </w:r>
      <w:r w:rsidR="00FE50ED">
        <w:t>equally to any further waiver</w:t>
      </w:r>
      <w:r w:rsidR="004C31B8">
        <w:t xml:space="preserve"> requests</w:t>
      </w:r>
      <w:r w:rsidR="00FE50ED">
        <w:t xml:space="preserve"> based on supply chain constraints</w:t>
      </w:r>
      <w:r w:rsidR="003E58DF">
        <w:t>.</w:t>
      </w:r>
    </w:p>
    <w:p w:rsidR="002D0EC4" w:rsidP="002D0EC4" w14:paraId="41D8527D" w14:textId="65403E66">
      <w:pPr>
        <w:pStyle w:val="ParaNum"/>
      </w:pPr>
      <w:r>
        <w:rPr>
          <w:szCs w:val="22"/>
        </w:rPr>
        <w:t>Next</w:t>
      </w:r>
      <w:r w:rsidR="00F11E88">
        <w:rPr>
          <w:szCs w:val="22"/>
        </w:rPr>
        <w:t xml:space="preserve">, </w:t>
      </w:r>
      <w:r w:rsidR="006668BA">
        <w:rPr>
          <w:szCs w:val="22"/>
        </w:rPr>
        <w:t>w</w:t>
      </w:r>
      <w:r w:rsidRPr="002D2E54" w:rsidR="00397D4A">
        <w:rPr>
          <w:szCs w:val="22"/>
        </w:rPr>
        <w:t xml:space="preserve">e </w:t>
      </w:r>
      <w:r w:rsidRPr="002D2E54" w:rsidR="00C42130">
        <w:rPr>
          <w:szCs w:val="22"/>
        </w:rPr>
        <w:t>deny</w:t>
      </w:r>
      <w:r w:rsidRPr="002D2E54" w:rsidR="00397D4A">
        <w:rPr>
          <w:szCs w:val="22"/>
        </w:rPr>
        <w:t xml:space="preserve"> NTCA’s request </w:t>
      </w:r>
      <w:r w:rsidR="00C42130">
        <w:t>to extend the pre-testing period for A-CAM/RBE/A</w:t>
      </w:r>
      <w:r w:rsidR="00CC6BA3">
        <w:t>laska</w:t>
      </w:r>
      <w:r w:rsidR="00C42130">
        <w:t xml:space="preserve"> Plan carriers.  </w:t>
      </w:r>
      <w:r w:rsidR="00106F2D">
        <w:t xml:space="preserve">NTCA has not demonstrated that the challenges presented by </w:t>
      </w:r>
      <w:r w:rsidRPr="00106F2D" w:rsidR="00106F2D">
        <w:t>the COVID</w:t>
      </w:r>
      <w:r w:rsidR="00106F2D">
        <w:t>-19 pandemic</w:t>
      </w:r>
      <w:r w:rsidRPr="00106F2D" w:rsidR="00106F2D">
        <w:t xml:space="preserve"> </w:t>
      </w:r>
      <w:r w:rsidR="00106F2D">
        <w:t>or</w:t>
      </w:r>
      <w:r w:rsidRPr="00106F2D" w:rsidR="00106F2D">
        <w:t xml:space="preserve"> </w:t>
      </w:r>
      <w:r w:rsidR="00106F2D">
        <w:t xml:space="preserve">the </w:t>
      </w:r>
      <w:r w:rsidRPr="00106F2D" w:rsidR="00106F2D">
        <w:t xml:space="preserve">supply chain issues are affecting the performance of the networks that have </w:t>
      </w:r>
      <w:r>
        <w:t xml:space="preserve">already </w:t>
      </w:r>
      <w:r w:rsidRPr="00106F2D" w:rsidR="00106F2D">
        <w:t>been deployed</w:t>
      </w:r>
      <w:r w:rsidR="00BA1865">
        <w:t xml:space="preserve">.  Pre-testing data demonstrate that over 95% of the </w:t>
      </w:r>
      <w:r w:rsidR="008173A8">
        <w:t xml:space="preserve">pre-testing </w:t>
      </w:r>
      <w:r w:rsidR="00BA1865">
        <w:t xml:space="preserve">carriers certifying data </w:t>
      </w:r>
      <w:r w:rsidR="00405DE5">
        <w:t>are meeting</w:t>
      </w:r>
      <w:r w:rsidR="00BA1865">
        <w:t xml:space="preserve"> the performance requirements.  </w:t>
      </w:r>
      <w:r w:rsidR="00A529F8">
        <w:t xml:space="preserve">We are aware that supply chain delays have </w:t>
      </w:r>
      <w:r w:rsidR="00BA1865">
        <w:t>hampered carrier efforts to obtain testing equipment such as new modems for customers</w:t>
      </w:r>
      <w:r w:rsidR="00A529F8">
        <w:t xml:space="preserve">, but </w:t>
      </w:r>
      <w:r w:rsidR="001C6A86">
        <w:t>there has been no showing that these</w:t>
      </w:r>
      <w:r w:rsidR="00A529F8">
        <w:t xml:space="preserve"> delays are impacting network performance</w:t>
      </w:r>
      <w:r>
        <w:t xml:space="preserve"> </w:t>
      </w:r>
      <w:r w:rsidR="00A529F8">
        <w:t>or otherwise present</w:t>
      </w:r>
      <w:r w:rsidR="00405DE5">
        <w:t>ing</w:t>
      </w:r>
      <w:r w:rsidR="00A529F8">
        <w:t xml:space="preserve"> special circumstances that would warrant extending the pre-testing period. </w:t>
      </w:r>
      <w:r>
        <w:t xml:space="preserve"> </w:t>
      </w:r>
      <w:r w:rsidR="000E2CF5">
        <w:t xml:space="preserve">Nor does NTCA’s </w:t>
      </w:r>
      <w:r w:rsidR="003D5D79">
        <w:t>assertion</w:t>
      </w:r>
      <w:r w:rsidR="000E2CF5">
        <w:t xml:space="preserve"> of “ongoing efforts to clarify reporting” justify </w:t>
      </w:r>
      <w:r w:rsidR="00187367">
        <w:t>an extension</w:t>
      </w:r>
      <w:r w:rsidR="000E2CF5">
        <w:t>.</w:t>
      </w:r>
      <w:r>
        <w:rPr>
          <w:rStyle w:val="FootnoteReference"/>
        </w:rPr>
        <w:footnoteReference w:id="39"/>
      </w:r>
      <w:r w:rsidR="000E2CF5">
        <w:t xml:space="preserve">  </w:t>
      </w:r>
      <w:r w:rsidR="008E3565">
        <w:t>The vast majority of A-CAM/RBE/Alaska Plan carriers are successfully reporting</w:t>
      </w:r>
      <w:r w:rsidR="00292CA1">
        <w:t xml:space="preserve"> and certifying</w:t>
      </w:r>
      <w:r w:rsidR="008E3565">
        <w:t xml:space="preserve"> pre-testing results</w:t>
      </w:r>
      <w:r w:rsidR="00292CA1">
        <w:t xml:space="preserve">.  </w:t>
      </w:r>
      <w:r w:rsidR="00CC03B4">
        <w:t>Furthermore, e</w:t>
      </w:r>
      <w:r w:rsidR="00A529F8">
        <w:t>xtending the pre-testing period</w:t>
      </w:r>
      <w:r w:rsidR="00150DA6">
        <w:t xml:space="preserve"> would</w:t>
      </w:r>
      <w:r w:rsidR="00B62AB9">
        <w:t xml:space="preserve"> </w:t>
      </w:r>
      <w:r w:rsidR="00EF43B9">
        <w:t>reliev</w:t>
      </w:r>
      <w:r w:rsidR="003A1B5B">
        <w:t>e</w:t>
      </w:r>
      <w:r w:rsidR="00EF43B9">
        <w:t xml:space="preserve"> </w:t>
      </w:r>
      <w:r w:rsidR="00A714CD">
        <w:t>A-CAM/RBE/Alaska Plan</w:t>
      </w:r>
      <w:r w:rsidR="00EF43B9">
        <w:t xml:space="preserve"> carriers </w:t>
      </w:r>
      <w:r w:rsidR="00CB54A3">
        <w:t xml:space="preserve">from </w:t>
      </w:r>
      <w:r w:rsidR="001A446F">
        <w:t>the</w:t>
      </w:r>
      <w:r w:rsidR="003B7946">
        <w:t xml:space="preserve"> consequences </w:t>
      </w:r>
      <w:r w:rsidR="001A446F">
        <w:t>of</w:t>
      </w:r>
      <w:r w:rsidR="003B7946">
        <w:t xml:space="preserve"> failing to</w:t>
      </w:r>
      <w:r w:rsidR="004D2018">
        <w:t xml:space="preserve"> meet </w:t>
      </w:r>
      <w:r w:rsidR="00007785">
        <w:t>performance</w:t>
      </w:r>
      <w:r w:rsidR="001A446F">
        <w:t xml:space="preserve"> requirements</w:t>
      </w:r>
      <w:r w:rsidR="00252499">
        <w:t>, which</w:t>
      </w:r>
      <w:r w:rsidR="006F372D">
        <w:t xml:space="preserve"> do not </w:t>
      </w:r>
      <w:r w:rsidR="00452F2B">
        <w:t>a</w:t>
      </w:r>
      <w:r w:rsidR="00770E10">
        <w:t>pply</w:t>
      </w:r>
      <w:r w:rsidR="006F372D">
        <w:t xml:space="preserve"> in pre-testing.</w:t>
      </w:r>
      <w:r w:rsidR="00D8773C">
        <w:t xml:space="preserve"> </w:t>
      </w:r>
      <w:r w:rsidR="00A803BD">
        <w:t xml:space="preserve"> </w:t>
      </w:r>
      <w:r w:rsidR="00AA0DA6">
        <w:t>No</w:t>
      </w:r>
      <w:r w:rsidR="00133260">
        <w:t xml:space="preserve"> s</w:t>
      </w:r>
      <w:r w:rsidR="00A803BD">
        <w:t xml:space="preserve">pecial circumstances </w:t>
      </w:r>
      <w:r w:rsidR="001401DE">
        <w:t xml:space="preserve">that would justify relieving carriers from network performance requirements </w:t>
      </w:r>
      <w:r w:rsidR="00A803BD">
        <w:t>exist</w:t>
      </w:r>
      <w:r w:rsidR="00133260">
        <w:t xml:space="preserve"> </w:t>
      </w:r>
      <w:r w:rsidR="000632E2">
        <w:t>here</w:t>
      </w:r>
      <w:r w:rsidR="003A1B5B">
        <w:t>.</w:t>
      </w:r>
      <w:r w:rsidR="0086673D">
        <w:rPr>
          <w:rStyle w:val="FootnoteReference"/>
        </w:rPr>
        <w:t xml:space="preserve"> </w:t>
      </w:r>
      <w:r w:rsidR="002A793C">
        <w:t xml:space="preserve"> </w:t>
      </w:r>
      <w:r w:rsidR="00EB097D">
        <w:t xml:space="preserve"> </w:t>
      </w:r>
    </w:p>
    <w:p w:rsidR="4B979AE3" w:rsidP="00992EA8" w14:paraId="31DEE4C7" w14:textId="76AB8A65">
      <w:pPr>
        <w:pStyle w:val="ParaNum"/>
      </w:pPr>
      <w:r>
        <w:t xml:space="preserve">Finally, we </w:t>
      </w:r>
      <w:r w:rsidR="00A529F8">
        <w:t>address the</w:t>
      </w:r>
      <w:r>
        <w:t xml:space="preserve"> petition for waiver filed </w:t>
      </w:r>
      <w:r w:rsidR="0939AA9A">
        <w:t xml:space="preserve">by </w:t>
      </w:r>
      <w:r>
        <w:t>REV Broadband</w:t>
      </w:r>
      <w:r w:rsidR="002C1BA4">
        <w:t>.</w:t>
      </w:r>
      <w:r>
        <w:t xml:space="preserve">  </w:t>
      </w:r>
      <w:r w:rsidR="00E16E3E">
        <w:t xml:space="preserve">Given the substantial service disruptions and outages caused by Hurricane Ida, </w:t>
      </w:r>
      <w:r w:rsidR="00845613">
        <w:t xml:space="preserve">earlier this year the Commission waived the testing and pre-testing requirements for the third and fourth quarter of 2021 for carriers in </w:t>
      </w:r>
      <w:r w:rsidR="00845613">
        <w:t>affected areas, recognizing that the ability of affected providers to conduct performance testing is extremely difficult and burdensome</w:t>
      </w:r>
      <w:r w:rsidR="446F556F">
        <w:t>,</w:t>
      </w:r>
      <w:r w:rsidR="00845613">
        <w:t xml:space="preserve"> if not impossible, given the destruction caused by Hurricane Ida.</w:t>
      </w:r>
      <w:r>
        <w:rPr>
          <w:rStyle w:val="FootnoteReference"/>
        </w:rPr>
        <w:footnoteReference w:id="40"/>
      </w:r>
      <w:r w:rsidR="00845613">
        <w:t xml:space="preserve">  REV Broadband requests that the Bureau </w:t>
      </w:r>
      <w:r w:rsidR="798EEF7B">
        <w:t>provide</w:t>
      </w:r>
      <w:r w:rsidR="1B6A77EF">
        <w:t xml:space="preserve"> </w:t>
      </w:r>
      <w:r w:rsidR="605D380F">
        <w:t xml:space="preserve">it </w:t>
      </w:r>
      <w:r w:rsidR="00845613">
        <w:t xml:space="preserve">relief </w:t>
      </w:r>
      <w:r w:rsidR="0E0593D9">
        <w:t xml:space="preserve">from the pre-testing requirements </w:t>
      </w:r>
      <w:r w:rsidR="560DB628">
        <w:t xml:space="preserve">for </w:t>
      </w:r>
      <w:r w:rsidR="00845613">
        <w:t xml:space="preserve">the first quarter of 2022 </w:t>
      </w:r>
      <w:r w:rsidR="000C5E94">
        <w:t xml:space="preserve">so that </w:t>
      </w:r>
      <w:r w:rsidR="0647983F">
        <w:t>it</w:t>
      </w:r>
      <w:r w:rsidR="000C5E94">
        <w:t xml:space="preserve"> can focus its efforts on service restoration.</w:t>
      </w:r>
      <w:r>
        <w:rPr>
          <w:rStyle w:val="FootnoteReference"/>
        </w:rPr>
        <w:footnoteReference w:id="41"/>
      </w:r>
      <w:r w:rsidR="00845613">
        <w:t xml:space="preserve"> </w:t>
      </w:r>
      <w:r w:rsidR="00AD42B5">
        <w:t xml:space="preserve"> </w:t>
      </w:r>
      <w:r w:rsidR="0088162D">
        <w:t xml:space="preserve">Based </w:t>
      </w:r>
      <w:r w:rsidR="00AD42B5">
        <w:t xml:space="preserve">on REV Broadband’s assertions concerning </w:t>
      </w:r>
      <w:r w:rsidRPr="0088162D" w:rsidR="0088162D">
        <w:t>the lingering effects of Hurricane Id</w:t>
      </w:r>
      <w:r w:rsidR="00AD42B5">
        <w:t>a,</w:t>
      </w:r>
      <w:r w:rsidRPr="0088162D" w:rsidR="0088162D">
        <w:t xml:space="preserve"> </w:t>
      </w:r>
      <w:r w:rsidR="00AD42B5">
        <w:t>w</w:t>
      </w:r>
      <w:r w:rsidR="00845613">
        <w:t>e find it is in the public interest to w</w:t>
      </w:r>
      <w:r w:rsidR="00E10EE5">
        <w:t>aiv</w:t>
      </w:r>
      <w:r w:rsidR="00845613">
        <w:t>e</w:t>
      </w:r>
      <w:r w:rsidR="00E10EE5">
        <w:t xml:space="preserve"> the pre-testing requirements </w:t>
      </w:r>
      <w:r w:rsidR="00AD42B5">
        <w:t xml:space="preserve">for the first quarter of 2022 to </w:t>
      </w:r>
      <w:r w:rsidR="00E10EE5">
        <w:t xml:space="preserve">allow </w:t>
      </w:r>
      <w:r w:rsidR="00171FDB">
        <w:t>REV Broadband</w:t>
      </w:r>
      <w:r w:rsidR="00845613">
        <w:t xml:space="preserve"> to</w:t>
      </w:r>
      <w:r w:rsidR="00E10EE5">
        <w:t xml:space="preserve"> </w:t>
      </w:r>
      <w:r w:rsidR="00764E79">
        <w:t>deploy</w:t>
      </w:r>
      <w:r w:rsidR="00E10EE5">
        <w:t xml:space="preserve"> resources to better meet </w:t>
      </w:r>
      <w:r w:rsidR="00CD7F28">
        <w:t xml:space="preserve">its </w:t>
      </w:r>
      <w:r w:rsidR="00E10EE5">
        <w:t xml:space="preserve">customers’ needs during storm recovery.  </w:t>
      </w:r>
    </w:p>
    <w:p w:rsidR="00F11E88" w:rsidP="00F11E88" w14:paraId="219F697D" w14:textId="6C18B880">
      <w:pPr>
        <w:pStyle w:val="Heading1"/>
      </w:pPr>
      <w:r>
        <w:t>Ordering Clauses</w:t>
      </w:r>
    </w:p>
    <w:p w:rsidR="00475C7D" w:rsidP="00475C7D" w14:paraId="5AB46884" w14:textId="4BD0801E">
      <w:pPr>
        <w:pStyle w:val="ParaNum"/>
      </w:pPr>
      <w:r>
        <w:t xml:space="preserve">Accordingly, IT IS ORDERED that, pursuant to sections 0.91, 0.291, and 1.3 of the Commission’s rules, 47 CFR §§ 0.91, 0.291, 1.3, the performance </w:t>
      </w:r>
      <w:r w:rsidR="00B13F29">
        <w:t>pre-testing and</w:t>
      </w:r>
      <w:r>
        <w:t xml:space="preserve"> testing sample size requirements ARE WAIVED to the extent described above</w:t>
      </w:r>
      <w:r w:rsidR="00B73DE7">
        <w:t xml:space="preserve"> and </w:t>
      </w:r>
      <w:r w:rsidR="007A32BA">
        <w:t xml:space="preserve">pre-testing requirements for REV Broadband are waived for </w:t>
      </w:r>
      <w:r w:rsidR="009064B5">
        <w:t>the first quarter of 2022</w:t>
      </w:r>
      <w:r>
        <w:t>.</w:t>
      </w:r>
      <w:r w:rsidR="00741813">
        <w:t xml:space="preserve">  All other requested relief is DENIED.</w:t>
      </w:r>
    </w:p>
    <w:p w:rsidR="00475C7D" w:rsidP="00A55FF3" w14:paraId="4E03A0E5" w14:textId="320F2B6D">
      <w:pPr>
        <w:pStyle w:val="ParaNum"/>
      </w:pPr>
      <w:r>
        <w:t>IT IS FURTHER ORDERED that, pursuant to section 1.102(b)(1) of the Commission’s rules, 47 CFR § 1.102(b)(1), this Order SHALL BE EFFECTIVE upon release.</w:t>
      </w:r>
    </w:p>
    <w:p w:rsidR="00E92B66" w:rsidP="00626ECD" w14:paraId="0B01BB42" w14:textId="013FEB09">
      <w:pPr>
        <w:pStyle w:val="ParaNum"/>
        <w:numPr>
          <w:ilvl w:val="0"/>
          <w:numId w:val="0"/>
        </w:numPr>
        <w:jc w:val="right"/>
      </w:pPr>
    </w:p>
    <w:p w:rsidR="00621A67" w:rsidRPr="00BC14D7" w:rsidP="00621A67" w14:paraId="21682C4A" w14:textId="0A864744">
      <w:pPr>
        <w:pStyle w:val="ParaNum"/>
        <w:numPr>
          <w:ilvl w:val="0"/>
          <w:numId w:val="0"/>
        </w:numPr>
        <w:spacing w:after="0"/>
        <w:ind w:left="3600"/>
      </w:pPr>
      <w:r w:rsidRPr="00BC14D7">
        <w:t>FEDERAL COMMUNICATIONS COMMISSION</w:t>
      </w:r>
    </w:p>
    <w:p w:rsidR="00621A67" w:rsidRPr="00BC14D7" w:rsidP="00621A67" w14:paraId="3477CCA7" w14:textId="77777777">
      <w:pPr>
        <w:pStyle w:val="ParaNum"/>
        <w:numPr>
          <w:ilvl w:val="0"/>
          <w:numId w:val="0"/>
        </w:numPr>
        <w:spacing w:after="0"/>
      </w:pPr>
    </w:p>
    <w:p w:rsidR="00621A67" w:rsidRPr="00BC14D7" w:rsidP="00621A67" w14:paraId="72F2FE3A" w14:textId="77777777">
      <w:pPr>
        <w:pStyle w:val="ParaNum"/>
        <w:numPr>
          <w:ilvl w:val="0"/>
          <w:numId w:val="0"/>
        </w:numPr>
        <w:spacing w:after="0"/>
        <w:rPr>
          <w:rStyle w:val="searchterm"/>
        </w:rPr>
      </w:pPr>
      <w:bookmarkStart w:id="1" w:name="SR;3307"/>
      <w:bookmarkStart w:id="2" w:name="SearchTerm"/>
      <w:bookmarkEnd w:id="1"/>
      <w:bookmarkEnd w:id="2"/>
    </w:p>
    <w:p w:rsidR="00621A67" w:rsidRPr="00BC14D7" w:rsidP="00621A67" w14:paraId="6F0FF5EC" w14:textId="77777777">
      <w:pPr>
        <w:pStyle w:val="ParaNum"/>
        <w:numPr>
          <w:ilvl w:val="0"/>
          <w:numId w:val="0"/>
        </w:numPr>
        <w:spacing w:after="0"/>
      </w:pPr>
    </w:p>
    <w:p w:rsidR="00621A67" w:rsidRPr="00BC14D7" w:rsidP="00621A67" w14:paraId="525A4C81" w14:textId="77777777">
      <w:pPr>
        <w:pStyle w:val="ParaNum"/>
        <w:numPr>
          <w:ilvl w:val="0"/>
          <w:numId w:val="0"/>
        </w:numPr>
        <w:spacing w:after="0"/>
      </w:pPr>
    </w:p>
    <w:p w:rsidR="00621A67" w:rsidRPr="00BC14D7" w:rsidP="00621A67" w14:paraId="6D35CEBF" w14:textId="77777777">
      <w:pPr>
        <w:pStyle w:val="ParaNum"/>
        <w:numPr>
          <w:ilvl w:val="0"/>
          <w:numId w:val="0"/>
        </w:numPr>
        <w:spacing w:after="0"/>
        <w:ind w:left="3600"/>
      </w:pPr>
      <w:r w:rsidRPr="00BC14D7">
        <w:t>Kris A</w:t>
      </w:r>
      <w:r>
        <w:t>nne</w:t>
      </w:r>
      <w:r w:rsidRPr="00BC14D7">
        <w:t xml:space="preserve"> Monteith</w:t>
      </w:r>
    </w:p>
    <w:p w:rsidR="00621A67" w:rsidRPr="00BC14D7" w:rsidP="00621A67" w14:paraId="44496614" w14:textId="77777777">
      <w:pPr>
        <w:pStyle w:val="ParaNum"/>
        <w:numPr>
          <w:ilvl w:val="0"/>
          <w:numId w:val="0"/>
        </w:numPr>
        <w:spacing w:after="0"/>
        <w:ind w:left="3600"/>
      </w:pPr>
      <w:r w:rsidRPr="00BC14D7">
        <w:t>Chief</w:t>
      </w:r>
    </w:p>
    <w:p w:rsidR="00430194" w:rsidP="00831004" w14:paraId="7CCBEF10" w14:textId="27F50BFD">
      <w:pPr>
        <w:pStyle w:val="ParaNum"/>
        <w:numPr>
          <w:ilvl w:val="0"/>
          <w:numId w:val="0"/>
        </w:numPr>
        <w:jc w:val="center"/>
      </w:pPr>
      <w:r>
        <w:t xml:space="preserve">       </w:t>
      </w:r>
      <w:r w:rsidRPr="00BC14D7" w:rsidR="00621A67">
        <w:t>Wireline Competition Burea</w:t>
      </w:r>
      <w:r w:rsidR="00621A67">
        <w:t>u</w:t>
      </w:r>
    </w:p>
    <w:p w:rsidR="00430194" w:rsidP="00626ECD" w14:paraId="16FBED60" w14:textId="77777777">
      <w:pPr>
        <w:pStyle w:val="ParaNum"/>
        <w:numPr>
          <w:ilvl w:val="0"/>
          <w:numId w:val="0"/>
        </w:numPr>
        <w:jc w:val="right"/>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32C654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937066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C1909" w14:paraId="0E297508" w14:textId="25CF023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D0DEDB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776A" w14:paraId="0D06E56E" w14:textId="77777777">
      <w:r>
        <w:separator/>
      </w:r>
    </w:p>
  </w:footnote>
  <w:footnote w:type="continuationSeparator" w:id="1">
    <w:p w:rsidR="00E6776A" w:rsidP="00C721AC" w14:paraId="79543604" w14:textId="77777777">
      <w:pPr>
        <w:spacing w:before="120"/>
        <w:rPr>
          <w:sz w:val="20"/>
        </w:rPr>
      </w:pPr>
      <w:r>
        <w:rPr>
          <w:sz w:val="20"/>
        </w:rPr>
        <w:t xml:space="preserve">(Continued from previous page)  </w:t>
      </w:r>
      <w:r>
        <w:rPr>
          <w:sz w:val="20"/>
        </w:rPr>
        <w:separator/>
      </w:r>
    </w:p>
  </w:footnote>
  <w:footnote w:type="continuationNotice" w:id="2">
    <w:p w:rsidR="00E6776A" w:rsidP="00C721AC" w14:paraId="2BA6A6EB" w14:textId="77777777">
      <w:pPr>
        <w:jc w:val="right"/>
        <w:rPr>
          <w:sz w:val="20"/>
        </w:rPr>
      </w:pPr>
      <w:r>
        <w:rPr>
          <w:sz w:val="20"/>
        </w:rPr>
        <w:t>(continued….)</w:t>
      </w:r>
    </w:p>
  </w:footnote>
  <w:footnote w:id="3">
    <w:p w:rsidR="002469D6" w14:paraId="53A758F9" w14:textId="399C1426">
      <w:pPr>
        <w:pStyle w:val="FootnoteText"/>
      </w:pPr>
      <w:r>
        <w:rPr>
          <w:rStyle w:val="FootnoteReference"/>
        </w:rPr>
        <w:footnoteRef/>
      </w:r>
      <w:r>
        <w:t xml:space="preserve"> </w:t>
      </w:r>
      <w:r w:rsidR="00832FAB">
        <w:t xml:space="preserve">The Commission adopted detailed performance measure requirements in a 2018 Order and 2019 Order on Reconsideration.  </w:t>
      </w:r>
      <w:r w:rsidRPr="00CC5383">
        <w:rPr>
          <w:i/>
          <w:iCs/>
        </w:rPr>
        <w:t>See Connect America Fund</w:t>
      </w:r>
      <w:r>
        <w:t xml:space="preserve">, Order, WC Docket No. 10-90, 33 FCC </w:t>
      </w:r>
      <w:r>
        <w:t>Rcd</w:t>
      </w:r>
      <w:r>
        <w:t xml:space="preserve"> 6509 (WCB 2018) (</w:t>
      </w:r>
      <w:r w:rsidRPr="009F7CC5">
        <w:rPr>
          <w:i/>
          <w:iCs/>
        </w:rPr>
        <w:t>First Performance Measures Order</w:t>
      </w:r>
      <w:r>
        <w:t xml:space="preserve">) and </w:t>
      </w:r>
      <w:r w:rsidRPr="00CC5383">
        <w:rPr>
          <w:i/>
          <w:iCs/>
        </w:rPr>
        <w:t>Connect America Fund</w:t>
      </w:r>
      <w:r>
        <w:t xml:space="preserve">, Order on Reconsideration, WC Docket No. 10-90, 34 FCC </w:t>
      </w:r>
      <w:r>
        <w:t>Rcd</w:t>
      </w:r>
      <w:r>
        <w:t xml:space="preserve"> 10109 (2019) (</w:t>
      </w:r>
      <w:r w:rsidRPr="009F7CC5">
        <w:rPr>
          <w:i/>
          <w:iCs/>
        </w:rPr>
        <w:t>Performance Measures Reconsideration Order</w:t>
      </w:r>
      <w:r>
        <w:t xml:space="preserve">).  </w:t>
      </w:r>
    </w:p>
  </w:footnote>
  <w:footnote w:id="4">
    <w:p w:rsidR="0072078E" w:rsidP="0072078E" w14:paraId="7AA2D43F" w14:textId="365D5001">
      <w:pPr>
        <w:pStyle w:val="FootnoteText"/>
      </w:pPr>
      <w:r>
        <w:rPr>
          <w:rStyle w:val="FootnoteReference"/>
        </w:rPr>
        <w:footnoteRef/>
      </w:r>
      <w:r>
        <w:t xml:space="preserve"> </w:t>
      </w:r>
      <w:r>
        <w:t>NTCA</w:t>
      </w:r>
      <w:r w:rsidR="008C49DF">
        <w:t xml:space="preserve"> – </w:t>
      </w:r>
      <w:r>
        <w:t>The Rural Broadband Association, Petition for Waiver, WC Docket No. 10-90 (filed Dec. 3, 2021) (NTCA Petition).</w:t>
      </w:r>
    </w:p>
  </w:footnote>
  <w:footnote w:id="5">
    <w:p w:rsidR="008E31A7" w14:paraId="15C73435" w14:textId="0AEEDEF1">
      <w:pPr>
        <w:pStyle w:val="FootnoteText"/>
      </w:pPr>
      <w:r>
        <w:rPr>
          <w:rStyle w:val="FootnoteReference"/>
        </w:rPr>
        <w:footnoteRef/>
      </w:r>
      <w:r>
        <w:t xml:space="preserve"> </w:t>
      </w:r>
      <w:r w:rsidR="00634C0D">
        <w:rPr>
          <w:rFonts w:ascii="TimesNewRomanPSMT" w:hAnsi="TimesNewRomanPSMT" w:cs="TimesNewRomanPSMT"/>
          <w:szCs w:val="22"/>
        </w:rPr>
        <w:t>Reserve Communications and Computer, L.L.C., Petition for Waiver, WC Docket No. 10-90 (filed Dec. 16, 2021) (REV Broadband Petition).</w:t>
      </w:r>
    </w:p>
  </w:footnote>
  <w:footnote w:id="6">
    <w:p w:rsidR="0022046D" w:rsidP="0022046D" w14:paraId="142476D9" w14:textId="31F4E71A">
      <w:pPr>
        <w:pStyle w:val="FootnoteText"/>
      </w:pPr>
      <w:r>
        <w:rPr>
          <w:rStyle w:val="FootnoteReference"/>
        </w:rPr>
        <w:footnoteRef/>
      </w:r>
      <w:r>
        <w:t xml:space="preserve"> </w:t>
      </w:r>
      <w:r w:rsidRPr="00831004">
        <w:rPr>
          <w:i/>
          <w:iCs/>
        </w:rPr>
        <w:t>See</w:t>
      </w:r>
      <w:r>
        <w:t xml:space="preserve"> </w:t>
      </w:r>
      <w:r w:rsidRPr="008F7D37">
        <w:rPr>
          <w:i/>
          <w:iCs/>
        </w:rPr>
        <w:t>Connect America Fund et al.</w:t>
      </w:r>
      <w:r>
        <w:t xml:space="preserve">, WC Docket No. 10-90 et al., Report and Order and Further Notice of Proposed Rulemaking, 26 FCC </w:t>
      </w:r>
      <w:r>
        <w:t>Rcd</w:t>
      </w:r>
      <w:r>
        <w:t xml:space="preserve"> 17663, 17705-06, para. 109 (2011) (</w:t>
      </w:r>
      <w:r w:rsidRPr="008F7D37">
        <w:rPr>
          <w:i/>
          <w:iCs/>
        </w:rPr>
        <w:t>USF/ICC Transformation Order and FNPRM</w:t>
      </w:r>
      <w:r>
        <w:t xml:space="preserve">), aff’d sub nom. In re FCC 11-161, 753 F.3d 1015 (10th Cir. 2014).  As in the </w:t>
      </w:r>
      <w:r w:rsidRPr="008F7D37">
        <w:rPr>
          <w:i/>
          <w:iCs/>
        </w:rPr>
        <w:t>USF/ICC Transformation Order</w:t>
      </w:r>
      <w:r>
        <w:t xml:space="preserve">, we use the term high-cost support or high-cost funding to include all existing high-cost universal service mechanisms, as well as </w:t>
      </w:r>
      <w:r w:rsidR="004E6E39">
        <w:t xml:space="preserve">the </w:t>
      </w:r>
      <w:r>
        <w:t>C</w:t>
      </w:r>
      <w:r w:rsidR="004E6E39">
        <w:t xml:space="preserve">onnect </w:t>
      </w:r>
      <w:r>
        <w:t>A</w:t>
      </w:r>
      <w:r w:rsidR="004E6E39">
        <w:t xml:space="preserve">merica </w:t>
      </w:r>
      <w:r>
        <w:t>F</w:t>
      </w:r>
      <w:r w:rsidR="004E6E39">
        <w:t>und</w:t>
      </w:r>
      <w:r>
        <w:t xml:space="preserve">.  See </w:t>
      </w:r>
      <w:r w:rsidRPr="008F7D37">
        <w:rPr>
          <w:i/>
          <w:iCs/>
        </w:rPr>
        <w:t>id.</w:t>
      </w:r>
      <w:r>
        <w:t xml:space="preserve"> at 17695</w:t>
      </w:r>
      <w:r w:rsidR="00495AF5">
        <w:t>,</w:t>
      </w:r>
      <w:r w:rsidR="00983B09">
        <w:t xml:space="preserve"> para. 86,</w:t>
      </w:r>
      <w:r>
        <w:t xml:space="preserve"> n.126.</w:t>
      </w:r>
    </w:p>
  </w:footnote>
  <w:footnote w:id="7">
    <w:p w:rsidR="0022046D" w14:paraId="5C5D9DA3" w14:textId="1A2B570B">
      <w:pPr>
        <w:pStyle w:val="FootnoteText"/>
      </w:pPr>
      <w:r>
        <w:rPr>
          <w:rStyle w:val="FootnoteReference"/>
        </w:rPr>
        <w:footnoteRef/>
      </w:r>
      <w:r>
        <w:t xml:space="preserve"> </w:t>
      </w:r>
      <w:r w:rsidRPr="0017270C">
        <w:rPr>
          <w:i/>
          <w:iCs/>
        </w:rPr>
        <w:t>USF/ICC Transformation Order</w:t>
      </w:r>
      <w:r w:rsidRPr="0022046D">
        <w:t xml:space="preserve">, 26 FCC </w:t>
      </w:r>
      <w:r w:rsidRPr="0022046D">
        <w:t>Rcd</w:t>
      </w:r>
      <w:r w:rsidRPr="0022046D">
        <w:t xml:space="preserve"> at 17705-06, para. 10</w:t>
      </w:r>
      <w:r w:rsidR="002B1AF2">
        <w:t>.</w:t>
      </w:r>
    </w:p>
  </w:footnote>
  <w:footnote w:id="8">
    <w:p w:rsidR="0017270C" w:rsidP="0017270C" w14:paraId="17CC7E7C" w14:textId="77777777">
      <w:pPr>
        <w:pStyle w:val="FootnoteText"/>
      </w:pPr>
      <w:r>
        <w:rPr>
          <w:rStyle w:val="FootnoteReference"/>
        </w:rPr>
        <w:footnoteRef/>
      </w:r>
      <w:r>
        <w:t xml:space="preserve"> </w:t>
      </w:r>
      <w:r w:rsidRPr="00E13F45">
        <w:rPr>
          <w:i/>
          <w:iCs/>
        </w:rPr>
        <w:t>Performance Measures Reconsideration Order</w:t>
      </w:r>
      <w:r w:rsidRPr="00E13F45">
        <w:t xml:space="preserve">, 34 FCC </w:t>
      </w:r>
      <w:r w:rsidRPr="00E13F45">
        <w:t>Rcd</w:t>
      </w:r>
      <w:r w:rsidRPr="00E13F45">
        <w:t xml:space="preserve"> at 10110, para. 2</w:t>
      </w:r>
      <w:r>
        <w:t xml:space="preserve">. </w:t>
      </w:r>
    </w:p>
  </w:footnote>
  <w:footnote w:id="9">
    <w:p w:rsidR="00B334D5" w14:paraId="491E67F9" w14:textId="10E505B2">
      <w:pPr>
        <w:pStyle w:val="FootnoteText"/>
      </w:pPr>
      <w:r>
        <w:rPr>
          <w:rStyle w:val="FootnoteReference"/>
        </w:rPr>
        <w:footnoteRef/>
      </w:r>
      <w:r>
        <w:t xml:space="preserve"> </w:t>
      </w:r>
      <w:r w:rsidRPr="00B334D5">
        <w:rPr>
          <w:i/>
          <w:iCs/>
        </w:rPr>
        <w:t xml:space="preserve">See </w:t>
      </w:r>
      <w:r w:rsidR="004E6E39">
        <w:rPr>
          <w:i/>
          <w:iCs/>
        </w:rPr>
        <w:t>id.</w:t>
      </w:r>
      <w:r w:rsidRPr="00B334D5">
        <w:t xml:space="preserve"> at 10140, paras. 81-82.</w:t>
      </w:r>
    </w:p>
  </w:footnote>
  <w:footnote w:id="10">
    <w:p w:rsidR="007849A4" w14:paraId="50125E09" w14:textId="7D25B42E">
      <w:pPr>
        <w:pStyle w:val="FootnoteText"/>
      </w:pPr>
      <w:r>
        <w:rPr>
          <w:rStyle w:val="FootnoteReference"/>
        </w:rPr>
        <w:footnoteRef/>
      </w:r>
      <w:r>
        <w:t xml:space="preserve"> </w:t>
      </w:r>
      <w:r w:rsidRPr="007849A4">
        <w:rPr>
          <w:i/>
          <w:iCs/>
        </w:rPr>
        <w:t>Id.</w:t>
      </w:r>
      <w:r w:rsidRPr="007849A4">
        <w:t xml:space="preserve"> at 10133-38, paras. 65-75; </w:t>
      </w:r>
      <w:r w:rsidRPr="007849A4">
        <w:rPr>
          <w:i/>
          <w:iCs/>
        </w:rPr>
        <w:t>First Performance Measures Order</w:t>
      </w:r>
      <w:r w:rsidRPr="007849A4">
        <w:t xml:space="preserve">, 33 FCC </w:t>
      </w:r>
      <w:r w:rsidRPr="007849A4">
        <w:t>Rcd</w:t>
      </w:r>
      <w:r w:rsidRPr="007849A4">
        <w:t xml:space="preserve"> at 6530-33, paras. 56-67</w:t>
      </w:r>
      <w:r w:rsidR="00B96316">
        <w:t>.</w:t>
      </w:r>
    </w:p>
  </w:footnote>
  <w:footnote w:id="11">
    <w:p w:rsidR="00DF1400" w14:paraId="6D1931B5" w14:textId="4F80E496">
      <w:pPr>
        <w:pStyle w:val="FootnoteText"/>
      </w:pPr>
      <w:r>
        <w:rPr>
          <w:rStyle w:val="FootnoteReference"/>
        </w:rPr>
        <w:footnoteRef/>
      </w:r>
      <w:r>
        <w:t xml:space="preserve"> </w:t>
      </w:r>
      <w:r w:rsidRPr="00AC63D8" w:rsidR="00A01959">
        <w:rPr>
          <w:i/>
          <w:iCs/>
        </w:rPr>
        <w:t>Performance Measures Reconsideration Order</w:t>
      </w:r>
      <w:r w:rsidRPr="00AC63D8" w:rsidR="00A01959">
        <w:t xml:space="preserve">, 34 FCC </w:t>
      </w:r>
      <w:r w:rsidRPr="00AC63D8" w:rsidR="00A01959">
        <w:t>Rcd</w:t>
      </w:r>
      <w:r w:rsidRPr="00AC63D8" w:rsidR="00A01959">
        <w:t xml:space="preserve"> at 10139, paras. 78-79</w:t>
      </w:r>
      <w:r w:rsidR="00A01959">
        <w:t>.</w:t>
      </w:r>
    </w:p>
  </w:footnote>
  <w:footnote w:id="12">
    <w:p w:rsidR="00A43BCC" w14:paraId="6D94580D" w14:textId="7DE0261F">
      <w:pPr>
        <w:pStyle w:val="FootnoteText"/>
      </w:pPr>
      <w:r>
        <w:rPr>
          <w:rStyle w:val="FootnoteReference"/>
        </w:rPr>
        <w:footnoteRef/>
      </w:r>
      <w:r>
        <w:t xml:space="preserve"> </w:t>
      </w:r>
      <w:r w:rsidR="00BF77F2">
        <w:rPr>
          <w:i/>
          <w:iCs/>
        </w:rPr>
        <w:t>Id</w:t>
      </w:r>
      <w:r w:rsidR="00BF77F2">
        <w:t>.</w:t>
      </w:r>
    </w:p>
  </w:footnote>
  <w:footnote w:id="13">
    <w:p w:rsidR="00CB252F" w14:paraId="12B2642F" w14:textId="3671CD54">
      <w:pPr>
        <w:pStyle w:val="FootnoteText"/>
      </w:pPr>
      <w:r>
        <w:rPr>
          <w:rStyle w:val="FootnoteReference"/>
        </w:rPr>
        <w:footnoteRef/>
      </w:r>
      <w:r>
        <w:t xml:space="preserve"> </w:t>
      </w:r>
      <w:r w:rsidR="00BF77F2">
        <w:rPr>
          <w:i/>
          <w:iCs/>
        </w:rPr>
        <w:t>Id</w:t>
      </w:r>
      <w:r>
        <w:t>.</w:t>
      </w:r>
    </w:p>
  </w:footnote>
  <w:footnote w:id="14">
    <w:p w:rsidR="00AC63D8" w:rsidP="00CB252F" w14:paraId="63491C49" w14:textId="4233E624">
      <w:pPr>
        <w:pStyle w:val="FootnoteText"/>
      </w:pPr>
      <w:r>
        <w:rPr>
          <w:rStyle w:val="FootnoteReference"/>
        </w:rPr>
        <w:footnoteRef/>
      </w:r>
      <w:r>
        <w:t xml:space="preserve"> </w:t>
      </w:r>
      <w:r w:rsidRPr="002F2B14" w:rsidR="00CB252F">
        <w:rPr>
          <w:i/>
          <w:iCs/>
        </w:rPr>
        <w:t>See</w:t>
      </w:r>
      <w:r w:rsidR="00CB252F">
        <w:t xml:space="preserve"> </w:t>
      </w:r>
      <w:r w:rsidRPr="00CB252F" w:rsidR="00CB252F">
        <w:rPr>
          <w:i/>
          <w:iCs/>
        </w:rPr>
        <w:t>First Performance Measures Order</w:t>
      </w:r>
      <w:r w:rsidR="00CB252F">
        <w:t xml:space="preserve">, 33 FCC </w:t>
      </w:r>
      <w:r w:rsidR="00CB252F">
        <w:t>Rcd</w:t>
      </w:r>
      <w:r w:rsidR="00CB252F">
        <w:t xml:space="preserve"> at 6530-33, paras. 56-67, </w:t>
      </w:r>
      <w:r w:rsidRPr="00CB252F" w:rsidR="00CB252F">
        <w:rPr>
          <w:i/>
          <w:iCs/>
        </w:rPr>
        <w:t>Performance Measures Reconsideration Order</w:t>
      </w:r>
      <w:r w:rsidR="00CB252F">
        <w:t xml:space="preserve">, 34 FCC </w:t>
      </w:r>
      <w:r w:rsidR="00CB252F">
        <w:t>Rcd</w:t>
      </w:r>
      <w:r w:rsidR="00CB252F">
        <w:t xml:space="preserve"> at 10133-38, paras. 65-75.</w:t>
      </w:r>
    </w:p>
  </w:footnote>
  <w:footnote w:id="15">
    <w:p w:rsidR="00676391" w14:paraId="2B2EE83A" w14:textId="040C7FE4">
      <w:pPr>
        <w:pStyle w:val="FootnoteText"/>
      </w:pPr>
      <w:r>
        <w:rPr>
          <w:rStyle w:val="FootnoteReference"/>
        </w:rPr>
        <w:footnoteRef/>
      </w:r>
      <w:r>
        <w:t xml:space="preserve"> </w:t>
      </w:r>
      <w:r w:rsidRPr="00676391">
        <w:rPr>
          <w:i/>
          <w:iCs/>
        </w:rPr>
        <w:t>See Performance Measures Reconsideration Order</w:t>
      </w:r>
      <w:r w:rsidRPr="00676391">
        <w:t xml:space="preserve">, 34 FCC </w:t>
      </w:r>
      <w:r w:rsidRPr="00676391">
        <w:t>Rcd</w:t>
      </w:r>
      <w:r w:rsidRPr="00676391">
        <w:t xml:space="preserve"> at 10140, para. 81.</w:t>
      </w:r>
    </w:p>
  </w:footnote>
  <w:footnote w:id="16">
    <w:p w:rsidR="00FB462D" w:rsidP="00FB462D" w14:paraId="7FBECA48" w14:textId="23A613F1">
      <w:pPr>
        <w:pStyle w:val="FootnoteText"/>
      </w:pPr>
      <w:r>
        <w:rPr>
          <w:rStyle w:val="FootnoteReference"/>
        </w:rPr>
        <w:footnoteRef/>
      </w:r>
      <w:r>
        <w:t xml:space="preserve"> </w:t>
      </w:r>
      <w:r w:rsidRPr="00FB462D">
        <w:rPr>
          <w:i/>
          <w:iCs/>
        </w:rPr>
        <w:t>Connect America Fund</w:t>
      </w:r>
      <w:r>
        <w:t xml:space="preserve">, Order, WC Docket No. 10-90, 35 FCC </w:t>
      </w:r>
      <w:r>
        <w:t>Rcd</w:t>
      </w:r>
      <w:r>
        <w:t xml:space="preserve"> </w:t>
      </w:r>
      <w:r w:rsidR="005A52A9">
        <w:t>3015</w:t>
      </w:r>
      <w:r>
        <w:t xml:space="preserve"> (WCB 2020) (</w:t>
      </w:r>
      <w:r w:rsidR="0036369A">
        <w:rPr>
          <w:i/>
          <w:iCs/>
        </w:rPr>
        <w:t xml:space="preserve">COVID-19 </w:t>
      </w:r>
      <w:r w:rsidRPr="00FB462D">
        <w:rPr>
          <w:i/>
          <w:iCs/>
        </w:rPr>
        <w:t>Waiver Order</w:t>
      </w:r>
      <w:r>
        <w:t>).</w:t>
      </w:r>
    </w:p>
  </w:footnote>
  <w:footnote w:id="17">
    <w:p w:rsidR="0088162D" w:rsidP="0088162D" w14:paraId="668758AA" w14:textId="77777777">
      <w:pPr>
        <w:pStyle w:val="FootnoteText"/>
      </w:pPr>
      <w:r>
        <w:rPr>
          <w:rStyle w:val="FootnoteReference"/>
        </w:rPr>
        <w:footnoteRef/>
      </w:r>
      <w:r>
        <w:t xml:space="preserve"> </w:t>
      </w:r>
      <w:r w:rsidRPr="00DA031A">
        <w:rPr>
          <w:i/>
          <w:iCs/>
        </w:rPr>
        <w:t>Connect America Fund</w:t>
      </w:r>
      <w:r>
        <w:t xml:space="preserve">, Order, WC Docket No. 10-90, 35 FCC </w:t>
      </w:r>
      <w:r>
        <w:t>Rcd</w:t>
      </w:r>
      <w:r>
        <w:t xml:space="preserve"> 14668 (WCB 2020) (</w:t>
      </w:r>
      <w:r w:rsidRPr="009F7CC5">
        <w:rPr>
          <w:i/>
          <w:iCs/>
        </w:rPr>
        <w:t>December 2020 Waiver Order</w:t>
      </w:r>
      <w:r>
        <w:t>).</w:t>
      </w:r>
    </w:p>
  </w:footnote>
  <w:footnote w:id="18">
    <w:p w:rsidR="00AD42B5" w:rsidRPr="00677254" w14:paraId="2511FA0C" w14:textId="4579EFF9">
      <w:pPr>
        <w:pStyle w:val="FootnoteText"/>
      </w:pPr>
      <w:r>
        <w:rPr>
          <w:rStyle w:val="FootnoteReference"/>
        </w:rPr>
        <w:footnoteRef/>
      </w:r>
      <w:r>
        <w:t xml:space="preserve"> </w:t>
      </w:r>
      <w:r w:rsidR="00677254">
        <w:rPr>
          <w:i/>
          <w:iCs/>
        </w:rPr>
        <w:t>Id.</w:t>
      </w:r>
      <w:r w:rsidR="00D3285C">
        <w:t xml:space="preserve"> </w:t>
      </w:r>
      <w:r w:rsidR="00EC6971">
        <w:t>at 14669, para. 4.</w:t>
      </w:r>
    </w:p>
  </w:footnote>
  <w:footnote w:id="19">
    <w:p w:rsidR="000318EA" w14:paraId="5B40A114" w14:textId="58C1A492">
      <w:pPr>
        <w:pStyle w:val="FootnoteText"/>
      </w:pPr>
      <w:r>
        <w:rPr>
          <w:rStyle w:val="FootnoteReference"/>
        </w:rPr>
        <w:footnoteRef/>
      </w:r>
      <w:r>
        <w:t xml:space="preserve"> </w:t>
      </w:r>
      <w:r w:rsidRPr="000274E6">
        <w:rPr>
          <w:i/>
          <w:iCs/>
        </w:rPr>
        <w:t>Schools and Libraries Universal Support Mechanism</w:t>
      </w:r>
      <w:r>
        <w:t xml:space="preserve"> </w:t>
      </w:r>
      <w:r w:rsidRPr="008B2CC1">
        <w:rPr>
          <w:i/>
          <w:iCs/>
        </w:rPr>
        <w:t>et al.</w:t>
      </w:r>
      <w:r>
        <w:t>, CC Docket No. 02-6, WC Docket Nos. 02-60 et al., Order, DA 21-1107 (WCB 2021) (</w:t>
      </w:r>
      <w:r w:rsidRPr="007C242E">
        <w:rPr>
          <w:i/>
          <w:iCs/>
        </w:rPr>
        <w:t>Hurricane Ida Relief Order</w:t>
      </w:r>
      <w:r>
        <w:t>).</w:t>
      </w:r>
    </w:p>
  </w:footnote>
  <w:footnote w:id="20">
    <w:p w:rsidR="00CB252F" w:rsidRPr="000318EA" w14:paraId="01917497" w14:textId="504F0A83">
      <w:pPr>
        <w:pStyle w:val="FootnoteText"/>
        <w:rPr>
          <w:i/>
          <w:iCs/>
        </w:rPr>
      </w:pPr>
      <w:r>
        <w:rPr>
          <w:rStyle w:val="FootnoteReference"/>
        </w:rPr>
        <w:footnoteRef/>
      </w:r>
      <w:r>
        <w:t xml:space="preserve"> </w:t>
      </w:r>
      <w:r w:rsidR="000318EA">
        <w:rPr>
          <w:i/>
          <w:iCs/>
        </w:rPr>
        <w:t>Id.</w:t>
      </w:r>
    </w:p>
  </w:footnote>
  <w:footnote w:id="21">
    <w:p w:rsidR="00771F06" w14:paraId="3EE41075" w14:textId="09A1ED38">
      <w:pPr>
        <w:pStyle w:val="FootnoteText"/>
      </w:pPr>
      <w:r>
        <w:rPr>
          <w:rStyle w:val="FootnoteReference"/>
        </w:rPr>
        <w:footnoteRef/>
      </w:r>
      <w:r>
        <w:t xml:space="preserve"> </w:t>
      </w:r>
      <w:r>
        <w:t>NTCA Petition</w:t>
      </w:r>
      <w:r w:rsidR="00EF5F8D">
        <w:t xml:space="preserve"> at </w:t>
      </w:r>
      <w:r w:rsidR="00527C35">
        <w:t>1;</w:t>
      </w:r>
      <w:r>
        <w:t xml:space="preserve"> REV Broadband Petition</w:t>
      </w:r>
      <w:r w:rsidR="00644295">
        <w:t xml:space="preserve"> at 4</w:t>
      </w:r>
      <w:r>
        <w:t>.</w:t>
      </w:r>
    </w:p>
  </w:footnote>
  <w:footnote w:id="22">
    <w:p w:rsidR="0057137C" w14:paraId="1890C49A" w14:textId="01D72256">
      <w:pPr>
        <w:pStyle w:val="FootnoteText"/>
      </w:pPr>
      <w:r>
        <w:rPr>
          <w:rStyle w:val="FootnoteReference"/>
        </w:rPr>
        <w:footnoteRef/>
      </w:r>
      <w:r>
        <w:t xml:space="preserve"> </w:t>
      </w:r>
      <w:r w:rsidRPr="00564170" w:rsidR="00564170">
        <w:rPr>
          <w:i/>
          <w:iCs/>
        </w:rPr>
        <w:t>See</w:t>
      </w:r>
      <w:r w:rsidR="00564170">
        <w:t xml:space="preserve">, </w:t>
      </w:r>
      <w:r w:rsidRPr="004A0289" w:rsidR="00564170">
        <w:rPr>
          <w:i/>
          <w:iCs/>
        </w:rPr>
        <w:t>e.g.</w:t>
      </w:r>
      <w:r w:rsidR="00564170">
        <w:t xml:space="preserve">, </w:t>
      </w:r>
      <w:r w:rsidRPr="00564170">
        <w:t>NTCA</w:t>
      </w:r>
      <w:r>
        <w:t xml:space="preserve"> Petition at</w:t>
      </w:r>
      <w:r w:rsidR="00564170">
        <w:t xml:space="preserve"> 1.</w:t>
      </w:r>
    </w:p>
  </w:footnote>
  <w:footnote w:id="23">
    <w:p w:rsidR="0034409E" w14:paraId="50DF30DD" w14:textId="7FB083B8">
      <w:pPr>
        <w:pStyle w:val="FootnoteText"/>
      </w:pPr>
      <w:r>
        <w:rPr>
          <w:rStyle w:val="FootnoteReference"/>
        </w:rPr>
        <w:footnoteRef/>
      </w:r>
      <w:r>
        <w:t xml:space="preserve"> </w:t>
      </w:r>
      <w:r w:rsidRPr="00226AA0" w:rsidR="00226AA0">
        <w:rPr>
          <w:i/>
          <w:iCs/>
        </w:rPr>
        <w:t>Id</w:t>
      </w:r>
      <w:r w:rsidR="00226AA0">
        <w:t xml:space="preserve">. </w:t>
      </w:r>
      <w:r w:rsidR="005157F6">
        <w:t>at 1, 8-9</w:t>
      </w:r>
      <w:r>
        <w:t>.</w:t>
      </w:r>
    </w:p>
  </w:footnote>
  <w:footnote w:id="24">
    <w:p w:rsidR="00A92D53" w14:paraId="20F26DC5" w14:textId="12A346CD">
      <w:pPr>
        <w:pStyle w:val="FootnoteText"/>
      </w:pPr>
      <w:r>
        <w:rPr>
          <w:rStyle w:val="FootnoteReference"/>
        </w:rPr>
        <w:footnoteRef/>
      </w:r>
      <w:r>
        <w:t xml:space="preserve"> </w:t>
      </w:r>
      <w:r>
        <w:t>REV B</w:t>
      </w:r>
      <w:r w:rsidR="00071796">
        <w:t xml:space="preserve">roadband Petition at </w:t>
      </w:r>
      <w:r w:rsidR="00AE3C67">
        <w:t>3.</w:t>
      </w:r>
    </w:p>
  </w:footnote>
  <w:footnote w:id="25">
    <w:p w:rsidR="0034409E" w:rsidRPr="0034409E" w14:paraId="321E5FD8" w14:textId="3FA38EDE">
      <w:pPr>
        <w:pStyle w:val="FootnoteText"/>
      </w:pPr>
      <w:r>
        <w:rPr>
          <w:rStyle w:val="FootnoteReference"/>
        </w:rPr>
        <w:footnoteRef/>
      </w:r>
      <w:r>
        <w:t xml:space="preserve"> </w:t>
      </w:r>
      <w:r w:rsidR="003D3526">
        <w:rPr>
          <w:i/>
          <w:iCs/>
        </w:rPr>
        <w:t>Id.</w:t>
      </w:r>
    </w:p>
  </w:footnote>
  <w:footnote w:id="26">
    <w:p w:rsidR="00A90BAB" w:rsidP="00A90BAB" w14:paraId="4A07E170" w14:textId="0CE3772B">
      <w:pPr>
        <w:pStyle w:val="FootnoteText"/>
      </w:pPr>
      <w:r>
        <w:rPr>
          <w:rStyle w:val="FootnoteReference"/>
        </w:rPr>
        <w:footnoteRef/>
      </w:r>
      <w:r>
        <w:t xml:space="preserve"> </w:t>
      </w:r>
      <w:r w:rsidR="004C25F5">
        <w:rPr>
          <w:i/>
          <w:iCs/>
        </w:rPr>
        <w:t>See</w:t>
      </w:r>
      <w:r>
        <w:rPr>
          <w:i/>
        </w:rPr>
        <w:t xml:space="preserve"> </w:t>
      </w:r>
      <w:r>
        <w:t>NTCA Petition.</w:t>
      </w:r>
    </w:p>
  </w:footnote>
  <w:footnote w:id="27">
    <w:p w:rsidR="00A90BAB" w:rsidP="00A90BAB" w14:paraId="2DF5306B" w14:textId="063B5200">
      <w:pPr>
        <w:pStyle w:val="FootnoteText"/>
      </w:pPr>
      <w:r w:rsidRPr="004A0289">
        <w:rPr>
          <w:rStyle w:val="FootnoteReference"/>
          <w:i/>
        </w:rPr>
        <w:footnoteRef/>
      </w:r>
      <w:r w:rsidRPr="004A0289">
        <w:rPr>
          <w:i/>
        </w:rPr>
        <w:t xml:space="preserve"> </w:t>
      </w:r>
      <w:r w:rsidR="0060657A">
        <w:rPr>
          <w:i/>
          <w:iCs/>
        </w:rPr>
        <w:t>See</w:t>
      </w:r>
      <w:r w:rsidRPr="004A0289" w:rsidR="0060657A">
        <w:rPr>
          <w:rFonts w:ascii="TimesNewRomanPSMT" w:hAnsi="TimesNewRomanPSMT" w:cs="TimesNewRomanPSMT"/>
          <w:i/>
          <w:iCs/>
          <w:szCs w:val="22"/>
        </w:rPr>
        <w:t xml:space="preserve"> </w:t>
      </w:r>
      <w:r>
        <w:rPr>
          <w:rFonts w:ascii="TimesNewRomanPSMT" w:hAnsi="TimesNewRomanPSMT" w:cs="TimesNewRomanPSMT"/>
          <w:szCs w:val="22"/>
        </w:rPr>
        <w:t>REV Broadband Petition.</w:t>
      </w:r>
    </w:p>
  </w:footnote>
  <w:footnote w:id="28">
    <w:p w:rsidR="00342DC0" w:rsidP="00342DC0" w14:paraId="39459A1F" w14:textId="77777777">
      <w:pPr>
        <w:pStyle w:val="FootnoteText"/>
      </w:pPr>
      <w:r>
        <w:rPr>
          <w:rStyle w:val="FootnoteReference"/>
        </w:rPr>
        <w:footnoteRef/>
      </w:r>
      <w:r>
        <w:t xml:space="preserve"> </w:t>
      </w:r>
      <w:r w:rsidRPr="00AB6862">
        <w:t>47 CFR § 1.3.</w:t>
      </w:r>
    </w:p>
  </w:footnote>
  <w:footnote w:id="29">
    <w:p w:rsidR="00342DC0" w:rsidP="00342DC0" w14:paraId="3E366CC1" w14:textId="77777777">
      <w:pPr>
        <w:pStyle w:val="FootnoteText"/>
      </w:pPr>
      <w:r>
        <w:rPr>
          <w:rStyle w:val="FootnoteReference"/>
        </w:rPr>
        <w:footnoteRef/>
      </w:r>
      <w:r>
        <w:t xml:space="preserve"> </w:t>
      </w:r>
      <w:r w:rsidRPr="0003672D">
        <w:rPr>
          <w:i/>
          <w:iCs/>
        </w:rPr>
        <w:t>Northeast Cellular Telephone Co. v. FCC</w:t>
      </w:r>
      <w:r w:rsidRPr="0003672D">
        <w:t>, 897 F.2d 1164, 1166 (D.C. Cir. 1990) (</w:t>
      </w:r>
      <w:r w:rsidRPr="0003672D">
        <w:rPr>
          <w:i/>
          <w:iCs/>
        </w:rPr>
        <w:t>Northeast Cellular</w:t>
      </w:r>
      <w:r>
        <w:t>).</w:t>
      </w:r>
    </w:p>
  </w:footnote>
  <w:footnote w:id="30">
    <w:p w:rsidR="00342DC0" w:rsidP="00342DC0" w14:paraId="48F70B9E" w14:textId="77777777">
      <w:pPr>
        <w:pStyle w:val="FootnoteText"/>
      </w:pPr>
      <w:r>
        <w:rPr>
          <w:rStyle w:val="FootnoteReference"/>
        </w:rPr>
        <w:footnoteRef/>
      </w:r>
      <w:r>
        <w:t xml:space="preserve"> </w:t>
      </w:r>
      <w:r w:rsidRPr="00A41F52">
        <w:rPr>
          <w:i/>
          <w:iCs/>
        </w:rPr>
        <w:t>WAIT Radio v. FCC</w:t>
      </w:r>
      <w:r w:rsidRPr="00A41F52">
        <w:t xml:space="preserve">, 418 F.2d 1153, 1159 (D.C. Cir. 1969); </w:t>
      </w:r>
      <w:r w:rsidRPr="00A41F52">
        <w:rPr>
          <w:i/>
          <w:iCs/>
        </w:rPr>
        <w:t>Northeast Cellular</w:t>
      </w:r>
      <w:r w:rsidRPr="00A41F52">
        <w:t>, 897 F.2d at 1166</w:t>
      </w:r>
      <w:r>
        <w:t>.</w:t>
      </w:r>
    </w:p>
  </w:footnote>
  <w:footnote w:id="31">
    <w:p w:rsidR="00342DC0" w:rsidP="00342DC0" w14:paraId="48858EA1" w14:textId="77777777">
      <w:pPr>
        <w:pStyle w:val="FootnoteText"/>
      </w:pPr>
      <w:r>
        <w:rPr>
          <w:rStyle w:val="FootnoteReference"/>
        </w:rPr>
        <w:footnoteRef/>
      </w:r>
      <w:r>
        <w:t xml:space="preserve"> </w:t>
      </w:r>
      <w:r w:rsidRPr="003457D9">
        <w:rPr>
          <w:i/>
          <w:iCs/>
        </w:rPr>
        <w:t>Northeast Cellular</w:t>
      </w:r>
      <w:r w:rsidRPr="003457D9">
        <w:t>, 897 F.2d at 1166.</w:t>
      </w:r>
    </w:p>
  </w:footnote>
  <w:footnote w:id="32">
    <w:p w:rsidR="0062314D" w:rsidRPr="00455C63" w:rsidP="0062314D" w14:paraId="4D91AA81" w14:textId="562D0ECF">
      <w:pPr>
        <w:pStyle w:val="FootnoteText"/>
        <w:rPr>
          <w:i/>
          <w:iCs/>
        </w:rPr>
      </w:pPr>
      <w:r>
        <w:rPr>
          <w:rStyle w:val="FootnoteReference"/>
        </w:rPr>
        <w:footnoteRef/>
      </w:r>
      <w:r>
        <w:t xml:space="preserve"> </w:t>
      </w:r>
      <w:r>
        <w:t>NTCA Petition</w:t>
      </w:r>
      <w:r w:rsidR="005C7315">
        <w:t xml:space="preserve"> at 2-4</w:t>
      </w:r>
      <w:r>
        <w:t>.</w:t>
      </w:r>
    </w:p>
  </w:footnote>
  <w:footnote w:id="33">
    <w:p w:rsidR="00561245" w:rsidP="00561245" w14:paraId="016AD600" w14:textId="00802152">
      <w:pPr>
        <w:pStyle w:val="FootnoteText"/>
      </w:pPr>
      <w:r>
        <w:rPr>
          <w:rStyle w:val="FootnoteReference"/>
        </w:rPr>
        <w:footnoteRef/>
      </w:r>
      <w:r>
        <w:t xml:space="preserve"> </w:t>
      </w:r>
      <w:r w:rsidR="00E5364B">
        <w:rPr>
          <w:i/>
          <w:iCs/>
        </w:rPr>
        <w:t>Id.</w:t>
      </w:r>
      <w:r>
        <w:t xml:space="preserve"> at 3-4.</w:t>
      </w:r>
    </w:p>
  </w:footnote>
  <w:footnote w:id="34">
    <w:p w:rsidR="0014014F" w14:paraId="6C4A1D33" w14:textId="32CB69E2">
      <w:pPr>
        <w:pStyle w:val="FootnoteText"/>
      </w:pPr>
      <w:r>
        <w:rPr>
          <w:rStyle w:val="FootnoteReference"/>
        </w:rPr>
        <w:footnoteRef/>
      </w:r>
      <w:r>
        <w:t xml:space="preserve"> </w:t>
      </w:r>
      <w:r w:rsidR="00E5364B">
        <w:rPr>
          <w:i/>
          <w:iCs/>
        </w:rPr>
        <w:t>Id.</w:t>
      </w:r>
      <w:r w:rsidRPr="00E5364B" w:rsidR="00E5364B">
        <w:t xml:space="preserve"> </w:t>
      </w:r>
      <w:r>
        <w:t>at 2-4, 6-8.</w:t>
      </w:r>
    </w:p>
  </w:footnote>
  <w:footnote w:id="35">
    <w:p w:rsidR="003700B2" w:rsidRPr="009A17CB" w:rsidP="00BD6EE1" w14:paraId="4FBB7959" w14:textId="5CCEDB12">
      <w:pPr>
        <w:pStyle w:val="FootnoteText"/>
      </w:pPr>
      <w:r>
        <w:rPr>
          <w:rStyle w:val="FootnoteReference"/>
        </w:rPr>
        <w:footnoteRef/>
      </w:r>
      <w:r>
        <w:t xml:space="preserve"> </w:t>
      </w:r>
      <w:r w:rsidR="009A17CB">
        <w:rPr>
          <w:i/>
          <w:iCs/>
        </w:rPr>
        <w:t xml:space="preserve">COVID-19 </w:t>
      </w:r>
      <w:r w:rsidRPr="00FB462D" w:rsidR="009A17CB">
        <w:rPr>
          <w:i/>
          <w:iCs/>
        </w:rPr>
        <w:t>Waiver Order</w:t>
      </w:r>
      <w:r w:rsidR="00ED736C">
        <w:t xml:space="preserve">, 35 FCC </w:t>
      </w:r>
      <w:r w:rsidR="00ED736C">
        <w:t>Rcd</w:t>
      </w:r>
      <w:r w:rsidR="00ED736C">
        <w:t xml:space="preserve"> at 3016-</w:t>
      </w:r>
      <w:r w:rsidR="00007C98">
        <w:t>17, paras. 3-5.</w:t>
      </w:r>
      <w:r w:rsidR="00BD6EE1">
        <w:t xml:space="preserve">  While not in its petition, NTCA subsequently </w:t>
      </w:r>
      <w:r w:rsidRPr="00BD6EE1" w:rsidR="00BD6EE1">
        <w:t xml:space="preserve">specified </w:t>
      </w:r>
      <w:r w:rsidR="000E2CF5">
        <w:t>the “</w:t>
      </w:r>
      <w:r w:rsidRPr="00BD6EE1" w:rsidR="00BD6EE1">
        <w:t>relief be granted to carriers covered by the December 2020 Order as well as those that will commence pre-testing in January 2022.</w:t>
      </w:r>
      <w:r w:rsidR="00BD6EE1">
        <w:t xml:space="preserve">”  </w:t>
      </w:r>
      <w:r w:rsidRPr="00894B42" w:rsidR="00BD6EE1">
        <w:rPr>
          <w:i/>
          <w:iCs/>
        </w:rPr>
        <w:t>See</w:t>
      </w:r>
      <w:r w:rsidR="00BD6EE1">
        <w:t xml:space="preserve"> Letter from Joshua </w:t>
      </w:r>
      <w:r w:rsidR="00BD6EE1">
        <w:t>Seidemann</w:t>
      </w:r>
      <w:r w:rsidR="00BD6EE1">
        <w:t>, Vice President, Policy, NTCA–The Rural Broadband Association, to Marlene H. Dortch, Secretary, FCC, WC Docket No. 10-90</w:t>
      </w:r>
      <w:r w:rsidR="000E2CF5">
        <w:t xml:space="preserve"> (filed Dec. 22, 2021)</w:t>
      </w:r>
      <w:r w:rsidR="00187367">
        <w:t xml:space="preserve"> (NTCA Dec. 22 Ex </w:t>
      </w:r>
      <w:r w:rsidR="00187367">
        <w:t>Parte</w:t>
      </w:r>
      <w:r w:rsidR="00187367">
        <w:t xml:space="preserve"> Letter)</w:t>
      </w:r>
      <w:r w:rsidR="000E2CF5">
        <w:t xml:space="preserve">. </w:t>
      </w:r>
    </w:p>
  </w:footnote>
  <w:footnote w:id="36">
    <w:p w:rsidR="00897BF1" w14:paraId="7121E674" w14:textId="5F53B7C4">
      <w:pPr>
        <w:pStyle w:val="FootnoteText"/>
      </w:pPr>
      <w:r>
        <w:rPr>
          <w:rStyle w:val="FootnoteReference"/>
        </w:rPr>
        <w:footnoteRef/>
      </w:r>
      <w:r>
        <w:t xml:space="preserve"> </w:t>
      </w:r>
      <w:r>
        <w:t>NTCA Petition at 8-9.</w:t>
      </w:r>
    </w:p>
  </w:footnote>
  <w:footnote w:id="37">
    <w:p w:rsidR="009C6779" w14:paraId="67B0EC77" w14:textId="7AC26D42">
      <w:pPr>
        <w:pStyle w:val="FootnoteText"/>
      </w:pPr>
      <w:r>
        <w:rPr>
          <w:rStyle w:val="FootnoteReference"/>
        </w:rPr>
        <w:footnoteRef/>
      </w:r>
      <w:r>
        <w:t xml:space="preserve"> </w:t>
      </w:r>
      <w:r w:rsidRPr="009F7CC5">
        <w:rPr>
          <w:i/>
          <w:iCs/>
        </w:rPr>
        <w:t>December 2020 Waiver Order</w:t>
      </w:r>
      <w:r>
        <w:t xml:space="preserve">, 35 FCC </w:t>
      </w:r>
      <w:r>
        <w:t>Rcd</w:t>
      </w:r>
      <w:r>
        <w:t xml:space="preserve"> at 14669-70, para. 6, n.18</w:t>
      </w:r>
    </w:p>
  </w:footnote>
  <w:footnote w:id="38">
    <w:p w:rsidR="00F615DE" w:rsidRPr="00831004" w14:paraId="4AF0D286" w14:textId="1210C1B1">
      <w:pPr>
        <w:pStyle w:val="FootnoteText"/>
        <w:rPr>
          <w:i/>
          <w:iCs/>
        </w:rPr>
      </w:pPr>
      <w:r w:rsidRPr="00831004">
        <w:rPr>
          <w:rStyle w:val="FootnoteReference"/>
          <w:i/>
          <w:iCs/>
        </w:rPr>
        <w:footnoteRef/>
      </w:r>
      <w:r w:rsidRPr="00831004">
        <w:rPr>
          <w:i/>
          <w:iCs/>
        </w:rPr>
        <w:t xml:space="preserve"> </w:t>
      </w:r>
      <w:r w:rsidRPr="00831004" w:rsidR="00BF77B6">
        <w:rPr>
          <w:i/>
          <w:iCs/>
        </w:rPr>
        <w:t>Id.</w:t>
      </w:r>
    </w:p>
  </w:footnote>
  <w:footnote w:id="39">
    <w:p w:rsidR="00187367" w14:paraId="0D1AE621" w14:textId="000AB7A6">
      <w:pPr>
        <w:pStyle w:val="FootnoteText"/>
      </w:pPr>
      <w:r>
        <w:rPr>
          <w:rStyle w:val="FootnoteReference"/>
        </w:rPr>
        <w:footnoteRef/>
      </w:r>
      <w:r>
        <w:t xml:space="preserve"> </w:t>
      </w:r>
      <w:r>
        <w:t xml:space="preserve">NTCA Petition at 8.  NTCA Dec. 22 Ex </w:t>
      </w:r>
      <w:r>
        <w:t>Parte</w:t>
      </w:r>
      <w:r>
        <w:t xml:space="preserve"> Letter at 2.  </w:t>
      </w:r>
    </w:p>
  </w:footnote>
  <w:footnote w:id="40">
    <w:p w:rsidR="00845613" w:rsidRPr="00E16E3E" w:rsidP="00845613" w14:paraId="1B0B716F" w14:textId="0978FE90">
      <w:pPr>
        <w:pStyle w:val="FootnoteText"/>
      </w:pPr>
      <w:r>
        <w:rPr>
          <w:rStyle w:val="FootnoteReference"/>
        </w:rPr>
        <w:footnoteRef/>
      </w:r>
      <w:r>
        <w:t xml:space="preserve"> </w:t>
      </w:r>
      <w:r w:rsidR="0002490D">
        <w:rPr>
          <w:i/>
          <w:iCs/>
        </w:rPr>
        <w:t>Id.</w:t>
      </w:r>
    </w:p>
  </w:footnote>
  <w:footnote w:id="41">
    <w:p w:rsidR="005179E1" w14:paraId="19636290" w14:textId="3FFDF81E">
      <w:pPr>
        <w:pStyle w:val="FootnoteText"/>
      </w:pPr>
      <w:r>
        <w:rPr>
          <w:rStyle w:val="FootnoteReference"/>
        </w:rPr>
        <w:footnoteRef/>
      </w:r>
      <w:r>
        <w:t xml:space="preserve"> </w:t>
      </w:r>
      <w:r w:rsidR="00F52CE8">
        <w:t>REV Broadband Petition at 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0CD81DE" w14:textId="406FA5E9">
    <w:pPr>
      <w:pStyle w:val="Header"/>
      <w:rPr>
        <w:b w:val="0"/>
      </w:rPr>
    </w:pPr>
    <w:r>
      <w:tab/>
    </w:r>
    <w:r>
      <w:t>Federal Communications Commission</w:t>
    </w:r>
    <w:r>
      <w:tab/>
    </w:r>
    <w:r w:rsidR="008C49DF">
      <w:t xml:space="preserve">DA </w:t>
    </w:r>
    <w:r w:rsidR="007C1909">
      <w:t>22-1</w:t>
    </w:r>
  </w:p>
  <w:p w:rsidR="00D25FB5" w14:paraId="56FBECCD" w14:textId="5535CBD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9B8556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D7D9A8" w14:textId="60FE0D6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2258A8">
      <w:rPr>
        <w:spacing w:val="-2"/>
      </w:rPr>
      <w:t xml:space="preserve">DA </w:t>
    </w:r>
    <w:r w:rsidR="007C1909">
      <w:rPr>
        <w:spacing w:val="-2"/>
      </w:rPr>
      <w:t>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BC"/>
    <w:rsid w:val="00001DF0"/>
    <w:rsid w:val="00007785"/>
    <w:rsid w:val="00007C98"/>
    <w:rsid w:val="000206CD"/>
    <w:rsid w:val="00024700"/>
    <w:rsid w:val="0002490D"/>
    <w:rsid w:val="000249DF"/>
    <w:rsid w:val="00025C84"/>
    <w:rsid w:val="000274E6"/>
    <w:rsid w:val="00027A60"/>
    <w:rsid w:val="00027CC5"/>
    <w:rsid w:val="000311FE"/>
    <w:rsid w:val="00031302"/>
    <w:rsid w:val="000318EA"/>
    <w:rsid w:val="000357A0"/>
    <w:rsid w:val="00036039"/>
    <w:rsid w:val="0003672D"/>
    <w:rsid w:val="00037F90"/>
    <w:rsid w:val="00042F6E"/>
    <w:rsid w:val="00044E61"/>
    <w:rsid w:val="00050411"/>
    <w:rsid w:val="00052DDC"/>
    <w:rsid w:val="0005405E"/>
    <w:rsid w:val="00054B0A"/>
    <w:rsid w:val="00054E3D"/>
    <w:rsid w:val="0005595D"/>
    <w:rsid w:val="000632E2"/>
    <w:rsid w:val="000651F9"/>
    <w:rsid w:val="00067D22"/>
    <w:rsid w:val="00071796"/>
    <w:rsid w:val="00072E8A"/>
    <w:rsid w:val="0008103E"/>
    <w:rsid w:val="00085A4A"/>
    <w:rsid w:val="000875BF"/>
    <w:rsid w:val="00091153"/>
    <w:rsid w:val="00093DE3"/>
    <w:rsid w:val="00096542"/>
    <w:rsid w:val="00096D8C"/>
    <w:rsid w:val="000973BB"/>
    <w:rsid w:val="00097BA0"/>
    <w:rsid w:val="000A0162"/>
    <w:rsid w:val="000A0A9D"/>
    <w:rsid w:val="000A3B67"/>
    <w:rsid w:val="000A73D2"/>
    <w:rsid w:val="000B088A"/>
    <w:rsid w:val="000B1488"/>
    <w:rsid w:val="000B1FFC"/>
    <w:rsid w:val="000B227E"/>
    <w:rsid w:val="000B65D4"/>
    <w:rsid w:val="000C0B65"/>
    <w:rsid w:val="000C4ECC"/>
    <w:rsid w:val="000C53F9"/>
    <w:rsid w:val="000C5E94"/>
    <w:rsid w:val="000C6DF1"/>
    <w:rsid w:val="000D027E"/>
    <w:rsid w:val="000D1B13"/>
    <w:rsid w:val="000D1C42"/>
    <w:rsid w:val="000D775C"/>
    <w:rsid w:val="000D7F35"/>
    <w:rsid w:val="000E05FE"/>
    <w:rsid w:val="000E2463"/>
    <w:rsid w:val="000E2CF5"/>
    <w:rsid w:val="000E3D42"/>
    <w:rsid w:val="000E4537"/>
    <w:rsid w:val="000E57C4"/>
    <w:rsid w:val="000E64E7"/>
    <w:rsid w:val="000F2183"/>
    <w:rsid w:val="000F4A54"/>
    <w:rsid w:val="000F585E"/>
    <w:rsid w:val="00100F85"/>
    <w:rsid w:val="00106F2D"/>
    <w:rsid w:val="00107DBA"/>
    <w:rsid w:val="00110852"/>
    <w:rsid w:val="00114C9C"/>
    <w:rsid w:val="00115DAB"/>
    <w:rsid w:val="001169C8"/>
    <w:rsid w:val="00122BD5"/>
    <w:rsid w:val="00133260"/>
    <w:rsid w:val="00133F79"/>
    <w:rsid w:val="001358D4"/>
    <w:rsid w:val="0014014F"/>
    <w:rsid w:val="001401DE"/>
    <w:rsid w:val="001406C0"/>
    <w:rsid w:val="00142300"/>
    <w:rsid w:val="001423EC"/>
    <w:rsid w:val="0014326E"/>
    <w:rsid w:val="00150DA6"/>
    <w:rsid w:val="00151605"/>
    <w:rsid w:val="00152242"/>
    <w:rsid w:val="00152B90"/>
    <w:rsid w:val="00155D94"/>
    <w:rsid w:val="00156340"/>
    <w:rsid w:val="00166295"/>
    <w:rsid w:val="00170C8F"/>
    <w:rsid w:val="00171793"/>
    <w:rsid w:val="00171FDB"/>
    <w:rsid w:val="0017270C"/>
    <w:rsid w:val="001730E1"/>
    <w:rsid w:val="00174E5B"/>
    <w:rsid w:val="001761B6"/>
    <w:rsid w:val="001767DB"/>
    <w:rsid w:val="00180D71"/>
    <w:rsid w:val="001812BB"/>
    <w:rsid w:val="00183532"/>
    <w:rsid w:val="00187367"/>
    <w:rsid w:val="00187588"/>
    <w:rsid w:val="00187C77"/>
    <w:rsid w:val="00190B2E"/>
    <w:rsid w:val="00194A66"/>
    <w:rsid w:val="001A446F"/>
    <w:rsid w:val="001A5288"/>
    <w:rsid w:val="001A70C8"/>
    <w:rsid w:val="001A73A0"/>
    <w:rsid w:val="001B2DDB"/>
    <w:rsid w:val="001B4333"/>
    <w:rsid w:val="001C02F9"/>
    <w:rsid w:val="001C6A86"/>
    <w:rsid w:val="001C728A"/>
    <w:rsid w:val="001C7C0F"/>
    <w:rsid w:val="001D5FBE"/>
    <w:rsid w:val="001D6BCF"/>
    <w:rsid w:val="001E01CA"/>
    <w:rsid w:val="001E0CF8"/>
    <w:rsid w:val="001E0E8A"/>
    <w:rsid w:val="001E5B01"/>
    <w:rsid w:val="001F0FE9"/>
    <w:rsid w:val="001F1BF4"/>
    <w:rsid w:val="001F1E7B"/>
    <w:rsid w:val="001F2411"/>
    <w:rsid w:val="001F3032"/>
    <w:rsid w:val="00204E3E"/>
    <w:rsid w:val="00211706"/>
    <w:rsid w:val="00215176"/>
    <w:rsid w:val="0022046D"/>
    <w:rsid w:val="002258A8"/>
    <w:rsid w:val="00226AA0"/>
    <w:rsid w:val="0023063D"/>
    <w:rsid w:val="00241457"/>
    <w:rsid w:val="00244749"/>
    <w:rsid w:val="00246450"/>
    <w:rsid w:val="002469D6"/>
    <w:rsid w:val="00251EF7"/>
    <w:rsid w:val="00252499"/>
    <w:rsid w:val="0025523E"/>
    <w:rsid w:val="002618CE"/>
    <w:rsid w:val="00265CC5"/>
    <w:rsid w:val="00267AD9"/>
    <w:rsid w:val="00272857"/>
    <w:rsid w:val="00273854"/>
    <w:rsid w:val="00275CF5"/>
    <w:rsid w:val="00282323"/>
    <w:rsid w:val="0028301F"/>
    <w:rsid w:val="00283C5C"/>
    <w:rsid w:val="00285017"/>
    <w:rsid w:val="00292CA1"/>
    <w:rsid w:val="00295948"/>
    <w:rsid w:val="00295CD8"/>
    <w:rsid w:val="002A0D5C"/>
    <w:rsid w:val="002A283A"/>
    <w:rsid w:val="002A2D2E"/>
    <w:rsid w:val="002A30AD"/>
    <w:rsid w:val="002A650E"/>
    <w:rsid w:val="002A793C"/>
    <w:rsid w:val="002A7F2E"/>
    <w:rsid w:val="002B1AF2"/>
    <w:rsid w:val="002B3154"/>
    <w:rsid w:val="002B637D"/>
    <w:rsid w:val="002C00E8"/>
    <w:rsid w:val="002C1BA4"/>
    <w:rsid w:val="002C371D"/>
    <w:rsid w:val="002C39FB"/>
    <w:rsid w:val="002C69F2"/>
    <w:rsid w:val="002C6FD8"/>
    <w:rsid w:val="002D0EC4"/>
    <w:rsid w:val="002D2E54"/>
    <w:rsid w:val="002D531A"/>
    <w:rsid w:val="002D7432"/>
    <w:rsid w:val="002D7D35"/>
    <w:rsid w:val="002E10CB"/>
    <w:rsid w:val="002E12A8"/>
    <w:rsid w:val="002E2BBE"/>
    <w:rsid w:val="002E32BC"/>
    <w:rsid w:val="002F039E"/>
    <w:rsid w:val="002F2072"/>
    <w:rsid w:val="002F2B14"/>
    <w:rsid w:val="002F65D5"/>
    <w:rsid w:val="003030EC"/>
    <w:rsid w:val="003038B6"/>
    <w:rsid w:val="003041AB"/>
    <w:rsid w:val="00307979"/>
    <w:rsid w:val="0031545C"/>
    <w:rsid w:val="00320880"/>
    <w:rsid w:val="00325C4A"/>
    <w:rsid w:val="00325F86"/>
    <w:rsid w:val="00326F51"/>
    <w:rsid w:val="00335577"/>
    <w:rsid w:val="003421A3"/>
    <w:rsid w:val="00342DC0"/>
    <w:rsid w:val="00343749"/>
    <w:rsid w:val="00343F9D"/>
    <w:rsid w:val="0034409E"/>
    <w:rsid w:val="003446F3"/>
    <w:rsid w:val="003448EB"/>
    <w:rsid w:val="00344CDD"/>
    <w:rsid w:val="003457D9"/>
    <w:rsid w:val="0035558F"/>
    <w:rsid w:val="0035569B"/>
    <w:rsid w:val="00357147"/>
    <w:rsid w:val="00362E9D"/>
    <w:rsid w:val="0036369A"/>
    <w:rsid w:val="00364E94"/>
    <w:rsid w:val="003660ED"/>
    <w:rsid w:val="0036739E"/>
    <w:rsid w:val="003700B2"/>
    <w:rsid w:val="00370A53"/>
    <w:rsid w:val="00370E26"/>
    <w:rsid w:val="00377BB0"/>
    <w:rsid w:val="00381881"/>
    <w:rsid w:val="003930D0"/>
    <w:rsid w:val="0039666D"/>
    <w:rsid w:val="00397D4A"/>
    <w:rsid w:val="003A0021"/>
    <w:rsid w:val="003A17F4"/>
    <w:rsid w:val="003A1B5B"/>
    <w:rsid w:val="003A27D3"/>
    <w:rsid w:val="003A4F0C"/>
    <w:rsid w:val="003B0154"/>
    <w:rsid w:val="003B0550"/>
    <w:rsid w:val="003B16C6"/>
    <w:rsid w:val="003B2BE4"/>
    <w:rsid w:val="003B694F"/>
    <w:rsid w:val="003B7946"/>
    <w:rsid w:val="003B7A57"/>
    <w:rsid w:val="003C0061"/>
    <w:rsid w:val="003C72A4"/>
    <w:rsid w:val="003D1D21"/>
    <w:rsid w:val="003D3434"/>
    <w:rsid w:val="003D3526"/>
    <w:rsid w:val="003D5D79"/>
    <w:rsid w:val="003E0116"/>
    <w:rsid w:val="003E0F01"/>
    <w:rsid w:val="003E35AD"/>
    <w:rsid w:val="003E3B3A"/>
    <w:rsid w:val="003E58DF"/>
    <w:rsid w:val="003E7BF0"/>
    <w:rsid w:val="003F0803"/>
    <w:rsid w:val="003F171C"/>
    <w:rsid w:val="003F2DFE"/>
    <w:rsid w:val="0040522D"/>
    <w:rsid w:val="00405DE5"/>
    <w:rsid w:val="004067DF"/>
    <w:rsid w:val="004077E2"/>
    <w:rsid w:val="00407AC0"/>
    <w:rsid w:val="00412FC5"/>
    <w:rsid w:val="00422276"/>
    <w:rsid w:val="0042395B"/>
    <w:rsid w:val="004242F1"/>
    <w:rsid w:val="00425D5B"/>
    <w:rsid w:val="00430194"/>
    <w:rsid w:val="00432C2E"/>
    <w:rsid w:val="004368E8"/>
    <w:rsid w:val="00440361"/>
    <w:rsid w:val="00441D0D"/>
    <w:rsid w:val="00443DA6"/>
    <w:rsid w:val="00445A00"/>
    <w:rsid w:val="00451B0F"/>
    <w:rsid w:val="004523A3"/>
    <w:rsid w:val="00452F2B"/>
    <w:rsid w:val="0045597F"/>
    <w:rsid w:val="00455C63"/>
    <w:rsid w:val="00456430"/>
    <w:rsid w:val="00460221"/>
    <w:rsid w:val="00461377"/>
    <w:rsid w:val="00465EBE"/>
    <w:rsid w:val="00475C7D"/>
    <w:rsid w:val="00476236"/>
    <w:rsid w:val="00476A90"/>
    <w:rsid w:val="00477611"/>
    <w:rsid w:val="00477690"/>
    <w:rsid w:val="00487601"/>
    <w:rsid w:val="00495AF5"/>
    <w:rsid w:val="004A0289"/>
    <w:rsid w:val="004A5FF3"/>
    <w:rsid w:val="004A6D90"/>
    <w:rsid w:val="004A73F2"/>
    <w:rsid w:val="004B1839"/>
    <w:rsid w:val="004B1B25"/>
    <w:rsid w:val="004B2A3C"/>
    <w:rsid w:val="004B322A"/>
    <w:rsid w:val="004B3693"/>
    <w:rsid w:val="004C03D0"/>
    <w:rsid w:val="004C133A"/>
    <w:rsid w:val="004C25F5"/>
    <w:rsid w:val="004C272F"/>
    <w:rsid w:val="004C2880"/>
    <w:rsid w:val="004C2EE3"/>
    <w:rsid w:val="004C31B8"/>
    <w:rsid w:val="004C5307"/>
    <w:rsid w:val="004C63DA"/>
    <w:rsid w:val="004D2018"/>
    <w:rsid w:val="004D24AA"/>
    <w:rsid w:val="004D2A4B"/>
    <w:rsid w:val="004D456A"/>
    <w:rsid w:val="004D685A"/>
    <w:rsid w:val="004D7163"/>
    <w:rsid w:val="004E0651"/>
    <w:rsid w:val="004E24F6"/>
    <w:rsid w:val="004E27C2"/>
    <w:rsid w:val="004E419C"/>
    <w:rsid w:val="004E4A22"/>
    <w:rsid w:val="004E6E39"/>
    <w:rsid w:val="0050296B"/>
    <w:rsid w:val="00504720"/>
    <w:rsid w:val="00505071"/>
    <w:rsid w:val="00511968"/>
    <w:rsid w:val="005157F6"/>
    <w:rsid w:val="00515982"/>
    <w:rsid w:val="005179E1"/>
    <w:rsid w:val="00522EAF"/>
    <w:rsid w:val="0052324E"/>
    <w:rsid w:val="00525B17"/>
    <w:rsid w:val="00527C35"/>
    <w:rsid w:val="00530049"/>
    <w:rsid w:val="00532ADB"/>
    <w:rsid w:val="00535E79"/>
    <w:rsid w:val="0053614D"/>
    <w:rsid w:val="00540F70"/>
    <w:rsid w:val="0055345A"/>
    <w:rsid w:val="0055614C"/>
    <w:rsid w:val="00556B3F"/>
    <w:rsid w:val="00561245"/>
    <w:rsid w:val="00563414"/>
    <w:rsid w:val="00564170"/>
    <w:rsid w:val="00566D06"/>
    <w:rsid w:val="005671DC"/>
    <w:rsid w:val="0057137C"/>
    <w:rsid w:val="00575D0B"/>
    <w:rsid w:val="00575E66"/>
    <w:rsid w:val="005774C2"/>
    <w:rsid w:val="00577D00"/>
    <w:rsid w:val="00581947"/>
    <w:rsid w:val="00582A7F"/>
    <w:rsid w:val="0059016E"/>
    <w:rsid w:val="00590A2D"/>
    <w:rsid w:val="00592D81"/>
    <w:rsid w:val="00592DE5"/>
    <w:rsid w:val="00594F8D"/>
    <w:rsid w:val="005A2AB8"/>
    <w:rsid w:val="005A4345"/>
    <w:rsid w:val="005A5270"/>
    <w:rsid w:val="005A52A9"/>
    <w:rsid w:val="005B1976"/>
    <w:rsid w:val="005B4EE1"/>
    <w:rsid w:val="005C1F52"/>
    <w:rsid w:val="005C66B9"/>
    <w:rsid w:val="005C71E7"/>
    <w:rsid w:val="005C7315"/>
    <w:rsid w:val="005C7E59"/>
    <w:rsid w:val="005D03FE"/>
    <w:rsid w:val="005D0DF7"/>
    <w:rsid w:val="005E14C2"/>
    <w:rsid w:val="005E232E"/>
    <w:rsid w:val="005E5E84"/>
    <w:rsid w:val="005F6667"/>
    <w:rsid w:val="00600C3E"/>
    <w:rsid w:val="00601555"/>
    <w:rsid w:val="00603783"/>
    <w:rsid w:val="0060657A"/>
    <w:rsid w:val="00607BA5"/>
    <w:rsid w:val="0061180A"/>
    <w:rsid w:val="00613193"/>
    <w:rsid w:val="00616B2E"/>
    <w:rsid w:val="00616CF6"/>
    <w:rsid w:val="00616DE5"/>
    <w:rsid w:val="00617EC3"/>
    <w:rsid w:val="006206CE"/>
    <w:rsid w:val="00620E2A"/>
    <w:rsid w:val="00621A67"/>
    <w:rsid w:val="0062314D"/>
    <w:rsid w:val="0062462A"/>
    <w:rsid w:val="00625576"/>
    <w:rsid w:val="00626EB6"/>
    <w:rsid w:val="00626ECD"/>
    <w:rsid w:val="00626F64"/>
    <w:rsid w:val="00627AB8"/>
    <w:rsid w:val="00632365"/>
    <w:rsid w:val="006341D8"/>
    <w:rsid w:val="006343D6"/>
    <w:rsid w:val="00634C0D"/>
    <w:rsid w:val="00634D82"/>
    <w:rsid w:val="00643442"/>
    <w:rsid w:val="00643DB5"/>
    <w:rsid w:val="00644295"/>
    <w:rsid w:val="00646D1E"/>
    <w:rsid w:val="0065188B"/>
    <w:rsid w:val="006521CF"/>
    <w:rsid w:val="006529F3"/>
    <w:rsid w:val="00654266"/>
    <w:rsid w:val="00655D03"/>
    <w:rsid w:val="00660A4A"/>
    <w:rsid w:val="00661412"/>
    <w:rsid w:val="00663537"/>
    <w:rsid w:val="006668BA"/>
    <w:rsid w:val="0067211B"/>
    <w:rsid w:val="00674CFD"/>
    <w:rsid w:val="00675D6E"/>
    <w:rsid w:val="00676391"/>
    <w:rsid w:val="00677254"/>
    <w:rsid w:val="006813DE"/>
    <w:rsid w:val="006817D7"/>
    <w:rsid w:val="00683388"/>
    <w:rsid w:val="00683F84"/>
    <w:rsid w:val="00693323"/>
    <w:rsid w:val="0069442A"/>
    <w:rsid w:val="006A23BE"/>
    <w:rsid w:val="006A6A81"/>
    <w:rsid w:val="006B11A6"/>
    <w:rsid w:val="006B1AB6"/>
    <w:rsid w:val="006B5EF5"/>
    <w:rsid w:val="006B63DE"/>
    <w:rsid w:val="006C05FE"/>
    <w:rsid w:val="006C0FCA"/>
    <w:rsid w:val="006C1AC5"/>
    <w:rsid w:val="006C56C9"/>
    <w:rsid w:val="006D13BF"/>
    <w:rsid w:val="006D33D3"/>
    <w:rsid w:val="006D4DFE"/>
    <w:rsid w:val="006E0FA2"/>
    <w:rsid w:val="006E28C4"/>
    <w:rsid w:val="006E347B"/>
    <w:rsid w:val="006E6EEB"/>
    <w:rsid w:val="006E7056"/>
    <w:rsid w:val="006F049A"/>
    <w:rsid w:val="006F22E4"/>
    <w:rsid w:val="006F372D"/>
    <w:rsid w:val="006F7393"/>
    <w:rsid w:val="006F7754"/>
    <w:rsid w:val="0070224F"/>
    <w:rsid w:val="007104DD"/>
    <w:rsid w:val="00710664"/>
    <w:rsid w:val="007115F7"/>
    <w:rsid w:val="007127EC"/>
    <w:rsid w:val="00713C04"/>
    <w:rsid w:val="0072078E"/>
    <w:rsid w:val="007207DA"/>
    <w:rsid w:val="00721A5E"/>
    <w:rsid w:val="00721B19"/>
    <w:rsid w:val="0072256B"/>
    <w:rsid w:val="007374F8"/>
    <w:rsid w:val="00741813"/>
    <w:rsid w:val="00742FE1"/>
    <w:rsid w:val="00744CA5"/>
    <w:rsid w:val="00745E11"/>
    <w:rsid w:val="00750197"/>
    <w:rsid w:val="00752267"/>
    <w:rsid w:val="007530E8"/>
    <w:rsid w:val="00754B9D"/>
    <w:rsid w:val="00754F44"/>
    <w:rsid w:val="00754F52"/>
    <w:rsid w:val="00762AA5"/>
    <w:rsid w:val="00764ACC"/>
    <w:rsid w:val="00764E79"/>
    <w:rsid w:val="00770E10"/>
    <w:rsid w:val="00771F06"/>
    <w:rsid w:val="007849A4"/>
    <w:rsid w:val="00784A5D"/>
    <w:rsid w:val="00785689"/>
    <w:rsid w:val="00785782"/>
    <w:rsid w:val="007868C8"/>
    <w:rsid w:val="00786CA2"/>
    <w:rsid w:val="007873B7"/>
    <w:rsid w:val="007874C5"/>
    <w:rsid w:val="007909CB"/>
    <w:rsid w:val="00791025"/>
    <w:rsid w:val="0079198F"/>
    <w:rsid w:val="00792597"/>
    <w:rsid w:val="007925B7"/>
    <w:rsid w:val="007933B3"/>
    <w:rsid w:val="0079754B"/>
    <w:rsid w:val="007A1E6D"/>
    <w:rsid w:val="007A2D5F"/>
    <w:rsid w:val="007A32BA"/>
    <w:rsid w:val="007B0EB2"/>
    <w:rsid w:val="007B563B"/>
    <w:rsid w:val="007B69AC"/>
    <w:rsid w:val="007B73A8"/>
    <w:rsid w:val="007C1459"/>
    <w:rsid w:val="007C1909"/>
    <w:rsid w:val="007C242E"/>
    <w:rsid w:val="007C4CAA"/>
    <w:rsid w:val="007C4F29"/>
    <w:rsid w:val="007E21B3"/>
    <w:rsid w:val="007E4909"/>
    <w:rsid w:val="007E63F1"/>
    <w:rsid w:val="007E6B5E"/>
    <w:rsid w:val="007E6E7F"/>
    <w:rsid w:val="007E7E37"/>
    <w:rsid w:val="007F0B75"/>
    <w:rsid w:val="007F45C5"/>
    <w:rsid w:val="007F4CB0"/>
    <w:rsid w:val="007F6BE1"/>
    <w:rsid w:val="00801118"/>
    <w:rsid w:val="00805896"/>
    <w:rsid w:val="00810B6F"/>
    <w:rsid w:val="00812E0D"/>
    <w:rsid w:val="00813CB2"/>
    <w:rsid w:val="008154A4"/>
    <w:rsid w:val="0081640F"/>
    <w:rsid w:val="008173A8"/>
    <w:rsid w:val="00817B29"/>
    <w:rsid w:val="00821166"/>
    <w:rsid w:val="00822CE0"/>
    <w:rsid w:val="00824136"/>
    <w:rsid w:val="00827182"/>
    <w:rsid w:val="00831004"/>
    <w:rsid w:val="00832FAB"/>
    <w:rsid w:val="00833456"/>
    <w:rsid w:val="00833587"/>
    <w:rsid w:val="0083458E"/>
    <w:rsid w:val="00834A57"/>
    <w:rsid w:val="00840983"/>
    <w:rsid w:val="00841AB1"/>
    <w:rsid w:val="00842BAF"/>
    <w:rsid w:val="008447A9"/>
    <w:rsid w:val="00844880"/>
    <w:rsid w:val="008448CB"/>
    <w:rsid w:val="00845613"/>
    <w:rsid w:val="00845729"/>
    <w:rsid w:val="0085023C"/>
    <w:rsid w:val="00851782"/>
    <w:rsid w:val="00854F92"/>
    <w:rsid w:val="00855274"/>
    <w:rsid w:val="00856D27"/>
    <w:rsid w:val="00860078"/>
    <w:rsid w:val="00861745"/>
    <w:rsid w:val="00861A07"/>
    <w:rsid w:val="0086299A"/>
    <w:rsid w:val="00864869"/>
    <w:rsid w:val="0086673D"/>
    <w:rsid w:val="0086722E"/>
    <w:rsid w:val="00867AB8"/>
    <w:rsid w:val="008770DF"/>
    <w:rsid w:val="008772A4"/>
    <w:rsid w:val="00877DB8"/>
    <w:rsid w:val="008803A6"/>
    <w:rsid w:val="00880567"/>
    <w:rsid w:val="0088162D"/>
    <w:rsid w:val="00881A49"/>
    <w:rsid w:val="00884C8D"/>
    <w:rsid w:val="00884F70"/>
    <w:rsid w:val="00885D00"/>
    <w:rsid w:val="00885F19"/>
    <w:rsid w:val="00891FAB"/>
    <w:rsid w:val="00892246"/>
    <w:rsid w:val="00894B42"/>
    <w:rsid w:val="0089640D"/>
    <w:rsid w:val="00897BF1"/>
    <w:rsid w:val="008A02DF"/>
    <w:rsid w:val="008A06AA"/>
    <w:rsid w:val="008A6310"/>
    <w:rsid w:val="008B2CC1"/>
    <w:rsid w:val="008B3EA4"/>
    <w:rsid w:val="008B42FC"/>
    <w:rsid w:val="008B463F"/>
    <w:rsid w:val="008C00B3"/>
    <w:rsid w:val="008C14D7"/>
    <w:rsid w:val="008C1C65"/>
    <w:rsid w:val="008C49DF"/>
    <w:rsid w:val="008C68F1"/>
    <w:rsid w:val="008C7650"/>
    <w:rsid w:val="008C794C"/>
    <w:rsid w:val="008C79A7"/>
    <w:rsid w:val="008D6C27"/>
    <w:rsid w:val="008E0446"/>
    <w:rsid w:val="008E31A7"/>
    <w:rsid w:val="008E3565"/>
    <w:rsid w:val="008E46DA"/>
    <w:rsid w:val="008F11B3"/>
    <w:rsid w:val="008F1522"/>
    <w:rsid w:val="008F296A"/>
    <w:rsid w:val="008F35A0"/>
    <w:rsid w:val="008F5839"/>
    <w:rsid w:val="008F7D37"/>
    <w:rsid w:val="00901911"/>
    <w:rsid w:val="00903985"/>
    <w:rsid w:val="009064B5"/>
    <w:rsid w:val="00906B99"/>
    <w:rsid w:val="00914DA5"/>
    <w:rsid w:val="00921803"/>
    <w:rsid w:val="00926503"/>
    <w:rsid w:val="009343D4"/>
    <w:rsid w:val="00940243"/>
    <w:rsid w:val="0094197D"/>
    <w:rsid w:val="0094507B"/>
    <w:rsid w:val="0095328E"/>
    <w:rsid w:val="00957F8A"/>
    <w:rsid w:val="009634AE"/>
    <w:rsid w:val="0096791D"/>
    <w:rsid w:val="00970A35"/>
    <w:rsid w:val="00971CFA"/>
    <w:rsid w:val="009726D8"/>
    <w:rsid w:val="00974383"/>
    <w:rsid w:val="00980FB6"/>
    <w:rsid w:val="00983B09"/>
    <w:rsid w:val="00992794"/>
    <w:rsid w:val="00992EA8"/>
    <w:rsid w:val="009A061F"/>
    <w:rsid w:val="009A17CB"/>
    <w:rsid w:val="009A4781"/>
    <w:rsid w:val="009A5F9D"/>
    <w:rsid w:val="009B4DED"/>
    <w:rsid w:val="009C2183"/>
    <w:rsid w:val="009C4A44"/>
    <w:rsid w:val="009C4EF7"/>
    <w:rsid w:val="009C6779"/>
    <w:rsid w:val="009C68C8"/>
    <w:rsid w:val="009D3A4A"/>
    <w:rsid w:val="009D403A"/>
    <w:rsid w:val="009D6353"/>
    <w:rsid w:val="009D7308"/>
    <w:rsid w:val="009D7A44"/>
    <w:rsid w:val="009E1F63"/>
    <w:rsid w:val="009E3835"/>
    <w:rsid w:val="009E3CAD"/>
    <w:rsid w:val="009E465A"/>
    <w:rsid w:val="009E5D72"/>
    <w:rsid w:val="009F196C"/>
    <w:rsid w:val="009F6765"/>
    <w:rsid w:val="009F76DB"/>
    <w:rsid w:val="009F7CC5"/>
    <w:rsid w:val="00A003A9"/>
    <w:rsid w:val="00A01959"/>
    <w:rsid w:val="00A033FE"/>
    <w:rsid w:val="00A10066"/>
    <w:rsid w:val="00A105C0"/>
    <w:rsid w:val="00A21217"/>
    <w:rsid w:val="00A24C85"/>
    <w:rsid w:val="00A25D54"/>
    <w:rsid w:val="00A32C3B"/>
    <w:rsid w:val="00A379C7"/>
    <w:rsid w:val="00A40337"/>
    <w:rsid w:val="00A41AEB"/>
    <w:rsid w:val="00A41D95"/>
    <w:rsid w:val="00A41F52"/>
    <w:rsid w:val="00A43BCC"/>
    <w:rsid w:val="00A454E3"/>
    <w:rsid w:val="00A45F4F"/>
    <w:rsid w:val="00A50D73"/>
    <w:rsid w:val="00A51036"/>
    <w:rsid w:val="00A529F8"/>
    <w:rsid w:val="00A55FF3"/>
    <w:rsid w:val="00A600A9"/>
    <w:rsid w:val="00A714CD"/>
    <w:rsid w:val="00A729CF"/>
    <w:rsid w:val="00A77803"/>
    <w:rsid w:val="00A77C87"/>
    <w:rsid w:val="00A803BD"/>
    <w:rsid w:val="00A8064E"/>
    <w:rsid w:val="00A83EC2"/>
    <w:rsid w:val="00A90BAB"/>
    <w:rsid w:val="00A91547"/>
    <w:rsid w:val="00A92D53"/>
    <w:rsid w:val="00A934FF"/>
    <w:rsid w:val="00A9779D"/>
    <w:rsid w:val="00AA0DA6"/>
    <w:rsid w:val="00AA3054"/>
    <w:rsid w:val="00AA4332"/>
    <w:rsid w:val="00AA55B7"/>
    <w:rsid w:val="00AA5B9E"/>
    <w:rsid w:val="00AA63D3"/>
    <w:rsid w:val="00AB1BA8"/>
    <w:rsid w:val="00AB1D15"/>
    <w:rsid w:val="00AB1F25"/>
    <w:rsid w:val="00AB2407"/>
    <w:rsid w:val="00AB28AF"/>
    <w:rsid w:val="00AB4548"/>
    <w:rsid w:val="00AB53DF"/>
    <w:rsid w:val="00AB6862"/>
    <w:rsid w:val="00AC085B"/>
    <w:rsid w:val="00AC1E74"/>
    <w:rsid w:val="00AC2319"/>
    <w:rsid w:val="00AC26FB"/>
    <w:rsid w:val="00AC3810"/>
    <w:rsid w:val="00AC63D8"/>
    <w:rsid w:val="00AC650C"/>
    <w:rsid w:val="00AC7EEF"/>
    <w:rsid w:val="00AD15F0"/>
    <w:rsid w:val="00AD42B5"/>
    <w:rsid w:val="00AD626B"/>
    <w:rsid w:val="00AD6C65"/>
    <w:rsid w:val="00AE35E5"/>
    <w:rsid w:val="00AE3C67"/>
    <w:rsid w:val="00B01792"/>
    <w:rsid w:val="00B0744B"/>
    <w:rsid w:val="00B07E5C"/>
    <w:rsid w:val="00B13F29"/>
    <w:rsid w:val="00B201E7"/>
    <w:rsid w:val="00B2115F"/>
    <w:rsid w:val="00B23402"/>
    <w:rsid w:val="00B27355"/>
    <w:rsid w:val="00B274DA"/>
    <w:rsid w:val="00B325EC"/>
    <w:rsid w:val="00B334D5"/>
    <w:rsid w:val="00B33FAB"/>
    <w:rsid w:val="00B3734E"/>
    <w:rsid w:val="00B46EFC"/>
    <w:rsid w:val="00B51405"/>
    <w:rsid w:val="00B52129"/>
    <w:rsid w:val="00B52768"/>
    <w:rsid w:val="00B566D4"/>
    <w:rsid w:val="00B62AB9"/>
    <w:rsid w:val="00B65F39"/>
    <w:rsid w:val="00B66307"/>
    <w:rsid w:val="00B66308"/>
    <w:rsid w:val="00B71274"/>
    <w:rsid w:val="00B734EA"/>
    <w:rsid w:val="00B73DE7"/>
    <w:rsid w:val="00B768E7"/>
    <w:rsid w:val="00B778F3"/>
    <w:rsid w:val="00B80046"/>
    <w:rsid w:val="00B8038E"/>
    <w:rsid w:val="00B811F7"/>
    <w:rsid w:val="00B829C2"/>
    <w:rsid w:val="00B92334"/>
    <w:rsid w:val="00B93574"/>
    <w:rsid w:val="00B9434D"/>
    <w:rsid w:val="00B95DC2"/>
    <w:rsid w:val="00B95F64"/>
    <w:rsid w:val="00B96316"/>
    <w:rsid w:val="00BA0270"/>
    <w:rsid w:val="00BA1865"/>
    <w:rsid w:val="00BA4590"/>
    <w:rsid w:val="00BA5DC6"/>
    <w:rsid w:val="00BA6075"/>
    <w:rsid w:val="00BA6196"/>
    <w:rsid w:val="00BB11ED"/>
    <w:rsid w:val="00BB2F62"/>
    <w:rsid w:val="00BB3229"/>
    <w:rsid w:val="00BB48A7"/>
    <w:rsid w:val="00BB7238"/>
    <w:rsid w:val="00BC14D7"/>
    <w:rsid w:val="00BC3F5D"/>
    <w:rsid w:val="00BC436E"/>
    <w:rsid w:val="00BC6D8C"/>
    <w:rsid w:val="00BD0FE1"/>
    <w:rsid w:val="00BD5A28"/>
    <w:rsid w:val="00BD6BB5"/>
    <w:rsid w:val="00BD6CC5"/>
    <w:rsid w:val="00BD6EE1"/>
    <w:rsid w:val="00BE0D99"/>
    <w:rsid w:val="00BE1FCB"/>
    <w:rsid w:val="00BE238D"/>
    <w:rsid w:val="00BE5117"/>
    <w:rsid w:val="00BE6070"/>
    <w:rsid w:val="00BE6996"/>
    <w:rsid w:val="00BE6A66"/>
    <w:rsid w:val="00BF02D4"/>
    <w:rsid w:val="00BF77B6"/>
    <w:rsid w:val="00BF77F2"/>
    <w:rsid w:val="00C0382D"/>
    <w:rsid w:val="00C06AE9"/>
    <w:rsid w:val="00C077AB"/>
    <w:rsid w:val="00C10355"/>
    <w:rsid w:val="00C10609"/>
    <w:rsid w:val="00C13464"/>
    <w:rsid w:val="00C13778"/>
    <w:rsid w:val="00C24BC7"/>
    <w:rsid w:val="00C265A3"/>
    <w:rsid w:val="00C310F0"/>
    <w:rsid w:val="00C34006"/>
    <w:rsid w:val="00C36B4C"/>
    <w:rsid w:val="00C40447"/>
    <w:rsid w:val="00C42130"/>
    <w:rsid w:val="00C426B1"/>
    <w:rsid w:val="00C442A1"/>
    <w:rsid w:val="00C45F2A"/>
    <w:rsid w:val="00C4745B"/>
    <w:rsid w:val="00C525ED"/>
    <w:rsid w:val="00C55C67"/>
    <w:rsid w:val="00C5751E"/>
    <w:rsid w:val="00C57B8D"/>
    <w:rsid w:val="00C648C1"/>
    <w:rsid w:val="00C65355"/>
    <w:rsid w:val="00C66160"/>
    <w:rsid w:val="00C66E40"/>
    <w:rsid w:val="00C721AC"/>
    <w:rsid w:val="00C728B8"/>
    <w:rsid w:val="00C73311"/>
    <w:rsid w:val="00C76BA4"/>
    <w:rsid w:val="00C8061F"/>
    <w:rsid w:val="00C81579"/>
    <w:rsid w:val="00C83D6A"/>
    <w:rsid w:val="00C90D6A"/>
    <w:rsid w:val="00C90FAC"/>
    <w:rsid w:val="00C95079"/>
    <w:rsid w:val="00C964E1"/>
    <w:rsid w:val="00C9693F"/>
    <w:rsid w:val="00CA247E"/>
    <w:rsid w:val="00CA31A5"/>
    <w:rsid w:val="00CA3BE4"/>
    <w:rsid w:val="00CA3E3C"/>
    <w:rsid w:val="00CA6D21"/>
    <w:rsid w:val="00CB0B37"/>
    <w:rsid w:val="00CB252F"/>
    <w:rsid w:val="00CB54A3"/>
    <w:rsid w:val="00CB706A"/>
    <w:rsid w:val="00CB7C15"/>
    <w:rsid w:val="00CC03B4"/>
    <w:rsid w:val="00CC5383"/>
    <w:rsid w:val="00CC64DD"/>
    <w:rsid w:val="00CC6BA3"/>
    <w:rsid w:val="00CC72B6"/>
    <w:rsid w:val="00CD0E76"/>
    <w:rsid w:val="00CD293B"/>
    <w:rsid w:val="00CD7F28"/>
    <w:rsid w:val="00CD7F44"/>
    <w:rsid w:val="00CE14FB"/>
    <w:rsid w:val="00CE30FC"/>
    <w:rsid w:val="00CE3C2B"/>
    <w:rsid w:val="00CE4C81"/>
    <w:rsid w:val="00CF3CC0"/>
    <w:rsid w:val="00CF54B9"/>
    <w:rsid w:val="00D0218D"/>
    <w:rsid w:val="00D02C71"/>
    <w:rsid w:val="00D037F5"/>
    <w:rsid w:val="00D05179"/>
    <w:rsid w:val="00D0517E"/>
    <w:rsid w:val="00D05788"/>
    <w:rsid w:val="00D06A9A"/>
    <w:rsid w:val="00D1304A"/>
    <w:rsid w:val="00D140BE"/>
    <w:rsid w:val="00D14524"/>
    <w:rsid w:val="00D15040"/>
    <w:rsid w:val="00D15847"/>
    <w:rsid w:val="00D16764"/>
    <w:rsid w:val="00D16C78"/>
    <w:rsid w:val="00D16CC8"/>
    <w:rsid w:val="00D17C9E"/>
    <w:rsid w:val="00D20D92"/>
    <w:rsid w:val="00D2281C"/>
    <w:rsid w:val="00D23027"/>
    <w:rsid w:val="00D25FB5"/>
    <w:rsid w:val="00D266C5"/>
    <w:rsid w:val="00D27B80"/>
    <w:rsid w:val="00D31A15"/>
    <w:rsid w:val="00D31E33"/>
    <w:rsid w:val="00D3285C"/>
    <w:rsid w:val="00D33221"/>
    <w:rsid w:val="00D36664"/>
    <w:rsid w:val="00D40352"/>
    <w:rsid w:val="00D4207C"/>
    <w:rsid w:val="00D44223"/>
    <w:rsid w:val="00D44E99"/>
    <w:rsid w:val="00D47973"/>
    <w:rsid w:val="00D50C93"/>
    <w:rsid w:val="00D61DF3"/>
    <w:rsid w:val="00D62D07"/>
    <w:rsid w:val="00D64661"/>
    <w:rsid w:val="00D7013B"/>
    <w:rsid w:val="00D70F44"/>
    <w:rsid w:val="00D71964"/>
    <w:rsid w:val="00D8294A"/>
    <w:rsid w:val="00D85F45"/>
    <w:rsid w:val="00D8702F"/>
    <w:rsid w:val="00D8773C"/>
    <w:rsid w:val="00D94264"/>
    <w:rsid w:val="00D94A0A"/>
    <w:rsid w:val="00D95DB3"/>
    <w:rsid w:val="00D97068"/>
    <w:rsid w:val="00DA031A"/>
    <w:rsid w:val="00DA0370"/>
    <w:rsid w:val="00DA2529"/>
    <w:rsid w:val="00DA5A68"/>
    <w:rsid w:val="00DB11BB"/>
    <w:rsid w:val="00DB130A"/>
    <w:rsid w:val="00DB2EBB"/>
    <w:rsid w:val="00DB405F"/>
    <w:rsid w:val="00DB611A"/>
    <w:rsid w:val="00DB74C1"/>
    <w:rsid w:val="00DC0F20"/>
    <w:rsid w:val="00DC10A1"/>
    <w:rsid w:val="00DC234E"/>
    <w:rsid w:val="00DC655F"/>
    <w:rsid w:val="00DD0B59"/>
    <w:rsid w:val="00DD5D3C"/>
    <w:rsid w:val="00DD7EBD"/>
    <w:rsid w:val="00DE24D0"/>
    <w:rsid w:val="00DE27F5"/>
    <w:rsid w:val="00DE7663"/>
    <w:rsid w:val="00DE776E"/>
    <w:rsid w:val="00DE79AD"/>
    <w:rsid w:val="00DE7AC6"/>
    <w:rsid w:val="00DF03CF"/>
    <w:rsid w:val="00DF1400"/>
    <w:rsid w:val="00DF14C4"/>
    <w:rsid w:val="00DF62B6"/>
    <w:rsid w:val="00DF6484"/>
    <w:rsid w:val="00DF64A1"/>
    <w:rsid w:val="00DF68A1"/>
    <w:rsid w:val="00DF77E0"/>
    <w:rsid w:val="00DF7ECA"/>
    <w:rsid w:val="00E00238"/>
    <w:rsid w:val="00E06562"/>
    <w:rsid w:val="00E06952"/>
    <w:rsid w:val="00E07225"/>
    <w:rsid w:val="00E10EE5"/>
    <w:rsid w:val="00E11A66"/>
    <w:rsid w:val="00E1255F"/>
    <w:rsid w:val="00E13F45"/>
    <w:rsid w:val="00E15C31"/>
    <w:rsid w:val="00E16E3E"/>
    <w:rsid w:val="00E212C4"/>
    <w:rsid w:val="00E21C10"/>
    <w:rsid w:val="00E25481"/>
    <w:rsid w:val="00E257CC"/>
    <w:rsid w:val="00E26C75"/>
    <w:rsid w:val="00E26D4E"/>
    <w:rsid w:val="00E31D54"/>
    <w:rsid w:val="00E321C3"/>
    <w:rsid w:val="00E331E3"/>
    <w:rsid w:val="00E347D4"/>
    <w:rsid w:val="00E37FDB"/>
    <w:rsid w:val="00E412A1"/>
    <w:rsid w:val="00E41B3F"/>
    <w:rsid w:val="00E45FBD"/>
    <w:rsid w:val="00E51B12"/>
    <w:rsid w:val="00E5283D"/>
    <w:rsid w:val="00E5364B"/>
    <w:rsid w:val="00E5409F"/>
    <w:rsid w:val="00E60A2A"/>
    <w:rsid w:val="00E662EC"/>
    <w:rsid w:val="00E6702F"/>
    <w:rsid w:val="00E6776A"/>
    <w:rsid w:val="00E72BC6"/>
    <w:rsid w:val="00E73371"/>
    <w:rsid w:val="00E77ACC"/>
    <w:rsid w:val="00E834C4"/>
    <w:rsid w:val="00E87350"/>
    <w:rsid w:val="00E92B66"/>
    <w:rsid w:val="00EA0B48"/>
    <w:rsid w:val="00EA3974"/>
    <w:rsid w:val="00EA4902"/>
    <w:rsid w:val="00EA74AE"/>
    <w:rsid w:val="00EB097D"/>
    <w:rsid w:val="00EB19FE"/>
    <w:rsid w:val="00EB23E1"/>
    <w:rsid w:val="00EB41B3"/>
    <w:rsid w:val="00EC2B64"/>
    <w:rsid w:val="00EC6971"/>
    <w:rsid w:val="00EC715E"/>
    <w:rsid w:val="00EC731F"/>
    <w:rsid w:val="00ED2FB7"/>
    <w:rsid w:val="00ED4B94"/>
    <w:rsid w:val="00ED6D68"/>
    <w:rsid w:val="00ED736C"/>
    <w:rsid w:val="00ED797F"/>
    <w:rsid w:val="00EE4A5F"/>
    <w:rsid w:val="00EE522B"/>
    <w:rsid w:val="00EE5E4D"/>
    <w:rsid w:val="00EE6488"/>
    <w:rsid w:val="00EE6777"/>
    <w:rsid w:val="00EF0374"/>
    <w:rsid w:val="00EF43B9"/>
    <w:rsid w:val="00EF5E74"/>
    <w:rsid w:val="00EF5F8D"/>
    <w:rsid w:val="00EF6CFB"/>
    <w:rsid w:val="00EF7ED6"/>
    <w:rsid w:val="00F01F46"/>
    <w:rsid w:val="00F021FA"/>
    <w:rsid w:val="00F10F23"/>
    <w:rsid w:val="00F1153C"/>
    <w:rsid w:val="00F11E88"/>
    <w:rsid w:val="00F126CC"/>
    <w:rsid w:val="00F14310"/>
    <w:rsid w:val="00F14B0A"/>
    <w:rsid w:val="00F1687D"/>
    <w:rsid w:val="00F16E73"/>
    <w:rsid w:val="00F25338"/>
    <w:rsid w:val="00F26F57"/>
    <w:rsid w:val="00F30AB1"/>
    <w:rsid w:val="00F32E90"/>
    <w:rsid w:val="00F44AE3"/>
    <w:rsid w:val="00F52CE8"/>
    <w:rsid w:val="00F53A30"/>
    <w:rsid w:val="00F56F06"/>
    <w:rsid w:val="00F57295"/>
    <w:rsid w:val="00F615DE"/>
    <w:rsid w:val="00F628CC"/>
    <w:rsid w:val="00F62901"/>
    <w:rsid w:val="00F62979"/>
    <w:rsid w:val="00F62BF0"/>
    <w:rsid w:val="00F62E97"/>
    <w:rsid w:val="00F6408B"/>
    <w:rsid w:val="00F64209"/>
    <w:rsid w:val="00F66F3C"/>
    <w:rsid w:val="00F676D0"/>
    <w:rsid w:val="00F676F0"/>
    <w:rsid w:val="00F702E6"/>
    <w:rsid w:val="00F703B1"/>
    <w:rsid w:val="00F752BA"/>
    <w:rsid w:val="00F8284C"/>
    <w:rsid w:val="00F85164"/>
    <w:rsid w:val="00F872AD"/>
    <w:rsid w:val="00F909DF"/>
    <w:rsid w:val="00F90E29"/>
    <w:rsid w:val="00F92A62"/>
    <w:rsid w:val="00F93BF5"/>
    <w:rsid w:val="00FB3494"/>
    <w:rsid w:val="00FB462D"/>
    <w:rsid w:val="00FC0040"/>
    <w:rsid w:val="00FC1FEC"/>
    <w:rsid w:val="00FC56E3"/>
    <w:rsid w:val="00FC7B55"/>
    <w:rsid w:val="00FD2C4F"/>
    <w:rsid w:val="00FD3A31"/>
    <w:rsid w:val="00FD52D5"/>
    <w:rsid w:val="00FD61FA"/>
    <w:rsid w:val="00FD7896"/>
    <w:rsid w:val="00FE0599"/>
    <w:rsid w:val="00FE4194"/>
    <w:rsid w:val="00FE50ED"/>
    <w:rsid w:val="00FE7D1C"/>
    <w:rsid w:val="00FF10A2"/>
    <w:rsid w:val="00FF1268"/>
    <w:rsid w:val="00FF2CB5"/>
    <w:rsid w:val="00FF3A35"/>
    <w:rsid w:val="00FF5966"/>
    <w:rsid w:val="00FF668F"/>
    <w:rsid w:val="04D3BAE9"/>
    <w:rsid w:val="0647983F"/>
    <w:rsid w:val="0939AA9A"/>
    <w:rsid w:val="09A99D68"/>
    <w:rsid w:val="0E0593D9"/>
    <w:rsid w:val="1977DFA2"/>
    <w:rsid w:val="1B6A77EF"/>
    <w:rsid w:val="28E5F5FE"/>
    <w:rsid w:val="3157A9E0"/>
    <w:rsid w:val="36E15115"/>
    <w:rsid w:val="446F556F"/>
    <w:rsid w:val="4A185D02"/>
    <w:rsid w:val="4B979AE3"/>
    <w:rsid w:val="4F470DED"/>
    <w:rsid w:val="54A9BFE7"/>
    <w:rsid w:val="560DB628"/>
    <w:rsid w:val="605D380F"/>
    <w:rsid w:val="6AB37DD1"/>
    <w:rsid w:val="735C0F57"/>
    <w:rsid w:val="7553BB31"/>
    <w:rsid w:val="798EEF7B"/>
    <w:rsid w:val="7BAC5B8D"/>
    <w:rsid w:val="7F4EF38C"/>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9BBDB5A"/>
  <w15:chartTrackingRefBased/>
  <w15:docId w15:val="{F2A432FB-0239-48F6-A01B-52B0C6FF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F14B0A"/>
    <w:pPr>
      <w:ind w:left="720"/>
    </w:pPr>
  </w:style>
  <w:style w:type="character" w:styleId="CommentReference">
    <w:name w:val="annotation reference"/>
    <w:rsid w:val="00D0517E"/>
    <w:rPr>
      <w:sz w:val="16"/>
      <w:szCs w:val="16"/>
    </w:rPr>
  </w:style>
  <w:style w:type="paragraph" w:styleId="CommentText">
    <w:name w:val="annotation text"/>
    <w:basedOn w:val="Normal"/>
    <w:link w:val="CommentTextChar"/>
    <w:rsid w:val="00D0517E"/>
    <w:rPr>
      <w:sz w:val="20"/>
    </w:rPr>
  </w:style>
  <w:style w:type="character" w:customStyle="1" w:styleId="CommentTextChar">
    <w:name w:val="Comment Text Char"/>
    <w:link w:val="CommentText"/>
    <w:rsid w:val="00D0517E"/>
    <w:rPr>
      <w:snapToGrid w:val="0"/>
      <w:kern w:val="28"/>
    </w:rPr>
  </w:style>
  <w:style w:type="paragraph" w:styleId="CommentSubject">
    <w:name w:val="annotation subject"/>
    <w:basedOn w:val="CommentText"/>
    <w:next w:val="CommentText"/>
    <w:link w:val="CommentSubjectChar"/>
    <w:rsid w:val="00D0517E"/>
    <w:rPr>
      <w:b/>
      <w:bCs/>
    </w:rPr>
  </w:style>
  <w:style w:type="character" w:customStyle="1" w:styleId="CommentSubjectChar">
    <w:name w:val="Comment Subject Char"/>
    <w:link w:val="CommentSubject"/>
    <w:rsid w:val="00D0517E"/>
    <w:rPr>
      <w:b/>
      <w:bCs/>
      <w:snapToGrid w:val="0"/>
      <w:kern w:val="28"/>
    </w:rPr>
  </w:style>
  <w:style w:type="character" w:customStyle="1" w:styleId="ParaNumCharChar1">
    <w:name w:val="ParaNum Char Char1"/>
    <w:link w:val="ParaNum"/>
    <w:locked/>
    <w:rsid w:val="00621A67"/>
    <w:rPr>
      <w:snapToGrid w:val="0"/>
      <w:kern w:val="28"/>
      <w:sz w:val="22"/>
    </w:rPr>
  </w:style>
  <w:style w:type="character" w:customStyle="1" w:styleId="searchterm">
    <w:name w:val="searchterm"/>
    <w:rsid w:val="00621A67"/>
  </w:style>
  <w:style w:type="paragraph" w:styleId="Revision">
    <w:name w:val="Revision"/>
    <w:hidden/>
    <w:uiPriority w:val="99"/>
    <w:semiHidden/>
    <w:rsid w:val="0074181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