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80AE9" w:rsidRPr="006C7E5D" w14:paraId="51F03196" w14:textId="77777777">
      <w:pPr>
        <w:jc w:val="center"/>
        <w:rPr>
          <w:b/>
          <w:szCs w:val="22"/>
        </w:rPr>
      </w:pPr>
      <w:r w:rsidRPr="006C7E5D">
        <w:rPr>
          <w:b/>
          <w:szCs w:val="22"/>
        </w:rPr>
        <w:t>Before the</w:t>
      </w:r>
    </w:p>
    <w:p w:rsidR="00A80AE9" w:rsidRPr="006C7E5D" w14:paraId="06AB2814" w14:textId="77777777">
      <w:pPr>
        <w:jc w:val="center"/>
        <w:rPr>
          <w:b/>
          <w:szCs w:val="22"/>
        </w:rPr>
      </w:pPr>
      <w:r w:rsidRPr="006C7E5D">
        <w:rPr>
          <w:b/>
          <w:szCs w:val="22"/>
        </w:rPr>
        <w:t>Federal Communications Commission</w:t>
      </w:r>
    </w:p>
    <w:p w:rsidR="00A80AE9" w:rsidRPr="006C7E5D" w14:paraId="6F2D3FE9" w14:textId="77777777">
      <w:pPr>
        <w:jc w:val="center"/>
        <w:rPr>
          <w:b/>
          <w:szCs w:val="22"/>
        </w:rPr>
      </w:pPr>
      <w:r w:rsidRPr="006C7E5D">
        <w:rPr>
          <w:b/>
          <w:szCs w:val="22"/>
        </w:rPr>
        <w:t>Washington, D.C. 20554</w:t>
      </w:r>
    </w:p>
    <w:p w:rsidR="00A80AE9" w:rsidRPr="006C7E5D" w14:paraId="35F9B3C6" w14:textId="77777777">
      <w:pPr>
        <w:rPr>
          <w:szCs w:val="22"/>
        </w:rPr>
      </w:pPr>
    </w:p>
    <w:p w:rsidR="00A80AE9" w:rsidRPr="006C7E5D" w14:paraId="47727C96" w14:textId="77777777">
      <w:pPr>
        <w:rPr>
          <w:szCs w:val="22"/>
        </w:rPr>
      </w:pPr>
    </w:p>
    <w:tbl>
      <w:tblPr>
        <w:tblW w:w="0" w:type="auto"/>
        <w:tblLayout w:type="fixed"/>
        <w:tblLook w:val="0000"/>
      </w:tblPr>
      <w:tblGrid>
        <w:gridCol w:w="4698"/>
        <w:gridCol w:w="720"/>
        <w:gridCol w:w="4230"/>
      </w:tblGrid>
      <w:tr w14:paraId="2E16676D" w14:textId="77777777" w:rsidTr="00463AFB">
        <w:tblPrEx>
          <w:tblW w:w="0" w:type="auto"/>
          <w:tblLayout w:type="fixed"/>
          <w:tblLook w:val="0000"/>
        </w:tblPrEx>
        <w:tc>
          <w:tcPr>
            <w:tcW w:w="4698" w:type="dxa"/>
          </w:tcPr>
          <w:p w:rsidR="00A80AE9" w:rsidRPr="006C7E5D" w14:paraId="0E224F2D" w14:textId="77777777">
            <w:pPr>
              <w:ind w:right="-18"/>
              <w:rPr>
                <w:szCs w:val="22"/>
              </w:rPr>
            </w:pPr>
            <w:r w:rsidRPr="006C7E5D">
              <w:rPr>
                <w:szCs w:val="22"/>
              </w:rPr>
              <w:t>In the Matter of</w:t>
            </w:r>
          </w:p>
          <w:p w:rsidR="00A80AE9" w:rsidRPr="00915BE8" w14:paraId="55442C2A" w14:textId="77777777">
            <w:pPr>
              <w:ind w:right="-18"/>
              <w:rPr>
                <w:bCs/>
                <w:szCs w:val="22"/>
              </w:rPr>
            </w:pPr>
          </w:p>
          <w:p w:rsidR="00A80AE9" w:rsidRPr="00511B8E" w14:paraId="335F37A7" w14:textId="6A67ABD2">
            <w:pPr>
              <w:tabs>
                <w:tab w:val="center" w:pos="4680"/>
              </w:tabs>
              <w:suppressAutoHyphens/>
              <w:rPr>
                <w:b/>
                <w:spacing w:val="-2"/>
              </w:rPr>
            </w:pPr>
            <w:r w:rsidRPr="00BD6EA6">
              <w:rPr>
                <w:bCs/>
                <w:spacing w:val="-2"/>
              </w:rPr>
              <w:t>IHM Licenses, LLC</w:t>
            </w:r>
            <w:r w:rsidR="00B31721">
              <w:rPr>
                <w:b/>
                <w:spacing w:val="-2"/>
              </w:rPr>
              <w:t xml:space="preserve"> </w:t>
            </w:r>
          </w:p>
          <w:p w:rsidR="00104BC7" w:rsidRPr="006C7E5D" w14:paraId="66E6C6D3" w14:textId="77777777">
            <w:pPr>
              <w:tabs>
                <w:tab w:val="center" w:pos="4680"/>
              </w:tabs>
              <w:suppressAutoHyphens/>
              <w:rPr>
                <w:spacing w:val="-2"/>
                <w:szCs w:val="22"/>
              </w:rPr>
            </w:pPr>
          </w:p>
          <w:p w:rsidR="00104BC7" w:rsidRPr="006C7E5D" w:rsidP="00F3482E" w14:paraId="3E667F98" w14:textId="533E0FAB">
            <w:pPr>
              <w:tabs>
                <w:tab w:val="center" w:pos="4680"/>
              </w:tabs>
              <w:suppressAutoHyphens/>
              <w:ind w:right="-177"/>
              <w:rPr>
                <w:spacing w:val="-2"/>
                <w:szCs w:val="22"/>
              </w:rPr>
            </w:pPr>
            <w:r w:rsidRPr="00B31721">
              <w:rPr>
                <w:spacing w:val="-2"/>
                <w:szCs w:val="22"/>
              </w:rPr>
              <w:t xml:space="preserve">Licensee of Station </w:t>
            </w:r>
            <w:r w:rsidRPr="00B07B3C" w:rsidR="00B07B3C">
              <w:rPr>
                <w:spacing w:val="-2"/>
                <w:szCs w:val="22"/>
              </w:rPr>
              <w:t>WBGG-FM, Fort Lauderdale, F</w:t>
            </w:r>
            <w:r w:rsidR="00B07B3C">
              <w:rPr>
                <w:spacing w:val="-2"/>
                <w:szCs w:val="22"/>
              </w:rPr>
              <w:t>L</w:t>
            </w:r>
          </w:p>
        </w:tc>
        <w:tc>
          <w:tcPr>
            <w:tcW w:w="720" w:type="dxa"/>
          </w:tcPr>
          <w:p w:rsidR="00A80AE9" w:rsidRPr="006C7E5D" w14:paraId="7D39B61E" w14:textId="77777777">
            <w:pPr>
              <w:rPr>
                <w:b/>
                <w:szCs w:val="22"/>
              </w:rPr>
            </w:pPr>
            <w:r w:rsidRPr="006C7E5D">
              <w:rPr>
                <w:b/>
                <w:szCs w:val="22"/>
              </w:rPr>
              <w:t>)</w:t>
            </w:r>
          </w:p>
          <w:p w:rsidR="00A80AE9" w:rsidRPr="006C7E5D" w14:paraId="2A0C9D2D" w14:textId="77777777">
            <w:pPr>
              <w:rPr>
                <w:b/>
                <w:szCs w:val="22"/>
              </w:rPr>
            </w:pPr>
            <w:r w:rsidRPr="006C7E5D">
              <w:rPr>
                <w:b/>
                <w:szCs w:val="22"/>
              </w:rPr>
              <w:t>)</w:t>
            </w:r>
          </w:p>
          <w:p w:rsidR="00A80AE9" w:rsidRPr="006C7E5D" w14:paraId="40F69FFD" w14:textId="77777777">
            <w:pPr>
              <w:rPr>
                <w:b/>
                <w:szCs w:val="22"/>
              </w:rPr>
            </w:pPr>
            <w:r w:rsidRPr="006C7E5D">
              <w:rPr>
                <w:b/>
                <w:szCs w:val="22"/>
              </w:rPr>
              <w:t>)</w:t>
            </w:r>
          </w:p>
          <w:p w:rsidR="00A80AE9" w:rsidRPr="006C7E5D" w14:paraId="5064822E" w14:textId="77777777">
            <w:pPr>
              <w:rPr>
                <w:b/>
                <w:szCs w:val="22"/>
              </w:rPr>
            </w:pPr>
            <w:r w:rsidRPr="006C7E5D">
              <w:rPr>
                <w:b/>
                <w:szCs w:val="22"/>
              </w:rPr>
              <w:t>)</w:t>
            </w:r>
          </w:p>
          <w:p w:rsidR="00A80AE9" w:rsidRPr="006C7E5D" w14:paraId="3AE2ED50" w14:textId="77777777">
            <w:pPr>
              <w:rPr>
                <w:b/>
                <w:szCs w:val="22"/>
              </w:rPr>
            </w:pPr>
            <w:r w:rsidRPr="006C7E5D">
              <w:rPr>
                <w:b/>
                <w:szCs w:val="22"/>
              </w:rPr>
              <w:t>)</w:t>
            </w:r>
          </w:p>
        </w:tc>
        <w:tc>
          <w:tcPr>
            <w:tcW w:w="4230" w:type="dxa"/>
          </w:tcPr>
          <w:p w:rsidR="00081417" w:rsidP="00691F1A" w14:paraId="2EB6DE4B" w14:textId="77777777">
            <w:pPr>
              <w:tabs>
                <w:tab w:val="center" w:pos="4680"/>
              </w:tabs>
              <w:rPr>
                <w:spacing w:val="-2"/>
                <w:szCs w:val="22"/>
                <w:lang w:val="es-ES_tradnl"/>
              </w:rPr>
            </w:pPr>
          </w:p>
          <w:p w:rsidR="00081417" w:rsidP="00691F1A" w14:paraId="387AC0FB" w14:textId="77777777">
            <w:pPr>
              <w:tabs>
                <w:tab w:val="center" w:pos="4680"/>
              </w:tabs>
              <w:rPr>
                <w:spacing w:val="-2"/>
                <w:szCs w:val="22"/>
                <w:lang w:val="es-ES_tradnl"/>
              </w:rPr>
            </w:pPr>
          </w:p>
          <w:p w:rsidR="00691F1A" w:rsidRPr="006C7E5D" w:rsidP="00691F1A" w14:paraId="584A3FF0" w14:textId="33ECF8CB">
            <w:pPr>
              <w:tabs>
                <w:tab w:val="center" w:pos="4680"/>
              </w:tabs>
              <w:rPr>
                <w:b/>
                <w:bCs/>
                <w:spacing w:val="-2"/>
                <w:szCs w:val="22"/>
              </w:rPr>
            </w:pPr>
            <w:r w:rsidRPr="006C7E5D">
              <w:rPr>
                <w:spacing w:val="-2"/>
                <w:szCs w:val="22"/>
                <w:lang w:val="es-ES_tradnl"/>
              </w:rPr>
              <w:t xml:space="preserve">File No.:  </w:t>
            </w:r>
            <w:r w:rsidRPr="00B31721" w:rsidR="00B31721">
              <w:rPr>
                <w:bCs/>
                <w:spacing w:val="-2"/>
                <w:szCs w:val="22"/>
              </w:rPr>
              <w:t>EB-IHD-</w:t>
            </w:r>
            <w:r w:rsidRPr="009A72EA" w:rsidR="009A72EA">
              <w:rPr>
                <w:bCs/>
                <w:spacing w:val="-2"/>
                <w:szCs w:val="22"/>
              </w:rPr>
              <w:t>19-00029572</w:t>
            </w:r>
          </w:p>
          <w:p w:rsidR="00691F1A" w:rsidRPr="006C7E5D" w:rsidP="00691F1A" w14:paraId="3383C376" w14:textId="4D9AEEB2">
            <w:pPr>
              <w:autoSpaceDE w:val="0"/>
              <w:autoSpaceDN w:val="0"/>
              <w:adjustRightInd w:val="0"/>
              <w:rPr>
                <w:spacing w:val="-2"/>
                <w:szCs w:val="22"/>
                <w:lang w:val="es-ES_tradnl"/>
              </w:rPr>
            </w:pPr>
            <w:r w:rsidRPr="006C7E5D">
              <w:rPr>
                <w:spacing w:val="-2"/>
                <w:szCs w:val="22"/>
                <w:lang w:val="es-ES_tradnl"/>
              </w:rPr>
              <w:t>NAL/</w:t>
            </w:r>
            <w:r w:rsidRPr="006C7E5D">
              <w:rPr>
                <w:spacing w:val="-2"/>
                <w:szCs w:val="22"/>
                <w:lang w:val="es-ES_tradnl"/>
              </w:rPr>
              <w:t>Acct</w:t>
            </w:r>
            <w:r w:rsidRPr="006C7E5D">
              <w:rPr>
                <w:spacing w:val="-2"/>
                <w:szCs w:val="22"/>
                <w:lang w:val="es-ES_tradnl"/>
              </w:rPr>
              <w:t xml:space="preserve">. No.:  </w:t>
            </w:r>
            <w:r w:rsidRPr="0078618E" w:rsidR="00934622">
              <w:rPr>
                <w:spacing w:val="-2"/>
                <w:szCs w:val="22"/>
                <w:lang w:val="es-ES_tradnl"/>
              </w:rPr>
              <w:t>20</w:t>
            </w:r>
            <w:r w:rsidRPr="0078618E" w:rsidR="005C7CF4">
              <w:rPr>
                <w:spacing w:val="-2"/>
                <w:szCs w:val="22"/>
                <w:lang w:val="es-ES_tradnl"/>
              </w:rPr>
              <w:t>2</w:t>
            </w:r>
            <w:r w:rsidR="002435DC">
              <w:rPr>
                <w:spacing w:val="-2"/>
                <w:szCs w:val="22"/>
                <w:lang w:val="es-ES_tradnl"/>
              </w:rPr>
              <w:t>132080022</w:t>
            </w:r>
          </w:p>
          <w:p w:rsidR="00A80AE9" w:rsidRPr="006C7E5D" w:rsidP="00CB758A" w14:paraId="60EE6792" w14:textId="2450F5F5">
            <w:pPr>
              <w:autoSpaceDE w:val="0"/>
              <w:autoSpaceDN w:val="0"/>
              <w:adjustRightInd w:val="0"/>
              <w:rPr>
                <w:spacing w:val="-2"/>
                <w:szCs w:val="22"/>
                <w:lang w:val="es-ES_tradnl"/>
              </w:rPr>
            </w:pPr>
            <w:r w:rsidRPr="006C7E5D">
              <w:rPr>
                <w:spacing w:val="-2"/>
                <w:szCs w:val="22"/>
              </w:rPr>
              <w:t xml:space="preserve">FRN:  </w:t>
            </w:r>
            <w:r w:rsidRPr="00617EA8" w:rsidR="00617EA8">
              <w:rPr>
                <w:spacing w:val="-2"/>
                <w:szCs w:val="22"/>
              </w:rPr>
              <w:t>0014042816</w:t>
            </w:r>
            <w:r w:rsidR="003D4E0B">
              <w:rPr>
                <w:spacing w:val="-2"/>
                <w:szCs w:val="22"/>
              </w:rPr>
              <w:t xml:space="preserve"> </w:t>
            </w:r>
            <w:r w:rsidR="00B31721">
              <w:rPr>
                <w:spacing w:val="-2"/>
                <w:szCs w:val="22"/>
              </w:rPr>
              <w:t xml:space="preserve"> </w:t>
            </w:r>
          </w:p>
          <w:p w:rsidR="00CB758A" w:rsidRPr="006C7E5D" w:rsidP="00CB758A" w14:paraId="350846D9" w14:textId="77777777">
            <w:pPr>
              <w:autoSpaceDE w:val="0"/>
              <w:autoSpaceDN w:val="0"/>
              <w:adjustRightInd w:val="0"/>
              <w:rPr>
                <w:spacing w:val="-2"/>
                <w:szCs w:val="22"/>
              </w:rPr>
            </w:pPr>
          </w:p>
          <w:p w:rsidR="00A80AE9" w:rsidRPr="006C7E5D" w14:paraId="1992C182" w14:textId="77777777">
            <w:pPr>
              <w:rPr>
                <w:szCs w:val="22"/>
              </w:rPr>
            </w:pPr>
          </w:p>
        </w:tc>
      </w:tr>
    </w:tbl>
    <w:p w:rsidR="00A80AE9" w:rsidRPr="006C7E5D" w14:paraId="2C8A9A37" w14:textId="77777777">
      <w:pPr>
        <w:rPr>
          <w:szCs w:val="22"/>
        </w:rPr>
      </w:pPr>
    </w:p>
    <w:p w:rsidR="00A80AE9" w:rsidRPr="006C7E5D" w14:paraId="5C4AECBF" w14:textId="77777777">
      <w:pPr>
        <w:spacing w:before="120"/>
        <w:jc w:val="center"/>
        <w:rPr>
          <w:b/>
          <w:szCs w:val="22"/>
        </w:rPr>
      </w:pPr>
      <w:r w:rsidRPr="006C7E5D">
        <w:rPr>
          <w:b/>
          <w:spacing w:val="-2"/>
          <w:szCs w:val="22"/>
        </w:rPr>
        <w:t>NOTICE OF APPARENT LIABILITY FOR FORFEITURE</w:t>
      </w:r>
    </w:p>
    <w:p w:rsidR="00A80AE9" w:rsidRPr="006C7E5D" w14:paraId="41694124" w14:textId="77777777">
      <w:pPr>
        <w:rPr>
          <w:szCs w:val="22"/>
        </w:rPr>
      </w:pPr>
    </w:p>
    <w:p w:rsidR="00A80AE9" w:rsidRPr="006C7E5D" w14:paraId="7DF4CF2D" w14:textId="61C27DC6">
      <w:pPr>
        <w:tabs>
          <w:tab w:val="left" w:pos="5760"/>
        </w:tabs>
        <w:rPr>
          <w:b/>
          <w:szCs w:val="22"/>
        </w:rPr>
      </w:pPr>
      <w:r w:rsidRPr="006C7E5D">
        <w:rPr>
          <w:b/>
          <w:szCs w:val="22"/>
        </w:rPr>
        <w:t>Adopted</w:t>
      </w:r>
      <w:r w:rsidRPr="004C412C">
        <w:rPr>
          <w:b/>
          <w:szCs w:val="22"/>
        </w:rPr>
        <w:t xml:space="preserve">:  </w:t>
      </w:r>
      <w:r w:rsidR="004C412C">
        <w:rPr>
          <w:b/>
          <w:szCs w:val="22"/>
        </w:rPr>
        <w:t>March 1</w:t>
      </w:r>
      <w:r w:rsidRPr="004C412C" w:rsidR="00026CE7">
        <w:rPr>
          <w:b/>
        </w:rPr>
        <w:t>,</w:t>
      </w:r>
      <w:r w:rsidRPr="00AB5ED0" w:rsidR="00026CE7">
        <w:rPr>
          <w:b/>
        </w:rPr>
        <w:t xml:space="preserve"> 20</w:t>
      </w:r>
      <w:r w:rsidRPr="00AB5ED0" w:rsidR="00D0192F">
        <w:rPr>
          <w:b/>
        </w:rPr>
        <w:t>2</w:t>
      </w:r>
      <w:r w:rsidR="00D7735C">
        <w:rPr>
          <w:b/>
        </w:rPr>
        <w:t>2</w:t>
      </w:r>
      <w:r w:rsidRPr="00FF2FE0" w:rsidR="00474DA1">
        <w:rPr>
          <w:b/>
          <w:szCs w:val="22"/>
        </w:rPr>
        <w:t xml:space="preserve">    </w:t>
      </w:r>
      <w:r w:rsidRPr="00FF2FE0" w:rsidR="00474DA1">
        <w:rPr>
          <w:b/>
          <w:szCs w:val="22"/>
        </w:rPr>
        <w:tab/>
      </w:r>
      <w:r w:rsidRPr="00FF2FE0" w:rsidR="00443A6D">
        <w:rPr>
          <w:b/>
          <w:szCs w:val="22"/>
        </w:rPr>
        <w:t xml:space="preserve"> </w:t>
      </w:r>
      <w:r w:rsidRPr="00FF2FE0">
        <w:rPr>
          <w:b/>
          <w:szCs w:val="22"/>
        </w:rPr>
        <w:t xml:space="preserve">Released:  </w:t>
      </w:r>
      <w:r w:rsidR="004C412C">
        <w:rPr>
          <w:b/>
          <w:szCs w:val="22"/>
        </w:rPr>
        <w:t>March 1</w:t>
      </w:r>
      <w:r w:rsidRPr="00AB5ED0" w:rsidR="004818B1">
        <w:rPr>
          <w:b/>
        </w:rPr>
        <w:t>, 202</w:t>
      </w:r>
      <w:r w:rsidR="00D7735C">
        <w:rPr>
          <w:b/>
        </w:rPr>
        <w:t>2</w:t>
      </w:r>
      <w:r w:rsidRPr="006C7E5D">
        <w:rPr>
          <w:b/>
          <w:szCs w:val="22"/>
        </w:rPr>
        <w:t xml:space="preserve">    </w:t>
      </w:r>
    </w:p>
    <w:p w:rsidR="00A80AE9" w:rsidRPr="006C7E5D" w14:paraId="33BCEE08" w14:textId="77777777">
      <w:pPr>
        <w:tabs>
          <w:tab w:val="left" w:pos="5760"/>
        </w:tabs>
        <w:rPr>
          <w:b/>
          <w:szCs w:val="22"/>
        </w:rPr>
      </w:pPr>
    </w:p>
    <w:p w:rsidR="00A80AE9" w:rsidRPr="006C7E5D" w14:paraId="720465F8" w14:textId="5BB3BDCC">
      <w:pPr>
        <w:rPr>
          <w:szCs w:val="22"/>
        </w:rPr>
      </w:pPr>
      <w:r w:rsidRPr="006C7E5D">
        <w:rPr>
          <w:szCs w:val="22"/>
        </w:rPr>
        <w:t xml:space="preserve">By the </w:t>
      </w:r>
      <w:r w:rsidR="00661211">
        <w:rPr>
          <w:szCs w:val="22"/>
        </w:rPr>
        <w:t xml:space="preserve">Acting </w:t>
      </w:r>
      <w:r w:rsidRPr="006C7E5D" w:rsidR="006A68B5">
        <w:rPr>
          <w:szCs w:val="22"/>
        </w:rPr>
        <w:t>Chief, Enforcement Bureau</w:t>
      </w:r>
      <w:r w:rsidRPr="006C7E5D">
        <w:rPr>
          <w:szCs w:val="22"/>
        </w:rPr>
        <w:t xml:space="preserve">:  </w:t>
      </w:r>
    </w:p>
    <w:p w:rsidR="00A80AE9" w:rsidRPr="006C7E5D" w14:paraId="2DC8DCB9" w14:textId="77777777">
      <w:pPr>
        <w:rPr>
          <w:szCs w:val="22"/>
        </w:rPr>
      </w:pPr>
    </w:p>
    <w:p w:rsidR="00A80AE9" w:rsidRPr="006C7E5D" w14:paraId="0DC861FA" w14:textId="77777777">
      <w:pPr>
        <w:pStyle w:val="Heading1"/>
        <w:rPr>
          <w:szCs w:val="22"/>
        </w:rPr>
      </w:pPr>
      <w:r w:rsidRPr="006C7E5D">
        <w:rPr>
          <w:szCs w:val="22"/>
        </w:rPr>
        <w:t>introduction</w:t>
      </w:r>
    </w:p>
    <w:p w:rsidR="009F5BBF" w:rsidRPr="006C7E5D" w:rsidP="00BD5E86" w14:paraId="5B637335" w14:textId="7C4799AA">
      <w:pPr>
        <w:pStyle w:val="ParaNum"/>
      </w:pPr>
      <w:r>
        <w:t xml:space="preserve">The Federal Communications Commission (FCC or Commission) rules require licensees to fully and accurately disclose material contest terms and conduct contests substantially as announced and advertised.  </w:t>
      </w:r>
      <w:r w:rsidR="004C726E">
        <w:t>In this Notice of Apparent Liability For Forfeiture</w:t>
      </w:r>
      <w:r>
        <w:t xml:space="preserve"> (NAL)</w:t>
      </w:r>
      <w:r w:rsidR="004C471E">
        <w:t>, w</w:t>
      </w:r>
      <w:r w:rsidRPr="006C7E5D" w:rsidR="00BA7DB0">
        <w:t xml:space="preserve">e find that </w:t>
      </w:r>
      <w:bookmarkStart w:id="0" w:name="_Hlk84341175"/>
      <w:r w:rsidR="00176F01">
        <w:t>IHM Licenses, LLC</w:t>
      </w:r>
      <w:r w:rsidR="0028501D">
        <w:t xml:space="preserve"> (</w:t>
      </w:r>
      <w:r w:rsidRPr="00493938" w:rsidR="00493938">
        <w:t>Licensee)</w:t>
      </w:r>
      <w:bookmarkEnd w:id="0"/>
      <w:r w:rsidRPr="00AE4DF4" w:rsidR="00037715">
        <w:t>,</w:t>
      </w:r>
      <w:r>
        <w:rPr>
          <w:rStyle w:val="FootnoteReference"/>
        </w:rPr>
        <w:footnoteReference w:id="3"/>
      </w:r>
      <w:r w:rsidRPr="00AE4DF4" w:rsidR="00037715">
        <w:t xml:space="preserve"> licensee of </w:t>
      </w:r>
      <w:r w:rsidRPr="00B07B3C" w:rsidR="00540DD1">
        <w:rPr>
          <w:spacing w:val="-2"/>
          <w:szCs w:val="22"/>
        </w:rPr>
        <w:t>WBGG-FM</w:t>
      </w:r>
      <w:r w:rsidRPr="00AE4DF4" w:rsidR="00540DD1">
        <w:t xml:space="preserve"> </w:t>
      </w:r>
      <w:r w:rsidRPr="00AE4DF4" w:rsidR="00037715">
        <w:t xml:space="preserve">(Station), </w:t>
      </w:r>
      <w:r w:rsidRPr="00540DD1" w:rsidR="00540DD1">
        <w:rPr>
          <w:spacing w:val="-2"/>
          <w:szCs w:val="22"/>
        </w:rPr>
        <w:t>Fort Lauderdale, Florida</w:t>
      </w:r>
      <w:r w:rsidRPr="00AE4DF4" w:rsidR="00037715">
        <w:t>,</w:t>
      </w:r>
      <w:r w:rsidRPr="006C7E5D" w:rsidR="00BA7DB0">
        <w:t xml:space="preserve"> </w:t>
      </w:r>
      <w:r w:rsidR="00BA7DB0">
        <w:t xml:space="preserve">apparently violated the Commission’s rules when it </w:t>
      </w:r>
      <w:r w:rsidRPr="006C7E5D" w:rsidR="00BA7DB0">
        <w:t xml:space="preserve">failed to </w:t>
      </w:r>
      <w:r w:rsidRPr="00540DD1" w:rsidR="00540DD1">
        <w:t xml:space="preserve">allow a </w:t>
      </w:r>
      <w:r w:rsidR="00155B6D">
        <w:t xml:space="preserve">prospective </w:t>
      </w:r>
      <w:r w:rsidRPr="00540DD1" w:rsidR="00540DD1">
        <w:t>participant to enter a contest</w:t>
      </w:r>
      <w:r w:rsidR="00C2122B">
        <w:t xml:space="preserve"> </w:t>
      </w:r>
      <w:r w:rsidR="00F42CCF">
        <w:t>for reasons</w:t>
      </w:r>
      <w:r w:rsidR="00C207B9">
        <w:t xml:space="preserve"> at odds with the written rules for the contest</w:t>
      </w:r>
      <w:r w:rsidR="00BA7DB0">
        <w:t xml:space="preserve">, thereby not </w:t>
      </w:r>
      <w:r w:rsidRPr="006C7E5D" w:rsidR="00BA7DB0">
        <w:t>conduct</w:t>
      </w:r>
      <w:r w:rsidR="00BA7DB0">
        <w:t>ing</w:t>
      </w:r>
      <w:r w:rsidRPr="006C7E5D" w:rsidR="00BA7DB0">
        <w:t xml:space="preserve"> </w:t>
      </w:r>
      <w:r w:rsidR="00BA7DB0">
        <w:t>the</w:t>
      </w:r>
      <w:r w:rsidRPr="006C7E5D" w:rsidR="00BA7DB0">
        <w:t xml:space="preserve"> contest substantially as announced or advertised.</w:t>
      </w:r>
      <w:r w:rsidR="00BA7DB0">
        <w:t xml:space="preserve"> </w:t>
      </w:r>
      <w:r w:rsidRPr="006C7E5D" w:rsidR="00BA7DB0">
        <w:t xml:space="preserve"> </w:t>
      </w:r>
      <w:r w:rsidR="00155B6D">
        <w:t xml:space="preserve">Further, Licensee apparently failed to maintain the contest’s rules on the Station’s website for at least 30 days after the end of the contest.  </w:t>
      </w:r>
      <w:r w:rsidR="000F076E">
        <w:t>W</w:t>
      </w:r>
      <w:r w:rsidRPr="00AE4DF4" w:rsidR="00BA7DB0">
        <w:t xml:space="preserve">e </w:t>
      </w:r>
      <w:r w:rsidR="000F076E">
        <w:t xml:space="preserve">therefore </w:t>
      </w:r>
      <w:r w:rsidRPr="00AE4DF4" w:rsidR="00BA7DB0">
        <w:t xml:space="preserve">propose a penalty of </w:t>
      </w:r>
      <w:r w:rsidRPr="00B31721" w:rsidR="00BA7DB0">
        <w:t>$</w:t>
      </w:r>
      <w:r w:rsidR="001D489F">
        <w:t>2</w:t>
      </w:r>
      <w:r w:rsidR="00540DD1">
        <w:t>0</w:t>
      </w:r>
      <w:r w:rsidRPr="00B31721" w:rsidR="00BA7DB0">
        <w:t>,</w:t>
      </w:r>
      <w:r w:rsidR="00540DD1">
        <w:t>0</w:t>
      </w:r>
      <w:r w:rsidRPr="00B31721" w:rsidR="00BA7DB0">
        <w:t xml:space="preserve">00 </w:t>
      </w:r>
      <w:r w:rsidRPr="00AE4DF4" w:rsidR="00BA7DB0">
        <w:t xml:space="preserve">against </w:t>
      </w:r>
      <w:r w:rsidR="00176F01">
        <w:t>Licensee</w:t>
      </w:r>
      <w:r w:rsidRPr="00493938" w:rsidR="00DB3F6F">
        <w:t xml:space="preserve"> </w:t>
      </w:r>
      <w:r w:rsidRPr="00AE4DF4" w:rsidR="00BA7DB0">
        <w:t>for its apparent violation of the Commission’s rules</w:t>
      </w:r>
      <w:r w:rsidR="00BA7DB0">
        <w:t>.</w:t>
      </w:r>
      <w:r>
        <w:rPr>
          <w:sz w:val="20"/>
          <w:vertAlign w:val="superscript"/>
        </w:rPr>
        <w:footnoteReference w:id="4"/>
      </w:r>
    </w:p>
    <w:p w:rsidR="00181A20" w:rsidP="00F04382" w14:paraId="1147ABB9" w14:textId="77777777">
      <w:pPr>
        <w:pStyle w:val="Heading1"/>
        <w:widowControl/>
        <w:rPr>
          <w:szCs w:val="22"/>
        </w:rPr>
      </w:pPr>
      <w:r w:rsidRPr="006C7E5D">
        <w:rPr>
          <w:szCs w:val="22"/>
        </w:rPr>
        <w:t>background</w:t>
      </w:r>
    </w:p>
    <w:p w:rsidR="00D4044E" w:rsidRPr="00D4044E" w:rsidP="00D4044E" w14:paraId="0593882A" w14:textId="615F74E2">
      <w:pPr>
        <w:pStyle w:val="ParaNum"/>
      </w:pPr>
      <w:r w:rsidRPr="00E44C14">
        <w:rPr>
          <w:i/>
          <w:iCs/>
        </w:rPr>
        <w:t>Legal Background.</w:t>
      </w:r>
      <w:r>
        <w:t xml:space="preserve">  Section 73.1216 of the Comm</w:t>
      </w:r>
      <w:r w:rsidRPr="00D4044E">
        <w:t xml:space="preserve">ission’s </w:t>
      </w:r>
      <w:r>
        <w:t>r</w:t>
      </w:r>
      <w:r w:rsidRPr="00D4044E">
        <w:t>ule</w:t>
      </w:r>
      <w:r>
        <w:t>s</w:t>
      </w:r>
      <w:r w:rsidRPr="00D4044E">
        <w:t xml:space="preserve"> </w:t>
      </w:r>
      <w:r w:rsidRPr="00AE4DF4">
        <w:t>(Contest Rule)</w:t>
      </w:r>
      <w:r>
        <w:t xml:space="preserve"> </w:t>
      </w:r>
      <w:r w:rsidRPr="00D4044E">
        <w:t xml:space="preserve">requires a licensee to </w:t>
      </w:r>
      <w:r>
        <w:t>“</w:t>
      </w:r>
      <w:r w:rsidRPr="00D4044E">
        <w:t xml:space="preserve">fully and accurately disclose the material terms” of a contest it broadcasts or advertises, and </w:t>
      </w:r>
      <w:r w:rsidR="000F076E">
        <w:t xml:space="preserve">to </w:t>
      </w:r>
      <w:r w:rsidRPr="00D4044E">
        <w:t>conduct the contest “substantially as announced and advertised.”</w:t>
      </w:r>
      <w:r>
        <w:rPr>
          <w:sz w:val="20"/>
          <w:vertAlign w:val="superscript"/>
        </w:rPr>
        <w:footnoteReference w:id="5"/>
      </w:r>
      <w:r w:rsidRPr="00D4044E">
        <w:t xml:space="preserve">  </w:t>
      </w:r>
      <w:r w:rsidR="00ED0516">
        <w:t>I</w:t>
      </w:r>
      <w:r w:rsidRPr="00D4044E" w:rsidR="00ED0516">
        <w:t>n 2015</w:t>
      </w:r>
      <w:r w:rsidR="00ED0516">
        <w:t>,</w:t>
      </w:r>
      <w:r w:rsidRPr="00D4044E" w:rsidR="00ED0516">
        <w:t xml:space="preserve"> </w:t>
      </w:r>
      <w:r w:rsidRPr="00D4044E">
        <w:t xml:space="preserve">the Commission updated </w:t>
      </w:r>
      <w:r w:rsidR="002D1D81">
        <w:t>section 73.1216</w:t>
      </w:r>
      <w:r w:rsidRPr="00D4044E">
        <w:t xml:space="preserve"> to permit broadcast licensee</w:t>
      </w:r>
      <w:r w:rsidR="00DE5AFF">
        <w:t>s</w:t>
      </w:r>
      <w:r w:rsidRPr="00D4044E">
        <w:t xml:space="preserve"> to disclose material contest terms either by broadcasting those terms or making them available in writing on a publicly accessible </w:t>
      </w:r>
      <w:r w:rsidR="00F91451">
        <w:t>i</w:t>
      </w:r>
      <w:r w:rsidRPr="00D4044E">
        <w:t>nternet website</w:t>
      </w:r>
      <w:r w:rsidR="00F11F36">
        <w:t>, and required that the licensee maintain material contest terms on the website for at least thirty days after the contest has concluded</w:t>
      </w:r>
      <w:r w:rsidR="00ED0516">
        <w:t>.</w:t>
      </w:r>
      <w:r>
        <w:rPr>
          <w:rStyle w:val="FootnoteReference"/>
        </w:rPr>
        <w:footnoteReference w:id="6"/>
      </w:r>
      <w:r w:rsidR="00ED0516">
        <w:t xml:space="preserve">  A</w:t>
      </w:r>
      <w:r w:rsidRPr="00D4044E">
        <w:t>t the same time</w:t>
      </w:r>
      <w:r w:rsidR="00ED0516">
        <w:t>, the Commission</w:t>
      </w:r>
      <w:r w:rsidRPr="00D4044E">
        <w:t xml:space="preserve"> affirmed the core principles of </w:t>
      </w:r>
      <w:r w:rsidR="002D1D81">
        <w:t>section 73.1216</w:t>
      </w:r>
      <w:r w:rsidRPr="00D4044E">
        <w:t xml:space="preserve">, including the requirement that contests be conducted substantially as announced </w:t>
      </w:r>
      <w:r w:rsidR="00365110">
        <w:t>and</w:t>
      </w:r>
      <w:r w:rsidRPr="00D4044E">
        <w:t xml:space="preserve"> advertised.</w:t>
      </w:r>
      <w:r>
        <w:rPr>
          <w:sz w:val="20"/>
          <w:vertAlign w:val="superscript"/>
        </w:rPr>
        <w:footnoteReference w:id="7"/>
      </w:r>
      <w:r w:rsidRPr="00D4044E">
        <w:t xml:space="preserve">  </w:t>
      </w:r>
      <w:r w:rsidRPr="00CE2A41" w:rsidR="00DB3AC0">
        <w:t>Material terms include any eligibility restrictions</w:t>
      </w:r>
      <w:r w:rsidR="00DB3AC0">
        <w:t xml:space="preserve"> and</w:t>
      </w:r>
      <w:r w:rsidRPr="00CE2A41" w:rsidR="00DB3AC0">
        <w:t xml:space="preserve"> means of selecting winners</w:t>
      </w:r>
      <w:r w:rsidRPr="00CE2A41" w:rsidR="00DB3AC0">
        <w:rPr>
          <w:color w:val="000000"/>
          <w:shd w:val="clear" w:color="auto" w:fill="FFFFFF"/>
        </w:rPr>
        <w:t>.</w:t>
      </w:r>
      <w:r>
        <w:rPr>
          <w:sz w:val="20"/>
          <w:vertAlign w:val="superscript"/>
        </w:rPr>
        <w:footnoteReference w:id="8"/>
      </w:r>
      <w:r w:rsidRPr="00CE2A41" w:rsidR="00DB3AC0">
        <w:rPr>
          <w:color w:val="000000"/>
          <w:shd w:val="clear" w:color="auto" w:fill="FFFFFF"/>
        </w:rPr>
        <w:t xml:space="preserve"> </w:t>
      </w:r>
      <w:r w:rsidR="00DB3AC0">
        <w:rPr>
          <w:color w:val="000000"/>
          <w:shd w:val="clear" w:color="auto" w:fill="FFFFFF"/>
        </w:rPr>
        <w:t xml:space="preserve"> </w:t>
      </w:r>
      <w:r w:rsidR="00365110">
        <w:rPr>
          <w:color w:val="000000"/>
          <w:shd w:val="clear" w:color="auto" w:fill="FFFFFF"/>
        </w:rPr>
        <w:t>In applying the Commission’s rule,</w:t>
      </w:r>
      <w:r w:rsidR="00DB3AC0">
        <w:rPr>
          <w:color w:val="000000"/>
          <w:shd w:val="clear" w:color="auto" w:fill="FFFFFF"/>
        </w:rPr>
        <w:t xml:space="preserve"> any ambiguities in contest </w:t>
      </w:r>
      <w:r w:rsidR="00DC0BEA">
        <w:rPr>
          <w:color w:val="000000"/>
          <w:shd w:val="clear" w:color="auto" w:fill="FFFFFF"/>
        </w:rPr>
        <w:t xml:space="preserve">rule </w:t>
      </w:r>
      <w:r w:rsidR="00DB3AC0">
        <w:rPr>
          <w:color w:val="000000"/>
          <w:shd w:val="clear" w:color="auto" w:fill="FFFFFF"/>
        </w:rPr>
        <w:t xml:space="preserve">disclosures </w:t>
      </w:r>
      <w:r w:rsidR="00365110">
        <w:rPr>
          <w:color w:val="000000"/>
          <w:shd w:val="clear" w:color="auto" w:fill="FFFFFF"/>
        </w:rPr>
        <w:t xml:space="preserve">will be construed </w:t>
      </w:r>
      <w:r w:rsidR="00DB3AC0">
        <w:rPr>
          <w:color w:val="000000"/>
          <w:shd w:val="clear" w:color="auto" w:fill="FFFFFF"/>
        </w:rPr>
        <w:t>against the licensee.</w:t>
      </w:r>
      <w:r>
        <w:rPr>
          <w:rStyle w:val="FootnoteReference"/>
          <w:color w:val="000000"/>
          <w:shd w:val="clear" w:color="auto" w:fill="FFFFFF"/>
        </w:rPr>
        <w:footnoteReference w:id="9"/>
      </w:r>
      <w:r w:rsidR="00DB3AC0">
        <w:rPr>
          <w:color w:val="000000"/>
          <w:shd w:val="clear" w:color="auto" w:fill="FFFFFF"/>
        </w:rPr>
        <w:t xml:space="preserve">  </w:t>
      </w:r>
      <w:r w:rsidR="00092007">
        <w:rPr>
          <w:color w:val="000000"/>
          <w:shd w:val="clear" w:color="auto" w:fill="FFFFFF"/>
        </w:rPr>
        <w:t>In this regard, t</w:t>
      </w:r>
      <w:r w:rsidR="00DB3AC0">
        <w:rPr>
          <w:color w:val="000000"/>
          <w:shd w:val="clear" w:color="auto" w:fill="FFFFFF"/>
        </w:rPr>
        <w:t>he</w:t>
      </w:r>
      <w:r w:rsidR="00BE129A">
        <w:rPr>
          <w:color w:val="000000"/>
          <w:shd w:val="clear" w:color="auto" w:fill="FFFFFF"/>
        </w:rPr>
        <w:t xml:space="preserve"> </w:t>
      </w:r>
      <w:r w:rsidR="00CE2186">
        <w:rPr>
          <w:color w:val="000000"/>
          <w:shd w:val="clear" w:color="auto" w:fill="FFFFFF"/>
        </w:rPr>
        <w:t xml:space="preserve">Enforcement </w:t>
      </w:r>
      <w:r w:rsidR="00A97491">
        <w:rPr>
          <w:color w:val="000000"/>
          <w:shd w:val="clear" w:color="auto" w:fill="FFFFFF"/>
        </w:rPr>
        <w:t>B</w:t>
      </w:r>
      <w:r w:rsidR="00BE129A">
        <w:rPr>
          <w:color w:val="000000"/>
          <w:shd w:val="clear" w:color="auto" w:fill="FFFFFF"/>
        </w:rPr>
        <w:t>ureau</w:t>
      </w:r>
      <w:r w:rsidR="00CE2186">
        <w:rPr>
          <w:color w:val="000000"/>
          <w:shd w:val="clear" w:color="auto" w:fill="FFFFFF"/>
        </w:rPr>
        <w:t xml:space="preserve"> (Bureau)</w:t>
      </w:r>
      <w:r w:rsidR="00DB3AC0">
        <w:rPr>
          <w:color w:val="000000"/>
          <w:shd w:val="clear" w:color="auto" w:fill="FFFFFF"/>
        </w:rPr>
        <w:t xml:space="preserve"> has found a </w:t>
      </w:r>
      <w:bookmarkStart w:id="2" w:name="_Hlk77348637"/>
      <w:r w:rsidRPr="00DD189F" w:rsidR="00DD189F">
        <w:rPr>
          <w:color w:val="000000"/>
          <w:shd w:val="clear" w:color="auto" w:fill="FFFFFF"/>
        </w:rPr>
        <w:t>failure to disclose material terms when the contest rules were ambiguous and open to various interpretations</w:t>
      </w:r>
      <w:bookmarkEnd w:id="2"/>
      <w:r w:rsidR="00DB3AC0">
        <w:rPr>
          <w:color w:val="000000"/>
          <w:shd w:val="clear" w:color="auto" w:fill="FFFFFF"/>
        </w:rPr>
        <w:t>.</w:t>
      </w:r>
      <w:r>
        <w:rPr>
          <w:rStyle w:val="FootnoteReference"/>
          <w:color w:val="000000"/>
          <w:shd w:val="clear" w:color="auto" w:fill="FFFFFF"/>
        </w:rPr>
        <w:footnoteReference w:id="10"/>
      </w:r>
      <w:r w:rsidR="00DB3AC0">
        <w:rPr>
          <w:color w:val="000000"/>
          <w:shd w:val="clear" w:color="auto" w:fill="FFFFFF"/>
        </w:rPr>
        <w:t xml:space="preserve">  Contest broadcast announcements are considered “false, misleading, or deceptive ‘</w:t>
      </w:r>
      <w:r w:rsidRPr="008C4ECD" w:rsidR="00DB3AC0">
        <w:rPr>
          <w:color w:val="000000"/>
          <w:shd w:val="clear" w:color="auto" w:fill="FFFFFF"/>
        </w:rPr>
        <w:t>if the net impression of the announcement has a tendency to mislead the public.</w:t>
      </w:r>
      <w:r w:rsidR="00DB3AC0">
        <w:rPr>
          <w:color w:val="000000"/>
          <w:shd w:val="clear" w:color="auto" w:fill="FFFFFF"/>
        </w:rPr>
        <w:t>’”</w:t>
      </w:r>
      <w:r>
        <w:rPr>
          <w:rStyle w:val="FootnoteReference"/>
          <w:color w:val="000000"/>
          <w:shd w:val="clear" w:color="auto" w:fill="FFFFFF"/>
        </w:rPr>
        <w:footnoteReference w:id="11"/>
      </w:r>
      <w:r w:rsidR="00DB3AC0">
        <w:rPr>
          <w:color w:val="000000"/>
          <w:shd w:val="clear" w:color="auto" w:fill="FFFFFF"/>
        </w:rPr>
        <w:t xml:space="preserve">  Moreover, </w:t>
      </w:r>
      <w:r w:rsidR="00557EF3">
        <w:rPr>
          <w:color w:val="000000"/>
          <w:shd w:val="clear" w:color="auto" w:fill="FFFFFF"/>
        </w:rPr>
        <w:t>there is a violation of the Contest Rule when</w:t>
      </w:r>
      <w:r w:rsidR="00CB343F">
        <w:rPr>
          <w:color w:val="000000"/>
          <w:shd w:val="clear" w:color="auto" w:fill="FFFFFF"/>
        </w:rPr>
        <w:t xml:space="preserve"> </w:t>
      </w:r>
      <w:r w:rsidR="00DB3AC0">
        <w:rPr>
          <w:color w:val="000000"/>
          <w:shd w:val="clear" w:color="auto" w:fill="FFFFFF"/>
        </w:rPr>
        <w:t xml:space="preserve">station personnel misapply </w:t>
      </w:r>
      <w:r w:rsidR="00557EF3">
        <w:rPr>
          <w:color w:val="000000"/>
          <w:shd w:val="clear" w:color="auto" w:fill="FFFFFF"/>
        </w:rPr>
        <w:t>a</w:t>
      </w:r>
      <w:r w:rsidR="00DB3AC0">
        <w:rPr>
          <w:color w:val="000000"/>
          <w:shd w:val="clear" w:color="auto" w:fill="FFFFFF"/>
        </w:rPr>
        <w:t xml:space="preserve"> </w:t>
      </w:r>
      <w:r w:rsidR="00F23C24">
        <w:rPr>
          <w:color w:val="000000"/>
          <w:shd w:val="clear" w:color="auto" w:fill="FFFFFF"/>
        </w:rPr>
        <w:t>s</w:t>
      </w:r>
      <w:r w:rsidR="00557EF3">
        <w:rPr>
          <w:color w:val="000000"/>
          <w:shd w:val="clear" w:color="auto" w:fill="FFFFFF"/>
        </w:rPr>
        <w:t>tation’s</w:t>
      </w:r>
      <w:r w:rsidR="00DB3AC0">
        <w:rPr>
          <w:color w:val="000000"/>
          <w:shd w:val="clear" w:color="auto" w:fill="FFFFFF"/>
        </w:rPr>
        <w:t xml:space="preserve"> contest rules resulting in </w:t>
      </w:r>
      <w:r w:rsidR="00557EF3">
        <w:rPr>
          <w:color w:val="000000"/>
          <w:shd w:val="clear" w:color="auto" w:fill="FFFFFF"/>
        </w:rPr>
        <w:t xml:space="preserve">the </w:t>
      </w:r>
      <w:r w:rsidR="00DC0BEA">
        <w:rPr>
          <w:color w:val="000000"/>
          <w:shd w:val="clear" w:color="auto" w:fill="FFFFFF"/>
        </w:rPr>
        <w:t xml:space="preserve">wrongful </w:t>
      </w:r>
      <w:r w:rsidR="00557EF3">
        <w:rPr>
          <w:color w:val="000000"/>
          <w:shd w:val="clear" w:color="auto" w:fill="FFFFFF"/>
        </w:rPr>
        <w:t xml:space="preserve">exclusion of </w:t>
      </w:r>
      <w:r w:rsidR="00DB3AC0">
        <w:rPr>
          <w:color w:val="000000"/>
          <w:shd w:val="clear" w:color="auto" w:fill="FFFFFF"/>
        </w:rPr>
        <w:t>contestant</w:t>
      </w:r>
      <w:r w:rsidR="00557EF3">
        <w:rPr>
          <w:color w:val="000000"/>
          <w:shd w:val="clear" w:color="auto" w:fill="FFFFFF"/>
        </w:rPr>
        <w:t>s</w:t>
      </w:r>
      <w:r w:rsidR="00DB3AC0">
        <w:rPr>
          <w:color w:val="000000"/>
          <w:shd w:val="clear" w:color="auto" w:fill="FFFFFF"/>
        </w:rPr>
        <w:t>.</w:t>
      </w:r>
      <w:r>
        <w:rPr>
          <w:rStyle w:val="FootnoteReference"/>
          <w:color w:val="000000"/>
          <w:shd w:val="clear" w:color="auto" w:fill="FFFFFF"/>
        </w:rPr>
        <w:footnoteReference w:id="12"/>
      </w:r>
      <w:r w:rsidRPr="00D4044E">
        <w:t xml:space="preserve">  </w:t>
      </w:r>
    </w:p>
    <w:p w:rsidR="00B55D75" w:rsidP="0094627D" w14:paraId="64B1E16B" w14:textId="7D0C03D5">
      <w:pPr>
        <w:pStyle w:val="ParaNum"/>
        <w:widowControl/>
      </w:pPr>
      <w:r>
        <w:rPr>
          <w:i/>
          <w:iCs/>
          <w:szCs w:val="22"/>
        </w:rPr>
        <w:t xml:space="preserve">Factual Background.  </w:t>
      </w:r>
      <w:r>
        <w:t xml:space="preserve">The </w:t>
      </w:r>
      <w:r w:rsidR="00EA4AF6">
        <w:t>Bureau</w:t>
      </w:r>
      <w:r w:rsidR="00845418">
        <w:t xml:space="preserve"> received a c</w:t>
      </w:r>
      <w:r>
        <w:t>omplaint alleg</w:t>
      </w:r>
      <w:r w:rsidR="00845418">
        <w:t>ing</w:t>
      </w:r>
      <w:r>
        <w:t xml:space="preserve"> that the Licensee violated the Contest Rule by </w:t>
      </w:r>
      <w:r w:rsidR="00092007">
        <w:t>excluding</w:t>
      </w:r>
      <w:r>
        <w:t xml:space="preserve"> the complainant </w:t>
      </w:r>
      <w:r w:rsidR="00E84FAE">
        <w:t xml:space="preserve">(Complainant) </w:t>
      </w:r>
      <w:r w:rsidR="00092007">
        <w:t xml:space="preserve">from </w:t>
      </w:r>
      <w:r w:rsidR="00F11F36">
        <w:t xml:space="preserve">participating in the Station’s “You Can’t Win” contest </w:t>
      </w:r>
      <w:r w:rsidR="00092007">
        <w:t>d</w:t>
      </w:r>
      <w:r>
        <w:t>ue to a</w:t>
      </w:r>
      <w:r w:rsidR="00092007">
        <w:t xml:space="preserve"> Station</w:t>
      </w:r>
      <w:r>
        <w:t xml:space="preserve"> employee’s </w:t>
      </w:r>
      <w:r w:rsidR="00DC0BEA">
        <w:t>erroneous</w:t>
      </w:r>
      <w:r w:rsidRPr="00E017B1">
        <w:t xml:space="preserve"> </w:t>
      </w:r>
      <w:r>
        <w:t>determination of eligibility.</w:t>
      </w:r>
      <w:r>
        <w:rPr>
          <w:rStyle w:val="FootnoteReference"/>
        </w:rPr>
        <w:footnoteReference w:id="13"/>
      </w:r>
      <w:r w:rsidR="00E01C39">
        <w:t xml:space="preserve">  </w:t>
      </w:r>
      <w:r w:rsidR="00064602">
        <w:t xml:space="preserve">Specifically, the </w:t>
      </w:r>
      <w:r w:rsidR="00E84FAE">
        <w:t>C</w:t>
      </w:r>
      <w:r w:rsidR="00C71DB4">
        <w:t>omplainant attempted to participate in the</w:t>
      </w:r>
      <w:r w:rsidR="00E975E1">
        <w:t xml:space="preserve"> </w:t>
      </w:r>
      <w:r w:rsidR="00EE4E04">
        <w:t>“You Can’t Win” c</w:t>
      </w:r>
      <w:r w:rsidR="002D5A8C">
        <w:t xml:space="preserve">ontest </w:t>
      </w:r>
      <w:r w:rsidR="00C71DB4">
        <w:t>on May 30, 2019.</w:t>
      </w:r>
      <w:r>
        <w:rPr>
          <w:rStyle w:val="FootnoteReference"/>
        </w:rPr>
        <w:footnoteReference w:id="14"/>
      </w:r>
      <w:r w:rsidR="00C71DB4">
        <w:t xml:space="preserve">  </w:t>
      </w:r>
      <w:r w:rsidR="004B25D3">
        <w:t xml:space="preserve">Prior to his attempted participation in </w:t>
      </w:r>
      <w:r w:rsidR="00F11F36">
        <w:t xml:space="preserve">the </w:t>
      </w:r>
      <w:r w:rsidR="00EE4E04">
        <w:t>c</w:t>
      </w:r>
      <w:r w:rsidR="00F11F36">
        <w:t>ontest</w:t>
      </w:r>
      <w:r w:rsidR="004B25D3">
        <w:t xml:space="preserve">, Complainant </w:t>
      </w:r>
      <w:r w:rsidR="00284326">
        <w:t>won a separate Station-run contest</w:t>
      </w:r>
      <w:r w:rsidR="002D5A8C">
        <w:t xml:space="preserve">, </w:t>
      </w:r>
      <w:r w:rsidRPr="002D5A8C" w:rsidR="002D5A8C">
        <w:t>the “Southwest Flyaway Fridays”</w:t>
      </w:r>
      <w:r w:rsidR="00284326">
        <w:t xml:space="preserve"> </w:t>
      </w:r>
      <w:r w:rsidR="00E151DE">
        <w:t>contest</w:t>
      </w:r>
      <w:r w:rsidR="00F11F36">
        <w:t>,</w:t>
      </w:r>
      <w:r w:rsidR="00E151DE">
        <w:t xml:space="preserve"> </w:t>
      </w:r>
      <w:r w:rsidR="00284326">
        <w:t>on March 1, 2019.</w:t>
      </w:r>
      <w:r>
        <w:rPr>
          <w:rStyle w:val="FootnoteReference"/>
        </w:rPr>
        <w:footnoteReference w:id="15"/>
      </w:r>
      <w:r>
        <w:t xml:space="preserve">  </w:t>
      </w:r>
      <w:r w:rsidR="00551B85">
        <w:t>S</w:t>
      </w:r>
      <w:r>
        <w:t>tation personnel, screening participant callers</w:t>
      </w:r>
      <w:r w:rsidR="002D5A8C">
        <w:t xml:space="preserve"> for </w:t>
      </w:r>
      <w:r w:rsidR="00EE4E04">
        <w:t>“</w:t>
      </w:r>
      <w:r w:rsidR="002D5A8C">
        <w:t>You Can’t Win</w:t>
      </w:r>
      <w:r w:rsidR="00EE4E04">
        <w:t>”</w:t>
      </w:r>
      <w:r>
        <w:t xml:space="preserve">, </w:t>
      </w:r>
      <w:r w:rsidR="00DC3C8E">
        <w:t xml:space="preserve">purportedly </w:t>
      </w:r>
      <w:r>
        <w:t>applied a 90-day l</w:t>
      </w:r>
      <w:r w:rsidR="00DC0BEA">
        <w:t>ockout</w:t>
      </w:r>
      <w:r>
        <w:t xml:space="preserve"> on prior winners, </w:t>
      </w:r>
      <w:r w:rsidR="00E151DE">
        <w:t xml:space="preserve">even though </w:t>
      </w:r>
      <w:r>
        <w:t>the</w:t>
      </w:r>
      <w:r w:rsidR="00DC3C8E">
        <w:t xml:space="preserve"> </w:t>
      </w:r>
      <w:r w:rsidR="00EE4E04">
        <w:t>“You Can’t Win” contest’s</w:t>
      </w:r>
      <w:r w:rsidR="00F11F36">
        <w:t xml:space="preserve"> </w:t>
      </w:r>
      <w:r w:rsidR="00E151DE">
        <w:t xml:space="preserve">written </w:t>
      </w:r>
      <w:r>
        <w:t xml:space="preserve">rules </w:t>
      </w:r>
      <w:r w:rsidRPr="00BF7116" w:rsidR="00BF7116">
        <w:t xml:space="preserve">only excluded </w:t>
      </w:r>
      <w:r w:rsidR="00F11F36">
        <w:t>persons</w:t>
      </w:r>
      <w:r w:rsidRPr="00BF7116" w:rsidR="00BF7116">
        <w:t xml:space="preserve"> who had won in the prior 30 days</w:t>
      </w:r>
      <w:r>
        <w:t>.</w:t>
      </w:r>
      <w:r>
        <w:rPr>
          <w:rStyle w:val="FootnoteReference"/>
        </w:rPr>
        <w:footnoteReference w:id="16"/>
      </w:r>
      <w:r>
        <w:t xml:space="preserve">  </w:t>
      </w:r>
    </w:p>
    <w:p w:rsidR="00B33BDF" w:rsidP="00B82705" w14:paraId="31B0A02A" w14:textId="5FE310CE">
      <w:pPr>
        <w:pStyle w:val="ParaNum"/>
      </w:pPr>
      <w:r>
        <w:t>In response to the Bureau’s Letter of Inquiry (LOI)</w:t>
      </w:r>
      <w:r w:rsidR="00317544">
        <w:t>,</w:t>
      </w:r>
      <w:r>
        <w:rPr>
          <w:rStyle w:val="FootnoteReference"/>
        </w:rPr>
        <w:footnoteReference w:id="17"/>
      </w:r>
      <w:r>
        <w:t xml:space="preserve"> Licensee </w:t>
      </w:r>
      <w:r w:rsidR="007C0EAC">
        <w:t>admit</w:t>
      </w:r>
      <w:r w:rsidR="00064602">
        <w:t>ted</w:t>
      </w:r>
      <w:r w:rsidR="007C0EAC">
        <w:t xml:space="preserve"> that “as a result of human error, it appears that the Station did not conduct a contest </w:t>
      </w:r>
      <w:r w:rsidR="00EE4E04">
        <w:t xml:space="preserve">[“You Can’t Win”] </w:t>
      </w:r>
      <w:r w:rsidR="007C0EAC">
        <w:t>in strict compliance with the written rules for that contest.”</w:t>
      </w:r>
      <w:r>
        <w:rPr>
          <w:rStyle w:val="FootnoteReference"/>
        </w:rPr>
        <w:footnoteReference w:id="18"/>
      </w:r>
      <w:r w:rsidR="008A5675">
        <w:t xml:space="preserve">  </w:t>
      </w:r>
      <w:r w:rsidR="00E72E6A">
        <w:t xml:space="preserve">In this regard, the </w:t>
      </w:r>
      <w:r w:rsidR="008A5675">
        <w:t>Licensee’s employee “applied the incorrect past winner eligibility exclusion to Complainant.”</w:t>
      </w:r>
      <w:r>
        <w:rPr>
          <w:rStyle w:val="FootnoteReference"/>
        </w:rPr>
        <w:footnoteReference w:id="19"/>
      </w:r>
      <w:r w:rsidR="007C0EAC">
        <w:t xml:space="preserve">  </w:t>
      </w:r>
      <w:r w:rsidR="00060AEE">
        <w:t xml:space="preserve">Further, </w:t>
      </w:r>
      <w:r w:rsidR="007C0EAC">
        <w:t>Licensee admits that it failed to maintain th</w:t>
      </w:r>
      <w:r w:rsidR="00FE4420">
        <w:t xml:space="preserve">e </w:t>
      </w:r>
      <w:r w:rsidR="00EE4E04">
        <w:t>“</w:t>
      </w:r>
      <w:r w:rsidR="00FE4420">
        <w:t>You Can’t Win</w:t>
      </w:r>
      <w:r w:rsidR="00EE4E04">
        <w:t>”</w:t>
      </w:r>
      <w:r w:rsidR="007C0EAC">
        <w:t xml:space="preserve"> </w:t>
      </w:r>
      <w:r w:rsidR="00EE4E04">
        <w:t>c</w:t>
      </w:r>
      <w:r w:rsidR="007C0EAC">
        <w:t>ontest’s</w:t>
      </w:r>
      <w:r w:rsidR="00FE4420">
        <w:t xml:space="preserve"> </w:t>
      </w:r>
      <w:r w:rsidR="007C0EAC">
        <w:t xml:space="preserve">rules on its website for at least 30 days after the end of the </w:t>
      </w:r>
      <w:r w:rsidR="00EE4E04">
        <w:t>c</w:t>
      </w:r>
      <w:r w:rsidR="007C0EAC">
        <w:t>ontest</w:t>
      </w:r>
      <w:r w:rsidR="00E151DE">
        <w:t xml:space="preserve">, </w:t>
      </w:r>
      <w:r w:rsidR="00060AEE">
        <w:t>instead</w:t>
      </w:r>
      <w:r w:rsidR="00E151DE">
        <w:t xml:space="preserve"> </w:t>
      </w:r>
      <w:r w:rsidR="00064602">
        <w:t>taking</w:t>
      </w:r>
      <w:r w:rsidR="007C0EAC">
        <w:t xml:space="preserve"> them down the day th</w:t>
      </w:r>
      <w:r w:rsidR="00E975E1">
        <w:t xml:space="preserve">e </w:t>
      </w:r>
      <w:r w:rsidR="00EE4E04">
        <w:t>c</w:t>
      </w:r>
      <w:r w:rsidR="007C0EAC">
        <w:t>ontest ended.</w:t>
      </w:r>
      <w:r>
        <w:rPr>
          <w:rStyle w:val="FootnoteReference"/>
        </w:rPr>
        <w:footnoteReference w:id="20"/>
      </w:r>
      <w:r w:rsidR="007C0EAC">
        <w:t xml:space="preserve">  Licensee </w:t>
      </w:r>
      <w:r w:rsidR="009A1B52">
        <w:t>contends</w:t>
      </w:r>
      <w:r w:rsidR="007C0EAC">
        <w:t xml:space="preserve"> that </w:t>
      </w:r>
      <w:r>
        <w:t xml:space="preserve">the violation was not “material because </w:t>
      </w:r>
      <w:r w:rsidR="00322FC8">
        <w:t>[</w:t>
      </w:r>
      <w:r>
        <w:t>Complainant</w:t>
      </w:r>
      <w:r w:rsidR="00322FC8">
        <w:t>]</w:t>
      </w:r>
      <w:r>
        <w:t xml:space="preserve"> was otherwise ineligible to participate</w:t>
      </w:r>
      <w:r w:rsidR="00060AEE">
        <w:t>,</w:t>
      </w:r>
      <w:r>
        <w:t>”</w:t>
      </w:r>
      <w:r>
        <w:rPr>
          <w:rStyle w:val="FootnoteReference"/>
        </w:rPr>
        <w:footnoteReference w:id="21"/>
      </w:r>
      <w:r w:rsidR="00D31E5C">
        <w:t xml:space="preserve"> </w:t>
      </w:r>
      <w:r w:rsidR="00060AEE">
        <w:t>and that</w:t>
      </w:r>
      <w:r w:rsidR="00D31E5C">
        <w:t xml:space="preserve"> the Complainant would have been ineligible even if the screener followed the correct 30-day exclusion.</w:t>
      </w:r>
      <w:r>
        <w:rPr>
          <w:rStyle w:val="FootnoteReference"/>
        </w:rPr>
        <w:footnoteReference w:id="22"/>
      </w:r>
      <w:r w:rsidR="00D31E5C">
        <w:t xml:space="preserve">  Licensee </w:t>
      </w:r>
      <w:r w:rsidR="004A4584">
        <w:t xml:space="preserve">acknowledges that the </w:t>
      </w:r>
      <w:r w:rsidR="00EE4E04">
        <w:t>c</w:t>
      </w:r>
      <w:r w:rsidR="004A4584">
        <w:t>ontest’s rules</w:t>
      </w:r>
      <w:r w:rsidR="00D31E5C">
        <w:t xml:space="preserve"> stipulat</w:t>
      </w:r>
      <w:r w:rsidR="004A4584">
        <w:t>e</w:t>
      </w:r>
      <w:r w:rsidR="00D31E5C">
        <w:t xml:space="preserve"> that “[a]</w:t>
      </w:r>
      <w:r w:rsidR="00D31E5C">
        <w:t>ny</w:t>
      </w:r>
      <w:r w:rsidR="00D31E5C">
        <w:t xml:space="preserve"> </w:t>
      </w:r>
      <w:r w:rsidR="00383862">
        <w:t xml:space="preserve">person who has won a prize (or whose household has won a prize) in any promotion sponsored by Sponsor in the thirty (30) days prior to this Sweepstakes </w:t>
      </w:r>
      <w:r w:rsidRPr="00B82705" w:rsidR="00383862">
        <w:rPr>
          <w:i/>
          <w:iCs/>
        </w:rPr>
        <w:t>start date</w:t>
      </w:r>
      <w:r w:rsidR="00383862">
        <w:t xml:space="preserve"> is not eligible to win a prize in this Sweepstakes</w:t>
      </w:r>
      <w:r w:rsidR="00D31E5C">
        <w:t>”</w:t>
      </w:r>
      <w:r w:rsidR="004A4584">
        <w:t xml:space="preserve"> (</w:t>
      </w:r>
      <w:r w:rsidRPr="00383862" w:rsidR="004A4584">
        <w:rPr>
          <w:i/>
          <w:iCs/>
        </w:rPr>
        <w:t>emphasis added</w:t>
      </w:r>
      <w:r w:rsidR="004A4584">
        <w:t>).</w:t>
      </w:r>
      <w:r>
        <w:rPr>
          <w:rStyle w:val="FootnoteReference"/>
        </w:rPr>
        <w:footnoteReference w:id="23"/>
      </w:r>
      <w:r w:rsidR="00D31E5C">
        <w:t xml:space="preserve">  </w:t>
      </w:r>
      <w:r w:rsidR="00D84C22">
        <w:t xml:space="preserve">Licensee </w:t>
      </w:r>
      <w:r w:rsidR="00DA3957">
        <w:t>asserts</w:t>
      </w:r>
      <w:r w:rsidR="00EE4E04">
        <w:t xml:space="preserve"> further, however,</w:t>
      </w:r>
      <w:r w:rsidR="00DA3957">
        <w:t xml:space="preserve"> that</w:t>
      </w:r>
      <w:r w:rsidR="00D84C22">
        <w:t xml:space="preserve"> this</w:t>
      </w:r>
      <w:r w:rsidR="004A4584">
        <w:t xml:space="preserve"> </w:t>
      </w:r>
      <w:r w:rsidR="00EE4E04">
        <w:t>c</w:t>
      </w:r>
      <w:r w:rsidR="004A4584">
        <w:t>ontest</w:t>
      </w:r>
      <w:r w:rsidR="00D84C22">
        <w:t xml:space="preserve"> rule provision </w:t>
      </w:r>
      <w:r w:rsidR="00064602">
        <w:t xml:space="preserve">also </w:t>
      </w:r>
      <w:r w:rsidR="00D84C22">
        <w:t>exclude</w:t>
      </w:r>
      <w:r w:rsidR="004A4584">
        <w:t>s</w:t>
      </w:r>
      <w:r w:rsidR="00D84C22">
        <w:t xml:space="preserve"> any person </w:t>
      </w:r>
      <w:r w:rsidR="0024196C">
        <w:t>who</w:t>
      </w:r>
      <w:r w:rsidR="00D84C22">
        <w:t xml:space="preserve"> wins another prize</w:t>
      </w:r>
      <w:r w:rsidR="00DA3957">
        <w:t xml:space="preserve"> </w:t>
      </w:r>
      <w:r w:rsidR="004A4584">
        <w:t xml:space="preserve">at any time while </w:t>
      </w:r>
      <w:r w:rsidR="00DA3957">
        <w:t>the contest is ongoing.</w:t>
      </w:r>
      <w:r>
        <w:rPr>
          <w:rStyle w:val="FootnoteReference"/>
        </w:rPr>
        <w:footnoteReference w:id="24"/>
      </w:r>
      <w:r w:rsidR="00DA3957">
        <w:t xml:space="preserve">  </w:t>
      </w:r>
      <w:r w:rsidR="00E661C6">
        <w:t xml:space="preserve">The </w:t>
      </w:r>
      <w:r w:rsidR="00EE4E04">
        <w:t>“You Can’t Win” contest’s</w:t>
      </w:r>
      <w:r w:rsidR="00E661C6">
        <w:t xml:space="preserve"> start date was January 7, 2019</w:t>
      </w:r>
      <w:r w:rsidR="00EE4E04">
        <w:t xml:space="preserve">, and therefore, </w:t>
      </w:r>
      <w:r w:rsidR="00E661C6">
        <w:t xml:space="preserve">Licensee </w:t>
      </w:r>
      <w:r w:rsidR="00EE4E04">
        <w:t>contends that</w:t>
      </w:r>
      <w:r w:rsidR="00E661C6">
        <w:t xml:space="preserve"> “any individual who won another contest conducted by the Station on or </w:t>
      </w:r>
      <w:r w:rsidRPr="00B82705" w:rsidR="00E661C6">
        <w:rPr>
          <w:i/>
          <w:iCs/>
        </w:rPr>
        <w:t xml:space="preserve">after </w:t>
      </w:r>
      <w:r w:rsidR="00E661C6">
        <w:t xml:space="preserve">December 8, 2018 was ineligible to win the </w:t>
      </w:r>
      <w:r w:rsidR="000522ED">
        <w:t>‘</w:t>
      </w:r>
      <w:r w:rsidR="00EE4E04">
        <w:t>You Can’t Win</w:t>
      </w:r>
      <w:r w:rsidR="000522ED">
        <w:t>’</w:t>
      </w:r>
      <w:r w:rsidR="00EE4E04">
        <w:t xml:space="preserve"> c</w:t>
      </w:r>
      <w:r w:rsidR="00E661C6">
        <w:t>ontest.”</w:t>
      </w:r>
      <w:r>
        <w:rPr>
          <w:rStyle w:val="FootnoteReference"/>
        </w:rPr>
        <w:footnoteReference w:id="25"/>
      </w:r>
      <w:r w:rsidR="00E661C6">
        <w:t xml:space="preserve">  </w:t>
      </w:r>
      <w:r w:rsidR="00EE4E04">
        <w:t xml:space="preserve">Here, </w:t>
      </w:r>
      <w:r w:rsidR="00E661C6">
        <w:t xml:space="preserve">Complainant won the </w:t>
      </w:r>
      <w:r w:rsidR="00EE4E04">
        <w:t xml:space="preserve">separate </w:t>
      </w:r>
      <w:r w:rsidR="00E661C6">
        <w:t xml:space="preserve">“Southwest Flyaway Fridays” contest on March 1, 2019, and </w:t>
      </w:r>
      <w:r w:rsidR="00E975E1">
        <w:t>Licensee</w:t>
      </w:r>
      <w:r w:rsidR="00064602">
        <w:t xml:space="preserve"> therefore</w:t>
      </w:r>
      <w:r w:rsidR="00E975E1">
        <w:t xml:space="preserve"> deemed the Complainant</w:t>
      </w:r>
      <w:r w:rsidR="008F3312">
        <w:t xml:space="preserve"> </w:t>
      </w:r>
      <w:r w:rsidR="00E661C6">
        <w:t xml:space="preserve">ineligible to win </w:t>
      </w:r>
      <w:r w:rsidR="00EE4E04">
        <w:t>a</w:t>
      </w:r>
      <w:r w:rsidR="00E661C6">
        <w:t xml:space="preserve"> prize in the </w:t>
      </w:r>
      <w:r w:rsidR="001414E6">
        <w:t>“</w:t>
      </w:r>
      <w:r w:rsidR="00E661C6">
        <w:t>You Can’t Win</w:t>
      </w:r>
      <w:r w:rsidR="001414E6">
        <w:t>”</w:t>
      </w:r>
      <w:r w:rsidR="00E661C6">
        <w:t xml:space="preserve"> </w:t>
      </w:r>
      <w:r w:rsidR="001414E6">
        <w:t>c</w:t>
      </w:r>
      <w:r w:rsidR="00E661C6">
        <w:t>ontest.</w:t>
      </w:r>
      <w:r>
        <w:rPr>
          <w:rStyle w:val="FootnoteReference"/>
        </w:rPr>
        <w:footnoteReference w:id="26"/>
      </w:r>
    </w:p>
    <w:p w:rsidR="0066547A" w:rsidP="007C0EAC" w14:paraId="205C4CF6" w14:textId="3A65B6DF">
      <w:pPr>
        <w:pStyle w:val="ParaNum"/>
        <w:widowControl/>
      </w:pPr>
      <w:r w:rsidRPr="0066547A">
        <w:t>After</w:t>
      </w:r>
      <w:r>
        <w:t xml:space="preserve"> having been</w:t>
      </w:r>
      <w:r w:rsidRPr="0066547A">
        <w:t xml:space="preserve"> excluded</w:t>
      </w:r>
      <w:r>
        <w:t>,</w:t>
      </w:r>
      <w:r w:rsidRPr="0066547A">
        <w:t xml:space="preserve"> </w:t>
      </w:r>
      <w:r w:rsidRPr="0066547A">
        <w:t xml:space="preserve">Complainant </w:t>
      </w:r>
      <w:r w:rsidR="00E27910">
        <w:t>immediately consulted the Licensee’s</w:t>
      </w:r>
      <w:r w:rsidRPr="0066547A">
        <w:t xml:space="preserve"> published contest rules and </w:t>
      </w:r>
      <w:r w:rsidR="00E27910">
        <w:t>notified</w:t>
      </w:r>
      <w:r w:rsidRPr="0066547A">
        <w:t xml:space="preserve"> the </w:t>
      </w:r>
      <w:r w:rsidR="001027F1">
        <w:t xml:space="preserve">Station’s </w:t>
      </w:r>
      <w:r w:rsidRPr="0066547A">
        <w:t xml:space="preserve">screener of </w:t>
      </w:r>
      <w:r w:rsidR="00E27910">
        <w:t xml:space="preserve">the apparent </w:t>
      </w:r>
      <w:r w:rsidRPr="0066547A">
        <w:t>error</w:t>
      </w:r>
      <w:r w:rsidR="00E27910">
        <w:t>,</w:t>
      </w:r>
      <w:r>
        <w:rPr>
          <w:sz w:val="20"/>
          <w:vertAlign w:val="superscript"/>
        </w:rPr>
        <w:footnoteReference w:id="27"/>
      </w:r>
      <w:r w:rsidR="00E27910">
        <w:t xml:space="preserve"> but t</w:t>
      </w:r>
      <w:r w:rsidRPr="0066547A">
        <w:t>he screener did not change his determination.</w:t>
      </w:r>
      <w:r>
        <w:rPr>
          <w:sz w:val="20"/>
          <w:vertAlign w:val="superscript"/>
        </w:rPr>
        <w:footnoteReference w:id="28"/>
      </w:r>
      <w:r w:rsidRPr="004F4E05" w:rsidR="00E27910">
        <w:rPr>
          <w:sz w:val="20"/>
        </w:rPr>
        <w:t xml:space="preserve"> </w:t>
      </w:r>
      <w:r w:rsidR="00E27910">
        <w:t xml:space="preserve"> </w:t>
      </w:r>
      <w:r w:rsidRPr="0066547A">
        <w:t xml:space="preserve">The following day, on May 31, 2019, Complainant corresponded with the </w:t>
      </w:r>
      <w:r w:rsidR="00E27910">
        <w:t xml:space="preserve">Station’s </w:t>
      </w:r>
      <w:r w:rsidRPr="0066547A">
        <w:t xml:space="preserve">parent company, and was advised that </w:t>
      </w:r>
      <w:r w:rsidR="00E27910">
        <w:t>its</w:t>
      </w:r>
      <w:r w:rsidRPr="0066547A">
        <w:t xml:space="preserve"> customer care representative w</w:t>
      </w:r>
      <w:r w:rsidR="00E27910">
        <w:t>ould</w:t>
      </w:r>
      <w:r w:rsidRPr="0066547A">
        <w:t xml:space="preserve"> forward this information to</w:t>
      </w:r>
      <w:r w:rsidR="00E27910">
        <w:t xml:space="preserve"> the proper corporate official to</w:t>
      </w:r>
      <w:r w:rsidRPr="0066547A">
        <w:t xml:space="preserve"> “look into </w:t>
      </w:r>
      <w:r w:rsidR="00E27910">
        <w:t>[the matter]</w:t>
      </w:r>
      <w:r w:rsidRPr="0066547A">
        <w:t xml:space="preserve"> further</w:t>
      </w:r>
      <w:r w:rsidR="00E27910">
        <w:t>,</w:t>
      </w:r>
      <w:r w:rsidRPr="0066547A">
        <w:t>”</w:t>
      </w:r>
      <w:r>
        <w:rPr>
          <w:sz w:val="20"/>
          <w:vertAlign w:val="superscript"/>
        </w:rPr>
        <w:footnoteReference w:id="29"/>
      </w:r>
      <w:r w:rsidRPr="0066547A">
        <w:t xml:space="preserve"> </w:t>
      </w:r>
      <w:r w:rsidR="00E27910">
        <w:t>but ultimately the</w:t>
      </w:r>
      <w:r w:rsidR="002C49F9">
        <w:t xml:space="preserve"> Licensee</w:t>
      </w:r>
      <w:r w:rsidR="002B2B91">
        <w:t xml:space="preserve"> </w:t>
      </w:r>
      <w:r w:rsidR="001414E6">
        <w:t>did not resolve the matter</w:t>
      </w:r>
      <w:r w:rsidR="002C49F9">
        <w:t>.</w:t>
      </w:r>
      <w:r>
        <w:rPr>
          <w:sz w:val="20"/>
          <w:vertAlign w:val="superscript"/>
        </w:rPr>
        <w:footnoteReference w:id="30"/>
      </w:r>
    </w:p>
    <w:p w:rsidR="004F4E05" w14:paraId="1C6A7767" w14:textId="77777777">
      <w:pPr>
        <w:widowControl/>
        <w:rPr>
          <w:rFonts w:ascii="Times New Roman Bold" w:hAnsi="Times New Roman Bold"/>
          <w:b/>
          <w:caps/>
          <w:szCs w:val="22"/>
        </w:rPr>
      </w:pPr>
      <w:r>
        <w:rPr>
          <w:szCs w:val="22"/>
        </w:rPr>
        <w:br w:type="page"/>
      </w:r>
    </w:p>
    <w:p w:rsidR="00FD1FC5" w:rsidP="005A04B8" w14:paraId="76B48169" w14:textId="65EEFCF0">
      <w:pPr>
        <w:pStyle w:val="Heading1"/>
        <w:widowControl/>
        <w:rPr>
          <w:szCs w:val="22"/>
        </w:rPr>
      </w:pPr>
      <w:r w:rsidRPr="006C7E5D">
        <w:rPr>
          <w:szCs w:val="22"/>
        </w:rPr>
        <w:t>discussio</w:t>
      </w:r>
      <w:bookmarkStart w:id="3" w:name="_Hlk536534183"/>
      <w:r w:rsidR="000D4223">
        <w:rPr>
          <w:szCs w:val="22"/>
        </w:rPr>
        <w:t>N</w:t>
      </w:r>
    </w:p>
    <w:p w:rsidR="000D4223" w:rsidRPr="000D4223" w:rsidP="000D4223" w14:paraId="05D59514" w14:textId="4824567B">
      <w:pPr>
        <w:pStyle w:val="Heading2"/>
      </w:pPr>
      <w:r>
        <w:t>Licensee</w:t>
      </w:r>
      <w:r>
        <w:t xml:space="preserve"> Apparently Violated </w:t>
      </w:r>
      <w:r w:rsidR="004C564E">
        <w:t>the Contest Rule</w:t>
      </w:r>
    </w:p>
    <w:bookmarkEnd w:id="3"/>
    <w:p w:rsidR="003E3B17" w:rsidRPr="001810C7" w:rsidP="001810C7" w14:paraId="77A532F2" w14:textId="3CDF8D4F">
      <w:pPr>
        <w:pStyle w:val="ParaNum"/>
        <w:tabs>
          <w:tab w:val="num" w:pos="1800"/>
        </w:tabs>
        <w:rPr>
          <w:szCs w:val="22"/>
        </w:rPr>
      </w:pPr>
      <w:r w:rsidRPr="00255239">
        <w:rPr>
          <w:szCs w:val="22"/>
        </w:rPr>
        <w:t xml:space="preserve">We find that </w:t>
      </w:r>
      <w:r w:rsidR="00176F01">
        <w:rPr>
          <w:szCs w:val="22"/>
        </w:rPr>
        <w:t>Licensee</w:t>
      </w:r>
      <w:r>
        <w:rPr>
          <w:szCs w:val="22"/>
        </w:rPr>
        <w:t xml:space="preserve"> </w:t>
      </w:r>
      <w:r w:rsidRPr="00106A50" w:rsidR="00106A50">
        <w:rPr>
          <w:szCs w:val="22"/>
        </w:rPr>
        <w:t xml:space="preserve">failed to conduct its contest </w:t>
      </w:r>
      <w:r w:rsidR="007925A6">
        <w:rPr>
          <w:szCs w:val="22"/>
        </w:rPr>
        <w:t>“</w:t>
      </w:r>
      <w:r w:rsidRPr="00106A50" w:rsidR="00106A50">
        <w:rPr>
          <w:szCs w:val="22"/>
        </w:rPr>
        <w:t>fairly</w:t>
      </w:r>
      <w:r w:rsidR="007925A6">
        <w:rPr>
          <w:szCs w:val="22"/>
        </w:rPr>
        <w:t xml:space="preserve"> and substantially as represented to the public</w:t>
      </w:r>
      <w:r w:rsidR="00106A50">
        <w:rPr>
          <w:szCs w:val="22"/>
        </w:rPr>
        <w:t>,</w:t>
      </w:r>
      <w:r w:rsidR="007925A6">
        <w:rPr>
          <w:szCs w:val="22"/>
        </w:rPr>
        <w:t>”</w:t>
      </w:r>
      <w:r w:rsidR="00106A50">
        <w:rPr>
          <w:szCs w:val="22"/>
        </w:rPr>
        <w:t xml:space="preserve"> </w:t>
      </w:r>
      <w:r w:rsidRPr="003E3B17">
        <w:rPr>
          <w:szCs w:val="22"/>
        </w:rPr>
        <w:t>i</w:t>
      </w:r>
      <w:r w:rsidR="00BB26D5">
        <w:rPr>
          <w:szCs w:val="22"/>
        </w:rPr>
        <w:t>n</w:t>
      </w:r>
      <w:r w:rsidRPr="003E3B17">
        <w:rPr>
          <w:szCs w:val="22"/>
        </w:rPr>
        <w:t xml:space="preserve"> apparent violation of section 73.1216.</w:t>
      </w:r>
      <w:r>
        <w:rPr>
          <w:sz w:val="20"/>
          <w:vertAlign w:val="superscript"/>
        </w:rPr>
        <w:footnoteReference w:id="31"/>
      </w:r>
      <w:r w:rsidRPr="003E3B17">
        <w:rPr>
          <w:szCs w:val="22"/>
        </w:rPr>
        <w:t xml:space="preserve">  </w:t>
      </w:r>
      <w:r w:rsidR="007628DA">
        <w:rPr>
          <w:szCs w:val="22"/>
        </w:rPr>
        <w:t xml:space="preserve">In particular, </w:t>
      </w:r>
      <w:r w:rsidRPr="001810C7" w:rsidR="00BB26D5">
        <w:rPr>
          <w:szCs w:val="22"/>
        </w:rPr>
        <w:t>Licensee’s application of its contest rules regarding participant eligibility w</w:t>
      </w:r>
      <w:r w:rsidR="007628DA">
        <w:rPr>
          <w:szCs w:val="22"/>
        </w:rPr>
        <w:t>as</w:t>
      </w:r>
      <w:r w:rsidRPr="001810C7" w:rsidR="00BB26D5">
        <w:rPr>
          <w:szCs w:val="22"/>
        </w:rPr>
        <w:t xml:space="preserve"> inconsistent</w:t>
      </w:r>
      <w:r w:rsidR="00064602">
        <w:rPr>
          <w:szCs w:val="22"/>
        </w:rPr>
        <w:t xml:space="preserve"> with the </w:t>
      </w:r>
      <w:r w:rsidR="00EA0202">
        <w:rPr>
          <w:szCs w:val="22"/>
        </w:rPr>
        <w:t>written “You Can’t Win” contest rules</w:t>
      </w:r>
      <w:r w:rsidRPr="001810C7" w:rsidR="00BB26D5">
        <w:rPr>
          <w:szCs w:val="22"/>
        </w:rPr>
        <w:t xml:space="preserve">.  </w:t>
      </w:r>
      <w:r w:rsidRPr="001810C7" w:rsidR="001810C7">
        <w:rPr>
          <w:rFonts w:eastAsia="Calibri"/>
          <w:snapToGrid/>
          <w:kern w:val="0"/>
          <w:szCs w:val="22"/>
        </w:rPr>
        <w:t xml:space="preserve">Complainant did not win a prize in the </w:t>
      </w:r>
      <w:r w:rsidR="007628DA">
        <w:rPr>
          <w:rFonts w:eastAsia="Calibri"/>
          <w:snapToGrid/>
          <w:kern w:val="0"/>
          <w:szCs w:val="22"/>
        </w:rPr>
        <w:t>30</w:t>
      </w:r>
      <w:r w:rsidRPr="001810C7" w:rsidR="001810C7">
        <w:rPr>
          <w:rFonts w:eastAsia="Calibri"/>
          <w:snapToGrid/>
          <w:kern w:val="0"/>
          <w:szCs w:val="22"/>
        </w:rPr>
        <w:t xml:space="preserve"> days prior to this sweepstakes start date</w:t>
      </w:r>
      <w:r w:rsidR="00446E63">
        <w:rPr>
          <w:rFonts w:eastAsia="Calibri"/>
          <w:snapToGrid/>
          <w:kern w:val="0"/>
          <w:szCs w:val="22"/>
        </w:rPr>
        <w:t xml:space="preserve">, the period </w:t>
      </w:r>
      <w:r w:rsidR="00A00247">
        <w:rPr>
          <w:rFonts w:eastAsia="Calibri"/>
          <w:snapToGrid/>
          <w:kern w:val="0"/>
          <w:szCs w:val="22"/>
        </w:rPr>
        <w:t xml:space="preserve">from </w:t>
      </w:r>
      <w:r w:rsidRPr="001810C7" w:rsidR="001810C7">
        <w:rPr>
          <w:rFonts w:eastAsia="Calibri"/>
          <w:snapToGrid/>
          <w:kern w:val="0"/>
          <w:szCs w:val="22"/>
        </w:rPr>
        <w:t>December 8, 2018</w:t>
      </w:r>
      <w:r w:rsidR="00801ED5">
        <w:rPr>
          <w:rFonts w:eastAsia="Calibri"/>
          <w:snapToGrid/>
          <w:kern w:val="0"/>
          <w:szCs w:val="22"/>
        </w:rPr>
        <w:t>,</w:t>
      </w:r>
      <w:r w:rsidRPr="001810C7" w:rsidR="001810C7">
        <w:rPr>
          <w:rFonts w:eastAsia="Calibri"/>
          <w:snapToGrid/>
          <w:kern w:val="0"/>
          <w:szCs w:val="22"/>
        </w:rPr>
        <w:t xml:space="preserve"> to January 7, 2019</w:t>
      </w:r>
      <w:r w:rsidR="00EA0202">
        <w:rPr>
          <w:rFonts w:eastAsia="Calibri"/>
          <w:snapToGrid/>
          <w:kern w:val="0"/>
          <w:szCs w:val="22"/>
        </w:rPr>
        <w:t xml:space="preserve">, but rather, </w:t>
      </w:r>
      <w:r w:rsidRPr="00996590" w:rsidR="001810C7">
        <w:rPr>
          <w:rFonts w:eastAsia="Calibri"/>
          <w:snapToGrid/>
          <w:kern w:val="0"/>
          <w:szCs w:val="22"/>
        </w:rPr>
        <w:t>won</w:t>
      </w:r>
      <w:r w:rsidRPr="001810C7" w:rsidR="001810C7">
        <w:rPr>
          <w:rFonts w:eastAsia="Calibri"/>
          <w:snapToGrid/>
          <w:kern w:val="0"/>
          <w:szCs w:val="22"/>
        </w:rPr>
        <w:t xml:space="preserve"> </w:t>
      </w:r>
      <w:r w:rsidR="001027F1">
        <w:rPr>
          <w:rFonts w:eastAsia="Calibri"/>
          <w:snapToGrid/>
          <w:kern w:val="0"/>
          <w:szCs w:val="22"/>
        </w:rPr>
        <w:t xml:space="preserve">a separate Station contest </w:t>
      </w:r>
      <w:r w:rsidRPr="001810C7" w:rsidR="001810C7">
        <w:rPr>
          <w:rFonts w:eastAsia="Calibri"/>
          <w:snapToGrid/>
          <w:kern w:val="0"/>
          <w:szCs w:val="22"/>
        </w:rPr>
        <w:t xml:space="preserve">on March 1, 2019, almost two months </w:t>
      </w:r>
      <w:r w:rsidRPr="004E09FB" w:rsidR="002A2D78">
        <w:rPr>
          <w:rFonts w:eastAsia="Calibri"/>
          <w:i/>
          <w:iCs/>
          <w:snapToGrid/>
          <w:kern w:val="0"/>
          <w:szCs w:val="22"/>
        </w:rPr>
        <w:t>after</w:t>
      </w:r>
      <w:r w:rsidR="002A2D78">
        <w:rPr>
          <w:rFonts w:eastAsia="Calibri"/>
          <w:snapToGrid/>
          <w:kern w:val="0"/>
          <w:szCs w:val="22"/>
        </w:rPr>
        <w:t xml:space="preserve"> the start date</w:t>
      </w:r>
      <w:r w:rsidR="001027F1">
        <w:rPr>
          <w:rFonts w:eastAsia="Calibri"/>
          <w:snapToGrid/>
          <w:kern w:val="0"/>
          <w:szCs w:val="22"/>
        </w:rPr>
        <w:t xml:space="preserve"> of the </w:t>
      </w:r>
      <w:r w:rsidR="00EA0202">
        <w:rPr>
          <w:rFonts w:eastAsia="Calibri"/>
          <w:snapToGrid/>
          <w:kern w:val="0"/>
          <w:szCs w:val="22"/>
        </w:rPr>
        <w:t>“</w:t>
      </w:r>
      <w:r w:rsidR="001027F1">
        <w:rPr>
          <w:rFonts w:eastAsia="Calibri"/>
          <w:snapToGrid/>
          <w:kern w:val="0"/>
          <w:szCs w:val="22"/>
        </w:rPr>
        <w:t>You Can’t Win</w:t>
      </w:r>
      <w:r w:rsidR="00EA0202">
        <w:rPr>
          <w:rFonts w:eastAsia="Calibri"/>
          <w:snapToGrid/>
          <w:kern w:val="0"/>
          <w:szCs w:val="22"/>
        </w:rPr>
        <w:t>”</w:t>
      </w:r>
      <w:r w:rsidR="001027F1">
        <w:rPr>
          <w:rFonts w:eastAsia="Calibri"/>
          <w:snapToGrid/>
          <w:kern w:val="0"/>
          <w:szCs w:val="22"/>
        </w:rPr>
        <w:t xml:space="preserve"> </w:t>
      </w:r>
      <w:r w:rsidR="00EA0202">
        <w:rPr>
          <w:rFonts w:eastAsia="Calibri"/>
          <w:snapToGrid/>
          <w:kern w:val="0"/>
          <w:szCs w:val="22"/>
        </w:rPr>
        <w:t>c</w:t>
      </w:r>
      <w:r w:rsidR="001027F1">
        <w:rPr>
          <w:rFonts w:eastAsia="Calibri"/>
          <w:snapToGrid/>
          <w:kern w:val="0"/>
          <w:szCs w:val="22"/>
        </w:rPr>
        <w:t>ontest</w:t>
      </w:r>
      <w:r w:rsidRPr="001810C7" w:rsidR="001810C7">
        <w:rPr>
          <w:rFonts w:eastAsia="Calibri"/>
          <w:snapToGrid/>
          <w:kern w:val="0"/>
          <w:szCs w:val="22"/>
        </w:rPr>
        <w:t xml:space="preserve">.  In </w:t>
      </w:r>
      <w:r w:rsidR="00446E63">
        <w:rPr>
          <w:rFonts w:eastAsia="Calibri"/>
          <w:snapToGrid/>
          <w:kern w:val="0"/>
          <w:szCs w:val="22"/>
        </w:rPr>
        <w:t>defending its conduct</w:t>
      </w:r>
      <w:r w:rsidRPr="001810C7" w:rsidR="001810C7">
        <w:rPr>
          <w:rFonts w:eastAsia="Calibri"/>
          <w:snapToGrid/>
          <w:kern w:val="0"/>
          <w:szCs w:val="22"/>
        </w:rPr>
        <w:t xml:space="preserve">, Licensee </w:t>
      </w:r>
      <w:r w:rsidR="000133D3">
        <w:rPr>
          <w:rFonts w:eastAsia="Calibri"/>
          <w:snapToGrid/>
          <w:kern w:val="0"/>
          <w:szCs w:val="22"/>
        </w:rPr>
        <w:t xml:space="preserve">asserts that its </w:t>
      </w:r>
      <w:r w:rsidR="001D0443">
        <w:rPr>
          <w:rFonts w:eastAsia="Calibri"/>
          <w:snapToGrid/>
          <w:kern w:val="0"/>
          <w:szCs w:val="22"/>
        </w:rPr>
        <w:t>“You Can’t Win” c</w:t>
      </w:r>
      <w:r w:rsidR="000133D3">
        <w:rPr>
          <w:rFonts w:eastAsia="Calibri"/>
          <w:snapToGrid/>
          <w:kern w:val="0"/>
          <w:szCs w:val="22"/>
        </w:rPr>
        <w:t xml:space="preserve">ontest rules </w:t>
      </w:r>
      <w:r w:rsidR="00E06EDB">
        <w:rPr>
          <w:rFonts w:eastAsia="Calibri"/>
          <w:snapToGrid/>
          <w:kern w:val="0"/>
          <w:szCs w:val="22"/>
        </w:rPr>
        <w:t>excluded</w:t>
      </w:r>
      <w:r w:rsidRPr="001810C7" w:rsidR="001810C7">
        <w:rPr>
          <w:rFonts w:eastAsia="Calibri"/>
          <w:snapToGrid/>
          <w:kern w:val="0"/>
          <w:szCs w:val="22"/>
        </w:rPr>
        <w:t xml:space="preserve"> </w:t>
      </w:r>
      <w:r w:rsidR="000133D3">
        <w:rPr>
          <w:rFonts w:eastAsia="Calibri"/>
          <w:snapToGrid/>
          <w:kern w:val="0"/>
          <w:szCs w:val="22"/>
        </w:rPr>
        <w:t>anyone who h</w:t>
      </w:r>
      <w:r w:rsidRPr="001810C7" w:rsidR="001810C7">
        <w:rPr>
          <w:rFonts w:eastAsia="Calibri"/>
          <w:snapToGrid/>
          <w:kern w:val="0"/>
          <w:szCs w:val="22"/>
        </w:rPr>
        <w:t xml:space="preserve">ad </w:t>
      </w:r>
      <w:r w:rsidR="00A00247">
        <w:rPr>
          <w:rFonts w:eastAsia="Calibri"/>
          <w:snapToGrid/>
          <w:kern w:val="0"/>
          <w:szCs w:val="22"/>
        </w:rPr>
        <w:t>won</w:t>
      </w:r>
      <w:r w:rsidRPr="001810C7" w:rsidR="00A00247">
        <w:rPr>
          <w:rFonts w:eastAsia="Calibri"/>
          <w:snapToGrid/>
          <w:kern w:val="0"/>
          <w:szCs w:val="22"/>
        </w:rPr>
        <w:t xml:space="preserve"> </w:t>
      </w:r>
      <w:r w:rsidRPr="001810C7" w:rsidR="001810C7">
        <w:rPr>
          <w:rFonts w:eastAsia="Calibri"/>
          <w:snapToGrid/>
          <w:kern w:val="0"/>
          <w:szCs w:val="22"/>
        </w:rPr>
        <w:t xml:space="preserve">a different </w:t>
      </w:r>
      <w:r w:rsidR="00DA7606">
        <w:rPr>
          <w:rFonts w:eastAsia="Calibri"/>
          <w:snapToGrid/>
          <w:kern w:val="0"/>
          <w:szCs w:val="22"/>
        </w:rPr>
        <w:t>S</w:t>
      </w:r>
      <w:r w:rsidRPr="001810C7" w:rsidR="001810C7">
        <w:rPr>
          <w:rFonts w:eastAsia="Calibri"/>
          <w:snapToGrid/>
          <w:kern w:val="0"/>
          <w:szCs w:val="22"/>
        </w:rPr>
        <w:t xml:space="preserve">tation contest </w:t>
      </w:r>
      <w:r w:rsidR="00E06EDB">
        <w:rPr>
          <w:rFonts w:eastAsia="Calibri"/>
          <w:snapToGrid/>
          <w:kern w:val="0"/>
          <w:szCs w:val="22"/>
        </w:rPr>
        <w:t>between</w:t>
      </w:r>
      <w:r w:rsidRPr="001810C7" w:rsidR="00A00247">
        <w:rPr>
          <w:rFonts w:eastAsia="Calibri"/>
          <w:snapToGrid/>
          <w:kern w:val="0"/>
          <w:szCs w:val="22"/>
        </w:rPr>
        <w:t xml:space="preserve"> </w:t>
      </w:r>
      <w:r w:rsidR="00A00247">
        <w:rPr>
          <w:rFonts w:eastAsia="Calibri"/>
          <w:snapToGrid/>
          <w:kern w:val="0"/>
          <w:szCs w:val="22"/>
        </w:rPr>
        <w:t xml:space="preserve">30 days before the start of the “You Can’t Win” </w:t>
      </w:r>
      <w:r w:rsidR="001D0443">
        <w:rPr>
          <w:rFonts w:eastAsia="Calibri"/>
          <w:snapToGrid/>
          <w:kern w:val="0"/>
          <w:szCs w:val="22"/>
        </w:rPr>
        <w:t>c</w:t>
      </w:r>
      <w:r w:rsidR="00A00247">
        <w:rPr>
          <w:rFonts w:eastAsia="Calibri"/>
          <w:snapToGrid/>
          <w:kern w:val="0"/>
          <w:szCs w:val="22"/>
        </w:rPr>
        <w:t>ontest</w:t>
      </w:r>
      <w:r w:rsidR="001E5F24">
        <w:rPr>
          <w:rFonts w:eastAsia="Calibri"/>
          <w:snapToGrid/>
          <w:kern w:val="0"/>
          <w:szCs w:val="22"/>
        </w:rPr>
        <w:t xml:space="preserve"> unti</w:t>
      </w:r>
      <w:r w:rsidR="000133D3">
        <w:rPr>
          <w:rFonts w:eastAsia="Calibri"/>
          <w:snapToGrid/>
          <w:kern w:val="0"/>
          <w:szCs w:val="22"/>
        </w:rPr>
        <w:t xml:space="preserve">l the </w:t>
      </w:r>
      <w:r w:rsidR="00EA0202">
        <w:rPr>
          <w:rFonts w:eastAsia="Calibri"/>
          <w:snapToGrid/>
          <w:kern w:val="0"/>
          <w:szCs w:val="22"/>
        </w:rPr>
        <w:t xml:space="preserve">“You Can’t Win” </w:t>
      </w:r>
      <w:r w:rsidR="001D0443">
        <w:rPr>
          <w:rFonts w:eastAsia="Calibri"/>
          <w:snapToGrid/>
          <w:kern w:val="0"/>
          <w:szCs w:val="22"/>
        </w:rPr>
        <w:t>c</w:t>
      </w:r>
      <w:r w:rsidR="000133D3">
        <w:rPr>
          <w:rFonts w:eastAsia="Calibri"/>
          <w:snapToGrid/>
          <w:kern w:val="0"/>
          <w:szCs w:val="22"/>
        </w:rPr>
        <w:t>ontest</w:t>
      </w:r>
      <w:r w:rsidR="001E5F24">
        <w:rPr>
          <w:rFonts w:eastAsia="Calibri"/>
          <w:snapToGrid/>
          <w:kern w:val="0"/>
          <w:szCs w:val="22"/>
        </w:rPr>
        <w:t xml:space="preserve"> end</w:t>
      </w:r>
      <w:r w:rsidR="000133D3">
        <w:rPr>
          <w:rFonts w:eastAsia="Calibri"/>
          <w:snapToGrid/>
          <w:kern w:val="0"/>
          <w:szCs w:val="22"/>
        </w:rPr>
        <w:t>ed</w:t>
      </w:r>
      <w:r w:rsidR="001E5F24">
        <w:rPr>
          <w:rFonts w:eastAsia="Calibri"/>
          <w:snapToGrid/>
          <w:kern w:val="0"/>
          <w:szCs w:val="22"/>
        </w:rPr>
        <w:t>.  However, this interpretation is not supported</w:t>
      </w:r>
      <w:r w:rsidR="00EB6C45">
        <w:rPr>
          <w:rFonts w:eastAsia="Calibri"/>
          <w:snapToGrid/>
          <w:kern w:val="0"/>
          <w:szCs w:val="22"/>
        </w:rPr>
        <w:t xml:space="preserve"> by the plain language </w:t>
      </w:r>
      <w:r w:rsidR="001672C0">
        <w:rPr>
          <w:rFonts w:eastAsia="Calibri"/>
          <w:snapToGrid/>
          <w:kern w:val="0"/>
          <w:szCs w:val="22"/>
        </w:rPr>
        <w:t>of</w:t>
      </w:r>
      <w:r w:rsidR="00E06EDB">
        <w:rPr>
          <w:rFonts w:eastAsia="Calibri"/>
          <w:snapToGrid/>
          <w:kern w:val="0"/>
          <w:szCs w:val="22"/>
        </w:rPr>
        <w:t xml:space="preserve"> the rules for the </w:t>
      </w:r>
      <w:r w:rsidR="001D0443">
        <w:rPr>
          <w:rFonts w:eastAsia="Calibri"/>
          <w:snapToGrid/>
          <w:kern w:val="0"/>
          <w:szCs w:val="22"/>
        </w:rPr>
        <w:t>“You Can’t Win” c</w:t>
      </w:r>
      <w:r w:rsidR="00E06EDB">
        <w:rPr>
          <w:rFonts w:eastAsia="Calibri"/>
          <w:snapToGrid/>
          <w:kern w:val="0"/>
          <w:szCs w:val="22"/>
        </w:rPr>
        <w:t>ontest</w:t>
      </w:r>
      <w:r w:rsidR="00EA0202">
        <w:rPr>
          <w:rFonts w:eastAsia="Calibri"/>
          <w:snapToGrid/>
          <w:kern w:val="0"/>
          <w:szCs w:val="22"/>
        </w:rPr>
        <w:t>, which exclude</w:t>
      </w:r>
      <w:r w:rsidR="00AA72BC">
        <w:rPr>
          <w:rFonts w:eastAsia="Calibri"/>
          <w:snapToGrid/>
          <w:kern w:val="0"/>
          <w:szCs w:val="22"/>
        </w:rPr>
        <w:t>s</w:t>
      </w:r>
      <w:r w:rsidR="00EA0202">
        <w:rPr>
          <w:rFonts w:eastAsia="Calibri"/>
          <w:snapToGrid/>
          <w:kern w:val="0"/>
          <w:szCs w:val="22"/>
        </w:rPr>
        <w:t xml:space="preserve"> only persons who had won a Station contest within 30 days prior to the start of the “You Can’t Win” contest</w:t>
      </w:r>
      <w:r w:rsidR="00AA72BC">
        <w:rPr>
          <w:rFonts w:eastAsia="Calibri"/>
          <w:snapToGrid/>
          <w:kern w:val="0"/>
          <w:szCs w:val="22"/>
        </w:rPr>
        <w:t xml:space="preserve"> and says nothing about the exclusionary period </w:t>
      </w:r>
      <w:r w:rsidR="00E959BD">
        <w:rPr>
          <w:rFonts w:eastAsia="Calibri"/>
          <w:snapToGrid/>
          <w:kern w:val="0"/>
          <w:szCs w:val="22"/>
        </w:rPr>
        <w:t xml:space="preserve">“beginning” </w:t>
      </w:r>
      <w:r w:rsidR="00E959BD">
        <w:t xml:space="preserve">the thirty days prior to the Sweepstakes start date or </w:t>
      </w:r>
      <w:r w:rsidR="00AA72BC">
        <w:rPr>
          <w:rFonts w:eastAsia="Calibri"/>
          <w:snapToGrid/>
          <w:kern w:val="0"/>
          <w:szCs w:val="22"/>
        </w:rPr>
        <w:t>lasting until the end of the contest</w:t>
      </w:r>
      <w:r w:rsidR="00EB6C45">
        <w:rPr>
          <w:rFonts w:eastAsia="Calibri"/>
          <w:snapToGrid/>
          <w:kern w:val="0"/>
          <w:szCs w:val="22"/>
        </w:rPr>
        <w:t>.</w:t>
      </w:r>
      <w:r>
        <w:rPr>
          <w:rStyle w:val="FootnoteReference"/>
          <w:rFonts w:eastAsia="Calibri"/>
          <w:snapToGrid/>
          <w:kern w:val="0"/>
          <w:szCs w:val="22"/>
        </w:rPr>
        <w:footnoteReference w:id="32"/>
      </w:r>
    </w:p>
    <w:p w:rsidR="001810C7" w:rsidRPr="002D7A03" w:rsidP="00BD6B89" w14:paraId="76895B81" w14:textId="7CB223C8">
      <w:pPr>
        <w:pStyle w:val="ParaNum"/>
        <w:rPr>
          <w:szCs w:val="22"/>
        </w:rPr>
      </w:pPr>
      <w:r>
        <w:t xml:space="preserve">As noted above, even if there was an ambiguity in the “You Can’t Win” contest’s rules, Commission precedent makes clear that </w:t>
      </w:r>
      <w:r w:rsidRPr="00C77C90">
        <w:t>ambiguous rules are to be construed against the interests of the promoter of the contest.</w:t>
      </w:r>
      <w:r>
        <w:rPr>
          <w:rStyle w:val="FootnoteReference"/>
          <w:szCs w:val="22"/>
        </w:rPr>
        <w:footnoteReference w:id="33"/>
      </w:r>
      <w:r>
        <w:t xml:space="preserve">  </w:t>
      </w:r>
      <w:r w:rsidRPr="002D7A03" w:rsidR="00127B6E">
        <w:rPr>
          <w:szCs w:val="22"/>
        </w:rPr>
        <w:t xml:space="preserve">Undermining </w:t>
      </w:r>
      <w:r w:rsidRPr="002D7A03" w:rsidR="00176F01">
        <w:rPr>
          <w:szCs w:val="22"/>
        </w:rPr>
        <w:t>Licensee</w:t>
      </w:r>
      <w:r w:rsidRPr="002D7A03" w:rsidR="00127B6E">
        <w:rPr>
          <w:szCs w:val="22"/>
        </w:rPr>
        <w:t>’s argument</w:t>
      </w:r>
      <w:r w:rsidRPr="004B1894" w:rsidR="00587965">
        <w:rPr>
          <w:szCs w:val="22"/>
        </w:rPr>
        <w:t xml:space="preserve"> further</w:t>
      </w:r>
      <w:r w:rsidRPr="002D7A03" w:rsidR="00127B6E">
        <w:rPr>
          <w:szCs w:val="22"/>
        </w:rPr>
        <w:t xml:space="preserve"> is that</w:t>
      </w:r>
      <w:r w:rsidRPr="002D7A03" w:rsidR="00906CBC">
        <w:rPr>
          <w:szCs w:val="22"/>
        </w:rPr>
        <w:t>, according to Licensee,</w:t>
      </w:r>
      <w:r w:rsidRPr="002D7A03" w:rsidR="00127B6E">
        <w:rPr>
          <w:szCs w:val="22"/>
        </w:rPr>
        <w:t xml:space="preserve"> </w:t>
      </w:r>
      <w:r w:rsidRPr="002D7A03" w:rsidR="002A2D78">
        <w:rPr>
          <w:szCs w:val="22"/>
        </w:rPr>
        <w:t xml:space="preserve">the Station’s standard protocol </w:t>
      </w:r>
      <w:r w:rsidRPr="002D7A03" w:rsidR="00EF619F">
        <w:rPr>
          <w:szCs w:val="22"/>
        </w:rPr>
        <w:t xml:space="preserve">since 2002 </w:t>
      </w:r>
      <w:r w:rsidRPr="002D7A03" w:rsidR="00C2122B">
        <w:rPr>
          <w:szCs w:val="22"/>
        </w:rPr>
        <w:t>had been</w:t>
      </w:r>
      <w:r w:rsidRPr="002D7A03" w:rsidR="002A2D78">
        <w:rPr>
          <w:szCs w:val="22"/>
        </w:rPr>
        <w:t xml:space="preserve"> t</w:t>
      </w:r>
      <w:r w:rsidRPr="002D7A03" w:rsidR="00EF619F">
        <w:rPr>
          <w:szCs w:val="22"/>
        </w:rPr>
        <w:t xml:space="preserve">o </w:t>
      </w:r>
      <w:r w:rsidRPr="002D7A03" w:rsidR="00E06EDB">
        <w:rPr>
          <w:szCs w:val="22"/>
        </w:rPr>
        <w:t xml:space="preserve">have </w:t>
      </w:r>
      <w:r w:rsidRPr="002D7A03" w:rsidR="005F69BE">
        <w:rPr>
          <w:szCs w:val="22"/>
        </w:rPr>
        <w:t xml:space="preserve">its contest screeners </w:t>
      </w:r>
      <w:r w:rsidRPr="002D7A03" w:rsidR="00EF619F">
        <w:rPr>
          <w:szCs w:val="22"/>
        </w:rPr>
        <w:t>as</w:t>
      </w:r>
      <w:r w:rsidRPr="002D7A03" w:rsidR="00E700C6">
        <w:rPr>
          <w:szCs w:val="22"/>
        </w:rPr>
        <w:t>k</w:t>
      </w:r>
      <w:r w:rsidRPr="002D7A03" w:rsidR="005F69BE">
        <w:rPr>
          <w:szCs w:val="22"/>
        </w:rPr>
        <w:t xml:space="preserve"> callers </w:t>
      </w:r>
      <w:r w:rsidRPr="002D7A03" w:rsidR="00BC4524">
        <w:rPr>
          <w:szCs w:val="22"/>
        </w:rPr>
        <w:t>whether they had won a Station contest in the past 90</w:t>
      </w:r>
      <w:r w:rsidRPr="002D7A03" w:rsidR="00906CBC">
        <w:rPr>
          <w:szCs w:val="22"/>
        </w:rPr>
        <w:t xml:space="preserve"> </w:t>
      </w:r>
      <w:r w:rsidRPr="002D7A03" w:rsidR="00127B6E">
        <w:rPr>
          <w:szCs w:val="22"/>
        </w:rPr>
        <w:t>calendar</w:t>
      </w:r>
      <w:r w:rsidRPr="002D7A03" w:rsidR="00906CBC">
        <w:rPr>
          <w:szCs w:val="22"/>
        </w:rPr>
        <w:t xml:space="preserve"> </w:t>
      </w:r>
      <w:r w:rsidRPr="002D7A03" w:rsidR="00BC4524">
        <w:rPr>
          <w:szCs w:val="22"/>
        </w:rPr>
        <w:t>days</w:t>
      </w:r>
      <w:r w:rsidRPr="002D7A03" w:rsidR="00906CBC">
        <w:rPr>
          <w:szCs w:val="22"/>
        </w:rPr>
        <w:t>.</w:t>
      </w:r>
      <w:r>
        <w:rPr>
          <w:sz w:val="20"/>
          <w:vertAlign w:val="superscript"/>
        </w:rPr>
        <w:footnoteReference w:id="34"/>
      </w:r>
      <w:r w:rsidRPr="002D7A03" w:rsidR="00BC4524">
        <w:rPr>
          <w:szCs w:val="22"/>
        </w:rPr>
        <w:t xml:space="preserve">  </w:t>
      </w:r>
      <w:r w:rsidRPr="004B1894" w:rsidR="001672C0">
        <w:rPr>
          <w:szCs w:val="22"/>
        </w:rPr>
        <w:t xml:space="preserve">Thus, </w:t>
      </w:r>
      <w:r w:rsidRPr="002D7A03" w:rsidR="00EF619F">
        <w:rPr>
          <w:szCs w:val="22"/>
        </w:rPr>
        <w:t xml:space="preserve">the </w:t>
      </w:r>
      <w:r w:rsidRPr="002D7A03" w:rsidR="00BC4524">
        <w:rPr>
          <w:szCs w:val="22"/>
        </w:rPr>
        <w:t>Statio</w:t>
      </w:r>
      <w:r w:rsidRPr="002D7A03" w:rsidR="001672C0">
        <w:rPr>
          <w:szCs w:val="22"/>
        </w:rPr>
        <w:t xml:space="preserve">n </w:t>
      </w:r>
      <w:r w:rsidRPr="002D7A03" w:rsidR="00906CBC">
        <w:rPr>
          <w:szCs w:val="22"/>
        </w:rPr>
        <w:t>apparently</w:t>
      </w:r>
      <w:r w:rsidRPr="002D7A03" w:rsidR="00906CBC">
        <w:rPr>
          <w:szCs w:val="22"/>
        </w:rPr>
        <w:t xml:space="preserve"> </w:t>
      </w:r>
      <w:r w:rsidRPr="002D7A03" w:rsidR="00906CBC">
        <w:rPr>
          <w:szCs w:val="22"/>
        </w:rPr>
        <w:t>did not</w:t>
      </w:r>
      <w:r w:rsidRPr="002D7A03" w:rsidR="00BC4524">
        <w:rPr>
          <w:szCs w:val="22"/>
        </w:rPr>
        <w:t xml:space="preserve"> ask contestants </w:t>
      </w:r>
      <w:r w:rsidRPr="002D7A03" w:rsidR="0021478E">
        <w:rPr>
          <w:szCs w:val="22"/>
        </w:rPr>
        <w:t>whether</w:t>
      </w:r>
      <w:r w:rsidRPr="002D7A03" w:rsidR="00BC4524">
        <w:rPr>
          <w:szCs w:val="22"/>
        </w:rPr>
        <w:t xml:space="preserve"> they w</w:t>
      </w:r>
      <w:r w:rsidRPr="002D7A03" w:rsidR="005F69BE">
        <w:rPr>
          <w:szCs w:val="22"/>
        </w:rPr>
        <w:t>on another Station contest</w:t>
      </w:r>
      <w:r w:rsidRPr="002D7A03" w:rsidR="00BC4524">
        <w:rPr>
          <w:szCs w:val="22"/>
        </w:rPr>
        <w:t xml:space="preserve"> </w:t>
      </w:r>
      <w:r w:rsidRPr="002D7A03" w:rsidR="001672C0">
        <w:rPr>
          <w:i/>
          <w:iCs/>
          <w:szCs w:val="22"/>
        </w:rPr>
        <w:t>before</w:t>
      </w:r>
      <w:r w:rsidRPr="002D7A03" w:rsidR="00BC4524">
        <w:rPr>
          <w:i/>
          <w:iCs/>
          <w:szCs w:val="22"/>
        </w:rPr>
        <w:t xml:space="preserve"> t</w:t>
      </w:r>
      <w:r w:rsidRPr="002D7A03" w:rsidR="001672C0">
        <w:rPr>
          <w:i/>
          <w:iCs/>
          <w:szCs w:val="22"/>
        </w:rPr>
        <w:t>h</w:t>
      </w:r>
      <w:r w:rsidRPr="002D7A03" w:rsidR="00BC4524">
        <w:rPr>
          <w:i/>
          <w:iCs/>
          <w:szCs w:val="22"/>
        </w:rPr>
        <w:t>e</w:t>
      </w:r>
      <w:r w:rsidRPr="002D7A03" w:rsidR="00BC4524">
        <w:rPr>
          <w:szCs w:val="22"/>
        </w:rPr>
        <w:t xml:space="preserve"> </w:t>
      </w:r>
      <w:r w:rsidRPr="002D7A03" w:rsidR="00BC4524">
        <w:rPr>
          <w:i/>
        </w:rPr>
        <w:t>start dat</w:t>
      </w:r>
      <w:r w:rsidRPr="002D7A03" w:rsidR="00BC4524">
        <w:rPr>
          <w:i/>
          <w:iCs/>
          <w:szCs w:val="22"/>
        </w:rPr>
        <w:t>e</w:t>
      </w:r>
      <w:r w:rsidRPr="002D7A03" w:rsidR="00A00247">
        <w:rPr>
          <w:szCs w:val="22"/>
        </w:rPr>
        <w:t xml:space="preserve"> of the “You Can’t Win” Contest</w:t>
      </w:r>
      <w:r w:rsidRPr="002D7A03" w:rsidR="00906CBC">
        <w:rPr>
          <w:szCs w:val="22"/>
        </w:rPr>
        <w:t xml:space="preserve">, as would have been required in order to determine eligibility for the “You Can’t Win” </w:t>
      </w:r>
      <w:r w:rsidRPr="002D7A03" w:rsidR="001D0443">
        <w:rPr>
          <w:szCs w:val="22"/>
        </w:rPr>
        <w:t>c</w:t>
      </w:r>
      <w:r w:rsidRPr="002D7A03" w:rsidR="00906CBC">
        <w:rPr>
          <w:szCs w:val="22"/>
        </w:rPr>
        <w:t>ontest</w:t>
      </w:r>
      <w:r w:rsidRPr="002D7A03" w:rsidR="001D0443">
        <w:rPr>
          <w:szCs w:val="22"/>
        </w:rPr>
        <w:t xml:space="preserve"> per its rules</w:t>
      </w:r>
      <w:r w:rsidRPr="002D7A03" w:rsidR="002A2B0B">
        <w:rPr>
          <w:szCs w:val="22"/>
        </w:rPr>
        <w:t>.</w:t>
      </w:r>
      <w:r w:rsidRPr="002D7A03" w:rsidR="00C2122B">
        <w:rPr>
          <w:szCs w:val="22"/>
        </w:rPr>
        <w:t xml:space="preserve"> </w:t>
      </w:r>
      <w:r w:rsidRPr="002D7A03" w:rsidR="00A00247">
        <w:rPr>
          <w:szCs w:val="22"/>
        </w:rPr>
        <w:t xml:space="preserve"> </w:t>
      </w:r>
      <w:r w:rsidRPr="002D7A03" w:rsidR="001D0443">
        <w:rPr>
          <w:szCs w:val="22"/>
        </w:rPr>
        <w:t>T</w:t>
      </w:r>
      <w:r w:rsidRPr="002D7A03" w:rsidR="001672C0">
        <w:rPr>
          <w:szCs w:val="22"/>
        </w:rPr>
        <w:t>he</w:t>
      </w:r>
      <w:r w:rsidRPr="002D7A03" w:rsidR="00486D78">
        <w:rPr>
          <w:szCs w:val="22"/>
        </w:rPr>
        <w:t xml:space="preserve">re </w:t>
      </w:r>
      <w:r w:rsidRPr="002D7A03" w:rsidR="0021478E">
        <w:rPr>
          <w:szCs w:val="22"/>
        </w:rPr>
        <w:t>wa</w:t>
      </w:r>
      <w:r w:rsidRPr="002D7A03" w:rsidR="00486D78">
        <w:rPr>
          <w:szCs w:val="22"/>
        </w:rPr>
        <w:t xml:space="preserve">s a </w:t>
      </w:r>
      <w:r w:rsidRPr="002D7A03" w:rsidR="00EF619F">
        <w:rPr>
          <w:szCs w:val="22"/>
        </w:rPr>
        <w:t>clear</w:t>
      </w:r>
      <w:r w:rsidRPr="002D7A03" w:rsidR="002A2B0B">
        <w:rPr>
          <w:szCs w:val="22"/>
        </w:rPr>
        <w:t xml:space="preserve"> conflict between the eligibility standards </w:t>
      </w:r>
      <w:r>
        <w:rPr>
          <w:szCs w:val="22"/>
        </w:rPr>
        <w:t xml:space="preserve">Licensee claims were </w:t>
      </w:r>
      <w:r w:rsidRPr="002D7A03" w:rsidR="001672C0">
        <w:rPr>
          <w:szCs w:val="22"/>
        </w:rPr>
        <w:t>proscribed in</w:t>
      </w:r>
      <w:r w:rsidRPr="002D7A03" w:rsidR="002A2B0B">
        <w:rPr>
          <w:szCs w:val="22"/>
        </w:rPr>
        <w:t xml:space="preserve"> the </w:t>
      </w:r>
      <w:r w:rsidRPr="002D7A03" w:rsidR="0021478E">
        <w:rPr>
          <w:szCs w:val="22"/>
        </w:rPr>
        <w:t xml:space="preserve">published </w:t>
      </w:r>
      <w:r w:rsidRPr="002D7A03" w:rsidR="001D0443">
        <w:rPr>
          <w:szCs w:val="22"/>
        </w:rPr>
        <w:t>“You Can’t Win” c</w:t>
      </w:r>
      <w:r w:rsidRPr="002D7A03" w:rsidR="002A2B0B">
        <w:rPr>
          <w:szCs w:val="22"/>
        </w:rPr>
        <w:t>ontest rules and</w:t>
      </w:r>
      <w:r w:rsidRPr="002D7A03" w:rsidR="00486D78">
        <w:rPr>
          <w:szCs w:val="22"/>
        </w:rPr>
        <w:t xml:space="preserve"> the representations </w:t>
      </w:r>
      <w:r w:rsidRPr="002D7A03" w:rsidR="0021478E">
        <w:rPr>
          <w:szCs w:val="22"/>
        </w:rPr>
        <w:t xml:space="preserve">the Station </w:t>
      </w:r>
      <w:r w:rsidRPr="002D7A03" w:rsidR="00486D78">
        <w:rPr>
          <w:szCs w:val="22"/>
        </w:rPr>
        <w:t xml:space="preserve">made </w:t>
      </w:r>
      <w:r w:rsidRPr="002D7A03" w:rsidR="001672C0">
        <w:rPr>
          <w:szCs w:val="22"/>
        </w:rPr>
        <w:t xml:space="preserve">to </w:t>
      </w:r>
      <w:r w:rsidRPr="002D7A03" w:rsidR="0021478E">
        <w:rPr>
          <w:szCs w:val="22"/>
        </w:rPr>
        <w:t xml:space="preserve">callers </w:t>
      </w:r>
      <w:r w:rsidRPr="002D7A03" w:rsidR="001672C0">
        <w:rPr>
          <w:szCs w:val="22"/>
        </w:rPr>
        <w:t>under</w:t>
      </w:r>
      <w:r w:rsidRPr="002D7A03" w:rsidR="002A2B0B">
        <w:rPr>
          <w:szCs w:val="22"/>
        </w:rPr>
        <w:t xml:space="preserve"> </w:t>
      </w:r>
      <w:r w:rsidRPr="002D7A03" w:rsidR="0021478E">
        <w:rPr>
          <w:szCs w:val="22"/>
        </w:rPr>
        <w:t>it</w:t>
      </w:r>
      <w:r w:rsidRPr="002D7A03" w:rsidR="00B55E00">
        <w:rPr>
          <w:szCs w:val="22"/>
        </w:rPr>
        <w:t>s</w:t>
      </w:r>
      <w:r w:rsidRPr="002D7A03" w:rsidR="00486D78">
        <w:rPr>
          <w:szCs w:val="22"/>
        </w:rPr>
        <w:t xml:space="preserve"> </w:t>
      </w:r>
      <w:r w:rsidRPr="004B1894" w:rsidR="002A2B0B">
        <w:rPr>
          <w:szCs w:val="22"/>
        </w:rPr>
        <w:t>standard protoco</w:t>
      </w:r>
      <w:r w:rsidRPr="002D7A03" w:rsidR="00486D78">
        <w:rPr>
          <w:szCs w:val="22"/>
        </w:rPr>
        <w:t xml:space="preserve">l. </w:t>
      </w:r>
      <w:r w:rsidRPr="002D7A03" w:rsidR="00C2122B">
        <w:rPr>
          <w:szCs w:val="22"/>
        </w:rPr>
        <w:t xml:space="preserve"> </w:t>
      </w:r>
    </w:p>
    <w:p w:rsidR="00A542E1" w:rsidRPr="001810C7" w:rsidP="001810C7" w14:paraId="3BB403C1" w14:textId="093C32F2">
      <w:pPr>
        <w:pStyle w:val="ParaNum"/>
        <w:tabs>
          <w:tab w:val="num" w:pos="1800"/>
        </w:tabs>
        <w:rPr>
          <w:szCs w:val="22"/>
        </w:rPr>
      </w:pPr>
      <w:r w:rsidRPr="00617994">
        <w:t>Further, e</w:t>
      </w:r>
      <w:r w:rsidRPr="00617994">
        <w:t xml:space="preserve">ven </w:t>
      </w:r>
      <w:r w:rsidRPr="00617994">
        <w:t>if we accept</w:t>
      </w:r>
      <w:r w:rsidRPr="00617994">
        <w:t xml:space="preserve">, arguendo, </w:t>
      </w:r>
      <w:r w:rsidRPr="00617994">
        <w:t>Licensee’s</w:t>
      </w:r>
      <w:r w:rsidRPr="00617994">
        <w:t xml:space="preserve"> </w:t>
      </w:r>
      <w:r w:rsidRPr="00617994">
        <w:t>assertion</w:t>
      </w:r>
      <w:r w:rsidRPr="00617994">
        <w:t xml:space="preserve"> that the Complainant was ineligible to participate in the contest, that would not render the allegations </w:t>
      </w:r>
      <w:r w:rsidRPr="00617994" w:rsidR="00361B3D">
        <w:t xml:space="preserve">raised in the Complaint </w:t>
      </w:r>
      <w:r w:rsidR="00791A07">
        <w:t>“immaterial</w:t>
      </w:r>
      <w:r w:rsidR="00E959BD">
        <w:t>,</w:t>
      </w:r>
      <w:r w:rsidR="00791A07">
        <w:t>”</w:t>
      </w:r>
      <w:r w:rsidR="00E959BD">
        <w:t xml:space="preserve"> as Licensee contends</w:t>
      </w:r>
      <w:r>
        <w:t>.</w:t>
      </w:r>
      <w:r>
        <w:rPr>
          <w:sz w:val="20"/>
          <w:vertAlign w:val="superscript"/>
        </w:rPr>
        <w:footnoteReference w:id="35"/>
      </w:r>
      <w:r w:rsidR="001F6041">
        <w:t xml:space="preserve">  </w:t>
      </w:r>
      <w:r w:rsidR="007D5AD7">
        <w:t>A</w:t>
      </w:r>
      <w:r w:rsidR="00905637">
        <w:t xml:space="preserve"> complaining party </w:t>
      </w:r>
      <w:r w:rsidR="00361B3D">
        <w:t xml:space="preserve">does not </w:t>
      </w:r>
      <w:r w:rsidR="00905637">
        <w:t xml:space="preserve">need </w:t>
      </w:r>
      <w:r w:rsidR="00361B3D">
        <w:t xml:space="preserve">to </w:t>
      </w:r>
      <w:r w:rsidR="00905637">
        <w:t xml:space="preserve">be a </w:t>
      </w:r>
      <w:r w:rsidR="002D7A03">
        <w:t>qualified</w:t>
      </w:r>
      <w:r w:rsidR="00905637">
        <w:t xml:space="preserve"> contestant in order to have standing to complain </w:t>
      </w:r>
      <w:r w:rsidR="00B505B5">
        <w:t xml:space="preserve">about </w:t>
      </w:r>
      <w:r w:rsidR="00361B3D">
        <w:t>the manner in which a station contest is conducted</w:t>
      </w:r>
      <w:r w:rsidR="005A30E1">
        <w:t>.  S</w:t>
      </w:r>
      <w:r w:rsidR="00905637">
        <w:t xml:space="preserve">uch complaints </w:t>
      </w:r>
      <w:r w:rsidR="00B505B5">
        <w:t xml:space="preserve">alert the Commission to potential licensee misconduct, </w:t>
      </w:r>
      <w:r w:rsidR="001F6041">
        <w:t>enabling it to</w:t>
      </w:r>
      <w:r w:rsidR="00B505B5">
        <w:t xml:space="preserve"> investigate whether </w:t>
      </w:r>
      <w:r w:rsidR="001F6041">
        <w:t>such</w:t>
      </w:r>
      <w:r w:rsidR="00B505B5">
        <w:t xml:space="preserve"> </w:t>
      </w:r>
      <w:r w:rsidR="00B505B5">
        <w:t>licensee has operated its station consistent with the public interest.</w:t>
      </w:r>
      <w:r>
        <w:rPr>
          <w:rStyle w:val="FootnoteReference"/>
        </w:rPr>
        <w:footnoteReference w:id="36"/>
      </w:r>
      <w:r w:rsidR="00050090">
        <w:t xml:space="preserve">  </w:t>
      </w:r>
      <w:r w:rsidR="00361B3D">
        <w:t>In the instant case</w:t>
      </w:r>
      <w:r w:rsidR="007D5AD7">
        <w:t xml:space="preserve">, </w:t>
      </w:r>
      <w:r w:rsidR="0080687D">
        <w:t>the Bureau’s</w:t>
      </w:r>
      <w:r w:rsidR="00053516">
        <w:t xml:space="preserve"> investigation </w:t>
      </w:r>
      <w:r w:rsidR="005A30E1">
        <w:t xml:space="preserve">of the Complainant’s allegations </w:t>
      </w:r>
      <w:r w:rsidR="0080687D">
        <w:t>uncovered</w:t>
      </w:r>
      <w:r w:rsidR="001A1B2C">
        <w:t xml:space="preserve"> </w:t>
      </w:r>
      <w:r w:rsidR="0001484F">
        <w:t xml:space="preserve">that the Licensee failed to conduct the “You Can’t Win” contest </w:t>
      </w:r>
      <w:r w:rsidR="002D7A03">
        <w:t xml:space="preserve">substantially </w:t>
      </w:r>
      <w:r w:rsidR="0001484F">
        <w:t>in accordance with the contest’s rule</w:t>
      </w:r>
      <w:r w:rsidR="002D7A03">
        <w:t>s</w:t>
      </w:r>
      <w:r w:rsidR="0001484F">
        <w:t xml:space="preserve">, and that </w:t>
      </w:r>
      <w:r w:rsidR="001A1B2C">
        <w:t>the Licensee fail</w:t>
      </w:r>
      <w:r w:rsidR="0001484F">
        <w:t>ed</w:t>
      </w:r>
      <w:r w:rsidR="001A1B2C">
        <w:t xml:space="preserve"> to maintain the ‘You Can’t Win’ Contest’s rules on its website for at least 30 days after the end of the Contest</w:t>
      </w:r>
      <w:r w:rsidR="008B273F">
        <w:t xml:space="preserve">, </w:t>
      </w:r>
      <w:r w:rsidR="0001484F">
        <w:t>in</w:t>
      </w:r>
      <w:r w:rsidR="008B273F">
        <w:t xml:space="preserve"> violation of the Contest Rule</w:t>
      </w:r>
      <w:r w:rsidR="001A1B2C">
        <w:t>.</w:t>
      </w:r>
      <w:r>
        <w:rPr>
          <w:rStyle w:val="FootnoteReference"/>
        </w:rPr>
        <w:footnoteReference w:id="37"/>
      </w:r>
      <w:r w:rsidR="001A1B2C">
        <w:t xml:space="preserve"> </w:t>
      </w:r>
    </w:p>
    <w:p w:rsidR="00553C82" w:rsidRPr="00E6342F" w:rsidP="00AE4DF4" w14:paraId="0410BAB7" w14:textId="77777777">
      <w:pPr>
        <w:pStyle w:val="Heading2"/>
      </w:pPr>
      <w:r w:rsidRPr="006C7E5D">
        <w:t>Proposed Forfeiture</w:t>
      </w:r>
    </w:p>
    <w:p w:rsidR="00464210" w:rsidRPr="004D29D1" w:rsidP="004D29D1" w14:paraId="10D7BB7A" w14:textId="0ED3DD60">
      <w:pPr>
        <w:pStyle w:val="ParaNum"/>
        <w:tabs>
          <w:tab w:val="num" w:pos="1800"/>
        </w:tabs>
        <w:rPr>
          <w:szCs w:val="22"/>
        </w:rPr>
      </w:pPr>
      <w:r w:rsidRPr="00AE4DF4">
        <w:rPr>
          <w:szCs w:val="22"/>
        </w:rPr>
        <w:t xml:space="preserve">Section 503(b) of the </w:t>
      </w:r>
      <w:r w:rsidRPr="00962DCE" w:rsidR="00962DCE">
        <w:rPr>
          <w:szCs w:val="22"/>
        </w:rPr>
        <w:t>Communications Act of 1934, as amended (Act)</w:t>
      </w:r>
      <w:r w:rsidR="00962DCE">
        <w:rPr>
          <w:szCs w:val="22"/>
        </w:rPr>
        <w:t>,</w:t>
      </w:r>
      <w:r>
        <w:rPr>
          <w:sz w:val="20"/>
          <w:vertAlign w:val="superscript"/>
        </w:rPr>
        <w:footnoteReference w:id="38"/>
      </w:r>
      <w:r w:rsidR="00962DCE">
        <w:rPr>
          <w:szCs w:val="22"/>
        </w:rPr>
        <w:t xml:space="preserve"> </w:t>
      </w:r>
      <w:r w:rsidRPr="00AE4DF4">
        <w:rPr>
          <w:szCs w:val="22"/>
        </w:rPr>
        <w:t>authorizes the Commission to impose a forfeiture against any entity that “willfully or repeatedly fail[s] to comply with any of the provisions of [the Act] or of any rule, regulation, or order issued by the Commission.”</w:t>
      </w:r>
      <w:r>
        <w:rPr>
          <w:sz w:val="20"/>
          <w:vertAlign w:val="superscript"/>
        </w:rPr>
        <w:footnoteReference w:id="39"/>
      </w:r>
      <w:r w:rsidRPr="004F4E05">
        <w:rPr>
          <w:sz w:val="20"/>
        </w:rPr>
        <w:t xml:space="preserve"> </w:t>
      </w:r>
      <w:r w:rsidRPr="00AE4DF4">
        <w:rPr>
          <w:szCs w:val="22"/>
        </w:rPr>
        <w:t xml:space="preserve"> </w:t>
      </w:r>
      <w:r w:rsidRPr="0009796B" w:rsidR="0009796B">
        <w:rPr>
          <w:szCs w:val="22"/>
        </w:rPr>
        <w:t xml:space="preserve">Section 312(f)(1) of the Act defines </w:t>
      </w:r>
      <w:r w:rsidR="00242C69">
        <w:rPr>
          <w:szCs w:val="22"/>
        </w:rPr>
        <w:t>“</w:t>
      </w:r>
      <w:r w:rsidRPr="0009796B" w:rsidR="0009796B">
        <w:rPr>
          <w:szCs w:val="22"/>
        </w:rPr>
        <w:t>willful</w:t>
      </w:r>
      <w:r w:rsidR="00242C69">
        <w:rPr>
          <w:szCs w:val="22"/>
        </w:rPr>
        <w:t>”</w:t>
      </w:r>
      <w:r w:rsidRPr="0009796B" w:rsidR="0009796B">
        <w:rPr>
          <w:szCs w:val="22"/>
        </w:rPr>
        <w:t xml:space="preserve"> as “the conscious and deliberate commission or omission of</w:t>
      </w:r>
      <w:r w:rsidR="00242C69">
        <w:rPr>
          <w:szCs w:val="22"/>
        </w:rPr>
        <w:t xml:space="preserve"> [any]</w:t>
      </w:r>
      <w:r w:rsidRPr="0009796B" w:rsidR="0009796B">
        <w:rPr>
          <w:szCs w:val="22"/>
        </w:rPr>
        <w:t xml:space="preserve"> act, irrespective of any intent to violate” the law.</w:t>
      </w:r>
      <w:r>
        <w:rPr>
          <w:sz w:val="20"/>
          <w:vertAlign w:val="superscript"/>
        </w:rPr>
        <w:footnoteReference w:id="40"/>
      </w:r>
      <w:r w:rsidR="00155B9B">
        <w:rPr>
          <w:szCs w:val="22"/>
        </w:rPr>
        <w:t xml:space="preserve">  </w:t>
      </w:r>
      <w:r w:rsidR="00176F01">
        <w:rPr>
          <w:szCs w:val="22"/>
        </w:rPr>
        <w:t>Licensee</w:t>
      </w:r>
      <w:r w:rsidR="00155B9B">
        <w:rPr>
          <w:szCs w:val="22"/>
        </w:rPr>
        <w:t xml:space="preserve">’s </w:t>
      </w:r>
      <w:r w:rsidR="00172C66">
        <w:rPr>
          <w:szCs w:val="22"/>
        </w:rPr>
        <w:t xml:space="preserve">improper </w:t>
      </w:r>
      <w:r w:rsidRPr="0099321F" w:rsidR="00BB55BB">
        <w:rPr>
          <w:szCs w:val="22"/>
        </w:rPr>
        <w:t>contestant exclusion</w:t>
      </w:r>
      <w:r w:rsidR="00172C66">
        <w:rPr>
          <w:szCs w:val="22"/>
        </w:rPr>
        <w:t xml:space="preserve"> in contravention of the rules</w:t>
      </w:r>
      <w:r w:rsidRPr="009F536C" w:rsidR="007A545D">
        <w:rPr>
          <w:szCs w:val="22"/>
        </w:rPr>
        <w:t xml:space="preserve">, </w:t>
      </w:r>
      <w:r w:rsidRPr="009F536C" w:rsidR="0018698A">
        <w:t xml:space="preserve">as well as its failure to maintain the Contest’s rules on its website for at least 30 days after the end of the Contest, were, </w:t>
      </w:r>
      <w:r w:rsidRPr="007A545D" w:rsidR="00E2500B">
        <w:rPr>
          <w:szCs w:val="22"/>
        </w:rPr>
        <w:t>under the law,</w:t>
      </w:r>
      <w:r w:rsidRPr="007A545D" w:rsidR="00B81FAB">
        <w:rPr>
          <w:szCs w:val="22"/>
        </w:rPr>
        <w:t xml:space="preserve"> willful</w:t>
      </w:r>
      <w:r w:rsidR="007A545D">
        <w:rPr>
          <w:szCs w:val="22"/>
        </w:rPr>
        <w:t>,</w:t>
      </w:r>
      <w:r w:rsidRPr="007A545D" w:rsidR="00B81FAB">
        <w:rPr>
          <w:szCs w:val="22"/>
        </w:rPr>
        <w:t xml:space="preserve"> regardless of whether</w:t>
      </w:r>
      <w:r w:rsidRPr="009F536C" w:rsidR="00B81FAB">
        <w:rPr>
          <w:szCs w:val="22"/>
        </w:rPr>
        <w:t xml:space="preserve"> </w:t>
      </w:r>
      <w:r w:rsidRPr="009F536C" w:rsidR="00FC059C">
        <w:t xml:space="preserve">those acts or omissions </w:t>
      </w:r>
      <w:r w:rsidRPr="009F536C" w:rsidR="0018698A">
        <w:t xml:space="preserve">were </w:t>
      </w:r>
      <w:r w:rsidRPr="009F536C" w:rsidR="00B81FAB">
        <w:rPr>
          <w:szCs w:val="22"/>
        </w:rPr>
        <w:t>ina</w:t>
      </w:r>
      <w:r w:rsidRPr="007A545D" w:rsidR="00B81FAB">
        <w:rPr>
          <w:szCs w:val="22"/>
        </w:rPr>
        <w:t>dvertent</w:t>
      </w:r>
      <w:r w:rsidRPr="007A545D" w:rsidR="009372A8">
        <w:rPr>
          <w:szCs w:val="22"/>
        </w:rPr>
        <w:t>, unintentional</w:t>
      </w:r>
      <w:r w:rsidRPr="007A545D" w:rsidR="005649DA">
        <w:rPr>
          <w:szCs w:val="22"/>
        </w:rPr>
        <w:t xml:space="preserve">, </w:t>
      </w:r>
      <w:r w:rsidRPr="007A545D" w:rsidR="00B81FAB">
        <w:rPr>
          <w:szCs w:val="22"/>
        </w:rPr>
        <w:t>the result</w:t>
      </w:r>
      <w:r w:rsidR="00B81FAB">
        <w:rPr>
          <w:szCs w:val="22"/>
        </w:rPr>
        <w:t xml:space="preserve"> of </w:t>
      </w:r>
      <w:r w:rsidR="005649DA">
        <w:rPr>
          <w:szCs w:val="22"/>
        </w:rPr>
        <w:t>human error</w:t>
      </w:r>
      <w:r w:rsidR="0056128C">
        <w:rPr>
          <w:szCs w:val="22"/>
        </w:rPr>
        <w:t>,</w:t>
      </w:r>
      <w:r w:rsidR="005649DA">
        <w:rPr>
          <w:szCs w:val="22"/>
        </w:rPr>
        <w:t xml:space="preserve"> or </w:t>
      </w:r>
      <w:r w:rsidR="00B81FAB">
        <w:rPr>
          <w:szCs w:val="22"/>
        </w:rPr>
        <w:t>a miscommunication.</w:t>
      </w:r>
      <w:r>
        <w:rPr>
          <w:rStyle w:val="FootnoteReference"/>
          <w:szCs w:val="22"/>
        </w:rPr>
        <w:footnoteReference w:id="41"/>
      </w:r>
      <w:r w:rsidR="00A95F8A">
        <w:rPr>
          <w:szCs w:val="22"/>
        </w:rPr>
        <w:t xml:space="preserve">  Based upon the record before us, </w:t>
      </w:r>
      <w:r w:rsidR="00255239">
        <w:rPr>
          <w:szCs w:val="22"/>
        </w:rPr>
        <w:t xml:space="preserve">we find that </w:t>
      </w:r>
      <w:r w:rsidR="00176F01">
        <w:rPr>
          <w:szCs w:val="22"/>
        </w:rPr>
        <w:t>Licensee</w:t>
      </w:r>
      <w:r w:rsidR="00A1214B">
        <w:rPr>
          <w:szCs w:val="22"/>
        </w:rPr>
        <w:t xml:space="preserve">’s </w:t>
      </w:r>
      <w:r w:rsidR="00A95F8A">
        <w:rPr>
          <w:szCs w:val="22"/>
        </w:rPr>
        <w:t xml:space="preserve">apparent violation </w:t>
      </w:r>
      <w:r w:rsidR="002D1D81">
        <w:rPr>
          <w:szCs w:val="22"/>
        </w:rPr>
        <w:t xml:space="preserve">of </w:t>
      </w:r>
      <w:r w:rsidR="00A95F8A">
        <w:rPr>
          <w:szCs w:val="22"/>
        </w:rPr>
        <w:t>section 73.1216 was willful.</w:t>
      </w:r>
    </w:p>
    <w:p w:rsidR="00AE4DF4" w:rsidRPr="00AE4DF4" w:rsidP="00AE4DF4" w14:paraId="3F3FE540" w14:textId="645F34C8">
      <w:pPr>
        <w:pStyle w:val="ParaNum"/>
        <w:tabs>
          <w:tab w:val="num" w:pos="1800"/>
        </w:tabs>
        <w:rPr>
          <w:szCs w:val="22"/>
        </w:rPr>
      </w:pPr>
      <w:r>
        <w:rPr>
          <w:szCs w:val="22"/>
        </w:rPr>
        <w:t>Section</w:t>
      </w:r>
      <w:r w:rsidRPr="006C7E5D" w:rsidR="00553C82">
        <w:rPr>
          <w:szCs w:val="22"/>
        </w:rPr>
        <w:t xml:space="preserve"> 503(b)(2)(A) of the Act authorizes </w:t>
      </w:r>
      <w:r w:rsidR="001778B0">
        <w:rPr>
          <w:szCs w:val="22"/>
        </w:rPr>
        <w:t>the Commission</w:t>
      </w:r>
      <w:r w:rsidRPr="006C7E5D" w:rsidR="001778B0">
        <w:rPr>
          <w:szCs w:val="22"/>
        </w:rPr>
        <w:t xml:space="preserve"> </w:t>
      </w:r>
      <w:r w:rsidRPr="006C7E5D" w:rsidR="00553C82">
        <w:rPr>
          <w:szCs w:val="22"/>
        </w:rPr>
        <w:t xml:space="preserve">to assess a forfeiture against </w:t>
      </w:r>
      <w:r w:rsidR="003D6121">
        <w:rPr>
          <w:szCs w:val="22"/>
        </w:rPr>
        <w:t xml:space="preserve">the </w:t>
      </w:r>
      <w:r w:rsidR="00176F01">
        <w:rPr>
          <w:szCs w:val="22"/>
        </w:rPr>
        <w:t>Licensee</w:t>
      </w:r>
      <w:r w:rsidRPr="006C7E5D" w:rsidR="00DF3AE8">
        <w:rPr>
          <w:szCs w:val="22"/>
        </w:rPr>
        <w:t xml:space="preserve"> </w:t>
      </w:r>
      <w:r w:rsidRPr="006C7E5D" w:rsidR="00553C82">
        <w:rPr>
          <w:szCs w:val="22"/>
        </w:rPr>
        <w:t xml:space="preserve">of up to </w:t>
      </w:r>
      <w:r w:rsidRPr="008A740B" w:rsidR="008A740B">
        <w:rPr>
          <w:szCs w:val="22"/>
        </w:rPr>
        <w:t>$55,052</w:t>
      </w:r>
      <w:r w:rsidR="008A740B">
        <w:rPr>
          <w:szCs w:val="22"/>
        </w:rPr>
        <w:t xml:space="preserve"> </w:t>
      </w:r>
      <w:r w:rsidRPr="006C7E5D" w:rsidR="00553C82">
        <w:rPr>
          <w:szCs w:val="22"/>
        </w:rPr>
        <w:t xml:space="preserve">per violation or for each day of a continuing violation, up to a statutory maximum of </w:t>
      </w:r>
      <w:r w:rsidR="008A740B">
        <w:rPr>
          <w:rFonts w:ascii="TimesNewRomanPSMT" w:hAnsi="TimesNewRomanPSMT" w:cs="TimesNewRomanPSMT"/>
          <w:snapToGrid/>
          <w:kern w:val="0"/>
          <w:szCs w:val="22"/>
          <w:lang w:bidi="he-IL"/>
        </w:rPr>
        <w:t xml:space="preserve">$550,531 </w:t>
      </w:r>
      <w:r w:rsidRPr="006C7E5D" w:rsidR="00553C82">
        <w:rPr>
          <w:szCs w:val="22"/>
        </w:rPr>
        <w:t>for a single act or failure to act.</w:t>
      </w:r>
      <w:r>
        <w:rPr>
          <w:rStyle w:val="FootnoteReference"/>
        </w:rPr>
        <w:footnoteReference w:id="42"/>
      </w:r>
      <w:r w:rsidRPr="006C7E5D" w:rsidR="00553C82">
        <w:rPr>
          <w:szCs w:val="22"/>
        </w:rPr>
        <w:t xml:space="preserve">  In exercising our forfeiture authority, we consider the nature, circumstances, extent, and gravity of the violation and, with respect to the violator, the degree of culpability, any history of prior offenses, ability to pay, substantial economic gain, and such </w:t>
      </w:r>
      <w:r w:rsidRPr="006C7E5D" w:rsidR="00553C82">
        <w:rPr>
          <w:szCs w:val="22"/>
        </w:rPr>
        <w:t>other matters as justice may require.</w:t>
      </w:r>
      <w:r>
        <w:rPr>
          <w:rStyle w:val="FootnoteReference"/>
        </w:rPr>
        <w:footnoteReference w:id="43"/>
      </w:r>
      <w:r w:rsidRPr="004F4E05" w:rsidR="00553C82">
        <w:rPr>
          <w:sz w:val="20"/>
        </w:rPr>
        <w:t xml:space="preserve"> </w:t>
      </w:r>
      <w:r w:rsidRPr="006C7E5D" w:rsidR="00553C82">
        <w:rPr>
          <w:szCs w:val="22"/>
        </w:rPr>
        <w:t xml:space="preserve"> </w:t>
      </w:r>
      <w:r w:rsidRPr="00AE4DF4">
        <w:rPr>
          <w:szCs w:val="22"/>
        </w:rPr>
        <w:t>In addition, the Commission has established forfeiture guidelines; they establish base penalties for certain violations and identify criteria that we consider when determining the appropriate penalty in any given case.</w:t>
      </w:r>
      <w:r>
        <w:rPr>
          <w:sz w:val="20"/>
          <w:vertAlign w:val="superscript"/>
        </w:rPr>
        <w:footnoteReference w:id="44"/>
      </w:r>
      <w:r w:rsidRPr="004F4E05">
        <w:rPr>
          <w:sz w:val="20"/>
        </w:rPr>
        <w:t xml:space="preserve"> </w:t>
      </w:r>
      <w:r w:rsidRPr="00AE4DF4">
        <w:rPr>
          <w:szCs w:val="22"/>
        </w:rPr>
        <w:t xml:space="preserve"> Under these guidelines, we may adjust a forfeiture upward for violations that are egregious, intentional, or repeated, or that cause substantial harm or generate substantial economic gain for the violator.</w:t>
      </w:r>
      <w:r>
        <w:rPr>
          <w:sz w:val="20"/>
          <w:vertAlign w:val="superscript"/>
        </w:rPr>
        <w:footnoteReference w:id="45"/>
      </w:r>
      <w:r w:rsidRPr="00AE4DF4">
        <w:rPr>
          <w:szCs w:val="22"/>
        </w:rPr>
        <w:t xml:space="preserve">  </w:t>
      </w:r>
    </w:p>
    <w:p w:rsidR="004D29D1" w:rsidRPr="004D29D1" w:rsidP="005B130E" w14:paraId="114AAF5B" w14:textId="2F97A748">
      <w:pPr>
        <w:pStyle w:val="ParaNum"/>
        <w:tabs>
          <w:tab w:val="num" w:pos="1800"/>
        </w:tabs>
      </w:pPr>
      <w:r>
        <w:t xml:space="preserve">Section 1.80 of the </w:t>
      </w:r>
      <w:r w:rsidR="00BD5423">
        <w:t>Commission’s r</w:t>
      </w:r>
      <w:r>
        <w:t>ules set</w:t>
      </w:r>
      <w:r w:rsidR="00AE4DF4">
        <w:t>s</w:t>
      </w:r>
      <w:r>
        <w:t xml:space="preserve"> a base forfeiture of $4,000 for </w:t>
      </w:r>
      <w:r w:rsidRPr="00866B5B" w:rsidR="00866B5B">
        <w:t>each “violation of requirements pertaining to broadcasting of lotteries or contests.”</w:t>
      </w:r>
      <w:r>
        <w:rPr>
          <w:rStyle w:val="FootnoteReference"/>
        </w:rPr>
        <w:footnoteReference w:id="46"/>
      </w:r>
      <w:r>
        <w:t xml:space="preserve"> </w:t>
      </w:r>
      <w:r w:rsidR="00972E20">
        <w:t xml:space="preserve"> </w:t>
      </w:r>
      <w:r w:rsidR="00255239">
        <w:t>In this matter, w</w:t>
      </w:r>
      <w:r w:rsidR="00AF194D">
        <w:t xml:space="preserve">e </w:t>
      </w:r>
      <w:r w:rsidR="00255239">
        <w:t xml:space="preserve">first </w:t>
      </w:r>
      <w:r w:rsidR="00AF194D">
        <w:t xml:space="preserve">apply the $4,000 base forfeiture to </w:t>
      </w:r>
      <w:r w:rsidR="00176F01">
        <w:rPr>
          <w:szCs w:val="22"/>
        </w:rPr>
        <w:t>Licensee</w:t>
      </w:r>
      <w:r w:rsidR="002C4E6A">
        <w:rPr>
          <w:szCs w:val="22"/>
        </w:rPr>
        <w:t>’s</w:t>
      </w:r>
      <w:r w:rsidR="00AF194D">
        <w:t xml:space="preserve"> apparent violation of section 73.1216 based on its failure to conduct the Contest over </w:t>
      </w:r>
      <w:r w:rsidR="00361B3D">
        <w:rPr>
          <w:spacing w:val="-2"/>
          <w:szCs w:val="22"/>
        </w:rPr>
        <w:t>the Station</w:t>
      </w:r>
      <w:r w:rsidRPr="00AE4DF4" w:rsidR="00361B3D">
        <w:t xml:space="preserve"> </w:t>
      </w:r>
      <w:r w:rsidR="00AF194D">
        <w:t>substantial</w:t>
      </w:r>
      <w:r w:rsidR="007D0D51">
        <w:t>ly as announced</w:t>
      </w:r>
      <w:r w:rsidR="00361B3D">
        <w:t>,</w:t>
      </w:r>
      <w:r>
        <w:t xml:space="preserve"> </w:t>
      </w:r>
      <w:r w:rsidR="00AF194D">
        <w:t xml:space="preserve">because it did not </w:t>
      </w:r>
      <w:r w:rsidR="00765472">
        <w:rPr>
          <w:szCs w:val="22"/>
        </w:rPr>
        <w:t xml:space="preserve">select </w:t>
      </w:r>
      <w:r w:rsidR="009D1107">
        <w:rPr>
          <w:szCs w:val="22"/>
        </w:rPr>
        <w:t xml:space="preserve">contest </w:t>
      </w:r>
      <w:r w:rsidR="00765472">
        <w:rPr>
          <w:szCs w:val="22"/>
        </w:rPr>
        <w:t>participants as advertised</w:t>
      </w:r>
      <w:r w:rsidR="00AF194D">
        <w:t>.</w:t>
      </w:r>
      <w:r w:rsidRPr="00E44C14" w:rsidR="00E44C14">
        <w:t xml:space="preserve"> </w:t>
      </w:r>
      <w:r w:rsidR="00E44C14">
        <w:t xml:space="preserve"> </w:t>
      </w:r>
      <w:r w:rsidRPr="00AE4DF4" w:rsidR="00E44C14">
        <w:t xml:space="preserve">We have discretion, however, to </w:t>
      </w:r>
      <w:r w:rsidR="00E44C14">
        <w:t>make adjustments to the base forfeiture</w:t>
      </w:r>
      <w:r w:rsidRPr="00AE4DF4" w:rsidR="00E44C14">
        <w:t>, taking into account the particular facts of each individual case.</w:t>
      </w:r>
      <w:r>
        <w:rPr>
          <w:sz w:val="20"/>
          <w:szCs w:val="18"/>
          <w:vertAlign w:val="superscript"/>
        </w:rPr>
        <w:footnoteReference w:id="47"/>
      </w:r>
    </w:p>
    <w:p w:rsidR="00C30A3C" w:rsidRPr="003A37AF" w:rsidP="00D7735C" w14:paraId="1242847F" w14:textId="6F8736F9">
      <w:pPr>
        <w:pStyle w:val="ParaNum"/>
        <w:widowControl/>
        <w:tabs>
          <w:tab w:val="num" w:pos="1800"/>
        </w:tabs>
      </w:pPr>
      <w:r w:rsidRPr="00511B8E">
        <w:rPr>
          <w:color w:val="000000"/>
        </w:rPr>
        <w:t xml:space="preserve">In this case, given the totality of the circumstances, and consistent with the </w:t>
      </w:r>
      <w:r w:rsidRPr="00511B8E">
        <w:rPr>
          <w:i/>
          <w:color w:val="000000"/>
        </w:rPr>
        <w:t>1997 Forfeiture Policy Statement</w:t>
      </w:r>
      <w:r w:rsidRPr="00511B8E">
        <w:rPr>
          <w:color w:val="000000"/>
        </w:rPr>
        <w:t xml:space="preserve">, we conclude that </w:t>
      </w:r>
      <w:r w:rsidRPr="00EC68B9">
        <w:rPr>
          <w:color w:val="000000"/>
          <w:szCs w:val="22"/>
        </w:rPr>
        <w:t>an upward adjustment</w:t>
      </w:r>
      <w:r w:rsidR="00E2481B">
        <w:rPr>
          <w:color w:val="000000"/>
          <w:szCs w:val="22"/>
        </w:rPr>
        <w:t xml:space="preserve"> </w:t>
      </w:r>
      <w:r w:rsidRPr="00EC68B9">
        <w:rPr>
          <w:color w:val="000000"/>
          <w:szCs w:val="22"/>
        </w:rPr>
        <w:t>is warranted</w:t>
      </w:r>
      <w:r w:rsidR="00852031">
        <w:rPr>
          <w:color w:val="000000"/>
          <w:szCs w:val="22"/>
        </w:rPr>
        <w:t xml:space="preserve">.  </w:t>
      </w:r>
      <w:r w:rsidR="004E2714">
        <w:rPr>
          <w:color w:val="000000"/>
          <w:szCs w:val="22"/>
        </w:rPr>
        <w:t xml:space="preserve">This adjustment is based upon the statutory factors, </w:t>
      </w:r>
      <w:r w:rsidR="00E2481B">
        <w:rPr>
          <w:color w:val="000000"/>
          <w:szCs w:val="22"/>
        </w:rPr>
        <w:t>including</w:t>
      </w:r>
      <w:r w:rsidR="004E2714">
        <w:rPr>
          <w:color w:val="000000"/>
          <w:szCs w:val="22"/>
        </w:rPr>
        <w:t xml:space="preserve"> the nature and circumstances of the violation.  </w:t>
      </w:r>
      <w:r w:rsidR="004509FE">
        <w:rPr>
          <w:color w:val="000000"/>
          <w:szCs w:val="22"/>
        </w:rPr>
        <w:t>S</w:t>
      </w:r>
      <w:r w:rsidRPr="007D5AD7" w:rsidR="007D5AD7">
        <w:rPr>
          <w:color w:val="000000"/>
          <w:szCs w:val="22"/>
        </w:rPr>
        <w:t>ection 503(b) of the Act requires the Commission to consider “with respect to the violator, the degree of culpability, any history of prior offenses, ability to pay, and such other matters as justice may require.”</w:t>
      </w:r>
      <w:r>
        <w:rPr>
          <w:color w:val="000000"/>
          <w:sz w:val="20"/>
          <w:vertAlign w:val="superscript"/>
        </w:rPr>
        <w:footnoteReference w:id="48"/>
      </w:r>
      <w:r w:rsidRPr="007D5AD7" w:rsidR="007D5AD7">
        <w:rPr>
          <w:color w:val="000000"/>
          <w:szCs w:val="22"/>
        </w:rPr>
        <w:t xml:space="preserve">  In this instance, </w:t>
      </w:r>
      <w:r w:rsidRPr="007D5AD7">
        <w:rPr>
          <w:color w:val="000000"/>
          <w:szCs w:val="22"/>
        </w:rPr>
        <w:t xml:space="preserve">the </w:t>
      </w:r>
      <w:r w:rsidRPr="007D5AD7" w:rsidR="00B95223">
        <w:rPr>
          <w:color w:val="000000"/>
          <w:szCs w:val="22"/>
        </w:rPr>
        <w:t xml:space="preserve">Licensee </w:t>
      </w:r>
      <w:r w:rsidR="004B1894">
        <w:rPr>
          <w:color w:val="000000"/>
          <w:szCs w:val="22"/>
        </w:rPr>
        <w:t>is the pro forma assignee of an affiliate</w:t>
      </w:r>
      <w:r>
        <w:rPr>
          <w:rStyle w:val="FootnoteReference"/>
          <w:szCs w:val="22"/>
        </w:rPr>
        <w:footnoteReference w:id="49"/>
      </w:r>
      <w:r w:rsidR="004B1894">
        <w:rPr>
          <w:color w:val="000000"/>
          <w:szCs w:val="22"/>
        </w:rPr>
        <w:t xml:space="preserve"> with</w:t>
      </w:r>
      <w:r w:rsidRPr="007D5AD7" w:rsidR="00B95223">
        <w:rPr>
          <w:color w:val="000000"/>
          <w:szCs w:val="22"/>
        </w:rPr>
        <w:t xml:space="preserve"> a history of violating the Contest Rule.</w:t>
      </w:r>
      <w:r>
        <w:rPr>
          <w:rStyle w:val="FootnoteReference"/>
          <w:szCs w:val="22"/>
        </w:rPr>
        <w:footnoteReference w:id="50"/>
      </w:r>
      <w:r w:rsidRPr="007D5AD7" w:rsidR="00B95223">
        <w:rPr>
          <w:color w:val="000000"/>
          <w:szCs w:val="22"/>
        </w:rPr>
        <w:t xml:space="preserve">  </w:t>
      </w:r>
      <w:r w:rsidR="00EF58D8">
        <w:t xml:space="preserve">The </w:t>
      </w:r>
      <w:r w:rsidR="00EF58D8">
        <w:rPr>
          <w:szCs w:val="22"/>
        </w:rPr>
        <w:t xml:space="preserve">Licensee also </w:t>
      </w:r>
      <w:r w:rsidR="00EF58D8">
        <w:t xml:space="preserve">failed to maintain the ‘You Can’t Win’ Contest’s rules on its website for at least 30 days after the end of the Contest.  </w:t>
      </w:r>
      <w:r w:rsidRPr="007D5AD7" w:rsidR="007D5AD7">
        <w:rPr>
          <w:color w:val="000000"/>
          <w:szCs w:val="22"/>
        </w:rPr>
        <w:t>Thus, the factors under section 503 of the Act and section 1.80 of the Commission’s rules support an upward adjustment to the base forfeiture amount.</w:t>
      </w:r>
      <w:r>
        <w:rPr>
          <w:color w:val="000000"/>
          <w:sz w:val="20"/>
          <w:vertAlign w:val="superscript"/>
        </w:rPr>
        <w:footnoteReference w:id="51"/>
      </w:r>
    </w:p>
    <w:p w:rsidR="00801461" w:rsidP="00A42521" w14:paraId="6FFCD216" w14:textId="57102771">
      <w:pPr>
        <w:pStyle w:val="ParaNum"/>
        <w:tabs>
          <w:tab w:val="num" w:pos="1800"/>
        </w:tabs>
      </w:pPr>
      <w:r w:rsidRPr="00EC68B9">
        <w:t xml:space="preserve">In applying the applicable statutory factors, we </w:t>
      </w:r>
      <w:r w:rsidR="00CC3972">
        <w:t xml:space="preserve">must </w:t>
      </w:r>
      <w:r w:rsidRPr="00EC68B9">
        <w:t>also</w:t>
      </w:r>
      <w:r w:rsidR="00621029">
        <w:t xml:space="preserve"> </w:t>
      </w:r>
      <w:r w:rsidRPr="00EC68B9">
        <w:t xml:space="preserve">consider whether </w:t>
      </w:r>
      <w:r w:rsidR="00CC3972">
        <w:t>any factors support</w:t>
      </w:r>
      <w:r w:rsidRPr="00EC68B9">
        <w:t xml:space="preserve"> a downward adjustment of the proposed forfeiture. </w:t>
      </w:r>
      <w:r>
        <w:t xml:space="preserve"> </w:t>
      </w:r>
      <w:r w:rsidR="00621029">
        <w:t>Even assuming, arguendo, that</w:t>
      </w:r>
      <w:r w:rsidRPr="00D560FF" w:rsidR="00D560FF">
        <w:t xml:space="preserve"> </w:t>
      </w:r>
      <w:r w:rsidR="00176F01">
        <w:t>Licensee</w:t>
      </w:r>
      <w:r w:rsidRPr="00D560FF" w:rsidR="00D560FF">
        <w:t xml:space="preserve">’s actions were inadvertent, </w:t>
      </w:r>
      <w:r w:rsidR="00CC3972">
        <w:t xml:space="preserve">negligent, </w:t>
      </w:r>
      <w:r w:rsidRPr="00D560FF" w:rsidR="00D560FF">
        <w:t>or the result of human error</w:t>
      </w:r>
      <w:r w:rsidR="00621029">
        <w:t>, under pertinent Commission precedent, such factors are neither exculpatory nor mitigating, and do</w:t>
      </w:r>
      <w:r w:rsidRPr="00D560FF" w:rsidR="00D560FF">
        <w:t xml:space="preserve"> not support a</w:t>
      </w:r>
      <w:r w:rsidR="00621029">
        <w:t>ny</w:t>
      </w:r>
      <w:r w:rsidRPr="00D560FF" w:rsidR="00D560FF">
        <w:t xml:space="preserve"> downward adjustment.</w:t>
      </w:r>
      <w:r>
        <w:rPr>
          <w:sz w:val="20"/>
          <w:szCs w:val="18"/>
          <w:vertAlign w:val="superscript"/>
        </w:rPr>
        <w:footnoteReference w:id="52"/>
      </w:r>
      <w:r w:rsidR="004F4E05">
        <w:t xml:space="preserve"> </w:t>
      </w:r>
      <w:r w:rsidRPr="004F4E05" w:rsidR="00E81F58">
        <w:rPr>
          <w:sz w:val="20"/>
          <w:szCs w:val="18"/>
        </w:rPr>
        <w:t xml:space="preserve"> </w:t>
      </w:r>
      <w:r w:rsidR="002C438C">
        <w:t>Furthermore, t</w:t>
      </w:r>
      <w:r w:rsidR="006C4C03">
        <w:t>he Complainant’s</w:t>
      </w:r>
      <w:r w:rsidR="00107D49">
        <w:t xml:space="preserve"> reliance </w:t>
      </w:r>
      <w:r w:rsidR="001670CC">
        <w:t>on</w:t>
      </w:r>
      <w:r w:rsidR="00107D49">
        <w:t xml:space="preserve"> the Licensee’s</w:t>
      </w:r>
      <w:r w:rsidRPr="0066547A" w:rsidR="00107D49">
        <w:t xml:space="preserve"> published contest rules</w:t>
      </w:r>
      <w:r w:rsidR="001670CC">
        <w:t xml:space="preserve"> and immediate notification to the Station regarding its apparent rule application error</w:t>
      </w:r>
      <w:r w:rsidR="002C438C">
        <w:t>,</w:t>
      </w:r>
      <w:r w:rsidRPr="0066547A" w:rsidR="00107D49">
        <w:t xml:space="preserve"> </w:t>
      </w:r>
      <w:r w:rsidR="006C4C03">
        <w:t xml:space="preserve">should have alerted </w:t>
      </w:r>
      <w:r w:rsidR="001670CC">
        <w:t>L</w:t>
      </w:r>
      <w:r w:rsidR="006C4C03">
        <w:t xml:space="preserve">icensee to its failure to </w:t>
      </w:r>
      <w:r w:rsidR="001670CC">
        <w:t>maintain</w:t>
      </w:r>
      <w:r w:rsidR="006C4C03">
        <w:t xml:space="preserve"> the contest rules on its website</w:t>
      </w:r>
      <w:r w:rsidR="00887034">
        <w:t xml:space="preserve">, </w:t>
      </w:r>
      <w:r w:rsidR="009155F9">
        <w:t xml:space="preserve">and keep it </w:t>
      </w:r>
      <w:r w:rsidR="00887034">
        <w:t>available for public inspection</w:t>
      </w:r>
      <w:r w:rsidR="006C4C03">
        <w:t>.</w:t>
      </w:r>
      <w:r w:rsidR="00ED7578">
        <w:t xml:space="preserve">  </w:t>
      </w:r>
      <w:r w:rsidR="00CC3972">
        <w:t>T</w:t>
      </w:r>
      <w:r w:rsidRPr="00801461">
        <w:t>herefore, after applying</w:t>
      </w:r>
      <w:r w:rsidR="00E44C14">
        <w:t xml:space="preserve"> and balancing </w:t>
      </w:r>
      <w:r w:rsidRPr="00801461">
        <w:t>the</w:t>
      </w:r>
      <w:r w:rsidR="00754112">
        <w:t xml:space="preserve"> factors specified in the</w:t>
      </w:r>
      <w:r w:rsidRPr="00801461">
        <w:t xml:space="preserve"> </w:t>
      </w:r>
      <w:r w:rsidRPr="00A42521">
        <w:rPr>
          <w:i/>
        </w:rPr>
        <w:t>1997 Forfeiture Policy Statement</w:t>
      </w:r>
      <w:r w:rsidRPr="00801461">
        <w:t xml:space="preserve">, section 1.80 of the </w:t>
      </w:r>
      <w:r w:rsidR="00A87688">
        <w:t>Commission’s r</w:t>
      </w:r>
      <w:r w:rsidRPr="00801461">
        <w:t xml:space="preserve">ules, and the statutory factors, we </w:t>
      </w:r>
      <w:r w:rsidR="00CC3972">
        <w:t xml:space="preserve">find that </w:t>
      </w:r>
      <w:r w:rsidR="00176F01">
        <w:t>Licensee</w:t>
      </w:r>
      <w:r w:rsidR="00CC3972">
        <w:t xml:space="preserve"> is apparently liable for </w:t>
      </w:r>
      <w:r w:rsidRPr="00801461">
        <w:t>a forfeiture</w:t>
      </w:r>
      <w:r>
        <w:t xml:space="preserve"> of $</w:t>
      </w:r>
      <w:r w:rsidR="00734CB2">
        <w:t>2</w:t>
      </w:r>
      <w:r w:rsidR="00A42521">
        <w:t>0</w:t>
      </w:r>
      <w:r>
        <w:t>,</w:t>
      </w:r>
      <w:r w:rsidR="00A42521">
        <w:t>0</w:t>
      </w:r>
      <w:r>
        <w:t>00</w:t>
      </w:r>
      <w:r w:rsidR="00AE4DF4">
        <w:t>.</w:t>
      </w:r>
      <w:r>
        <w:rPr>
          <w:rStyle w:val="FootnoteReference"/>
        </w:rPr>
        <w:footnoteReference w:id="53"/>
      </w:r>
    </w:p>
    <w:p w:rsidR="00AE4DF4" w:rsidP="00AE4DF4" w14:paraId="51148C87" w14:textId="77777777">
      <w:pPr>
        <w:pStyle w:val="Heading1"/>
      </w:pPr>
      <w:r>
        <w:t>CONCLUSION</w:t>
      </w:r>
    </w:p>
    <w:p w:rsidR="00AE4DF4" w:rsidRPr="00AE4DF4" w:rsidP="00AE4DF4" w14:paraId="1C5FFEAC" w14:textId="6814C65A">
      <w:pPr>
        <w:pStyle w:val="ParaNum"/>
      </w:pPr>
      <w:r w:rsidRPr="00AE4DF4">
        <w:t xml:space="preserve">We have determined that </w:t>
      </w:r>
      <w:r w:rsidR="00176F01">
        <w:t>Licensee</w:t>
      </w:r>
      <w:r w:rsidR="00B775AD">
        <w:t xml:space="preserve"> </w:t>
      </w:r>
      <w:r w:rsidRPr="00AE4DF4">
        <w:t xml:space="preserve">apparently willfully violated </w:t>
      </w:r>
      <w:r>
        <w:t>section</w:t>
      </w:r>
      <w:r w:rsidR="00800B5A">
        <w:t>s</w:t>
      </w:r>
      <w:r>
        <w:t xml:space="preserve"> 73.1216</w:t>
      </w:r>
      <w:r w:rsidR="00800B5A">
        <w:t>(a) and 73.1216(c)(3)</w:t>
      </w:r>
      <w:r w:rsidR="00AF2516">
        <w:t xml:space="preserve"> of the Commission’s rules</w:t>
      </w:r>
      <w:r w:rsidRPr="00AE4DF4">
        <w:t xml:space="preserve">.  </w:t>
      </w:r>
      <w:r w:rsidR="00E2481B">
        <w:t xml:space="preserve">Upon consideration of the facts of the case, and the factors specified in </w:t>
      </w:r>
      <w:r w:rsidRPr="00801461" w:rsidR="00E2481B">
        <w:t xml:space="preserve">the </w:t>
      </w:r>
      <w:r w:rsidRPr="00801461" w:rsidR="00E2481B">
        <w:rPr>
          <w:i/>
        </w:rPr>
        <w:t>1997 Forfeiture Policy Statement</w:t>
      </w:r>
      <w:r w:rsidRPr="00801461" w:rsidR="00E2481B">
        <w:t xml:space="preserve">, section 1.80 of the </w:t>
      </w:r>
      <w:r w:rsidR="00A855A1">
        <w:t>Commission’s r</w:t>
      </w:r>
      <w:r w:rsidRPr="00801461" w:rsidR="00A855A1">
        <w:t>ules</w:t>
      </w:r>
      <w:r w:rsidRPr="00801461" w:rsidR="00E2481B">
        <w:t>, and the statutory factors</w:t>
      </w:r>
      <w:r w:rsidRPr="00AE4DF4">
        <w:t>,</w:t>
      </w:r>
      <w:r>
        <w:t xml:space="preserve"> </w:t>
      </w:r>
      <w:r w:rsidR="00E2481B">
        <w:t xml:space="preserve">we find that </w:t>
      </w:r>
      <w:r w:rsidR="00176F01">
        <w:t>Licensee</w:t>
      </w:r>
      <w:r w:rsidR="00B31329">
        <w:t xml:space="preserve"> </w:t>
      </w:r>
      <w:r w:rsidRPr="00AE4DF4">
        <w:t>is apparently liable for a forfeiture of $</w:t>
      </w:r>
      <w:r w:rsidR="00553780">
        <w:t>2</w:t>
      </w:r>
      <w:r w:rsidR="00E83AA6">
        <w:t>0,000</w:t>
      </w:r>
      <w:r w:rsidRPr="00AE4DF4">
        <w:t>.</w:t>
      </w:r>
    </w:p>
    <w:p w:rsidR="00D9231E" w:rsidRPr="00A4235E" w:rsidP="00EC68B9" w14:paraId="29B9C7FB" w14:textId="77777777">
      <w:pPr>
        <w:pStyle w:val="Heading1"/>
      </w:pPr>
      <w:r w:rsidRPr="00A4235E">
        <w:t>ordering clauses</w:t>
      </w:r>
    </w:p>
    <w:p w:rsidR="00D9231E" w:rsidRPr="006C7E5D" w:rsidP="001B2173" w14:paraId="5739A433" w14:textId="7EC51ECF">
      <w:pPr>
        <w:pStyle w:val="ParaNum"/>
        <w:tabs>
          <w:tab w:val="num" w:pos="1800"/>
        </w:tabs>
        <w:rPr>
          <w:szCs w:val="22"/>
        </w:rPr>
      </w:pPr>
      <w:r w:rsidRPr="006C7E5D">
        <w:rPr>
          <w:color w:val="000000"/>
          <w:szCs w:val="22"/>
        </w:rPr>
        <w:t xml:space="preserve">Accordingly, </w:t>
      </w:r>
      <w:r w:rsidRPr="006C7E5D">
        <w:rPr>
          <w:b/>
          <w:color w:val="000000"/>
          <w:szCs w:val="22"/>
        </w:rPr>
        <w:t>IT IS ORDERED</w:t>
      </w:r>
      <w:r w:rsidRPr="006C7E5D">
        <w:rPr>
          <w:color w:val="000000"/>
          <w:szCs w:val="22"/>
        </w:rPr>
        <w:t xml:space="preserve"> that, pursuant to </w:t>
      </w:r>
      <w:r w:rsidR="00DF3CA1">
        <w:rPr>
          <w:color w:val="000000"/>
          <w:szCs w:val="22"/>
        </w:rPr>
        <w:t>s</w:t>
      </w:r>
      <w:r w:rsidR="00D05FD2">
        <w:rPr>
          <w:color w:val="000000"/>
          <w:szCs w:val="22"/>
        </w:rPr>
        <w:t>ection</w:t>
      </w:r>
      <w:r w:rsidRPr="006C7E5D">
        <w:rPr>
          <w:color w:val="000000"/>
          <w:szCs w:val="22"/>
        </w:rPr>
        <w:t xml:space="preserve"> 503(b) of the Act</w:t>
      </w:r>
      <w:r>
        <w:rPr>
          <w:rStyle w:val="FootnoteReference"/>
          <w:color w:val="000000"/>
        </w:rPr>
        <w:footnoteReference w:id="54"/>
      </w:r>
      <w:r w:rsidRPr="006C7E5D">
        <w:rPr>
          <w:color w:val="000000"/>
          <w:szCs w:val="22"/>
        </w:rPr>
        <w:t xml:space="preserve"> and </w:t>
      </w:r>
      <w:r w:rsidR="00DF3CA1">
        <w:rPr>
          <w:color w:val="000000"/>
          <w:szCs w:val="22"/>
        </w:rPr>
        <w:t>s</w:t>
      </w:r>
      <w:r w:rsidR="00D05FD2">
        <w:rPr>
          <w:color w:val="000000"/>
          <w:szCs w:val="22"/>
        </w:rPr>
        <w:t>ection</w:t>
      </w:r>
      <w:r w:rsidRPr="006C7E5D">
        <w:rPr>
          <w:color w:val="000000"/>
          <w:szCs w:val="22"/>
        </w:rPr>
        <w:t xml:space="preserve">s 0.111, 0.311 and 1.80 of the </w:t>
      </w:r>
      <w:r w:rsidR="0058385D">
        <w:t>Commission’s r</w:t>
      </w:r>
      <w:r w:rsidRPr="00801461" w:rsidR="0058385D">
        <w:t>ules</w:t>
      </w:r>
      <w:r w:rsidRPr="006C7E5D">
        <w:rPr>
          <w:color w:val="000000"/>
          <w:szCs w:val="22"/>
        </w:rPr>
        <w:t>,</w:t>
      </w:r>
      <w:r>
        <w:rPr>
          <w:rStyle w:val="FootnoteReference"/>
          <w:color w:val="000000"/>
        </w:rPr>
        <w:footnoteReference w:id="55"/>
      </w:r>
      <w:r w:rsidRPr="006C7E5D">
        <w:rPr>
          <w:color w:val="000000"/>
          <w:szCs w:val="22"/>
        </w:rPr>
        <w:t xml:space="preserve"> </w:t>
      </w:r>
      <w:r w:rsidR="00176F01">
        <w:rPr>
          <w:szCs w:val="22"/>
        </w:rPr>
        <w:t>IHM Licenses, LLC</w:t>
      </w:r>
      <w:r w:rsidR="00B9041F">
        <w:rPr>
          <w:szCs w:val="22"/>
        </w:rPr>
        <w:t>,</w:t>
      </w:r>
      <w:r w:rsidRPr="006C7E5D">
        <w:rPr>
          <w:szCs w:val="22"/>
        </w:rPr>
        <w:t xml:space="preserve"> </w:t>
      </w:r>
      <w:r w:rsidRPr="006C7E5D">
        <w:rPr>
          <w:b/>
          <w:color w:val="000000"/>
          <w:szCs w:val="22"/>
        </w:rPr>
        <w:t>IS</w:t>
      </w:r>
      <w:r w:rsidRPr="006C7E5D">
        <w:rPr>
          <w:color w:val="000000"/>
          <w:szCs w:val="22"/>
        </w:rPr>
        <w:t xml:space="preserve"> </w:t>
      </w:r>
      <w:r w:rsidRPr="007F4F42" w:rsidR="00266877">
        <w:rPr>
          <w:b/>
          <w:bCs/>
          <w:color w:val="000000"/>
          <w:szCs w:val="22"/>
        </w:rPr>
        <w:t>HEREBY</w:t>
      </w:r>
      <w:r w:rsidRPr="006C7E5D" w:rsidR="00266877">
        <w:rPr>
          <w:color w:val="000000"/>
          <w:szCs w:val="22"/>
        </w:rPr>
        <w:t xml:space="preserve"> </w:t>
      </w:r>
      <w:r w:rsidRPr="006C7E5D">
        <w:rPr>
          <w:b/>
          <w:color w:val="000000"/>
          <w:szCs w:val="22"/>
        </w:rPr>
        <w:t>NOTIFIED</w:t>
      </w:r>
      <w:r w:rsidRPr="006C7E5D">
        <w:rPr>
          <w:color w:val="000000"/>
          <w:szCs w:val="22"/>
        </w:rPr>
        <w:t xml:space="preserve"> of its </w:t>
      </w:r>
      <w:r w:rsidRPr="006C7E5D">
        <w:rPr>
          <w:b/>
          <w:color w:val="000000"/>
          <w:szCs w:val="22"/>
        </w:rPr>
        <w:t>APPARENT LIABILITY FOR A FORFEITURE</w:t>
      </w:r>
      <w:r w:rsidRPr="006C7E5D">
        <w:rPr>
          <w:color w:val="000000"/>
          <w:szCs w:val="22"/>
        </w:rPr>
        <w:t xml:space="preserve"> in the amount of </w:t>
      </w:r>
      <w:r w:rsidR="000B3F55">
        <w:rPr>
          <w:color w:val="000000"/>
          <w:szCs w:val="22"/>
        </w:rPr>
        <w:t xml:space="preserve">Twenty </w:t>
      </w:r>
      <w:r w:rsidRPr="006C7E5D" w:rsidR="006A68B5">
        <w:rPr>
          <w:color w:val="000000"/>
          <w:szCs w:val="22"/>
        </w:rPr>
        <w:t>T</w:t>
      </w:r>
      <w:r w:rsidRPr="006C7E5D">
        <w:rPr>
          <w:color w:val="000000"/>
          <w:szCs w:val="22"/>
        </w:rPr>
        <w:t>housand</w:t>
      </w:r>
      <w:r w:rsidR="00AE64A2">
        <w:rPr>
          <w:color w:val="000000"/>
          <w:szCs w:val="22"/>
        </w:rPr>
        <w:t xml:space="preserve"> </w:t>
      </w:r>
      <w:r w:rsidRPr="006C7E5D" w:rsidR="006A68B5">
        <w:rPr>
          <w:color w:val="000000"/>
          <w:szCs w:val="22"/>
        </w:rPr>
        <w:t>D</w:t>
      </w:r>
      <w:r w:rsidRPr="006C7E5D">
        <w:rPr>
          <w:color w:val="000000"/>
          <w:szCs w:val="22"/>
        </w:rPr>
        <w:t>o</w:t>
      </w:r>
      <w:r w:rsidRPr="006C7E5D">
        <w:rPr>
          <w:szCs w:val="22"/>
        </w:rPr>
        <w:t>llars ($</w:t>
      </w:r>
      <w:r w:rsidR="000B3F55">
        <w:t>2</w:t>
      </w:r>
      <w:r w:rsidR="00050746">
        <w:t>0,000</w:t>
      </w:r>
      <w:r w:rsidRPr="006C7E5D">
        <w:rPr>
          <w:szCs w:val="22"/>
        </w:rPr>
        <w:t xml:space="preserve">) for willful violation of </w:t>
      </w:r>
      <w:r w:rsidR="00B9041F">
        <w:rPr>
          <w:szCs w:val="22"/>
        </w:rPr>
        <w:t>s</w:t>
      </w:r>
      <w:r w:rsidR="00D05FD2">
        <w:rPr>
          <w:szCs w:val="22"/>
        </w:rPr>
        <w:t>ection</w:t>
      </w:r>
      <w:r w:rsidRPr="006C7E5D">
        <w:rPr>
          <w:szCs w:val="22"/>
        </w:rPr>
        <w:t xml:space="preserve"> </w:t>
      </w:r>
      <w:r w:rsidR="00B9041F">
        <w:rPr>
          <w:szCs w:val="22"/>
        </w:rPr>
        <w:t>7</w:t>
      </w:r>
      <w:r w:rsidR="00B84C10">
        <w:rPr>
          <w:szCs w:val="22"/>
        </w:rPr>
        <w:t>3</w:t>
      </w:r>
      <w:r w:rsidR="00B9041F">
        <w:rPr>
          <w:szCs w:val="22"/>
        </w:rPr>
        <w:t>.1216</w:t>
      </w:r>
      <w:r w:rsidRPr="006C7E5D">
        <w:rPr>
          <w:szCs w:val="22"/>
        </w:rPr>
        <w:t xml:space="preserve"> of th</w:t>
      </w:r>
      <w:r w:rsidR="00BD5423">
        <w:rPr>
          <w:szCs w:val="22"/>
        </w:rPr>
        <w:t xml:space="preserve">e </w:t>
      </w:r>
      <w:r w:rsidR="0058385D">
        <w:t>Commission’s r</w:t>
      </w:r>
      <w:r w:rsidRPr="00801461" w:rsidR="0058385D">
        <w:t>ules</w:t>
      </w:r>
      <w:r w:rsidRPr="006C7E5D">
        <w:rPr>
          <w:szCs w:val="22"/>
        </w:rPr>
        <w:t>.</w:t>
      </w:r>
      <w:r>
        <w:rPr>
          <w:rStyle w:val="FootnoteReference"/>
        </w:rPr>
        <w:footnoteReference w:id="56"/>
      </w:r>
    </w:p>
    <w:p w:rsidR="00D9231E" w:rsidRPr="006C7E5D" w:rsidP="001B2173" w14:paraId="595D2552" w14:textId="72DDC37E">
      <w:pPr>
        <w:pStyle w:val="ParaNum"/>
        <w:tabs>
          <w:tab w:val="num" w:pos="1800"/>
        </w:tabs>
        <w:rPr>
          <w:szCs w:val="22"/>
        </w:rPr>
      </w:pPr>
      <w:r w:rsidRPr="006C7E5D">
        <w:rPr>
          <w:b/>
          <w:szCs w:val="22"/>
        </w:rPr>
        <w:t xml:space="preserve">IT IS FURTHER ORDERED </w:t>
      </w:r>
      <w:r w:rsidRPr="006C7E5D">
        <w:rPr>
          <w:szCs w:val="22"/>
        </w:rPr>
        <w:t xml:space="preserve">that, pursuant to </w:t>
      </w:r>
      <w:r w:rsidR="00C970F0">
        <w:rPr>
          <w:szCs w:val="22"/>
        </w:rPr>
        <w:t>s</w:t>
      </w:r>
      <w:r w:rsidR="00D05FD2">
        <w:rPr>
          <w:szCs w:val="22"/>
        </w:rPr>
        <w:t>ection</w:t>
      </w:r>
      <w:r w:rsidRPr="006C7E5D">
        <w:rPr>
          <w:szCs w:val="22"/>
        </w:rPr>
        <w:t xml:space="preserve"> 1.80 of the </w:t>
      </w:r>
      <w:r w:rsidR="0099158B">
        <w:t>Commission’s r</w:t>
      </w:r>
      <w:r w:rsidRPr="00801461" w:rsidR="0099158B">
        <w:t>ules</w:t>
      </w:r>
      <w:r w:rsidRPr="006C7E5D">
        <w:rPr>
          <w:szCs w:val="22"/>
        </w:rPr>
        <w:t>,</w:t>
      </w:r>
      <w:r>
        <w:rPr>
          <w:rStyle w:val="FootnoteReference"/>
        </w:rPr>
        <w:footnoteReference w:id="57"/>
      </w:r>
      <w:r w:rsidRPr="004F4E05">
        <w:rPr>
          <w:sz w:val="20"/>
          <w:vertAlign w:val="superscript"/>
        </w:rPr>
        <w:t xml:space="preserve"> </w:t>
      </w:r>
      <w:r w:rsidRPr="006C7E5D">
        <w:rPr>
          <w:szCs w:val="22"/>
        </w:rPr>
        <w:t xml:space="preserve">within thirty (30) calendar days of the release date of this </w:t>
      </w:r>
      <w:r w:rsidRPr="00BD5423">
        <w:rPr>
          <w:szCs w:val="22"/>
        </w:rPr>
        <w:t>Notice of Apparent Liability for Forfeiture</w:t>
      </w:r>
      <w:r w:rsidRPr="006C7E5D">
        <w:rPr>
          <w:szCs w:val="22"/>
        </w:rPr>
        <w:t xml:space="preserve">, </w:t>
      </w:r>
      <w:r w:rsidR="00176F01">
        <w:rPr>
          <w:szCs w:val="22"/>
        </w:rPr>
        <w:t>IHM Licenses, LLC</w:t>
      </w:r>
      <w:r w:rsidR="005B7061">
        <w:rPr>
          <w:szCs w:val="22"/>
        </w:rPr>
        <w:t>,</w:t>
      </w:r>
      <w:r w:rsidRPr="006C7E5D">
        <w:rPr>
          <w:szCs w:val="22"/>
        </w:rPr>
        <w:t xml:space="preserve"> </w:t>
      </w:r>
      <w:r w:rsidRPr="006C7E5D">
        <w:rPr>
          <w:b/>
          <w:szCs w:val="22"/>
        </w:rPr>
        <w:t>SHALL PAY</w:t>
      </w:r>
      <w:r w:rsidRPr="006C7E5D">
        <w:rPr>
          <w:szCs w:val="22"/>
        </w:rPr>
        <w:t xml:space="preserve"> the full amount of the proposed forfeiture or </w:t>
      </w:r>
      <w:r w:rsidRPr="006C7E5D">
        <w:rPr>
          <w:b/>
          <w:szCs w:val="22"/>
        </w:rPr>
        <w:t>SHALL FILE</w:t>
      </w:r>
      <w:r w:rsidRPr="006C7E5D">
        <w:rPr>
          <w:szCs w:val="22"/>
        </w:rPr>
        <w:t xml:space="preserve"> a written statement seeking reduction or cancellation of the proposed forfeiture consistent with paragraph </w:t>
      </w:r>
      <w:r w:rsidRPr="00673876" w:rsidR="00880329">
        <w:rPr>
          <w:szCs w:val="22"/>
        </w:rPr>
        <w:t>19</w:t>
      </w:r>
      <w:r w:rsidRPr="006C7E5D" w:rsidR="00EE720E">
        <w:rPr>
          <w:szCs w:val="22"/>
        </w:rPr>
        <w:t xml:space="preserve"> </w:t>
      </w:r>
      <w:r w:rsidRPr="006C7E5D">
        <w:rPr>
          <w:szCs w:val="22"/>
        </w:rPr>
        <w:t>below.</w:t>
      </w:r>
    </w:p>
    <w:p w:rsidR="00D9231E" w:rsidRPr="006C7E5D" w:rsidP="001B2173" w14:paraId="656DB119" w14:textId="73CB70DC">
      <w:pPr>
        <w:pStyle w:val="ParaNum"/>
        <w:tabs>
          <w:tab w:val="num" w:pos="1800"/>
        </w:tabs>
        <w:rPr>
          <w:rFonts w:eastAsia="MS Mincho"/>
          <w:szCs w:val="22"/>
        </w:rPr>
      </w:pPr>
      <w:r>
        <w:rPr>
          <w:szCs w:val="22"/>
        </w:rPr>
        <w:t>IHM Licenses, LLC</w:t>
      </w:r>
      <w:r w:rsidR="003917A4">
        <w:rPr>
          <w:szCs w:val="22"/>
        </w:rPr>
        <w:t xml:space="preserve"> </w:t>
      </w:r>
      <w:r w:rsidRPr="00E309F5" w:rsidR="00E309F5">
        <w:t xml:space="preserve">shall send electronic notification of payment to </w:t>
      </w:r>
      <w:r w:rsidR="00E309F5">
        <w:t>Anya Baez</w:t>
      </w:r>
      <w:r w:rsidRPr="00E309F5" w:rsidR="00E309F5">
        <w:t xml:space="preserve">, </w:t>
      </w:r>
      <w:r w:rsidRPr="00E309F5" w:rsidR="00E309F5">
        <w:t xml:space="preserve">Enforcement Bureau, Federal Communications Commission, at </w:t>
      </w:r>
      <w:hyperlink r:id="rId5" w:history="1">
        <w:r w:rsidRPr="00446DE1" w:rsidR="00963911">
          <w:rPr>
            <w:rStyle w:val="Hyperlink"/>
          </w:rPr>
          <w:t>Anya.Baez@fcc.gov</w:t>
        </w:r>
      </w:hyperlink>
      <w:r w:rsidR="00963911">
        <w:t xml:space="preserve"> </w:t>
      </w:r>
      <w:r w:rsidRPr="00E309F5" w:rsidR="00E309F5">
        <w:t xml:space="preserve">on the date that said payment is made.  </w:t>
      </w:r>
      <w:r w:rsidRPr="000E5C6D" w:rsidR="005B7061">
        <w:t>Payment of the forfeiture must be made by credit card, ACH (Automated Clearing House) debit from a bank account</w:t>
      </w:r>
      <w:r w:rsidR="00266877">
        <w:t>, or by wire transfer</w:t>
      </w:r>
      <w:r w:rsidRPr="000E5C6D" w:rsidR="005B7061">
        <w:t xml:space="preserve"> using the Commission’s </w:t>
      </w:r>
      <w:r w:rsidR="00266877">
        <w:t>FRN Management and Financial</w:t>
      </w:r>
      <w:r w:rsidRPr="000E5C6D" w:rsidR="005B7061">
        <w:t xml:space="preserve"> system</w:t>
      </w:r>
      <w:r w:rsidR="00266877">
        <w:t>.</w:t>
      </w:r>
      <w:r>
        <w:rPr>
          <w:sz w:val="20"/>
          <w:szCs w:val="18"/>
          <w:vertAlign w:val="superscript"/>
        </w:rPr>
        <w:footnoteReference w:id="58"/>
      </w:r>
      <w:r w:rsidRPr="000E5C6D" w:rsidR="005B7061">
        <w:t xml:space="preserve">  The Commission no longer accepts </w:t>
      </w:r>
      <w:r w:rsidR="00266877">
        <w:t>Civil Penalty</w:t>
      </w:r>
      <w:r w:rsidRPr="000E5C6D" w:rsidR="00266877">
        <w:t xml:space="preserve"> </w:t>
      </w:r>
      <w:r w:rsidRPr="000E5C6D" w:rsidR="005B7061">
        <w:t>payments by check or money order.  Below are instructions that payors should follow based on the form of payment selected:</w:t>
      </w:r>
      <w:r>
        <w:rPr>
          <w:sz w:val="20"/>
          <w:szCs w:val="18"/>
          <w:vertAlign w:val="superscript"/>
        </w:rPr>
        <w:footnoteReference w:id="59"/>
      </w:r>
    </w:p>
    <w:p w:rsidR="00F11B07" w:rsidP="00F11B07" w14:paraId="3C300504" w14:textId="009F9E92">
      <w:pPr>
        <w:numPr>
          <w:ilvl w:val="0"/>
          <w:numId w:val="14"/>
        </w:numPr>
        <w:rPr>
          <w:rFonts w:eastAsia="MS Mincho"/>
          <w:szCs w:val="22"/>
        </w:rPr>
      </w:pPr>
      <w:r w:rsidRPr="00F11B07">
        <w:rPr>
          <w:rFonts w:eastAsia="MS Mincho"/>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E72A60" w:rsidR="00111186">
          <w:rPr>
            <w:rStyle w:val="Hyperlink"/>
            <w:rFonts w:eastAsia="MS Mincho"/>
            <w:szCs w:val="22"/>
          </w:rPr>
          <w:t>RROGWireFaxes@fcc.gov</w:t>
        </w:r>
      </w:hyperlink>
      <w:r w:rsidR="00111186">
        <w:rPr>
          <w:rFonts w:eastAsia="MS Mincho"/>
          <w:szCs w:val="22"/>
        </w:rPr>
        <w:t xml:space="preserve"> </w:t>
      </w:r>
      <w:r w:rsidRPr="00F11B07">
        <w:rPr>
          <w:rFonts w:eastAsia="MS Mincho"/>
          <w:szCs w:val="22"/>
        </w:rPr>
        <w:t>on the same business day the wire transfer is initiated.</w:t>
      </w:r>
      <w:r>
        <w:rPr>
          <w:rStyle w:val="FootnoteReference"/>
          <w:rFonts w:eastAsia="MS Mincho"/>
          <w:szCs w:val="22"/>
        </w:rPr>
        <w:footnoteReference w:id="60"/>
      </w:r>
      <w:r w:rsidRPr="00F11B07">
        <w:rPr>
          <w:rFonts w:eastAsia="MS Mincho"/>
          <w:szCs w:val="22"/>
        </w:rPr>
        <w:t xml:space="preserve">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7" w:history="1">
        <w:r w:rsidRPr="005464D4">
          <w:rPr>
            <w:rStyle w:val="Hyperlink"/>
            <w:rFonts w:eastAsia="MS Mincho"/>
            <w:szCs w:val="22"/>
          </w:rPr>
          <w:t>https://www.fcc.gov/licensing-databases/fees/wire-transfer</w:t>
        </w:r>
      </w:hyperlink>
      <w:r>
        <w:rPr>
          <w:rFonts w:eastAsia="MS Mincho"/>
          <w:szCs w:val="22"/>
        </w:rPr>
        <w:t>.</w:t>
      </w:r>
    </w:p>
    <w:p w:rsidR="00081417" w:rsidRPr="00F11B07" w:rsidP="00081417" w14:paraId="193D4ABD" w14:textId="77777777">
      <w:pPr>
        <w:ind w:left="1080"/>
        <w:rPr>
          <w:rFonts w:eastAsia="MS Mincho"/>
          <w:szCs w:val="22"/>
        </w:rPr>
      </w:pPr>
    </w:p>
    <w:p w:rsidR="00D9231E" w:rsidP="005B7061" w14:paraId="5F68F7CB" w14:textId="5DB1CEBA">
      <w:pPr>
        <w:numPr>
          <w:ilvl w:val="0"/>
          <w:numId w:val="14"/>
        </w:numPr>
        <w:autoSpaceDE w:val="0"/>
        <w:autoSpaceDN w:val="0"/>
        <w:adjustRightInd w:val="0"/>
        <w:rPr>
          <w:rFonts w:eastAsia="MS Mincho"/>
          <w:szCs w:val="22"/>
        </w:rPr>
      </w:pPr>
      <w:r w:rsidRPr="00F11B07">
        <w:rPr>
          <w:rFonts w:eastAsia="Calibri"/>
          <w:snapToGrid/>
          <w:kern w:val="0"/>
          <w:szCs w:val="22"/>
        </w:rPr>
        <w:t xml:space="preserve">Payment by credit card must be made by using the Commission’s </w:t>
      </w:r>
      <w:r w:rsidR="00266877">
        <w:rPr>
          <w:rFonts w:eastAsia="Calibri"/>
          <w:snapToGrid/>
          <w:kern w:val="0"/>
          <w:szCs w:val="22"/>
        </w:rPr>
        <w:t>Registration System (CORES)</w:t>
      </w:r>
      <w:r w:rsidRPr="00F11B07">
        <w:rPr>
          <w:rFonts w:eastAsia="Calibri"/>
          <w:snapToGrid/>
          <w:kern w:val="0"/>
          <w:szCs w:val="22"/>
        </w:rPr>
        <w:t xml:space="preserve"> at</w:t>
      </w:r>
      <w:r w:rsidR="00266877">
        <w:rPr>
          <w:rFonts w:eastAsia="Calibri"/>
          <w:snapToGrid/>
          <w:kern w:val="0"/>
          <w:szCs w:val="22"/>
        </w:rPr>
        <w:t xml:space="preserve"> </w:t>
      </w:r>
      <w:hyperlink r:id="rId8" w:history="1">
        <w:r w:rsidRPr="004B6755" w:rsidR="00266877">
          <w:rPr>
            <w:rStyle w:val="Hyperlink"/>
            <w:color w:val="0052CC"/>
            <w:shd w:val="clear" w:color="auto" w:fill="FFFFFF"/>
          </w:rPr>
          <w:t>h</w:t>
        </w:r>
        <w:r w:rsidRPr="00DF5B5C" w:rsidR="00266877">
          <w:rPr>
            <w:rStyle w:val="Hyperlink"/>
          </w:rPr>
          <w:t>ttps://apps.fcc.gov/cores/userLogin.do</w:t>
        </w:r>
      </w:hyperlink>
      <w:r w:rsidRPr="00F11B07">
        <w:rPr>
          <w:rFonts w:eastAsia="Calibri"/>
          <w:snapToGrid/>
          <w:kern w:val="0"/>
          <w:szCs w:val="22"/>
        </w:rPr>
        <w:t xml:space="preserve">.  To pay by credit card, log-in using the FRN captioned above.  If payment must be split across FRNs, complete this process for each FRN.  </w:t>
      </w:r>
      <w:r w:rsidRPr="004B6755" w:rsidR="00266877">
        <w:t xml:space="preserve">Next, select “Manage Existing FRNs | FRN Financial | Bills &amp; Fees” from the CORES Menu, then select FRN Financial and the view/make payments option next to the FRN. </w:t>
      </w:r>
      <w:r w:rsidR="00266877">
        <w:t xml:space="preserve"> </w:t>
      </w:r>
      <w:r w:rsidRPr="004B6755" w:rsidR="00266877">
        <w:t xml:space="preserve">Select the “Open Bills” tab and find the bill number associated with the </w:t>
      </w:r>
      <w:r w:rsidR="007F4F42">
        <w:t>NAL</w:t>
      </w:r>
      <w:r w:rsidRPr="004B6755" w:rsidR="00266877">
        <w:t xml:space="preserve"> Acct. No.  The bill number is the </w:t>
      </w:r>
      <w:r w:rsidR="007F4F42">
        <w:t>NAL</w:t>
      </w:r>
      <w:r w:rsidRPr="004B6755" w:rsidR="00266877">
        <w:t xml:space="preserve"> Acct. No. with the first two digits excluded (e.g., </w:t>
      </w:r>
      <w:r w:rsidR="007F4F42">
        <w:t>NAL</w:t>
      </w:r>
      <w:r w:rsidRPr="004B6755" w:rsidR="00266877">
        <w:t xml:space="preserve"> 1912345678 would be associated with FCC Bill Number 12345678).  After selecting the bill for payment, choose the “Pay by Credit Card” option.</w:t>
      </w:r>
      <w:r w:rsidR="00266877">
        <w:t xml:space="preserve">  </w:t>
      </w:r>
      <w:r w:rsidRPr="00F11B07">
        <w:rPr>
          <w:rFonts w:eastAsia="Calibri"/>
          <w:snapToGrid/>
          <w:kern w:val="0"/>
          <w:szCs w:val="22"/>
        </w:rPr>
        <w:t>Please note that there is a $24,999.99-dollar limitation on credit card transactions</w:t>
      </w:r>
      <w:r w:rsidRPr="006C7E5D">
        <w:rPr>
          <w:rFonts w:eastAsia="MS Mincho"/>
          <w:szCs w:val="22"/>
        </w:rPr>
        <w:t xml:space="preserve">.  </w:t>
      </w:r>
    </w:p>
    <w:p w:rsidR="00081417" w:rsidRPr="006C7E5D" w:rsidP="00081417" w14:paraId="58F71D5B" w14:textId="77777777">
      <w:pPr>
        <w:autoSpaceDE w:val="0"/>
        <w:autoSpaceDN w:val="0"/>
        <w:adjustRightInd w:val="0"/>
        <w:ind w:left="1080"/>
        <w:rPr>
          <w:rFonts w:eastAsia="MS Mincho"/>
          <w:szCs w:val="22"/>
        </w:rPr>
      </w:pPr>
    </w:p>
    <w:p w:rsidR="00D9231E" w:rsidRPr="006C7E5D" w:rsidP="005B7061" w14:paraId="1B2E1A81" w14:textId="0C0A1DA5">
      <w:pPr>
        <w:numPr>
          <w:ilvl w:val="0"/>
          <w:numId w:val="14"/>
        </w:numPr>
        <w:autoSpaceDE w:val="0"/>
        <w:autoSpaceDN w:val="0"/>
        <w:adjustRightInd w:val="0"/>
        <w:spacing w:after="120"/>
        <w:rPr>
          <w:color w:val="000000"/>
          <w:szCs w:val="22"/>
        </w:rPr>
      </w:pPr>
      <w:r w:rsidRPr="000E5C6D">
        <w:t xml:space="preserve">Payment by ACH must be made by using the Commission’s </w:t>
      </w:r>
      <w:r w:rsidRPr="009716F7" w:rsidR="00266877">
        <w:t xml:space="preserve">Registration System (CORES) at </w:t>
      </w:r>
      <w:hyperlink r:id="rId9" w:history="1">
        <w:r w:rsidRPr="009716F7" w:rsidR="00266877">
          <w:rPr>
            <w:rStyle w:val="Hyperlink"/>
          </w:rPr>
          <w:t>https://apps.fcc.gov/cores/paymentFrnLogin.do</w:t>
        </w:r>
      </w:hyperlink>
      <w:r w:rsidRPr="009716F7" w:rsidR="00266877">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rsidR="00266877">
        <w:t xml:space="preserve"> </w:t>
      </w:r>
      <w:r w:rsidRPr="009716F7" w:rsidR="00266877">
        <w:t xml:space="preserve">number associated with the </w:t>
      </w:r>
      <w:r w:rsidR="007F4F42">
        <w:t>NAL</w:t>
      </w:r>
      <w:r w:rsidRPr="009716F7" w:rsidR="00266877">
        <w:t xml:space="preserve"> Acct. No.  The bill number is the </w:t>
      </w:r>
      <w:r w:rsidR="007F4F42">
        <w:t>NAL</w:t>
      </w:r>
      <w:r w:rsidRPr="009716F7" w:rsidR="00266877">
        <w:t xml:space="preserve"> Acct. No. with the first two digits excluded (e.g., </w:t>
      </w:r>
      <w:r w:rsidR="007F4F42">
        <w:t>NAL</w:t>
      </w:r>
      <w:r w:rsidRPr="009716F7" w:rsidR="00266877">
        <w:t xml:space="preserve"> 1912345678 would be associated with FCC Bill Number 12345678).  </w:t>
      </w:r>
      <w:r w:rsidR="00266877">
        <w:t xml:space="preserve">Finally, </w:t>
      </w:r>
      <w:r w:rsidRPr="000E5C6D">
        <w:t>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6C7E5D">
        <w:rPr>
          <w:rFonts w:eastAsia="MS Mincho"/>
          <w:szCs w:val="22"/>
        </w:rPr>
        <w:t xml:space="preserve">.  </w:t>
      </w:r>
    </w:p>
    <w:p w:rsidR="00D9231E" w:rsidRPr="006C7E5D" w:rsidP="005B7061" w14:paraId="52BB96A9" w14:textId="282C71D7">
      <w:pPr>
        <w:pStyle w:val="ParaNum"/>
        <w:tabs>
          <w:tab w:val="num" w:pos="1800"/>
        </w:tabs>
        <w:rPr>
          <w:szCs w:val="22"/>
        </w:rPr>
      </w:pPr>
      <w:r w:rsidRPr="006C7E5D">
        <w:rPr>
          <w:szCs w:val="22"/>
        </w:rPr>
        <w:t xml:space="preserve">Any request for full payment under an installment plan should be sent to: </w:t>
      </w:r>
      <w:r w:rsidRPr="008057C2" w:rsidR="008057C2">
        <w:rPr>
          <w:szCs w:val="22"/>
        </w:rPr>
        <w:t>Chief Financial Officer</w:t>
      </w:r>
      <w:r w:rsidR="00FF3E40">
        <w:rPr>
          <w:szCs w:val="22"/>
        </w:rPr>
        <w:t xml:space="preserve"> – </w:t>
      </w:r>
      <w:r w:rsidRPr="008057C2" w:rsidR="008057C2">
        <w:rPr>
          <w:szCs w:val="22"/>
        </w:rPr>
        <w:t xml:space="preserve">Financial Operations, Federal Communications Commission, </w:t>
      </w:r>
      <w:r w:rsidRPr="00594F26" w:rsidR="00594F26">
        <w:rPr>
          <w:szCs w:val="22"/>
        </w:rPr>
        <w:t>45 L Street, NE, Washington, D</w:t>
      </w:r>
      <w:r w:rsidR="00266877">
        <w:rPr>
          <w:szCs w:val="22"/>
        </w:rPr>
        <w:t>.</w:t>
      </w:r>
      <w:r w:rsidRPr="00594F26" w:rsidR="00594F26">
        <w:rPr>
          <w:szCs w:val="22"/>
        </w:rPr>
        <w:t>C</w:t>
      </w:r>
      <w:r w:rsidR="00266877">
        <w:rPr>
          <w:szCs w:val="22"/>
        </w:rPr>
        <w:t>.</w:t>
      </w:r>
      <w:r w:rsidRPr="00594F26" w:rsidR="00594F26">
        <w:rPr>
          <w:szCs w:val="22"/>
        </w:rPr>
        <w:t xml:space="preserve"> 20554</w:t>
      </w:r>
      <w:r w:rsidRPr="008057C2" w:rsidR="008057C2">
        <w:rPr>
          <w:szCs w:val="22"/>
        </w:rPr>
        <w:t>.</w:t>
      </w:r>
      <w:r w:rsidRPr="006C7E5D" w:rsidR="009C0E08">
        <w:rPr>
          <w:szCs w:val="22"/>
        </w:rPr>
        <w:t xml:space="preserve">  </w:t>
      </w:r>
      <w:r w:rsidR="00081417">
        <w:rPr>
          <w:szCs w:val="22"/>
        </w:rPr>
        <w:t>Q</w:t>
      </w:r>
      <w:r w:rsidRPr="006C7E5D">
        <w:rPr>
          <w:szCs w:val="22"/>
        </w:rPr>
        <w:t>uestions regarding payment procedures</w:t>
      </w:r>
      <w:r w:rsidR="00081417">
        <w:rPr>
          <w:szCs w:val="22"/>
        </w:rPr>
        <w:t xml:space="preserve"> should be directed to </w:t>
      </w:r>
      <w:r w:rsidRPr="006C7E5D">
        <w:rPr>
          <w:szCs w:val="22"/>
        </w:rPr>
        <w:t xml:space="preserve">the Financial Operations Group Help Desk by phone, 1-877-480-3201, or by </w:t>
      </w:r>
      <w:r w:rsidRPr="006C7E5D" w:rsidR="00A13CC9">
        <w:rPr>
          <w:szCs w:val="22"/>
        </w:rPr>
        <w:t>e-mail</w:t>
      </w:r>
      <w:r w:rsidRPr="006C7E5D">
        <w:rPr>
          <w:szCs w:val="22"/>
        </w:rPr>
        <w:t xml:space="preserve">, </w:t>
      </w:r>
      <w:r w:rsidRPr="006C7E5D">
        <w:rPr>
          <w:rStyle w:val="Hyperlink"/>
          <w:szCs w:val="22"/>
        </w:rPr>
        <w:t>ARINQUIRIES@fcc.gov</w:t>
      </w:r>
      <w:r w:rsidRPr="006C7E5D" w:rsidR="009C0E08">
        <w:rPr>
          <w:szCs w:val="22"/>
        </w:rPr>
        <w:t>.</w:t>
      </w:r>
    </w:p>
    <w:p w:rsidR="00516A57" w:rsidP="001B2173" w14:paraId="018FBC65" w14:textId="539BE4C4">
      <w:pPr>
        <w:pStyle w:val="ParaNum"/>
        <w:tabs>
          <w:tab w:val="num" w:pos="1800"/>
        </w:tabs>
        <w:rPr>
          <w:szCs w:val="22"/>
        </w:rPr>
      </w:pPr>
      <w:r w:rsidRPr="006C7E5D">
        <w:rPr>
          <w:szCs w:val="22"/>
        </w:rPr>
        <w:t xml:space="preserve">The written statement seeking reduction or cancellation of the proposed forfeiture, if any, must include a detailed factual statement supported by appropriate documentation and affidavits pursuant </w:t>
      </w:r>
      <w:r w:rsidRPr="006C7E5D">
        <w:rPr>
          <w:szCs w:val="22"/>
        </w:rPr>
        <w:t xml:space="preserve">to </w:t>
      </w:r>
      <w:r w:rsidR="00F433F5">
        <w:rPr>
          <w:szCs w:val="22"/>
        </w:rPr>
        <w:t>s</w:t>
      </w:r>
      <w:r w:rsidR="00D05FD2">
        <w:rPr>
          <w:szCs w:val="22"/>
        </w:rPr>
        <w:t>ection</w:t>
      </w:r>
      <w:r w:rsidRPr="006C7E5D">
        <w:rPr>
          <w:szCs w:val="22"/>
        </w:rPr>
        <w:t xml:space="preserve">s 1.80(f)(3) and 1.16 of the </w:t>
      </w:r>
      <w:r w:rsidR="00221E05">
        <w:t>Commission’s r</w:t>
      </w:r>
      <w:r w:rsidRPr="00801461" w:rsidR="00221E05">
        <w:t>ules</w:t>
      </w:r>
      <w:r w:rsidRPr="006C7E5D">
        <w:rPr>
          <w:szCs w:val="22"/>
        </w:rPr>
        <w:t>.</w:t>
      </w:r>
      <w:r>
        <w:rPr>
          <w:rStyle w:val="FootnoteReference"/>
        </w:rPr>
        <w:footnoteReference w:id="61"/>
      </w:r>
      <w:r w:rsidRPr="00592B78">
        <w:rPr>
          <w:sz w:val="20"/>
        </w:rPr>
        <w:t xml:space="preserve"> </w:t>
      </w:r>
      <w:r w:rsidRPr="006C7E5D">
        <w:rPr>
          <w:szCs w:val="22"/>
        </w:rPr>
        <w:t xml:space="preserve"> The written statement must b</w:t>
      </w:r>
      <w:r w:rsidRPr="006C7E5D" w:rsidR="00A13CC9">
        <w:rPr>
          <w:szCs w:val="22"/>
        </w:rPr>
        <w:t>e</w:t>
      </w:r>
      <w:r w:rsidRPr="006C7E5D" w:rsidR="00AC3E37">
        <w:rPr>
          <w:szCs w:val="22"/>
        </w:rPr>
        <w:t xml:space="preserve"> </w:t>
      </w:r>
      <w:r w:rsidRPr="006C7E5D" w:rsidR="00A13CC9">
        <w:rPr>
          <w:szCs w:val="22"/>
        </w:rPr>
        <w:t>mail</w:t>
      </w:r>
      <w:r w:rsidRPr="006C7E5D">
        <w:rPr>
          <w:szCs w:val="22"/>
        </w:rPr>
        <w:t xml:space="preserve">ed to the Office of the Secretary, Federal Communications Commission, </w:t>
      </w:r>
      <w:r w:rsidRPr="00FD374E" w:rsidR="00FD374E">
        <w:rPr>
          <w:szCs w:val="22"/>
        </w:rPr>
        <w:t>45 L Street, NE, Washington, D</w:t>
      </w:r>
      <w:r w:rsidR="00266877">
        <w:rPr>
          <w:szCs w:val="22"/>
        </w:rPr>
        <w:t>.</w:t>
      </w:r>
      <w:r w:rsidRPr="00FD374E" w:rsidR="00FD374E">
        <w:rPr>
          <w:szCs w:val="22"/>
        </w:rPr>
        <w:t>C</w:t>
      </w:r>
      <w:r w:rsidR="00266877">
        <w:rPr>
          <w:szCs w:val="22"/>
        </w:rPr>
        <w:t>.</w:t>
      </w:r>
      <w:r w:rsidRPr="00FD374E" w:rsidR="00FD374E">
        <w:rPr>
          <w:szCs w:val="22"/>
        </w:rPr>
        <w:t xml:space="preserve"> 20554</w:t>
      </w:r>
      <w:r w:rsidRPr="008057C2" w:rsidR="008057C2">
        <w:rPr>
          <w:szCs w:val="22"/>
        </w:rPr>
        <w:t xml:space="preserve">, </w:t>
      </w:r>
      <w:r w:rsidRPr="008057C2" w:rsidR="008057C2">
        <w:rPr>
          <w:bCs/>
          <w:szCs w:val="22"/>
        </w:rPr>
        <w:t>ATTN:</w:t>
      </w:r>
      <w:r w:rsidRPr="008057C2" w:rsidR="008057C2">
        <w:rPr>
          <w:szCs w:val="22"/>
        </w:rPr>
        <w:t xml:space="preserve"> Enforcement Bureau – Investigations and Hearings Division, </w:t>
      </w:r>
      <w:r w:rsidRPr="006C7E5D">
        <w:rPr>
          <w:szCs w:val="22"/>
        </w:rPr>
        <w:t>and must include the NAL/Account Number referenced in the caption.  The statement must also be e</w:t>
      </w:r>
      <w:r w:rsidRPr="006C7E5D" w:rsidR="003C200D">
        <w:rPr>
          <w:szCs w:val="22"/>
        </w:rPr>
        <w:t>-</w:t>
      </w:r>
      <w:r w:rsidRPr="006C7E5D">
        <w:rPr>
          <w:szCs w:val="22"/>
        </w:rPr>
        <w:t xml:space="preserve">mailed to Jeffrey J. Gee at </w:t>
      </w:r>
      <w:r w:rsidRPr="006C7E5D">
        <w:rPr>
          <w:rStyle w:val="Hyperlink"/>
          <w:szCs w:val="22"/>
        </w:rPr>
        <w:t>Jeffrey.Gee@fcc.gov</w:t>
      </w:r>
      <w:r w:rsidRPr="006C7E5D">
        <w:rPr>
          <w:szCs w:val="22"/>
        </w:rPr>
        <w:t xml:space="preserve">, Christopher J. Sova at </w:t>
      </w:r>
      <w:r w:rsidRPr="006C7E5D">
        <w:rPr>
          <w:rStyle w:val="Hyperlink"/>
          <w:szCs w:val="22"/>
        </w:rPr>
        <w:t>Christopher.Sova@fcc.gov</w:t>
      </w:r>
      <w:r w:rsidRPr="006C7E5D">
        <w:rPr>
          <w:szCs w:val="22"/>
        </w:rPr>
        <w:t xml:space="preserve">, </w:t>
      </w:r>
      <w:r w:rsidRPr="005248AB" w:rsidR="005248AB">
        <w:rPr>
          <w:szCs w:val="22"/>
        </w:rPr>
        <w:t>Kenneth M. Scheibel, Jr.</w:t>
      </w:r>
      <w:r w:rsidR="005248AB">
        <w:rPr>
          <w:szCs w:val="22"/>
        </w:rPr>
        <w:t xml:space="preserve"> </w:t>
      </w:r>
      <w:r w:rsidRPr="00560534" w:rsidR="00560534">
        <w:rPr>
          <w:szCs w:val="22"/>
        </w:rPr>
        <w:t xml:space="preserve">at </w:t>
      </w:r>
      <w:hyperlink r:id="rId10" w:history="1">
        <w:r w:rsidRPr="00E72A60" w:rsidR="00560534">
          <w:rPr>
            <w:rStyle w:val="Hyperlink"/>
            <w:szCs w:val="22"/>
          </w:rPr>
          <w:t>Kenneth.Scheibel@fcc.gov</w:t>
        </w:r>
      </w:hyperlink>
      <w:r w:rsidRPr="00560534" w:rsidR="00560534">
        <w:rPr>
          <w:szCs w:val="22"/>
        </w:rPr>
        <w:t xml:space="preserve">, and Anya Baez at </w:t>
      </w:r>
      <w:hyperlink r:id="rId5" w:history="1">
        <w:r w:rsidRPr="00E72A60" w:rsidR="00560534">
          <w:rPr>
            <w:rStyle w:val="Hyperlink"/>
            <w:szCs w:val="22"/>
          </w:rPr>
          <w:t>Anya.Baez@fcc.gov</w:t>
        </w:r>
      </w:hyperlink>
      <w:r w:rsidR="00221815">
        <w:rPr>
          <w:szCs w:val="22"/>
        </w:rPr>
        <w:t>.</w:t>
      </w:r>
      <w:r w:rsidR="007D0DE2">
        <w:rPr>
          <w:szCs w:val="22"/>
        </w:rPr>
        <w:t xml:space="preserve">  </w:t>
      </w:r>
      <w:r w:rsidRPr="007D0DE2" w:rsidR="007D0DE2">
        <w:rPr>
          <w:szCs w:val="22"/>
        </w:rPr>
        <w:t>The electronic copy shall be produced in a format that allows the Commission to access and use it, together with instructions and all other materials necessary to use or interpret the data, including record layouts, data dictionaries, and a description of the data’s source.  All responses, accompanying documentation, affidavits, and attachments, including recordings, exceeding 5MB must be sent to the Commission’s secure online file system by e-mailing such documents as attachments to:</w:t>
      </w:r>
      <w:r w:rsidR="00026B84">
        <w:rPr>
          <w:szCs w:val="22"/>
        </w:rPr>
        <w:t xml:space="preserve"> </w:t>
      </w:r>
      <w:hyperlink r:id="rId11" w:history="1">
        <w:r w:rsidRPr="004F2878" w:rsidR="00A77856">
          <w:rPr>
            <w:rStyle w:val="Hyperlink"/>
          </w:rPr>
          <w:t>WBGG.0odav0w4puhp9dkq@u.box.com</w:t>
        </w:r>
      </w:hyperlink>
      <w:r w:rsidR="00A77856">
        <w:t xml:space="preserve">, </w:t>
      </w:r>
      <w:r w:rsidR="00DB4079">
        <w:t xml:space="preserve"> </w:t>
      </w:r>
      <w:r w:rsidRPr="007D0DE2" w:rsidR="007D0DE2">
        <w:rPr>
          <w:szCs w:val="22"/>
        </w:rPr>
        <w:t>consistent with the following parameters:</w:t>
      </w:r>
    </w:p>
    <w:p w:rsidR="001410D8" w:rsidP="001410D8" w14:paraId="789EB5BE" w14:textId="77777777">
      <w:pPr>
        <w:widowControl/>
        <w:numPr>
          <w:ilvl w:val="0"/>
          <w:numId w:val="45"/>
        </w:numPr>
        <w:rPr>
          <w:rFonts w:eastAsia="ヒラギノ角ゴ Pro W3"/>
          <w:snapToGrid/>
          <w:kern w:val="0"/>
          <w:szCs w:val="22"/>
        </w:rPr>
      </w:pPr>
      <w:r w:rsidRPr="004F62C7">
        <w:rPr>
          <w:rFonts w:eastAsia="ヒラギノ角ゴ Pro W3"/>
          <w:snapToGrid/>
          <w:kern w:val="0"/>
          <w:szCs w:val="22"/>
        </w:rPr>
        <w:t xml:space="preserve">Upload documents and </w:t>
      </w:r>
      <w:r>
        <w:rPr>
          <w:rFonts w:eastAsia="ヒラギノ角ゴ Pro W3"/>
          <w:snapToGrid/>
          <w:kern w:val="0"/>
          <w:szCs w:val="22"/>
        </w:rPr>
        <w:t>supporting documentation</w:t>
      </w:r>
      <w:r w:rsidRPr="004F62C7">
        <w:rPr>
          <w:rFonts w:eastAsia="ヒラギノ角ゴ Pro W3"/>
          <w:snapToGrid/>
          <w:kern w:val="0"/>
          <w:szCs w:val="22"/>
        </w:rPr>
        <w:t xml:space="preserve"> as e-mail attachments only.  Only the attachments will be uploaded to the secure folder.  </w:t>
      </w:r>
      <w:r w:rsidRPr="004F62C7">
        <w:rPr>
          <w:rFonts w:eastAsia="ヒラギノ角ゴ Pro W3"/>
          <w:b/>
          <w:bCs/>
          <w:snapToGrid/>
          <w:kern w:val="0"/>
          <w:szCs w:val="22"/>
        </w:rPr>
        <w:t>E-mails and any accompanying text used for the purpose of uploading attachments, will NOT be uploaded to the secure folder.</w:t>
      </w:r>
      <w:r w:rsidRPr="004F62C7">
        <w:rPr>
          <w:rFonts w:eastAsia="ヒラギノ角ゴ Pro W3"/>
          <w:snapToGrid/>
          <w:kern w:val="0"/>
          <w:szCs w:val="22"/>
        </w:rPr>
        <w:t xml:space="preserve"> </w:t>
      </w:r>
    </w:p>
    <w:p w:rsidR="001410D8" w:rsidRPr="004F62C7" w:rsidP="001410D8" w14:paraId="7BAF2ADD" w14:textId="77777777">
      <w:pPr>
        <w:widowControl/>
        <w:ind w:left="720"/>
        <w:rPr>
          <w:rFonts w:eastAsia="ヒラギノ角ゴ Pro W3"/>
          <w:snapToGrid/>
          <w:kern w:val="0"/>
          <w:szCs w:val="22"/>
        </w:rPr>
      </w:pPr>
    </w:p>
    <w:p w:rsidR="001410D8" w:rsidP="001410D8" w14:paraId="0A0C4F68" w14:textId="77777777">
      <w:pPr>
        <w:widowControl/>
        <w:numPr>
          <w:ilvl w:val="0"/>
          <w:numId w:val="45"/>
        </w:numPr>
        <w:rPr>
          <w:rFonts w:eastAsia="ヒラギノ角ゴ Pro W3"/>
          <w:snapToGrid/>
          <w:kern w:val="0"/>
          <w:szCs w:val="22"/>
        </w:rPr>
      </w:pPr>
      <w:r w:rsidRPr="004F62C7">
        <w:rPr>
          <w:rFonts w:eastAsia="ヒラギノ角ゴ Pro W3"/>
          <w:snapToGrid/>
          <w:kern w:val="0"/>
          <w:szCs w:val="22"/>
        </w:rPr>
        <w:t xml:space="preserve">Each e-mail upload of documents </w:t>
      </w:r>
      <w:r>
        <w:rPr>
          <w:rFonts w:eastAsia="ヒラギノ角ゴ Pro W3"/>
          <w:snapToGrid/>
          <w:kern w:val="0"/>
          <w:szCs w:val="22"/>
        </w:rPr>
        <w:t>and supporting documentation</w:t>
      </w:r>
      <w:r w:rsidRPr="004F62C7">
        <w:rPr>
          <w:rFonts w:eastAsia="ヒラギノ角ゴ Pro W3"/>
          <w:snapToGrid/>
          <w:kern w:val="0"/>
          <w:szCs w:val="22"/>
        </w:rPr>
        <w:t xml:space="preserve"> must not exceed 50MB.  Multiple e-mails may be necessary to upload attached files that exceed a total of 50MB.</w:t>
      </w:r>
    </w:p>
    <w:p w:rsidR="001410D8" w:rsidRPr="004F62C7" w:rsidP="001410D8" w14:paraId="154F0AA5" w14:textId="77777777">
      <w:pPr>
        <w:widowControl/>
        <w:ind w:left="720"/>
        <w:rPr>
          <w:rFonts w:eastAsia="ヒラギノ角ゴ Pro W3"/>
          <w:snapToGrid/>
          <w:kern w:val="0"/>
          <w:szCs w:val="22"/>
        </w:rPr>
      </w:pPr>
    </w:p>
    <w:p w:rsidR="001410D8" w:rsidP="001410D8" w14:paraId="145828D2" w14:textId="77777777">
      <w:pPr>
        <w:widowControl/>
        <w:numPr>
          <w:ilvl w:val="0"/>
          <w:numId w:val="45"/>
        </w:numPr>
        <w:rPr>
          <w:rFonts w:eastAsia="ヒラギノ角ゴ Pro W3"/>
          <w:snapToGrid/>
          <w:kern w:val="0"/>
          <w:szCs w:val="22"/>
        </w:rPr>
      </w:pPr>
      <w:r w:rsidRPr="004F62C7">
        <w:rPr>
          <w:rFonts w:eastAsia="ヒラギノ角ゴ Pro W3"/>
          <w:snapToGrid/>
          <w:kern w:val="0"/>
          <w:szCs w:val="22"/>
        </w:rPr>
        <w:t xml:space="preserve">Copies of e-mails containing text that are responsive to this </w:t>
      </w:r>
      <w:r>
        <w:rPr>
          <w:rFonts w:eastAsia="ヒラギノ角ゴ Pro W3"/>
          <w:snapToGrid/>
          <w:kern w:val="0"/>
          <w:szCs w:val="22"/>
        </w:rPr>
        <w:t xml:space="preserve">Notice of Apparent Liability for Forfeiture </w:t>
      </w:r>
      <w:r w:rsidRPr="004F62C7">
        <w:rPr>
          <w:rFonts w:eastAsia="ヒラギノ角ゴ Pro W3"/>
          <w:snapToGrid/>
          <w:kern w:val="0"/>
          <w:szCs w:val="22"/>
        </w:rPr>
        <w:t xml:space="preserve">must be uploaded separately as .PDF or .ZIP file attachments. </w:t>
      </w:r>
    </w:p>
    <w:p w:rsidR="001410D8" w:rsidRPr="004F62C7" w:rsidP="001410D8" w14:paraId="1522C1B4" w14:textId="77777777">
      <w:pPr>
        <w:widowControl/>
        <w:ind w:left="720"/>
        <w:rPr>
          <w:rFonts w:eastAsia="ヒラギノ角ゴ Pro W3"/>
          <w:snapToGrid/>
          <w:kern w:val="0"/>
          <w:szCs w:val="22"/>
        </w:rPr>
      </w:pPr>
    </w:p>
    <w:p w:rsidR="001410D8" w:rsidP="001410D8" w14:paraId="4C78654D" w14:textId="77777777">
      <w:pPr>
        <w:widowControl/>
        <w:numPr>
          <w:ilvl w:val="0"/>
          <w:numId w:val="45"/>
        </w:numPr>
        <w:rPr>
          <w:rFonts w:eastAsia="ヒラギノ角ゴ Pro W3"/>
          <w:snapToGrid/>
          <w:kern w:val="0"/>
          <w:szCs w:val="22"/>
        </w:rPr>
      </w:pPr>
      <w:r w:rsidRPr="004F62C7">
        <w:rPr>
          <w:rFonts w:eastAsia="ヒラギノ角ゴ Pro W3"/>
          <w:snapToGrid/>
          <w:kern w:val="0"/>
          <w:szCs w:val="22"/>
        </w:rPr>
        <w:t>Both designated Commission staff and the sender will receive a notification e-mail that files were uploaded successfully.</w:t>
      </w:r>
    </w:p>
    <w:p w:rsidR="001410D8" w:rsidP="001410D8" w14:paraId="41D31F9A" w14:textId="77777777">
      <w:pPr>
        <w:pStyle w:val="ListParagraph"/>
        <w:rPr>
          <w:rFonts w:eastAsia="Calibri"/>
          <w:snapToGrid/>
          <w:kern w:val="0"/>
          <w:szCs w:val="22"/>
        </w:rPr>
      </w:pPr>
    </w:p>
    <w:p w:rsidR="001410D8" w:rsidRPr="001410D8" w:rsidP="001410D8" w14:paraId="5EB1BF8B" w14:textId="56726BEC">
      <w:pPr>
        <w:widowControl/>
        <w:numPr>
          <w:ilvl w:val="0"/>
          <w:numId w:val="45"/>
        </w:numPr>
        <w:rPr>
          <w:rFonts w:eastAsia="ヒラギノ角ゴ Pro W3"/>
          <w:snapToGrid/>
          <w:kern w:val="0"/>
          <w:szCs w:val="22"/>
        </w:rPr>
      </w:pPr>
      <w:r w:rsidRPr="001410D8">
        <w:rPr>
          <w:rFonts w:eastAsia="Calibri"/>
          <w:snapToGrid/>
          <w:kern w:val="0"/>
          <w:szCs w:val="22"/>
        </w:rPr>
        <w:t xml:space="preserve">If you need help or have questions about how to provide electronic copies of the response or any accompanying documents or recordings, please contact </w:t>
      </w:r>
      <w:r w:rsidRPr="0008670A" w:rsidR="0008670A">
        <w:rPr>
          <w:rFonts w:eastAsia="Calibri"/>
          <w:snapToGrid/>
          <w:kern w:val="0"/>
          <w:szCs w:val="22"/>
        </w:rPr>
        <w:t>Anya Baez</w:t>
      </w:r>
      <w:r w:rsidRPr="001410D8">
        <w:rPr>
          <w:rFonts w:eastAsia="Calibri"/>
          <w:snapToGrid/>
          <w:kern w:val="0"/>
          <w:szCs w:val="22"/>
        </w:rPr>
        <w:t xml:space="preserve"> at </w:t>
      </w:r>
      <w:hyperlink r:id="rId5" w:history="1">
        <w:r w:rsidRPr="00DA4D78" w:rsidR="0008670A">
          <w:rPr>
            <w:rStyle w:val="Hyperlink"/>
            <w:rFonts w:eastAsia="Calibri"/>
            <w:snapToGrid/>
            <w:kern w:val="0"/>
            <w:szCs w:val="22"/>
          </w:rPr>
          <w:t>Anya.Baez@fcc.gov</w:t>
        </w:r>
      </w:hyperlink>
      <w:r w:rsidRPr="001410D8">
        <w:rPr>
          <w:rFonts w:eastAsia="Calibri"/>
          <w:snapToGrid/>
          <w:kern w:val="0"/>
          <w:szCs w:val="22"/>
        </w:rPr>
        <w:t xml:space="preserve"> or </w:t>
      </w:r>
      <w:r w:rsidRPr="008361CB" w:rsidR="008361CB">
        <w:rPr>
          <w:rFonts w:eastAsia="Calibri"/>
          <w:snapToGrid/>
          <w:kern w:val="0"/>
          <w:szCs w:val="22"/>
        </w:rPr>
        <w:t>202-418-1879</w:t>
      </w:r>
      <w:r w:rsidRPr="001410D8">
        <w:rPr>
          <w:rFonts w:eastAsia="Calibri"/>
          <w:snapToGrid/>
          <w:kern w:val="0"/>
          <w:szCs w:val="22"/>
        </w:rPr>
        <w:t xml:space="preserve"> </w:t>
      </w:r>
      <w:r w:rsidRPr="001410D8">
        <w:rPr>
          <w:rFonts w:eastAsia="Calibri"/>
          <w:b/>
          <w:bCs/>
          <w:snapToGrid/>
          <w:kern w:val="0"/>
          <w:szCs w:val="22"/>
        </w:rPr>
        <w:t>no later than two business days prior to the response due date to ensure timely transmission of the response</w:t>
      </w:r>
      <w:r w:rsidRPr="001410D8">
        <w:rPr>
          <w:rFonts w:eastAsia="Calibri"/>
          <w:snapToGrid/>
          <w:kern w:val="0"/>
          <w:szCs w:val="22"/>
        </w:rPr>
        <w:t>.</w:t>
      </w:r>
    </w:p>
    <w:p w:rsidR="001410D8" w:rsidRPr="001410D8" w:rsidP="001410D8" w14:paraId="79B90470" w14:textId="77777777">
      <w:pPr>
        <w:widowControl/>
        <w:rPr>
          <w:rFonts w:eastAsia="ヒラギノ角ゴ Pro W3"/>
          <w:snapToGrid/>
          <w:kern w:val="0"/>
          <w:szCs w:val="22"/>
        </w:rPr>
      </w:pPr>
    </w:p>
    <w:p w:rsidR="00E30A2A" w:rsidP="005416DF" w14:paraId="5A6A0795" w14:textId="7B1FFC1C">
      <w:pPr>
        <w:pStyle w:val="ParaNum"/>
        <w:sectPr>
          <w:headerReference w:type="default" r:id="rId12"/>
          <w:footerReference w:type="default" r:id="rId13"/>
          <w:headerReference w:type="first" r:id="rId14"/>
          <w:footerReference w:type="first" r:id="rId15"/>
          <w:pgSz w:w="12240" w:h="15840"/>
          <w:pgMar w:top="1440" w:right="1440" w:bottom="720" w:left="1440" w:header="720" w:footer="720" w:gutter="0"/>
          <w:pgNumType w:start="1"/>
          <w:cols w:space="720"/>
          <w:titlePg/>
        </w:sectPr>
      </w:pPr>
      <w:r w:rsidRPr="005416DF">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r>
        <w:t>.</w:t>
      </w:r>
    </w:p>
    <w:p w:rsidR="00B03BED" w:rsidRPr="002E0338" w:rsidP="00A6089B" w14:paraId="49F4C326" w14:textId="3D9A751B">
      <w:pPr>
        <w:pStyle w:val="ParaNum"/>
      </w:pPr>
      <w:r w:rsidRPr="006C7E5D">
        <w:rPr>
          <w:b/>
        </w:rPr>
        <w:t>IT IS FURTHER ORDERED</w:t>
      </w:r>
      <w:r w:rsidRPr="006C7E5D">
        <w:t xml:space="preserve"> that a copy of this </w:t>
      </w:r>
      <w:r w:rsidRPr="00511B8E">
        <w:t>Notice of Apparent Liability for Forfeiture</w:t>
      </w:r>
      <w:r w:rsidRPr="005831A9">
        <w:rPr>
          <w:i/>
        </w:rPr>
        <w:t xml:space="preserve"> </w:t>
      </w:r>
      <w:r w:rsidRPr="005831A9">
        <w:t xml:space="preserve">shall be sent by first class mail and certified mail, return receipt requested to </w:t>
      </w:r>
      <w:r w:rsidR="00176F01">
        <w:t>IHM Licenses, LLC</w:t>
      </w:r>
      <w:r w:rsidR="002E0338">
        <w:t xml:space="preserve">, </w:t>
      </w:r>
      <w:r w:rsidRPr="00C355C5" w:rsidR="002E0338">
        <w:t>7136 S. Yale Avenue</w:t>
      </w:r>
      <w:r w:rsidR="002E0338">
        <w:t xml:space="preserve">, </w:t>
      </w:r>
      <w:r w:rsidRPr="00C355C5" w:rsidR="002E0338">
        <w:t>Suite 501</w:t>
      </w:r>
      <w:r w:rsidR="002E0338">
        <w:t xml:space="preserve">, </w:t>
      </w:r>
      <w:r w:rsidRPr="002E0338" w:rsidR="002E0338">
        <w:t>Tulsa, OK 74136</w:t>
      </w:r>
      <w:r w:rsidRPr="002E0338">
        <w:t xml:space="preserve">, and to </w:t>
      </w:r>
      <w:r w:rsidRPr="00AC1B47" w:rsidR="00AC1B47">
        <w:t xml:space="preserve">Kathryne C. Dickerson, Wiley Rein LLP, Counsel to </w:t>
      </w:r>
      <w:r w:rsidR="00176F01">
        <w:t>IHM Licenses, LLC</w:t>
      </w:r>
      <w:r w:rsidR="00AC1B47">
        <w:t xml:space="preserve"> </w:t>
      </w:r>
      <w:r w:rsidRPr="00AC1B47" w:rsidR="00AC1B47">
        <w:t>and parent company iHeartMedia, Inc.</w:t>
      </w:r>
      <w:r w:rsidR="00AC1B47">
        <w:t xml:space="preserve">, </w:t>
      </w:r>
      <w:r w:rsidR="001B293C">
        <w:t>2050 M Street NW</w:t>
      </w:r>
      <w:r w:rsidR="00AC1B47">
        <w:t xml:space="preserve">, </w:t>
      </w:r>
      <w:r w:rsidRPr="00AC1B47" w:rsidR="00AC1B47">
        <w:t>Washington, D</w:t>
      </w:r>
      <w:r w:rsidR="00266877">
        <w:t>.</w:t>
      </w:r>
      <w:r w:rsidRPr="00AC1B47" w:rsidR="00AC1B47">
        <w:t>C</w:t>
      </w:r>
      <w:r w:rsidR="00266877">
        <w:t>.</w:t>
      </w:r>
      <w:r w:rsidRPr="00AC1B47" w:rsidR="00AC1B47">
        <w:t xml:space="preserve"> 200</w:t>
      </w:r>
      <w:r w:rsidR="001B293C">
        <w:t>3</w:t>
      </w:r>
      <w:r w:rsidRPr="00AC1B47" w:rsidR="00AC1B47">
        <w:t>6</w:t>
      </w:r>
      <w:r w:rsidRPr="002E0338" w:rsidR="00246385">
        <w:t xml:space="preserve">. </w:t>
      </w:r>
    </w:p>
    <w:p w:rsidR="00DE7D11" w:rsidP="00592B78" w14:paraId="4A3462CE" w14:textId="6175206C">
      <w:pPr>
        <w:tabs>
          <w:tab w:val="left" w:pos="0"/>
        </w:tabs>
        <w:suppressAutoHyphens/>
        <w:spacing w:line="240" w:lineRule="atLeast"/>
        <w:rPr>
          <w:b/>
          <w:szCs w:val="22"/>
        </w:rPr>
      </w:pPr>
      <w:r w:rsidRPr="006C7E5D">
        <w:rPr>
          <w:b/>
          <w:szCs w:val="22"/>
        </w:rPr>
        <w:tab/>
      </w:r>
    </w:p>
    <w:p w:rsidR="00DE7D11" w:rsidRPr="006C7E5D" w:rsidP="00D9231E" w14:paraId="61F24605" w14:textId="77777777">
      <w:pPr>
        <w:tabs>
          <w:tab w:val="left" w:pos="0"/>
        </w:tabs>
        <w:suppressAutoHyphens/>
        <w:spacing w:line="240" w:lineRule="atLeast"/>
        <w:rPr>
          <w:b/>
          <w:szCs w:val="22"/>
        </w:rPr>
      </w:pPr>
    </w:p>
    <w:p w:rsidR="00F334D2" w:rsidRPr="00921828" w:rsidP="00F334D2" w14:paraId="645ADC33" w14:textId="77777777">
      <w:pPr>
        <w:ind w:left="3600" w:firstLine="720"/>
      </w:pPr>
      <w:r w:rsidRPr="006C7E5D">
        <w:rPr>
          <w:b/>
          <w:szCs w:val="22"/>
        </w:rPr>
        <w:tab/>
      </w:r>
      <w:r w:rsidRPr="006C7E5D">
        <w:rPr>
          <w:b/>
          <w:szCs w:val="22"/>
        </w:rPr>
        <w:tab/>
      </w:r>
      <w:r w:rsidRPr="006C7E5D">
        <w:rPr>
          <w:b/>
          <w:szCs w:val="22"/>
        </w:rPr>
        <w:tab/>
      </w:r>
      <w:r w:rsidRPr="006C7E5D">
        <w:rPr>
          <w:b/>
          <w:szCs w:val="22"/>
        </w:rPr>
        <w:tab/>
      </w:r>
      <w:r w:rsidRPr="006C7E5D">
        <w:rPr>
          <w:b/>
          <w:szCs w:val="22"/>
        </w:rPr>
        <w:tab/>
      </w:r>
      <w:r w:rsidRPr="006C7E5D">
        <w:rPr>
          <w:b/>
          <w:szCs w:val="22"/>
        </w:rPr>
        <w:tab/>
      </w:r>
    </w:p>
    <w:p w:rsidR="00F334D2" w:rsidRPr="00921828" w:rsidP="00F334D2" w14:paraId="7EAEA077" w14:textId="77777777">
      <w:pPr>
        <w:ind w:left="3600" w:firstLine="720"/>
      </w:pPr>
      <w:r w:rsidRPr="00921828">
        <w:t>FEDERAL COMMUNICATIONS COMMISSION</w:t>
      </w:r>
    </w:p>
    <w:p w:rsidR="00F334D2" w:rsidP="00F334D2" w14:paraId="0C4EF0B7" w14:textId="77777777"/>
    <w:p w:rsidR="00F334D2" w:rsidRPr="00921828" w:rsidP="00F334D2" w14:paraId="4B755D25" w14:textId="77777777"/>
    <w:p w:rsidR="00F334D2" w:rsidRPr="00921828" w:rsidP="00F334D2" w14:paraId="708324E9" w14:textId="77777777"/>
    <w:p w:rsidR="00F334D2" w:rsidRPr="00724C5B" w:rsidP="00F334D2" w14:paraId="722C01FE" w14:textId="77777777">
      <w:r>
        <w:tab/>
      </w:r>
    </w:p>
    <w:p w:rsidR="00F334D2" w:rsidRPr="002B2840" w:rsidP="00F334D2" w14:paraId="1D555726" w14:textId="6137B0D3">
      <w:pPr>
        <w:rPr>
          <w:snapToGrid/>
        </w:rPr>
      </w:pPr>
      <w:r>
        <w:tab/>
      </w:r>
      <w:r>
        <w:tab/>
      </w:r>
      <w:r>
        <w:tab/>
      </w:r>
      <w:r>
        <w:tab/>
      </w:r>
      <w:r>
        <w:tab/>
      </w:r>
      <w:r>
        <w:tab/>
      </w:r>
      <w:r w:rsidR="001B293C">
        <w:t>Loyaan A. Egal</w:t>
      </w:r>
    </w:p>
    <w:p w:rsidR="00F334D2" w:rsidRPr="00724C5B" w:rsidP="00F334D2" w14:paraId="6DFD199B" w14:textId="5A85759C">
      <w:r w:rsidRPr="00724C5B">
        <w:tab/>
      </w:r>
      <w:r>
        <w:tab/>
      </w:r>
      <w:r>
        <w:tab/>
      </w:r>
      <w:r>
        <w:tab/>
      </w:r>
      <w:r>
        <w:tab/>
      </w:r>
      <w:r>
        <w:tab/>
      </w:r>
      <w:r w:rsidR="001B293C">
        <w:t xml:space="preserve">Acting </w:t>
      </w:r>
      <w:r w:rsidRPr="00724C5B">
        <w:t>Chief</w:t>
      </w:r>
    </w:p>
    <w:p w:rsidR="00D9231E" w:rsidRPr="00592B78" w:rsidP="00592B78" w14:paraId="56CB4580" w14:textId="35BAFC7D">
      <w:r w:rsidRPr="00724C5B">
        <w:tab/>
      </w:r>
      <w:r w:rsidRPr="00724C5B">
        <w:tab/>
      </w:r>
      <w:r w:rsidRPr="00724C5B">
        <w:tab/>
      </w:r>
      <w:r w:rsidRPr="00724C5B">
        <w:tab/>
      </w:r>
      <w:r w:rsidRPr="00724C5B">
        <w:tab/>
      </w:r>
      <w:r w:rsidRPr="00724C5B">
        <w:tab/>
        <w:t>Enforcement Bureau</w:t>
      </w:r>
    </w:p>
    <w:sectPr>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AE9" w14:paraId="0842A74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12C" w14:paraId="5200BD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CBF" w14:paraId="30FCC424" w14:textId="77777777">
      <w:pPr>
        <w:rPr>
          <w:sz w:val="20"/>
        </w:rPr>
      </w:pPr>
      <w:r>
        <w:separator/>
      </w:r>
    </w:p>
  </w:footnote>
  <w:footnote w:type="continuationSeparator" w:id="1">
    <w:p w:rsidR="00956CBF" w:rsidRPr="00B2116A" w:rsidP="00B2116A" w14:paraId="7522F38F" w14:textId="77777777">
      <w:pPr>
        <w:spacing w:before="120"/>
        <w:rPr>
          <w:sz w:val="20"/>
        </w:rPr>
      </w:pPr>
      <w:r>
        <w:rPr>
          <w:sz w:val="20"/>
        </w:rPr>
        <w:t xml:space="preserve">(Continued from previous page)  </w:t>
      </w:r>
      <w:r>
        <w:rPr>
          <w:sz w:val="20"/>
        </w:rPr>
        <w:separator/>
      </w:r>
    </w:p>
  </w:footnote>
  <w:footnote w:type="continuationNotice" w:id="2">
    <w:p w:rsidR="00956CBF" w:rsidRPr="00F82FDC" w:rsidP="00F82FDC" w14:paraId="226D9133" w14:textId="77777777">
      <w:pPr>
        <w:jc w:val="right"/>
        <w:rPr>
          <w:sz w:val="20"/>
        </w:rPr>
      </w:pPr>
      <w:r>
        <w:rPr>
          <w:sz w:val="20"/>
        </w:rPr>
        <w:t>(continued)</w:t>
      </w:r>
    </w:p>
  </w:footnote>
  <w:footnote w:id="3">
    <w:p w:rsidR="004C726E" w:rsidP="004C726E" w14:paraId="7FDC161A" w14:textId="657BABEB">
      <w:pPr>
        <w:pStyle w:val="FootnoteText"/>
      </w:pPr>
      <w:r>
        <w:rPr>
          <w:rStyle w:val="FootnoteReference"/>
        </w:rPr>
        <w:footnoteRef/>
      </w:r>
      <w:r>
        <w:t xml:space="preserve"> </w:t>
      </w:r>
      <w:bookmarkStart w:id="1" w:name="_Hlk84341001"/>
      <w:r>
        <w:t xml:space="preserve">During the pendency of this case, the Station </w:t>
      </w:r>
      <w:r w:rsidR="00E75908">
        <w:t xml:space="preserve">license </w:t>
      </w:r>
      <w:r>
        <w:t xml:space="preserve">was assigned, </w:t>
      </w:r>
      <w:r w:rsidRPr="00E963FE">
        <w:rPr>
          <w:i/>
          <w:iCs/>
        </w:rPr>
        <w:t>pro forma</w:t>
      </w:r>
      <w:r>
        <w:t xml:space="preserve">, from Clear Channel Broadcasting Licenses, Inc. to </w:t>
      </w:r>
      <w:r w:rsidR="00E75908">
        <w:t>IHM Licenses, LLC (</w:t>
      </w:r>
      <w:r>
        <w:t>Licensee</w:t>
      </w:r>
      <w:r w:rsidR="00E75908">
        <w:t>)</w:t>
      </w:r>
      <w:r>
        <w:t xml:space="preserve">.  </w:t>
      </w:r>
      <w:r w:rsidRPr="00EC25DB">
        <w:t>Assignment of Authorization</w:t>
      </w:r>
      <w:r>
        <w:t xml:space="preserve">, File No. BALH-20201019ADX (filed Oct. </w:t>
      </w:r>
      <w:r w:rsidRPr="007947C0">
        <w:t>19</w:t>
      </w:r>
      <w:r>
        <w:t xml:space="preserve">, </w:t>
      </w:r>
      <w:r w:rsidRPr="007947C0">
        <w:t>2020</w:t>
      </w:r>
      <w:r w:rsidRPr="00022A88">
        <w:t>)</w:t>
      </w:r>
      <w:r w:rsidRPr="00022A88" w:rsidR="0031188B">
        <w:rPr>
          <w:rStyle w:val="Hyperlink"/>
          <w:color w:val="auto"/>
          <w:u w:val="none"/>
        </w:rPr>
        <w:t xml:space="preserve"> (Assignment Authorization)</w:t>
      </w:r>
      <w:r w:rsidRPr="00F17B8B">
        <w:t xml:space="preserve">, </w:t>
      </w:r>
      <w:hyperlink r:id="rId1" w:history="1">
        <w:r w:rsidRPr="007A1E56" w:rsidR="00F17B8B">
          <w:rPr>
            <w:rStyle w:val="Hyperlink"/>
          </w:rPr>
          <w:t>https://enterpriseefiling.fcc.gov/dataentry/views/public/assignmentDraftCopy?displayType=html&amp;appKey=aa132496ea75450b9bf7c1b6063ebeb7&amp;id=aa132496ea75450b9bf7c1b6063ebeb7&amp;goBack=N</w:t>
        </w:r>
      </w:hyperlink>
      <w:bookmarkEnd w:id="1"/>
      <w:r>
        <w:t>.</w:t>
      </w:r>
    </w:p>
  </w:footnote>
  <w:footnote w:id="4">
    <w:p w:rsidR="00BA7DB0" w:rsidP="00BA7DB0" w14:paraId="3D3EB12E" w14:textId="77777777">
      <w:pPr>
        <w:pStyle w:val="FootnoteText"/>
      </w:pPr>
      <w:r>
        <w:rPr>
          <w:rStyle w:val="FootnoteReference"/>
        </w:rPr>
        <w:footnoteRef/>
      </w:r>
      <w:r>
        <w:t xml:space="preserve"> </w:t>
      </w:r>
      <w:r w:rsidRPr="004F7E50">
        <w:t xml:space="preserve">Any entity that is a “Small Business Concern” as defined in the Small Business Act (Pub. L. 85-536, 72 Stat. 384 (codified as amended at 15 U.S.C. §§ 631 </w:t>
      </w:r>
      <w:r w:rsidRPr="004F7E50">
        <w:rPr>
          <w:i/>
        </w:rPr>
        <w:t>et seq</w:t>
      </w:r>
      <w:r w:rsidRPr="004F7E50">
        <w:t>. (2010)) may avail itself of rights set forth in that Act, including rights set forth in 15 U.S.C. § 657, “Oversight of Regulatory Enforcement,” in addition to other rights set forth herein.</w:t>
      </w:r>
    </w:p>
  </w:footnote>
  <w:footnote w:id="5">
    <w:p w:rsidR="00D4044E" w:rsidRPr="00C65C7E" w:rsidP="00D4044E" w14:paraId="5588C910" w14:textId="1895E260">
      <w:pPr>
        <w:pStyle w:val="FootnoteText"/>
      </w:pPr>
      <w:r w:rsidRPr="00C65C7E">
        <w:rPr>
          <w:rStyle w:val="FootnoteReference"/>
        </w:rPr>
        <w:footnoteRef/>
      </w:r>
      <w:r w:rsidRPr="00C65C7E">
        <w:t xml:space="preserve"> </w:t>
      </w:r>
      <w:r w:rsidRPr="00C65C7E">
        <w:rPr>
          <w:shd w:val="clear" w:color="auto" w:fill="FFFFFF"/>
        </w:rPr>
        <w:t>47 CFR § 73.1216</w:t>
      </w:r>
      <w:r>
        <w:rPr>
          <w:shd w:val="clear" w:color="auto" w:fill="FFFFFF"/>
        </w:rPr>
        <w:t>(a);</w:t>
      </w:r>
      <w:r w:rsidRPr="00C65C7E">
        <w:t xml:space="preserve"> </w:t>
      </w:r>
      <w:r w:rsidR="009961CC">
        <w:rPr>
          <w:i/>
        </w:rPr>
        <w:t xml:space="preserve">Amendment of Section 73.1216 of the Commission’s Rules, </w:t>
      </w:r>
      <w:r w:rsidRPr="00A00CBB" w:rsidR="009961CC">
        <w:t>Report</w:t>
      </w:r>
      <w:r w:rsidRPr="00A00CBB" w:rsidR="00385A3C">
        <w:t xml:space="preserve"> and Order</w:t>
      </w:r>
      <w:r w:rsidRPr="00B84A2D">
        <w:t xml:space="preserve">, 30 FCC Rcd </w:t>
      </w:r>
      <w:r w:rsidR="009961CC">
        <w:t>10468, 1</w:t>
      </w:r>
      <w:r w:rsidRPr="00B84A2D">
        <w:t>0468-69, para. 3 (updating rule to permit broadcasters to comply with contest disclosure requirements by either broadcasting material contest terms or making them available in writing on a publicly available Internet website but also affirming the Rule’s core principles)</w:t>
      </w:r>
      <w:r w:rsidR="009961CC">
        <w:t xml:space="preserve"> (</w:t>
      </w:r>
      <w:r w:rsidR="009961CC">
        <w:rPr>
          <w:i/>
        </w:rPr>
        <w:t>2015 Section 73.1216 Report and Order</w:t>
      </w:r>
      <w:r w:rsidR="009961CC">
        <w:t>)</w:t>
      </w:r>
      <w:r w:rsidR="00D535CE">
        <w:t xml:space="preserve">; </w:t>
      </w:r>
      <w:r w:rsidRPr="00D535CE" w:rsidR="00D535CE">
        <w:rPr>
          <w:i/>
        </w:rPr>
        <w:t>see,</w:t>
      </w:r>
      <w:r w:rsidRPr="00D535CE" w:rsidR="00D535CE">
        <w:t xml:space="preserve"> </w:t>
      </w:r>
      <w:r w:rsidRPr="00D535CE" w:rsidR="00D535CE">
        <w:rPr>
          <w:i/>
        </w:rPr>
        <w:t>e.g.,</w:t>
      </w:r>
      <w:r w:rsidRPr="00D535CE" w:rsidR="00D535CE">
        <w:t xml:space="preserve"> </w:t>
      </w:r>
      <w:r w:rsidRPr="00D535CE" w:rsidR="00D535CE">
        <w:rPr>
          <w:i/>
        </w:rPr>
        <w:t>Boonville Broadcasting Company, Licensee of Station WEJK(FM), Boonville, Indiana,</w:t>
      </w:r>
      <w:r w:rsidRPr="00D535CE" w:rsidR="00D535CE">
        <w:t xml:space="preserve"> Notice of Apparent Liability for Forfeiture, 29 FCC Rcd 2845 (EB 2014) (deeming radio licensee liable for failure to conduct a contest sub</w:t>
      </w:r>
      <w:r w:rsidR="009E65D7">
        <w:t>s</w:t>
      </w:r>
      <w:r w:rsidRPr="00D535CE" w:rsidR="00D535CE">
        <w:t>tantially as announced and fully and accurately disclose its material terms) (forfeiture paid).</w:t>
      </w:r>
    </w:p>
  </w:footnote>
  <w:footnote w:id="6">
    <w:p w:rsidR="00ED0516" w14:paraId="721AD488" w14:textId="28DC9A5E">
      <w:pPr>
        <w:pStyle w:val="FootnoteText"/>
      </w:pPr>
      <w:r>
        <w:rPr>
          <w:rStyle w:val="FootnoteReference"/>
        </w:rPr>
        <w:footnoteRef/>
      </w:r>
      <w:r>
        <w:t xml:space="preserve"> </w:t>
      </w:r>
      <w:r w:rsidRPr="00135AC3">
        <w:t>47 CFR §</w:t>
      </w:r>
      <w:r w:rsidRPr="00135AC3" w:rsidR="00CE2186">
        <w:t>§</w:t>
      </w:r>
      <w:r w:rsidRPr="00135AC3">
        <w:t xml:space="preserve"> 73.1216</w:t>
      </w:r>
      <w:r w:rsidR="00CE2186">
        <w:t xml:space="preserve">(a), </w:t>
      </w:r>
      <w:r w:rsidRPr="00135AC3" w:rsidR="00CE2186">
        <w:t>73.1216</w:t>
      </w:r>
      <w:r w:rsidR="00CE2186">
        <w:t>(c)(3)</w:t>
      </w:r>
      <w:r>
        <w:t xml:space="preserve">; </w:t>
      </w:r>
      <w:r>
        <w:rPr>
          <w:i/>
        </w:rPr>
        <w:t>2015 Section 73.1216 Report and Order</w:t>
      </w:r>
      <w:r w:rsidRPr="006570C6">
        <w:t xml:space="preserve">, 30 FCC Rcd </w:t>
      </w:r>
      <w:r>
        <w:t xml:space="preserve">at </w:t>
      </w:r>
      <w:r w:rsidRPr="006570C6">
        <w:t>10468-69, para</w:t>
      </w:r>
      <w:r>
        <w:t>s</w:t>
      </w:r>
      <w:r w:rsidRPr="006570C6">
        <w:t xml:space="preserve">. </w:t>
      </w:r>
      <w:r>
        <w:t xml:space="preserve">1, </w:t>
      </w:r>
      <w:r w:rsidRPr="006570C6">
        <w:t>3.</w:t>
      </w:r>
    </w:p>
  </w:footnote>
  <w:footnote w:id="7">
    <w:p w:rsidR="00D4044E" w:rsidRPr="00135AC3" w:rsidP="00D4044E" w14:paraId="7B9657AE" w14:textId="23779435">
      <w:pPr>
        <w:pStyle w:val="FootnoteText"/>
        <w:widowControl w:val="0"/>
      </w:pPr>
      <w:r w:rsidRPr="00135AC3">
        <w:rPr>
          <w:rStyle w:val="FootnoteReference"/>
        </w:rPr>
        <w:footnoteRef/>
      </w:r>
      <w:r w:rsidRPr="00135AC3">
        <w:t xml:space="preserve"> </w:t>
      </w:r>
      <w:r w:rsidRPr="00ED0516" w:rsidR="00ED0516">
        <w:rPr>
          <w:i/>
          <w:iCs/>
        </w:rPr>
        <w:t>Id</w:t>
      </w:r>
      <w:r w:rsidR="00ED0516">
        <w:t xml:space="preserve">. </w:t>
      </w:r>
    </w:p>
  </w:footnote>
  <w:footnote w:id="8">
    <w:p w:rsidR="00DB3AC0" w:rsidRPr="005F018B" w:rsidP="00E0720D" w14:paraId="36B9F7BA" w14:textId="77777777">
      <w:pPr>
        <w:shd w:val="clear" w:color="auto" w:fill="FFFFFF"/>
        <w:spacing w:after="120"/>
        <w:rPr>
          <w:sz w:val="20"/>
        </w:rPr>
      </w:pPr>
      <w:r w:rsidRPr="005F018B">
        <w:rPr>
          <w:rStyle w:val="FootnoteReference"/>
        </w:rPr>
        <w:footnoteRef/>
      </w:r>
      <w:r w:rsidRPr="005F018B">
        <w:rPr>
          <w:sz w:val="20"/>
        </w:rPr>
        <w:t xml:space="preserve"> </w:t>
      </w:r>
      <w:r w:rsidRPr="005F018B">
        <w:rPr>
          <w:i/>
          <w:sz w:val="20"/>
        </w:rPr>
        <w:t xml:space="preserve">Clear Channel </w:t>
      </w:r>
      <w:r w:rsidRPr="005F018B">
        <w:rPr>
          <w:i/>
          <w:color w:val="000000"/>
          <w:sz w:val="20"/>
        </w:rPr>
        <w:t>Communications, Inc</w:t>
      </w:r>
      <w:r w:rsidRPr="005F018B">
        <w:rPr>
          <w:color w:val="000000"/>
          <w:sz w:val="20"/>
        </w:rPr>
        <w:t xml:space="preserve">., </w:t>
      </w:r>
      <w:r w:rsidRPr="005F018B">
        <w:rPr>
          <w:i/>
          <w:color w:val="000000"/>
          <w:sz w:val="20"/>
        </w:rPr>
        <w:t>et al</w:t>
      </w:r>
      <w:r w:rsidRPr="005F018B">
        <w:rPr>
          <w:color w:val="000000"/>
          <w:sz w:val="20"/>
        </w:rPr>
        <w:t xml:space="preserve">., Notice of Apparent Liability for Forfeiture, </w:t>
      </w:r>
      <w:r w:rsidRPr="005F018B">
        <w:rPr>
          <w:color w:val="000000"/>
          <w:sz w:val="20"/>
          <w:shd w:val="clear" w:color="auto" w:fill="FFFFFF"/>
        </w:rPr>
        <w:t xml:space="preserve">27 FCC Rcd 343, 345, para. 5 </w:t>
      </w:r>
      <w:r w:rsidRPr="005F018B">
        <w:rPr>
          <w:color w:val="000000"/>
          <w:sz w:val="20"/>
        </w:rPr>
        <w:t>(EB 2012) (</w:t>
      </w:r>
      <w:r w:rsidRPr="005F018B">
        <w:rPr>
          <w:sz w:val="20"/>
        </w:rPr>
        <w:t xml:space="preserve">citing </w:t>
      </w:r>
      <w:r w:rsidRPr="005F018B">
        <w:rPr>
          <w:sz w:val="20"/>
          <w:shd w:val="clear" w:color="auto" w:fill="FFFFFF"/>
        </w:rPr>
        <w:t>47 CFR § 73.1216, nn.1(b)-2</w:t>
      </w:r>
      <w:r w:rsidRPr="005F018B">
        <w:rPr>
          <w:color w:val="000000"/>
          <w:sz w:val="20"/>
        </w:rPr>
        <w:t>)</w:t>
      </w:r>
      <w:r w:rsidRPr="005F018B">
        <w:rPr>
          <w:sz w:val="20"/>
        </w:rPr>
        <w:t>.</w:t>
      </w:r>
    </w:p>
  </w:footnote>
  <w:footnote w:id="9">
    <w:p w:rsidR="00DB3AC0" w:rsidRPr="006C11DB" w:rsidP="00DB3AC0" w14:paraId="17617982" w14:textId="18FF709D">
      <w:pPr>
        <w:pStyle w:val="FootnoteText"/>
        <w:rPr>
          <w:iCs/>
        </w:rPr>
      </w:pPr>
      <w:r>
        <w:rPr>
          <w:rStyle w:val="FootnoteReference"/>
        </w:rPr>
        <w:footnoteRef/>
      </w:r>
      <w:r>
        <w:t xml:space="preserve"> </w:t>
      </w:r>
      <w:r w:rsidRPr="005F018B">
        <w:rPr>
          <w:i/>
        </w:rPr>
        <w:t>See, e.g.,</w:t>
      </w:r>
      <w:r>
        <w:rPr>
          <w:i/>
        </w:rPr>
        <w:t xml:space="preserve"> </w:t>
      </w:r>
      <w:r w:rsidR="00092007">
        <w:rPr>
          <w:i/>
        </w:rPr>
        <w:t>2015</w:t>
      </w:r>
      <w:r w:rsidRPr="006C11DB">
        <w:rPr>
          <w:i/>
        </w:rPr>
        <w:t xml:space="preserve"> Section 73.1216 </w:t>
      </w:r>
      <w:r w:rsidR="00092007">
        <w:rPr>
          <w:i/>
        </w:rPr>
        <w:t>Report and Order</w:t>
      </w:r>
      <w:r w:rsidRPr="006C11DB">
        <w:rPr>
          <w:iCs/>
        </w:rPr>
        <w:t xml:space="preserve">, 30 FCC Rcd 10468, 10478 </w:t>
      </w:r>
      <w:r>
        <w:rPr>
          <w:iCs/>
        </w:rPr>
        <w:t>(“[t]</w:t>
      </w:r>
      <w:r w:rsidRPr="006C11DB">
        <w:rPr>
          <w:iCs/>
        </w:rPr>
        <w:t>o the extent that there are any ambiguities in contest disclosures that generate inconsistency, we place broadcasters on notice that the Commission will construe such ambiguities against the licensee</w:t>
      </w:r>
      <w:r>
        <w:rPr>
          <w:iCs/>
        </w:rPr>
        <w:t>”)</w:t>
      </w:r>
      <w:r w:rsidR="00583711">
        <w:rPr>
          <w:iCs/>
        </w:rPr>
        <w:t xml:space="preserve">. </w:t>
      </w:r>
      <w:r w:rsidR="00623786">
        <w:rPr>
          <w:iCs/>
        </w:rPr>
        <w:t xml:space="preserve"> </w:t>
      </w:r>
      <w:r w:rsidR="00583711">
        <w:rPr>
          <w:iCs/>
        </w:rPr>
        <w:t>A</w:t>
      </w:r>
      <w:r w:rsidR="00623786">
        <w:rPr>
          <w:iCs/>
        </w:rPr>
        <w:t xml:space="preserve">ny ambiguities created by employees’ </w:t>
      </w:r>
      <w:r w:rsidR="006E5710">
        <w:rPr>
          <w:iCs/>
        </w:rPr>
        <w:t xml:space="preserve">communicated </w:t>
      </w:r>
      <w:r w:rsidR="00623786">
        <w:rPr>
          <w:iCs/>
        </w:rPr>
        <w:t xml:space="preserve">interpretation of the licensee’s rule are also attributed to the licensee, </w:t>
      </w:r>
      <w:r w:rsidRPr="00623786" w:rsidR="00623786">
        <w:rPr>
          <w:i/>
        </w:rPr>
        <w:t>see</w:t>
      </w:r>
      <w:r>
        <w:rPr>
          <w:iCs/>
        </w:rPr>
        <w:t xml:space="preserve"> </w:t>
      </w:r>
      <w:r w:rsidRPr="009E6157">
        <w:rPr>
          <w:i/>
        </w:rPr>
        <w:t>Amendment of Part 73 of the Commission’s Rules Relating to Licensee-</w:t>
      </w:r>
      <w:r w:rsidR="00A542E1">
        <w:rPr>
          <w:i/>
        </w:rPr>
        <w:t>C</w:t>
      </w:r>
      <w:r w:rsidRPr="009E6157">
        <w:rPr>
          <w:i/>
        </w:rPr>
        <w:t>onducted Contests</w:t>
      </w:r>
      <w:r>
        <w:rPr>
          <w:iCs/>
        </w:rPr>
        <w:t xml:space="preserve">, </w:t>
      </w:r>
      <w:r w:rsidRPr="005B278A">
        <w:rPr>
          <w:iCs/>
        </w:rPr>
        <w:t>53 FCC 2d 934, 935, para. 29 (1975)</w:t>
      </w:r>
      <w:r>
        <w:rPr>
          <w:iCs/>
        </w:rPr>
        <w:t xml:space="preserve"> (“[i]</w:t>
      </w:r>
      <w:r w:rsidRPr="0051257F">
        <w:rPr>
          <w:iCs/>
        </w:rPr>
        <w:t>f due to inadequate licensee supervision, station employees do not conduct a contest properly, the licensee will be held accountable</w:t>
      </w:r>
      <w:r>
        <w:rPr>
          <w:iCs/>
        </w:rPr>
        <w:t>”).</w:t>
      </w:r>
    </w:p>
  </w:footnote>
  <w:footnote w:id="10">
    <w:p w:rsidR="00DB3AC0" w:rsidP="00DB3AC0" w14:paraId="117F2906" w14:textId="3215D7A4">
      <w:pPr>
        <w:pStyle w:val="FootnoteText"/>
      </w:pPr>
      <w:r>
        <w:rPr>
          <w:rStyle w:val="FootnoteReference"/>
        </w:rPr>
        <w:footnoteRef/>
      </w:r>
      <w:r>
        <w:t xml:space="preserve"> </w:t>
      </w:r>
      <w:r w:rsidRPr="005F018B">
        <w:rPr>
          <w:i/>
        </w:rPr>
        <w:t xml:space="preserve">See, e.g., </w:t>
      </w:r>
      <w:r w:rsidRPr="00FF7EA3" w:rsidR="00FF7EA3">
        <w:rPr>
          <w:i/>
          <w:iCs/>
        </w:rPr>
        <w:t>Journal Broad</w:t>
      </w:r>
      <w:r w:rsidR="00FF7EA3">
        <w:rPr>
          <w:i/>
          <w:iCs/>
        </w:rPr>
        <w:t>cast</w:t>
      </w:r>
      <w:r w:rsidRPr="00FF7EA3" w:rsidR="00FF7EA3">
        <w:rPr>
          <w:i/>
          <w:iCs/>
        </w:rPr>
        <w:t xml:space="preserve"> Corp</w:t>
      </w:r>
      <w:r w:rsidRPr="00FF7EA3" w:rsidR="00FF7EA3">
        <w:t>., Forfeiture Order, 28 FCC Rcd 2259, 226</w:t>
      </w:r>
      <w:r w:rsidR="0040137D">
        <w:t>2-63</w:t>
      </w:r>
      <w:r w:rsidRPr="00FF7EA3" w:rsidR="00FF7EA3">
        <w:t xml:space="preserve">, para. </w:t>
      </w:r>
      <w:r w:rsidR="0040137D">
        <w:t>7</w:t>
      </w:r>
      <w:r w:rsidRPr="00FF7EA3" w:rsidR="00FF7EA3">
        <w:t xml:space="preserve"> (failure to disclose material terms </w:t>
      </w:r>
      <w:r w:rsidR="00A145E3">
        <w:t xml:space="preserve">and the </w:t>
      </w:r>
      <w:r w:rsidRPr="00A145E3" w:rsidR="00A145E3">
        <w:t>means of selection of winners</w:t>
      </w:r>
      <w:r w:rsidR="00A145E3">
        <w:t xml:space="preserve"> in ambiguous and lacking announcement)</w:t>
      </w:r>
      <w:r w:rsidRPr="00FF7EA3" w:rsidR="00FF7EA3">
        <w:t xml:space="preserve"> (EB 2013).</w:t>
      </w:r>
      <w:r w:rsidR="00FF7EA3">
        <w:rPr>
          <w:i/>
        </w:rPr>
        <w:t xml:space="preserve"> </w:t>
      </w:r>
    </w:p>
  </w:footnote>
  <w:footnote w:id="11">
    <w:p w:rsidR="00DB3AC0" w:rsidP="00DB3AC0" w14:paraId="565598E1" w14:textId="77777777">
      <w:pPr>
        <w:pStyle w:val="FootnoteText"/>
      </w:pPr>
      <w:r>
        <w:rPr>
          <w:rStyle w:val="FootnoteReference"/>
        </w:rPr>
        <w:footnoteRef/>
      </w:r>
      <w:r>
        <w:t xml:space="preserve"> </w:t>
      </w:r>
      <w:r w:rsidRPr="008C4ECD">
        <w:rPr>
          <w:i/>
          <w:iCs/>
        </w:rPr>
        <w:t>Capstar</w:t>
      </w:r>
      <w:r w:rsidRPr="008C4ECD">
        <w:rPr>
          <w:i/>
          <w:iCs/>
        </w:rPr>
        <w:t xml:space="preserve"> TX Limited Partnership</w:t>
      </w:r>
      <w:r w:rsidRPr="008C4ECD">
        <w:t xml:space="preserve">, </w:t>
      </w:r>
      <w:r w:rsidRPr="004D67C1">
        <w:t xml:space="preserve">Notice of Apparent Liability for Forfeiture, </w:t>
      </w:r>
      <w:r w:rsidRPr="008C4ECD">
        <w:t>20 FCC Rcd 10636, 10639, n. 18 (</w:t>
      </w:r>
      <w:r>
        <w:t xml:space="preserve">EB </w:t>
      </w:r>
      <w:r w:rsidRPr="008C4ECD">
        <w:t xml:space="preserve">2005) (citing </w:t>
      </w:r>
      <w:r w:rsidRPr="008C4ECD">
        <w:rPr>
          <w:i/>
          <w:iCs/>
        </w:rPr>
        <w:t>WMJX, Inc.</w:t>
      </w:r>
      <w:r w:rsidRPr="008C4ECD">
        <w:t xml:space="preserve">, </w:t>
      </w:r>
      <w:r>
        <w:t xml:space="preserve">Decision, </w:t>
      </w:r>
      <w:r w:rsidRPr="008C4ECD">
        <w:t>85 FCC 2d 251, 270-72 (</w:t>
      </w:r>
      <w:r>
        <w:t xml:space="preserve">FCC </w:t>
      </w:r>
      <w:r w:rsidRPr="008C4ECD">
        <w:t>1981) (licensees will be held accountable for broadcasting ambiguous contest rules that tend to mislead the public)).</w:t>
      </w:r>
    </w:p>
  </w:footnote>
  <w:footnote w:id="12">
    <w:p w:rsidR="00DB3AC0" w:rsidP="00DB3AC0" w14:paraId="2CD6D771" w14:textId="1567799E">
      <w:pPr>
        <w:pStyle w:val="FootnoteText"/>
      </w:pPr>
      <w:r>
        <w:rPr>
          <w:rStyle w:val="FootnoteReference"/>
        </w:rPr>
        <w:footnoteRef/>
      </w:r>
      <w:r>
        <w:t xml:space="preserve"> </w:t>
      </w:r>
      <w:r w:rsidRPr="005F018B">
        <w:rPr>
          <w:i/>
        </w:rPr>
        <w:t xml:space="preserve">See, e.g., </w:t>
      </w:r>
      <w:r w:rsidRPr="00384D73">
        <w:rPr>
          <w:i/>
          <w:iCs/>
        </w:rPr>
        <w:t>Entercom</w:t>
      </w:r>
      <w:r w:rsidRPr="00384D73">
        <w:rPr>
          <w:i/>
          <w:iCs/>
        </w:rPr>
        <w:t xml:space="preserve"> Wichita License, LLC</w:t>
      </w:r>
      <w:r w:rsidRPr="00C73AEC">
        <w:t xml:space="preserve">, </w:t>
      </w:r>
      <w:r>
        <w:t xml:space="preserve">Forfeiture Order, </w:t>
      </w:r>
      <w:r w:rsidRPr="00C73AEC">
        <w:t>24 FCC Rcd 1270, 1273-74, para. 9 (EB 2009)</w:t>
      </w:r>
      <w:r>
        <w:t xml:space="preserve"> (station </w:t>
      </w:r>
      <w:r w:rsidRPr="005B2A27">
        <w:t xml:space="preserve">failed to </w:t>
      </w:r>
      <w:r>
        <w:t>broadcast</w:t>
      </w:r>
      <w:r w:rsidRPr="005B2A27">
        <w:t xml:space="preserve"> any material term</w:t>
      </w:r>
      <w:r>
        <w:t>s</w:t>
      </w:r>
      <w:r w:rsidRPr="005B2A27">
        <w:t xml:space="preserve"> of the contest</w:t>
      </w:r>
      <w:r>
        <w:t xml:space="preserve"> in contravention of corporate policy and “</w:t>
      </w:r>
      <w:r w:rsidRPr="00362107">
        <w:t>even Station personnel were unclear as to how winners were selected</w:t>
      </w:r>
      <w:r>
        <w:t xml:space="preserve">”); </w:t>
      </w:r>
      <w:r w:rsidRPr="004D67C1">
        <w:rPr>
          <w:i/>
          <w:iCs/>
        </w:rPr>
        <w:t>Clear Channel Broadcasting Licenses, Inc</w:t>
      </w:r>
      <w:r w:rsidRPr="004D67C1">
        <w:t>, Notice of Apparent Liability for Forfeiture, 21 FCC Rcd 4072, 4074-75, para. 9, 13 (EB 2006)</w:t>
      </w:r>
      <w:r>
        <w:t xml:space="preserve"> (</w:t>
      </w:r>
      <w:r w:rsidRPr="000208AC">
        <w:t>personnel excluded multiple entries from consideration contrary to contest</w:t>
      </w:r>
      <w:r>
        <w:t xml:space="preserve"> rules)</w:t>
      </w:r>
      <w:r w:rsidRPr="00536C93" w:rsidR="00536C93">
        <w:t xml:space="preserve"> (forfeiture paid)</w:t>
      </w:r>
      <w:r>
        <w:t>.</w:t>
      </w:r>
    </w:p>
  </w:footnote>
  <w:footnote w:id="13">
    <w:p w:rsidR="00B55D75" w:rsidP="00B55D75" w14:paraId="2D5AEB02" w14:textId="52307BCB">
      <w:pPr>
        <w:pStyle w:val="FootnoteText"/>
      </w:pPr>
      <w:r>
        <w:rPr>
          <w:rStyle w:val="FootnoteReference"/>
        </w:rPr>
        <w:footnoteRef/>
      </w:r>
      <w:r>
        <w:t xml:space="preserve"> </w:t>
      </w:r>
      <w:r w:rsidRPr="00B55D75">
        <w:t>Complaint No. 3335206 (June 18, 2019) (on file in EB-IHD-19-00029572) (Complaint)</w:t>
      </w:r>
      <w:r>
        <w:t xml:space="preserve">. </w:t>
      </w:r>
    </w:p>
  </w:footnote>
  <w:footnote w:id="14">
    <w:p w:rsidR="00C71DB4" w:rsidP="00C71DB4" w14:paraId="15C2F840" w14:textId="6B4A59DE">
      <w:pPr>
        <w:pStyle w:val="FootnoteText"/>
      </w:pPr>
      <w:r w:rsidRPr="00064602">
        <w:rPr>
          <w:rStyle w:val="FootnoteReference"/>
          <w:sz w:val="22"/>
          <w:szCs w:val="22"/>
        </w:rPr>
        <w:footnoteRef/>
      </w:r>
      <w:r>
        <w:t xml:space="preserve"> Complaint.</w:t>
      </w:r>
      <w:r w:rsidR="00BE129A">
        <w:t xml:space="preserve">  </w:t>
      </w:r>
      <w:r w:rsidRPr="002D55BA" w:rsidR="002D55BA">
        <w:t xml:space="preserve">The alleged violation occurred </w:t>
      </w:r>
      <w:r w:rsidR="002D55BA">
        <w:t>during the</w:t>
      </w:r>
      <w:r w:rsidRPr="002D55BA" w:rsidR="002D55BA">
        <w:t xml:space="preserve"> Station’s current license term</w:t>
      </w:r>
      <w:r w:rsidR="002D55BA">
        <w:t>, which</w:t>
      </w:r>
      <w:r w:rsidRPr="002D55BA" w:rsidR="002D55BA">
        <w:t xml:space="preserve"> expired on February 1, 2020</w:t>
      </w:r>
      <w:r w:rsidR="002D55BA">
        <w:t>.  The Station’s license renewal application</w:t>
      </w:r>
      <w:r w:rsidR="007E15E2">
        <w:t xml:space="preserve"> remains pending</w:t>
      </w:r>
      <w:r w:rsidR="002D55BA">
        <w:t xml:space="preserve">.  </w:t>
      </w:r>
      <w:r w:rsidRPr="006E5710" w:rsidR="006E5710">
        <w:rPr>
          <w:i/>
          <w:iCs/>
        </w:rPr>
        <w:t>See</w:t>
      </w:r>
      <w:r w:rsidR="006E5710">
        <w:t xml:space="preserve"> </w:t>
      </w:r>
      <w:r w:rsidRPr="001E6A68" w:rsidR="006E5710">
        <w:t>47 U.S.C. § 503(b)(6)(A)</w:t>
      </w:r>
      <w:r w:rsidR="006E5710">
        <w:t xml:space="preserve">. </w:t>
      </w:r>
    </w:p>
  </w:footnote>
  <w:footnote w:id="15">
    <w:p w:rsidR="002D5A8C" w14:paraId="73D333DA" w14:textId="1D501003">
      <w:pPr>
        <w:pStyle w:val="FootnoteText"/>
      </w:pPr>
      <w:r>
        <w:rPr>
          <w:rStyle w:val="FootnoteReference"/>
        </w:rPr>
        <w:footnoteRef/>
      </w:r>
      <w:r>
        <w:t xml:space="preserve"> </w:t>
      </w:r>
      <w:r w:rsidRPr="00512CB6" w:rsidR="00512CB6">
        <w:t>Letter from Kathryne C. Dickerson, Wiley Rein LLP, Counsel to Licensee and parent company iHeartMedia, Inc., to Anya Baez, Attorney Advisor, Investigations and Hearings Division, FCC Enforcement Bureau (Feb. 18, 2020) (on file in EB-IHD-19-00029572) (LOI Response)</w:t>
      </w:r>
      <w:r w:rsidR="00512CB6">
        <w:t xml:space="preserve"> </w:t>
      </w:r>
      <w:r w:rsidR="003F1A0B">
        <w:t>at 2.</w:t>
      </w:r>
    </w:p>
  </w:footnote>
  <w:footnote w:id="16">
    <w:p w:rsidR="00B55D75" w:rsidP="00B55D75" w14:paraId="13F67276" w14:textId="6CB3AFDE">
      <w:pPr>
        <w:pStyle w:val="FootnoteText"/>
      </w:pPr>
      <w:r>
        <w:rPr>
          <w:rStyle w:val="FootnoteReference"/>
        </w:rPr>
        <w:footnoteRef/>
      </w:r>
      <w:r>
        <w:t xml:space="preserve"> </w:t>
      </w:r>
      <w:r w:rsidRPr="00B55D75" w:rsidR="009A0F27">
        <w:t>Complaint</w:t>
      </w:r>
      <w:r>
        <w:t>.</w:t>
      </w:r>
    </w:p>
  </w:footnote>
  <w:footnote w:id="17">
    <w:p w:rsidR="001942FD" w14:paraId="4C9B1374" w14:textId="4B5C97AA">
      <w:pPr>
        <w:pStyle w:val="FootnoteText"/>
      </w:pPr>
      <w:r>
        <w:rPr>
          <w:rStyle w:val="FootnoteReference"/>
        </w:rPr>
        <w:footnoteRef/>
      </w:r>
      <w:r>
        <w:t xml:space="preserve"> </w:t>
      </w:r>
      <w:r w:rsidRPr="00135AC3">
        <w:t>Letter of Inquiry from</w:t>
      </w:r>
      <w:r>
        <w:t xml:space="preserve"> Christopher J. Sova, Deputy </w:t>
      </w:r>
      <w:r w:rsidRPr="00135AC3">
        <w:t>Chief, Investigations and Hearings Division, FCC Enforcement Bureau, to</w:t>
      </w:r>
      <w:r>
        <w:t xml:space="preserve"> </w:t>
      </w:r>
      <w:r w:rsidRPr="001942FD">
        <w:t xml:space="preserve">Clear Channel Broadcasting Licenses, Inc. </w:t>
      </w:r>
      <w:r>
        <w:t>(</w:t>
      </w:r>
      <w:r w:rsidRPr="001942FD">
        <w:t>Jan</w:t>
      </w:r>
      <w:r>
        <w:t>.</w:t>
      </w:r>
      <w:r w:rsidRPr="001942FD">
        <w:t xml:space="preserve"> 10, 2020</w:t>
      </w:r>
      <w:r>
        <w:t>) (on file in EB-IHD-</w:t>
      </w:r>
      <w:r w:rsidRPr="00F067B2" w:rsidR="000F5D28">
        <w:t>19-00029572</w:t>
      </w:r>
      <w:r>
        <w:t>)</w:t>
      </w:r>
      <w:r w:rsidRPr="00E85FA7">
        <w:t xml:space="preserve"> (</w:t>
      </w:r>
      <w:r>
        <w:t>LOI).</w:t>
      </w:r>
    </w:p>
  </w:footnote>
  <w:footnote w:id="18">
    <w:p w:rsidR="00692BF4" w:rsidP="00692BF4" w14:paraId="0A8FDE78" w14:textId="3A9392AA">
      <w:pPr>
        <w:pStyle w:val="FootnoteText"/>
      </w:pPr>
      <w:r>
        <w:rPr>
          <w:rStyle w:val="FootnoteReference"/>
        </w:rPr>
        <w:footnoteRef/>
      </w:r>
      <w:r>
        <w:t xml:space="preserve"> </w:t>
      </w:r>
      <w:r w:rsidR="002819E0">
        <w:t xml:space="preserve">LOI Response at 1.  </w:t>
      </w:r>
    </w:p>
  </w:footnote>
  <w:footnote w:id="19">
    <w:p w:rsidR="008A5675" w:rsidP="00736CFF" w14:paraId="7C3691D9" w14:textId="7B390B33">
      <w:pPr>
        <w:pStyle w:val="FootnoteText"/>
      </w:pPr>
      <w:r>
        <w:rPr>
          <w:rStyle w:val="FootnoteReference"/>
        </w:rPr>
        <w:footnoteRef/>
      </w:r>
      <w:r>
        <w:t xml:space="preserve"> </w:t>
      </w:r>
      <w:r w:rsidRPr="008A5675">
        <w:rPr>
          <w:i/>
          <w:iCs/>
        </w:rPr>
        <w:t>Id</w:t>
      </w:r>
      <w:r>
        <w:t>. at 2</w:t>
      </w:r>
      <w:r w:rsidR="00736CFF">
        <w:t xml:space="preserve"> (employee “</w:t>
      </w:r>
      <w:r w:rsidRPr="00736CFF" w:rsidR="00736CFF">
        <w:t>believed he was properly</w:t>
      </w:r>
      <w:r w:rsidR="00736CFF">
        <w:t xml:space="preserve"> excluding Complainant from entering the Contest based on a 90-day past winner eligibility exclusion period”).</w:t>
      </w:r>
      <w:r>
        <w:t xml:space="preserve"> </w:t>
      </w:r>
    </w:p>
  </w:footnote>
  <w:footnote w:id="20">
    <w:p w:rsidR="007C0EAC" w:rsidP="007C0EAC" w14:paraId="32D20947" w14:textId="4DA64DA6">
      <w:pPr>
        <w:pStyle w:val="FootnoteText"/>
      </w:pPr>
      <w:r>
        <w:rPr>
          <w:rStyle w:val="FootnoteReference"/>
        </w:rPr>
        <w:footnoteRef/>
      </w:r>
      <w:r>
        <w:t xml:space="preserve"> </w:t>
      </w:r>
      <w:r w:rsidRPr="00692BF4" w:rsidR="00A04C4F">
        <w:rPr>
          <w:i/>
          <w:iCs/>
        </w:rPr>
        <w:t>Id</w:t>
      </w:r>
      <w:r w:rsidR="00A04C4F">
        <w:t>.</w:t>
      </w:r>
      <w:r w:rsidRPr="00941C6F">
        <w:t xml:space="preserve"> </w:t>
      </w:r>
      <w:r>
        <w:t xml:space="preserve">at 6. </w:t>
      </w:r>
    </w:p>
  </w:footnote>
  <w:footnote w:id="21">
    <w:p w:rsidR="00692BF4" w14:paraId="430DEE27" w14:textId="72D47A63">
      <w:pPr>
        <w:pStyle w:val="FootnoteText"/>
      </w:pPr>
      <w:r>
        <w:rPr>
          <w:rStyle w:val="FootnoteReference"/>
        </w:rPr>
        <w:footnoteRef/>
      </w:r>
      <w:r>
        <w:t xml:space="preserve"> </w:t>
      </w:r>
      <w:r w:rsidRPr="00692BF4">
        <w:rPr>
          <w:i/>
          <w:iCs/>
        </w:rPr>
        <w:t>Id</w:t>
      </w:r>
      <w:r>
        <w:t xml:space="preserve">. at </w:t>
      </w:r>
      <w:r w:rsidR="006C2271">
        <w:t>1</w:t>
      </w:r>
      <w:r>
        <w:t xml:space="preserve">. </w:t>
      </w:r>
    </w:p>
  </w:footnote>
  <w:footnote w:id="22">
    <w:p w:rsidR="00D31E5C" w:rsidP="00D31E5C" w14:paraId="5854E2A6" w14:textId="77777777">
      <w:pPr>
        <w:pStyle w:val="FootnoteText"/>
      </w:pPr>
      <w:r>
        <w:rPr>
          <w:rStyle w:val="FootnoteReference"/>
        </w:rPr>
        <w:footnoteRef/>
      </w:r>
      <w:r>
        <w:t xml:space="preserve"> </w:t>
      </w:r>
      <w:r w:rsidRPr="00B8230A">
        <w:rPr>
          <w:i/>
          <w:iCs/>
        </w:rPr>
        <w:t>Id</w:t>
      </w:r>
      <w:r>
        <w:t>. at 1-2.</w:t>
      </w:r>
    </w:p>
  </w:footnote>
  <w:footnote w:id="23">
    <w:p w:rsidR="00D31E5C" w:rsidP="00D31E5C" w14:paraId="4B87ECF2" w14:textId="6FB14A90">
      <w:pPr>
        <w:pStyle w:val="FootnoteText"/>
      </w:pPr>
      <w:r>
        <w:rPr>
          <w:rStyle w:val="FootnoteReference"/>
        </w:rPr>
        <w:footnoteRef/>
      </w:r>
      <w:r>
        <w:t xml:space="preserve"> </w:t>
      </w:r>
      <w:r w:rsidRPr="00B8230A">
        <w:rPr>
          <w:i/>
          <w:iCs/>
        </w:rPr>
        <w:t>Id</w:t>
      </w:r>
      <w:r>
        <w:t>. at Exhibit E.</w:t>
      </w:r>
    </w:p>
  </w:footnote>
  <w:footnote w:id="24">
    <w:p w:rsidR="00DA3957" w:rsidRPr="00DA3957" w14:paraId="6CC41C7B" w14:textId="33F70926">
      <w:pPr>
        <w:pStyle w:val="FootnoteText"/>
      </w:pPr>
      <w:r>
        <w:rPr>
          <w:rStyle w:val="FootnoteReference"/>
        </w:rPr>
        <w:footnoteRef/>
      </w:r>
      <w:r>
        <w:t xml:space="preserve"> </w:t>
      </w:r>
      <w:r>
        <w:rPr>
          <w:i/>
          <w:iCs/>
        </w:rPr>
        <w:t>Id.</w:t>
      </w:r>
      <w:r>
        <w:t xml:space="preserve"> at 2.</w:t>
      </w:r>
    </w:p>
  </w:footnote>
  <w:footnote w:id="25">
    <w:p w:rsidR="00E661C6" w:rsidRPr="00C12A2D" w14:paraId="64148C81" w14:textId="48F7ED83">
      <w:pPr>
        <w:pStyle w:val="FootnoteText"/>
        <w:rPr>
          <w:i/>
          <w:iCs/>
        </w:rPr>
      </w:pPr>
      <w:r>
        <w:rPr>
          <w:rStyle w:val="FootnoteReference"/>
        </w:rPr>
        <w:footnoteRef/>
      </w:r>
      <w:r>
        <w:t xml:space="preserve"> </w:t>
      </w:r>
      <w:r>
        <w:rPr>
          <w:i/>
          <w:iCs/>
        </w:rPr>
        <w:t>Id.</w:t>
      </w:r>
      <w:r>
        <w:t xml:space="preserve"> </w:t>
      </w:r>
    </w:p>
  </w:footnote>
  <w:footnote w:id="26">
    <w:p w:rsidR="00D31E5C" w:rsidP="00D31E5C" w14:paraId="3899D64F" w14:textId="6A5FA177">
      <w:pPr>
        <w:pStyle w:val="FootnoteText"/>
      </w:pPr>
      <w:r>
        <w:rPr>
          <w:rStyle w:val="FootnoteReference"/>
        </w:rPr>
        <w:footnoteRef/>
      </w:r>
      <w:r>
        <w:t xml:space="preserve"> </w:t>
      </w:r>
      <w:r w:rsidRPr="00A20CA6">
        <w:rPr>
          <w:i/>
          <w:iCs/>
        </w:rPr>
        <w:t>Id</w:t>
      </w:r>
      <w:r>
        <w:t xml:space="preserve">. </w:t>
      </w:r>
    </w:p>
  </w:footnote>
  <w:footnote w:id="27">
    <w:p w:rsidR="0066547A" w:rsidP="0066547A" w14:paraId="2CAE6D14" w14:textId="77777777">
      <w:pPr>
        <w:pStyle w:val="FootnoteText"/>
      </w:pPr>
      <w:r>
        <w:rPr>
          <w:rStyle w:val="FootnoteReference"/>
        </w:rPr>
        <w:footnoteRef/>
      </w:r>
      <w:r>
        <w:t xml:space="preserve"> Complaint.</w:t>
      </w:r>
    </w:p>
  </w:footnote>
  <w:footnote w:id="28">
    <w:p w:rsidR="0066547A" w:rsidP="0066547A" w14:paraId="3A9B6778" w14:textId="77777777">
      <w:pPr>
        <w:pStyle w:val="FootnoteText"/>
      </w:pPr>
      <w:r>
        <w:rPr>
          <w:rStyle w:val="FootnoteReference"/>
        </w:rPr>
        <w:footnoteRef/>
      </w:r>
      <w:r>
        <w:t xml:space="preserve"> LOI Response at 7. </w:t>
      </w:r>
    </w:p>
  </w:footnote>
  <w:footnote w:id="29">
    <w:p w:rsidR="0066547A" w:rsidP="0066547A" w14:paraId="1EA7CEE6" w14:textId="77777777">
      <w:pPr>
        <w:pStyle w:val="FootnoteText"/>
      </w:pPr>
      <w:r>
        <w:rPr>
          <w:rStyle w:val="FootnoteReference"/>
        </w:rPr>
        <w:footnoteRef/>
      </w:r>
      <w:r>
        <w:t xml:space="preserve"> </w:t>
      </w:r>
      <w:r w:rsidRPr="005D0536">
        <w:rPr>
          <w:i/>
          <w:iCs/>
        </w:rPr>
        <w:t>Id</w:t>
      </w:r>
      <w:r>
        <w:t>. at 7-8.</w:t>
      </w:r>
    </w:p>
  </w:footnote>
  <w:footnote w:id="30">
    <w:p w:rsidR="00E27910" w:rsidP="00E27910" w14:paraId="590C5040" w14:textId="77777777">
      <w:pPr>
        <w:pStyle w:val="FootnoteText"/>
      </w:pPr>
      <w:r>
        <w:rPr>
          <w:rStyle w:val="FootnoteReference"/>
        </w:rPr>
        <w:footnoteRef/>
      </w:r>
      <w:r>
        <w:t xml:space="preserve"> </w:t>
      </w:r>
      <w:r w:rsidRPr="001E5C1F">
        <w:rPr>
          <w:i/>
          <w:iCs/>
        </w:rPr>
        <w:t>Id</w:t>
      </w:r>
      <w:r>
        <w:t>. at Exhibit L.</w:t>
      </w:r>
    </w:p>
  </w:footnote>
  <w:footnote w:id="31">
    <w:p w:rsidR="00F53E10" w:rsidRPr="007757E7" w:rsidP="00F53E10" w14:paraId="6E30E04A" w14:textId="6AD4F250">
      <w:pPr>
        <w:pStyle w:val="FootnoteText"/>
        <w:widowControl w:val="0"/>
      </w:pPr>
      <w:r w:rsidRPr="007757E7">
        <w:rPr>
          <w:rStyle w:val="FootnoteReference"/>
        </w:rPr>
        <w:footnoteRef/>
      </w:r>
      <w:r w:rsidRPr="007757E7">
        <w:t xml:space="preserve"> </w:t>
      </w:r>
      <w:r w:rsidRPr="007757E7">
        <w:rPr>
          <w:i/>
        </w:rPr>
        <w:t>Public Notice Concerning Failure of Broadcast Licensees to Conduct Contests Fairly</w:t>
      </w:r>
      <w:r w:rsidRPr="007757E7">
        <w:t>, Public Notice, 45 FCC</w:t>
      </w:r>
      <w:r w:rsidR="00A542E1">
        <w:t xml:space="preserve"> </w:t>
      </w:r>
      <w:r w:rsidRPr="007757E7">
        <w:t>2d 1056, 1056 (1974).</w:t>
      </w:r>
    </w:p>
  </w:footnote>
  <w:footnote w:id="32">
    <w:p w:rsidR="00AA72BC" w:rsidRPr="00AA72BC" w14:paraId="7C75ED44" w14:textId="2AFC20C4">
      <w:pPr>
        <w:pStyle w:val="FootnoteText"/>
      </w:pPr>
      <w:r>
        <w:rPr>
          <w:rStyle w:val="FootnoteReference"/>
        </w:rPr>
        <w:footnoteRef/>
      </w:r>
      <w:r>
        <w:t xml:space="preserve"> </w:t>
      </w:r>
      <w:r>
        <w:rPr>
          <w:i/>
          <w:iCs/>
        </w:rPr>
        <w:t xml:space="preserve">See, supra, </w:t>
      </w:r>
      <w:r>
        <w:t xml:space="preserve">note </w:t>
      </w:r>
      <w:r w:rsidRPr="00FB7AC2">
        <w:t>21</w:t>
      </w:r>
      <w:r>
        <w:t>.</w:t>
      </w:r>
    </w:p>
  </w:footnote>
  <w:footnote w:id="33">
    <w:p w:rsidR="002D7A03" w:rsidP="002D7A03" w14:paraId="455B8E58" w14:textId="77777777">
      <w:pPr>
        <w:pStyle w:val="FootnoteText"/>
      </w:pPr>
      <w:r>
        <w:rPr>
          <w:rStyle w:val="FootnoteReference"/>
        </w:rPr>
        <w:footnoteRef/>
      </w:r>
      <w:r>
        <w:t xml:space="preserve"> </w:t>
      </w:r>
      <w:r>
        <w:rPr>
          <w:i/>
        </w:rPr>
        <w:t>2015 Section 73.1216 Report and Order</w:t>
      </w:r>
      <w:r w:rsidRPr="00365EE6">
        <w:t>, 30 FCC Rcd 10468, 10478</w:t>
      </w:r>
      <w:r>
        <w:t xml:space="preserve"> (the Commission will construe any ambiguities in contest disclosures against the licensee).</w:t>
      </w:r>
    </w:p>
  </w:footnote>
  <w:footnote w:id="34">
    <w:p w:rsidR="00BC4524" w:rsidP="00BC4524" w14:paraId="33320F1D" w14:textId="77777777">
      <w:pPr>
        <w:pStyle w:val="FootnoteText"/>
      </w:pPr>
      <w:r>
        <w:rPr>
          <w:rStyle w:val="FootnoteReference"/>
        </w:rPr>
        <w:footnoteRef/>
      </w:r>
      <w:r>
        <w:t xml:space="preserve"> LOI Response at 1. </w:t>
      </w:r>
    </w:p>
  </w:footnote>
  <w:footnote w:id="35">
    <w:p w:rsidR="00A542E1" w:rsidRPr="00253B48" w:rsidP="00A542E1" w14:paraId="1823C082" w14:textId="7C11E512">
      <w:pPr>
        <w:pStyle w:val="FootnoteText"/>
        <w:rPr>
          <w:iCs/>
        </w:rPr>
      </w:pPr>
      <w:r>
        <w:rPr>
          <w:rStyle w:val="FootnoteReference"/>
        </w:rPr>
        <w:footnoteRef/>
      </w:r>
      <w:r>
        <w:t xml:space="preserve"> </w:t>
      </w:r>
      <w:r w:rsidR="00791A07">
        <w:t xml:space="preserve">LOI Response at 1, 2 (conceding that the Station did not conduct a contest in strict compliance with the written rules for that contest, but stating that the “error, however, does not appear to be material because [Complainant] was otherwise ineligible to participate in the contest at issue).  </w:t>
      </w:r>
      <w:r w:rsidRPr="00A91CDE" w:rsidR="00A91CDE">
        <w:t>The Complainant has standing as a regular listener of the Station, evidenced by his participation in multiple Station contests.</w:t>
      </w:r>
      <w:r w:rsidR="00A91CDE">
        <w:t xml:space="preserve">  </w:t>
      </w:r>
      <w:r w:rsidR="00881013">
        <w:t>In the broadcast regulatory context, standing is generally obtained if the petitioner is “</w:t>
      </w:r>
      <w:r w:rsidRPr="00526BF6" w:rsidR="00881013">
        <w:t>a resident of the station</w:t>
      </w:r>
      <w:r w:rsidR="00881013">
        <w:t>’</w:t>
      </w:r>
      <w:r w:rsidRPr="00526BF6" w:rsidR="00881013">
        <w:t>s service area or regular listener of the station</w:t>
      </w:r>
      <w:r w:rsidR="00881013">
        <w:t xml:space="preserve">.”  </w:t>
      </w:r>
      <w:r w:rsidRPr="005F018B">
        <w:rPr>
          <w:i/>
        </w:rPr>
        <w:t xml:space="preserve">See, e.g., </w:t>
      </w:r>
      <w:r w:rsidRPr="00253B48">
        <w:rPr>
          <w:i/>
        </w:rPr>
        <w:t>Entercom</w:t>
      </w:r>
      <w:r w:rsidRPr="00253B48">
        <w:rPr>
          <w:i/>
        </w:rPr>
        <w:t xml:space="preserve"> License, LLC</w:t>
      </w:r>
      <w:r w:rsidRPr="008251A4">
        <w:rPr>
          <w:iCs/>
        </w:rPr>
        <w:t xml:space="preserve">, </w:t>
      </w:r>
      <w:r>
        <w:rPr>
          <w:iCs/>
        </w:rPr>
        <w:t xml:space="preserve">Hearing Designation Order, </w:t>
      </w:r>
      <w:r w:rsidRPr="008251A4">
        <w:rPr>
          <w:iCs/>
        </w:rPr>
        <w:t>31 FCC Rcd 12196, 12205</w:t>
      </w:r>
      <w:r>
        <w:rPr>
          <w:iCs/>
        </w:rPr>
        <w:t>, para. 22</w:t>
      </w:r>
      <w:r w:rsidRPr="008251A4">
        <w:rPr>
          <w:iCs/>
        </w:rPr>
        <w:t xml:space="preserve"> (FCC 2016)</w:t>
      </w:r>
      <w:r>
        <w:rPr>
          <w:iCs/>
        </w:rPr>
        <w:t xml:space="preserve"> (citing </w:t>
      </w:r>
      <w:r w:rsidRPr="008251A4">
        <w:rPr>
          <w:i/>
        </w:rPr>
        <w:t>Chapin Enterprises, LLC</w:t>
      </w:r>
      <w:r w:rsidRPr="00CD55E5">
        <w:rPr>
          <w:iCs/>
        </w:rPr>
        <w:t xml:space="preserve">, Memorandum Opinion and Order, 29 FCC Rcd 4250 (MB 2014); </w:t>
      </w:r>
      <w:r w:rsidRPr="008251A4">
        <w:rPr>
          <w:i/>
        </w:rPr>
        <w:t>CHET-5 Broadcasting, L.P.</w:t>
      </w:r>
      <w:r w:rsidRPr="00CD55E5">
        <w:rPr>
          <w:iCs/>
        </w:rPr>
        <w:t>, Memorandum Opinion and Order, 14 FCC Rcd 13041, 13042 (1999) (</w:t>
      </w:r>
      <w:r>
        <w:rPr>
          <w:iCs/>
        </w:rPr>
        <w:t>“</w:t>
      </w:r>
      <w:r w:rsidRPr="00CD55E5">
        <w:rPr>
          <w:iCs/>
        </w:rPr>
        <w:t>[W]e will accord party-in-interest status to a petitioner who demonstrates either residence in the station</w:t>
      </w:r>
      <w:r>
        <w:rPr>
          <w:iCs/>
        </w:rPr>
        <w:t>’</w:t>
      </w:r>
      <w:r w:rsidRPr="00CD55E5">
        <w:rPr>
          <w:iCs/>
        </w:rPr>
        <w:t>s service area or that the petitioner listens to or views the station regularly, and that such listening or viewing is not the result of transient contacts with the station</w:t>
      </w:r>
      <w:r>
        <w:rPr>
          <w:iCs/>
        </w:rPr>
        <w:t>”</w:t>
      </w:r>
      <w:r w:rsidRPr="00CD55E5">
        <w:rPr>
          <w:iCs/>
        </w:rPr>
        <w:t xml:space="preserve">); </w:t>
      </w:r>
      <w:r w:rsidRPr="002265CF">
        <w:rPr>
          <w:i/>
        </w:rPr>
        <w:t>Office of Communications of the United Church of Christ v. FCC</w:t>
      </w:r>
      <w:r w:rsidRPr="00CD55E5">
        <w:rPr>
          <w:iCs/>
        </w:rPr>
        <w:t>, 359 F.2d 994, 1000-1006, 123 U.S. App. D.C. 328 (D.C. Cir. 1966)</w:t>
      </w:r>
      <w:r w:rsidR="00E1368A">
        <w:rPr>
          <w:iCs/>
        </w:rPr>
        <w:t xml:space="preserve"> </w:t>
      </w:r>
      <w:r w:rsidRPr="00CD55E5">
        <w:rPr>
          <w:iCs/>
        </w:rPr>
        <w:t>(expanding standing from traditional categories of electrical interference or economic injury to station listeners</w:t>
      </w:r>
      <w:r>
        <w:rPr>
          <w:iCs/>
        </w:rPr>
        <w:t>)).</w:t>
      </w:r>
      <w:r w:rsidRPr="00253B48">
        <w:rPr>
          <w:iCs/>
        </w:rPr>
        <w:t xml:space="preserve"> </w:t>
      </w:r>
    </w:p>
  </w:footnote>
  <w:footnote w:id="36">
    <w:p w:rsidR="00B505B5" w:rsidRPr="00843394" w14:paraId="4D562631" w14:textId="4666BF8C">
      <w:pPr>
        <w:pStyle w:val="FootnoteText"/>
      </w:pPr>
      <w:r>
        <w:rPr>
          <w:rStyle w:val="FootnoteReference"/>
        </w:rPr>
        <w:footnoteRef/>
      </w:r>
      <w:r w:rsidR="00C768C6">
        <w:t xml:space="preserve"> </w:t>
      </w:r>
      <w:r w:rsidRPr="00C768C6" w:rsidR="00C768C6">
        <w:rPr>
          <w:i/>
          <w:iCs/>
        </w:rPr>
        <w:t xml:space="preserve">See </w:t>
      </w:r>
      <w:r w:rsidRPr="00843394" w:rsidR="00843394">
        <w:rPr>
          <w:i/>
          <w:iCs/>
        </w:rPr>
        <w:t>CBS Radio Inc. of Philadelphia</w:t>
      </w:r>
      <w:r w:rsidRPr="00843394" w:rsidR="00843394">
        <w:t>, Memorandum Opinion and Order, 24 FCC Rcd 10993, 10994-95, para. 4 (</w:t>
      </w:r>
      <w:r w:rsidR="0009211F">
        <w:t>EB</w:t>
      </w:r>
      <w:r w:rsidRPr="00843394" w:rsidR="00843394">
        <w:t xml:space="preserve"> 2009) (</w:t>
      </w:r>
      <w:r w:rsidR="00CD47AF">
        <w:t xml:space="preserve">all members of the public have standing to file </w:t>
      </w:r>
      <w:r w:rsidRPr="00C059CF" w:rsidR="00C059CF">
        <w:t>licensee-conducted contest complaints</w:t>
      </w:r>
      <w:r w:rsidR="00C059CF">
        <w:t xml:space="preserve"> </w:t>
      </w:r>
      <w:r w:rsidR="00AF7739">
        <w:t>because “c</w:t>
      </w:r>
      <w:r w:rsidRPr="00C059CF" w:rsidR="00C059CF">
        <w:t>onsumer participation assists the Commission in ensuring that all licensees are in full compliance with applicable rules and properly discharging their statutory duty to operate in the public interest</w:t>
      </w:r>
      <w:r w:rsidR="00AF7739">
        <w:t>”</w:t>
      </w:r>
      <w:r w:rsidRPr="00843394" w:rsidR="00843394">
        <w:t>)</w:t>
      </w:r>
      <w:r w:rsidR="00C832B7">
        <w:t xml:space="preserve">, </w:t>
      </w:r>
      <w:r w:rsidR="00027FAB">
        <w:rPr>
          <w:i/>
          <w:iCs/>
        </w:rPr>
        <w:t>aff’d</w:t>
      </w:r>
      <w:r w:rsidR="00000E8A">
        <w:t xml:space="preserve">, </w:t>
      </w:r>
      <w:r w:rsidR="001C5D9A">
        <w:t>Order, 24 FCC Rcd 12047</w:t>
      </w:r>
      <w:r w:rsidR="00EA2F93">
        <w:t>, 12053, para. 14</w:t>
      </w:r>
      <w:r w:rsidR="00237046">
        <w:t xml:space="preserve"> (EB 2009)</w:t>
      </w:r>
      <w:r w:rsidRPr="00843394" w:rsidR="00843394">
        <w:t>.</w:t>
      </w:r>
    </w:p>
  </w:footnote>
  <w:footnote w:id="37">
    <w:p w:rsidR="008C33E6" w14:paraId="49682868" w14:textId="7F430041">
      <w:pPr>
        <w:pStyle w:val="FootnoteText"/>
      </w:pPr>
      <w:r>
        <w:rPr>
          <w:rStyle w:val="FootnoteReference"/>
        </w:rPr>
        <w:footnoteRef/>
      </w:r>
      <w:r>
        <w:t xml:space="preserve"> </w:t>
      </w:r>
      <w:r w:rsidR="00F56143">
        <w:rPr>
          <w:i/>
        </w:rPr>
        <w:t>2015 Section 73.1216 Report and Order</w:t>
      </w:r>
      <w:r w:rsidRPr="006570C6" w:rsidR="00F56143">
        <w:t>, 30 FCC Rcd 10468</w:t>
      </w:r>
      <w:r w:rsidR="00DE4621">
        <w:t>, 10475-76</w:t>
      </w:r>
      <w:r w:rsidRPr="006570C6" w:rsidR="00F56143">
        <w:t>, para</w:t>
      </w:r>
      <w:r w:rsidR="00367426">
        <w:t>s</w:t>
      </w:r>
      <w:r w:rsidR="00F56143">
        <w:t>. 2</w:t>
      </w:r>
      <w:r w:rsidR="00367426">
        <w:t>, 16</w:t>
      </w:r>
      <w:r w:rsidR="006A5C79">
        <w:t xml:space="preserve"> (“</w:t>
      </w:r>
      <w:r w:rsidRPr="006A5C79" w:rsidR="006A5C79">
        <w:t>We believe that requiring broadcasters to maintain contest terms online for a reasonable period of time after a contest winner has been selected is necessary to ensure that contest information is readily available not only to potential contest participants, but also to actual contestants or others who wish to consult or confirm the rules after the contest has ended</w:t>
      </w:r>
      <w:r w:rsidR="007D5AD7">
        <w:t>.</w:t>
      </w:r>
      <w:r w:rsidR="00A116DB">
        <w:t>”).</w:t>
      </w:r>
    </w:p>
  </w:footnote>
  <w:footnote w:id="38">
    <w:p w:rsidR="00962DCE" w:rsidRPr="00E270C3" w:rsidP="00962DCE" w14:paraId="69D64BDC" w14:textId="77777777">
      <w:pPr>
        <w:pStyle w:val="FootnoteText"/>
      </w:pPr>
      <w:r w:rsidRPr="00E270C3">
        <w:rPr>
          <w:rStyle w:val="FootnoteReference"/>
        </w:rPr>
        <w:footnoteRef/>
      </w:r>
      <w:r w:rsidRPr="00E270C3">
        <w:t xml:space="preserve"> 47 U.S.C. § 151 </w:t>
      </w:r>
      <w:r w:rsidRPr="00E270C3">
        <w:rPr>
          <w:i/>
        </w:rPr>
        <w:t>et seq.</w:t>
      </w:r>
    </w:p>
  </w:footnote>
  <w:footnote w:id="39">
    <w:p w:rsidR="00AE4DF4" w:rsidRPr="00947502" w:rsidP="00AE4DF4" w14:paraId="521BDD4F" w14:textId="77777777">
      <w:pPr>
        <w:pStyle w:val="FootnoteText"/>
        <w:rPr>
          <w:color w:val="000000"/>
        </w:rPr>
      </w:pPr>
      <w:r w:rsidRPr="00AE4DF4">
        <w:rPr>
          <w:rStyle w:val="FootnoteReference"/>
          <w:color w:val="000000"/>
        </w:rPr>
        <w:footnoteRef/>
      </w:r>
      <w:r w:rsidRPr="00AE4DF4">
        <w:rPr>
          <w:color w:val="000000"/>
        </w:rPr>
        <w:t xml:space="preserve"> 47 U.S.C. § 503(b).  </w:t>
      </w:r>
    </w:p>
  </w:footnote>
  <w:footnote w:id="40">
    <w:p w:rsidR="0009796B" w:rsidRPr="00E270C3" w:rsidP="0009796B" w14:paraId="1205F45F" w14:textId="0C8524BB">
      <w:pPr>
        <w:pStyle w:val="FootnoteText"/>
      </w:pPr>
      <w:r w:rsidRPr="00E270C3">
        <w:rPr>
          <w:rStyle w:val="FootnoteReference"/>
        </w:rPr>
        <w:footnoteRef/>
      </w:r>
      <w:r w:rsidRPr="00E270C3">
        <w:t xml:space="preserve"> 47 U.S.C. § 312(f)(1).</w:t>
      </w:r>
      <w:r w:rsidR="00A95F8A">
        <w:t xml:space="preserve">  </w:t>
      </w:r>
      <w:r w:rsidRPr="00A95F8A" w:rsidR="00A95F8A">
        <w:t xml:space="preserve">The legislative history to </w:t>
      </w:r>
      <w:r w:rsidR="00A95F8A">
        <w:t>s</w:t>
      </w:r>
      <w:r w:rsidRPr="00A95F8A" w:rsidR="00A95F8A">
        <w:t xml:space="preserve">ection 312(f)(1) of the Act clarifies that this definition of willful applies to both </w:t>
      </w:r>
      <w:r w:rsidR="00A95F8A">
        <w:t>s</w:t>
      </w:r>
      <w:r w:rsidRPr="00A95F8A" w:rsidR="00A95F8A">
        <w:t xml:space="preserve">ections 312 and 503(b) of the Act, and the Commission has so interpreted the term in the </w:t>
      </w:r>
      <w:r w:rsidR="00A95F8A">
        <w:t>s</w:t>
      </w:r>
      <w:r w:rsidRPr="00A95F8A" w:rsidR="00A95F8A">
        <w:t xml:space="preserve">ection 503(b) context.  H.R. Rep. No. 97-765, </w:t>
      </w:r>
      <w:r w:rsidR="001C664F">
        <w:t xml:space="preserve">at </w:t>
      </w:r>
      <w:r w:rsidRPr="00A95F8A" w:rsidR="00A95F8A">
        <w:t>51 (1982)</w:t>
      </w:r>
      <w:r w:rsidR="001C664F">
        <w:t xml:space="preserve">, as reprinted in 1982 U.S.C.C.A.N </w:t>
      </w:r>
      <w:r w:rsidR="000D3488">
        <w:t>2261, 2294-95</w:t>
      </w:r>
      <w:r w:rsidRPr="00A95F8A" w:rsidR="00A95F8A">
        <w:t xml:space="preserve"> (“This provision [inserted in Section 312] defines the terms ‘willful’ and ‘repeated’ for purposes of section 312,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312 and 503, and are consistent with the Commission’s application of those terms . . . .”);</w:t>
      </w:r>
      <w:r w:rsidR="00A95F8A">
        <w:t xml:space="preserve"> </w:t>
      </w:r>
      <w:r w:rsidR="00A95F8A">
        <w:rPr>
          <w:i/>
        </w:rPr>
        <w:t>s</w:t>
      </w:r>
      <w:r w:rsidRPr="00A95F8A" w:rsidR="00A95F8A">
        <w:rPr>
          <w:i/>
        </w:rPr>
        <w:t>ee, e.g.</w:t>
      </w:r>
      <w:r w:rsidRPr="00A95F8A" w:rsidR="00A95F8A">
        <w:t>,</w:t>
      </w:r>
      <w:r w:rsidRPr="00A95F8A" w:rsidR="00A95F8A">
        <w:rPr>
          <w:i/>
        </w:rPr>
        <w:t xml:space="preserve"> S</w:t>
      </w:r>
      <w:r w:rsidR="008C2FC1">
        <w:rPr>
          <w:i/>
        </w:rPr>
        <w:t>outhern</w:t>
      </w:r>
      <w:r w:rsidRPr="00A95F8A" w:rsidR="00A95F8A">
        <w:rPr>
          <w:i/>
        </w:rPr>
        <w:t xml:space="preserve"> Ca</w:t>
      </w:r>
      <w:r w:rsidR="008C2FC1">
        <w:rPr>
          <w:i/>
        </w:rPr>
        <w:t>lifornia Broadcast Co</w:t>
      </w:r>
      <w:r w:rsidRPr="00A95F8A" w:rsidR="00A95F8A">
        <w:rPr>
          <w:i/>
        </w:rPr>
        <w:t>.</w:t>
      </w:r>
      <w:r w:rsidRPr="00A95F8A" w:rsidR="00A95F8A">
        <w:t xml:space="preserve">, Memorandum Opinion and Order, 6 FCC Rcd 4387, 4388, para. 5 (1991), </w:t>
      </w:r>
      <w:r w:rsidRPr="00A95F8A" w:rsidR="00A95F8A">
        <w:rPr>
          <w:i/>
        </w:rPr>
        <w:t xml:space="preserve">recons. denied, </w:t>
      </w:r>
      <w:r w:rsidRPr="00A95F8A" w:rsidR="00A95F8A">
        <w:t xml:space="preserve">Memorandum Opinion and Order, 7 FCC Rcd 3454 (1992).   </w:t>
      </w:r>
    </w:p>
  </w:footnote>
  <w:footnote w:id="41">
    <w:p w:rsidR="00B81FAB" w:rsidRPr="00D378CC" w14:paraId="097C9DBB" w14:textId="2828E6A6">
      <w:pPr>
        <w:pStyle w:val="FootnoteText"/>
      </w:pPr>
      <w:r>
        <w:rPr>
          <w:rStyle w:val="FootnoteReference"/>
        </w:rPr>
        <w:footnoteRef/>
      </w:r>
      <w:r>
        <w:t xml:space="preserve"> </w:t>
      </w:r>
      <w:r w:rsidR="005E4CCA">
        <w:rPr>
          <w:i/>
        </w:rPr>
        <w:t>CBS Radio Holdings, Inc.</w:t>
      </w:r>
      <w:r w:rsidR="005E4CCA">
        <w:t>, Notice of Apparent Liability for Forfeiture, 27 FCC Rcd 10099, 10103, para. 9 (EB</w:t>
      </w:r>
      <w:r w:rsidR="008C2FC1">
        <w:t>-</w:t>
      </w:r>
      <w:r w:rsidR="005E4CCA">
        <w:t xml:space="preserve">IHD 2012) (inadvertence does not </w:t>
      </w:r>
      <w:r w:rsidR="0086630A">
        <w:t xml:space="preserve">prevent </w:t>
      </w:r>
      <w:r w:rsidR="005E4CCA">
        <w:t xml:space="preserve">a </w:t>
      </w:r>
      <w:r w:rsidR="008C2FC1">
        <w:t>licensee-conducted contest rule</w:t>
      </w:r>
      <w:r w:rsidR="005E4CCA">
        <w:t xml:space="preserve"> violation from being</w:t>
      </w:r>
      <w:r w:rsidR="0086630A">
        <w:t xml:space="preserve"> found</w:t>
      </w:r>
      <w:r w:rsidR="005E4CCA">
        <w:t xml:space="preserve"> willful or preclude</w:t>
      </w:r>
      <w:r w:rsidR="0086630A">
        <w:t xml:space="preserve"> </w:t>
      </w:r>
      <w:r w:rsidR="005E4CCA">
        <w:t>liability) (forfeiture paid)</w:t>
      </w:r>
      <w:r w:rsidR="009372A8">
        <w:t>;</w:t>
      </w:r>
      <w:r w:rsidR="00D378CC">
        <w:rPr>
          <w:i/>
        </w:rPr>
        <w:t xml:space="preserve"> </w:t>
      </w:r>
      <w:r w:rsidRPr="00D378CC" w:rsidR="00D378CC">
        <w:rPr>
          <w:i/>
        </w:rPr>
        <w:t xml:space="preserve">Farnell O’Quinn, </w:t>
      </w:r>
      <w:r w:rsidRPr="006F10D4" w:rsidR="00D378CC">
        <w:t>Memorandum Opinion and Order</w:t>
      </w:r>
      <w:r w:rsidRPr="00D378CC" w:rsidR="00D378CC">
        <w:t>, 19 FCC Rcd 17428, 17429-30, para. 6 (EB 2004) (the term “willful” in section 503(b) of the Act does not require a finding that the rule violation was intentional or that the violator was aware that it was committing a rule violation).</w:t>
      </w:r>
    </w:p>
  </w:footnote>
  <w:footnote w:id="42">
    <w:p w:rsidR="0015765E" w:rsidRPr="00135AC3" w:rsidP="008A7A0A" w14:paraId="657D261B" w14:textId="192D3A80">
      <w:pPr>
        <w:pStyle w:val="FootnoteText"/>
      </w:pPr>
      <w:r w:rsidRPr="00135AC3">
        <w:rPr>
          <w:rStyle w:val="FootnoteReference"/>
          <w:color w:val="000000"/>
        </w:rPr>
        <w:footnoteRef/>
      </w:r>
      <w:r w:rsidRPr="00135AC3">
        <w:t xml:space="preserve"> </w:t>
      </w:r>
      <w:r w:rsidRPr="00135AC3" w:rsidR="00062BFB">
        <w:t>47 U.S.C. § 503(b)(2)(A); 47 CFR § 1.80(b)(1)</w:t>
      </w:r>
      <w:r>
        <w:t>;</w:t>
      </w:r>
      <w:r w:rsidR="00354003">
        <w:t xml:space="preserve"> </w:t>
      </w:r>
      <w:r w:rsidR="00354003">
        <w:rPr>
          <w:i/>
          <w:iCs/>
        </w:rPr>
        <w:t>se</w:t>
      </w:r>
      <w:r w:rsidRPr="00135AC3" w:rsidR="00062BFB">
        <w:rPr>
          <w:i/>
          <w:iCs/>
        </w:rPr>
        <w:t xml:space="preserve">e </w:t>
      </w:r>
      <w:r w:rsidRPr="007C51DF" w:rsidR="0072776E">
        <w:rPr>
          <w:rStyle w:val="Emphasis"/>
        </w:rPr>
        <w:t xml:space="preserve">Annual </w:t>
      </w:r>
      <w:r w:rsidRPr="00135AC3" w:rsidR="00062BFB">
        <w:rPr>
          <w:i/>
          <w:iCs/>
        </w:rPr>
        <w:t>Adjustment of Civil Monetary Penalties to Reflect Inflation</w:t>
      </w:r>
      <w:r w:rsidRPr="00135AC3" w:rsidR="00062BFB">
        <w:t xml:space="preserve">, </w:t>
      </w:r>
      <w:r w:rsidRPr="0072776E" w:rsidR="00FE1561">
        <w:t xml:space="preserve">87 </w:t>
      </w:r>
      <w:r w:rsidRPr="0072776E" w:rsidR="00DF63D6">
        <w:t xml:space="preserve">Fed. Reg. </w:t>
      </w:r>
      <w:r w:rsidRPr="0072776E" w:rsidR="00FE1561">
        <w:t>396</w:t>
      </w:r>
      <w:r w:rsidRPr="0072776E" w:rsidR="006A1B9F">
        <w:t xml:space="preserve"> </w:t>
      </w:r>
      <w:r w:rsidR="006A1B9F">
        <w:t>(</w:t>
      </w:r>
      <w:r w:rsidR="0072776E">
        <w:t>Jan. 5, 2022</w:t>
      </w:r>
      <w:r w:rsidR="006A1B9F">
        <w:t>)</w:t>
      </w:r>
      <w:r w:rsidR="0072776E">
        <w:t>.</w:t>
      </w:r>
    </w:p>
  </w:footnote>
  <w:footnote w:id="43">
    <w:p w:rsidR="00553C82" w:rsidRPr="00135AC3" w:rsidP="005E462A" w14:paraId="1C6B4D4F" w14:textId="77777777">
      <w:pPr>
        <w:pStyle w:val="FootnoteText"/>
        <w:rPr>
          <w:color w:val="000000"/>
        </w:rPr>
      </w:pPr>
      <w:r w:rsidRPr="00135AC3">
        <w:rPr>
          <w:rStyle w:val="FootnoteReference"/>
          <w:color w:val="000000"/>
        </w:rPr>
        <w:footnoteRef/>
      </w:r>
      <w:r w:rsidRPr="00135AC3">
        <w:rPr>
          <w:color w:val="000000"/>
        </w:rPr>
        <w:t xml:space="preserve"> 47 U.S.C. § 503(b)(2)(E)</w:t>
      </w:r>
      <w:r w:rsidR="00AE4DF4">
        <w:rPr>
          <w:color w:val="000000"/>
        </w:rPr>
        <w:t>.</w:t>
      </w:r>
    </w:p>
  </w:footnote>
  <w:footnote w:id="44">
    <w:p w:rsidR="00AE4DF4" w:rsidRPr="00AE4DF4" w:rsidP="00AE4DF4" w14:paraId="5B8181E6" w14:textId="54E51F09">
      <w:pPr>
        <w:pStyle w:val="FootnoteText"/>
        <w:rPr>
          <w:color w:val="000000"/>
        </w:rPr>
      </w:pPr>
      <w:r w:rsidRPr="00AE4DF4">
        <w:rPr>
          <w:rStyle w:val="FootnoteReference"/>
          <w:color w:val="000000"/>
        </w:rPr>
        <w:footnoteRef/>
      </w:r>
      <w:r w:rsidRPr="00AE4DF4">
        <w:rPr>
          <w:color w:val="000000"/>
        </w:rPr>
        <w:t xml:space="preserve"> 47 CFR § 1.80(b)(</w:t>
      </w:r>
      <w:r w:rsidR="003D6115">
        <w:rPr>
          <w:color w:val="000000"/>
        </w:rPr>
        <w:t>10</w:t>
      </w:r>
      <w:r w:rsidRPr="00AE4DF4">
        <w:rPr>
          <w:color w:val="000000"/>
        </w:rPr>
        <w:t>), Note to paragraph (b)(</w:t>
      </w:r>
      <w:r w:rsidR="003D6115">
        <w:rPr>
          <w:color w:val="000000"/>
        </w:rPr>
        <w:t>10</w:t>
      </w:r>
      <w:r w:rsidRPr="00AE4DF4">
        <w:rPr>
          <w:color w:val="000000"/>
        </w:rPr>
        <w:t xml:space="preserve">). </w:t>
      </w:r>
    </w:p>
  </w:footnote>
  <w:footnote w:id="45">
    <w:p w:rsidR="00AE4DF4" w:rsidRPr="00AE4DF4" w:rsidP="00AE4DF4" w14:paraId="12614939" w14:textId="77777777">
      <w:pPr>
        <w:pStyle w:val="FootnoteText"/>
        <w:rPr>
          <w:color w:val="000000"/>
        </w:rPr>
      </w:pPr>
      <w:r w:rsidRPr="00AE4DF4">
        <w:rPr>
          <w:rStyle w:val="FootnoteReference"/>
          <w:color w:val="000000"/>
        </w:rPr>
        <w:footnoteRef/>
      </w:r>
      <w:r w:rsidRPr="00AE4DF4">
        <w:rPr>
          <w:color w:val="000000"/>
        </w:rPr>
        <w:t xml:space="preserve"> </w:t>
      </w:r>
      <w:r w:rsidRPr="00AE4DF4">
        <w:rPr>
          <w:i/>
          <w:color w:val="000000"/>
        </w:rPr>
        <w:t>Id</w:t>
      </w:r>
      <w:r w:rsidRPr="00AE4DF4">
        <w:rPr>
          <w:color w:val="000000"/>
        </w:rPr>
        <w:t>.</w:t>
      </w:r>
    </w:p>
  </w:footnote>
  <w:footnote w:id="46">
    <w:p w:rsidR="007D2460" w:rsidRPr="00AF194D" w14:paraId="3942BC11" w14:textId="6FF71C26">
      <w:pPr>
        <w:pStyle w:val="FootnoteText"/>
      </w:pPr>
      <w:r>
        <w:rPr>
          <w:rStyle w:val="FootnoteReference"/>
        </w:rPr>
        <w:footnoteRef/>
      </w:r>
      <w:r>
        <w:t xml:space="preserve"> 47 CFR § 1.8</w:t>
      </w:r>
      <w:r w:rsidR="00480611">
        <w:t>0</w:t>
      </w:r>
      <w:r w:rsidR="00AE4DF4">
        <w:t>.</w:t>
      </w:r>
    </w:p>
  </w:footnote>
  <w:footnote w:id="47">
    <w:p w:rsidR="00E44C14" w:rsidRPr="00AE4DF4" w:rsidP="00E44C14" w14:paraId="4A907F40" w14:textId="77777777">
      <w:pPr>
        <w:pStyle w:val="FootnoteText"/>
        <w:rPr>
          <w:color w:val="000000"/>
        </w:rPr>
      </w:pPr>
      <w:r w:rsidRPr="00AE4DF4">
        <w:rPr>
          <w:rStyle w:val="FootnoteReference"/>
          <w:color w:val="000000"/>
        </w:rPr>
        <w:footnoteRef/>
      </w:r>
      <w:r w:rsidRPr="00AE4DF4">
        <w:rPr>
          <w:color w:val="000000"/>
        </w:rPr>
        <w:t xml:space="preserve"> </w:t>
      </w:r>
      <w:r w:rsidRPr="00AE4DF4">
        <w:rPr>
          <w:i/>
          <w:color w:val="000000"/>
        </w:rPr>
        <w:t xml:space="preserve">The Commission’s Forfeiture Policy Statement and Amendment of Section 1.80 of the </w:t>
      </w:r>
      <w:r w:rsidRPr="001E7547">
        <w:rPr>
          <w:i/>
          <w:color w:val="000000"/>
        </w:rPr>
        <w:t xml:space="preserve">Commission’s </w:t>
      </w:r>
      <w:r>
        <w:rPr>
          <w:i/>
          <w:color w:val="000000"/>
        </w:rPr>
        <w:t>R</w:t>
      </w:r>
      <w:r w:rsidRPr="001E7547">
        <w:rPr>
          <w:i/>
          <w:color w:val="000000"/>
        </w:rPr>
        <w:t xml:space="preserve">ules </w:t>
      </w:r>
      <w:r w:rsidRPr="00AE4DF4">
        <w:rPr>
          <w:i/>
          <w:color w:val="000000"/>
        </w:rPr>
        <w:t>to Incorporate the Forfeiture Guidelines</w:t>
      </w:r>
      <w:r w:rsidRPr="00AE4DF4">
        <w:rPr>
          <w:color w:val="000000"/>
        </w:rPr>
        <w:t>, Report and Order, 12 FCC Rcd 17087, 17098–99, para. 22 (1997) (noting that “[a]</w:t>
      </w:r>
      <w:r w:rsidRPr="00AE4DF4">
        <w:rPr>
          <w:color w:val="000000"/>
        </w:rPr>
        <w:t>lthough</w:t>
      </w:r>
      <w:r w:rsidRPr="00AE4DF4">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Pr>
          <w:i/>
          <w:color w:val="000000"/>
        </w:rPr>
        <w:t xml:space="preserve">1997 </w:t>
      </w:r>
      <w:r w:rsidRPr="00AE4DF4">
        <w:rPr>
          <w:i/>
          <w:color w:val="000000"/>
        </w:rPr>
        <w:t>Forfeiture Policy Statement</w:t>
      </w:r>
      <w:r w:rsidRPr="00AE4DF4">
        <w:rPr>
          <w:color w:val="000000"/>
        </w:rPr>
        <w:t xml:space="preserve">), </w:t>
      </w:r>
      <w:r w:rsidRPr="00AE4DF4">
        <w:rPr>
          <w:i/>
          <w:color w:val="000000"/>
        </w:rPr>
        <w:t>recons. denied</w:t>
      </w:r>
      <w:r w:rsidRPr="00AE4DF4">
        <w:rPr>
          <w:color w:val="000000"/>
        </w:rPr>
        <w:t>, Memorandum Opinion and Order, 15 FCC Rcd 303 (1999).</w:t>
      </w:r>
    </w:p>
  </w:footnote>
  <w:footnote w:id="48">
    <w:p w:rsidR="007D5AD7" w:rsidP="007D5AD7" w14:paraId="0CD40637" w14:textId="77777777">
      <w:pPr>
        <w:pStyle w:val="FootnoteText"/>
      </w:pPr>
      <w:r>
        <w:rPr>
          <w:rStyle w:val="FootnoteReference"/>
        </w:rPr>
        <w:footnoteRef/>
      </w:r>
      <w:r>
        <w:t xml:space="preserve"> </w:t>
      </w:r>
      <w:r w:rsidRPr="001C0E27">
        <w:t>47 U.S.C. § 503(b)</w:t>
      </w:r>
      <w:r w:rsidRPr="008F7D7C">
        <w:t>(2)(E).</w:t>
      </w:r>
    </w:p>
  </w:footnote>
  <w:footnote w:id="49">
    <w:p w:rsidR="00E75908" w:rsidP="00E75908" w14:paraId="6C883FF7" w14:textId="3AB72881">
      <w:pPr>
        <w:pStyle w:val="FootnoteText"/>
      </w:pPr>
      <w:r>
        <w:rPr>
          <w:rStyle w:val="FootnoteReference"/>
        </w:rPr>
        <w:footnoteRef/>
      </w:r>
      <w:r>
        <w:t xml:space="preserve"> </w:t>
      </w:r>
      <w:r w:rsidRPr="006A7836">
        <w:t xml:space="preserve">During the pendency of this case, the Station </w:t>
      </w:r>
      <w:r w:rsidRPr="006A7836" w:rsidR="00D3585E">
        <w:t xml:space="preserve">license </w:t>
      </w:r>
      <w:r w:rsidRPr="006A7836">
        <w:t xml:space="preserve">was assigned, </w:t>
      </w:r>
      <w:r w:rsidRPr="006A7836">
        <w:rPr>
          <w:i/>
          <w:iCs/>
        </w:rPr>
        <w:t>pro forma</w:t>
      </w:r>
      <w:r w:rsidRPr="006A7836">
        <w:t>, from Clear Channel Broadcasting Licenses, Inc. to IHM Licenses, LLC (Licensee)</w:t>
      </w:r>
      <w:r w:rsidR="00D3585E">
        <w:t xml:space="preserve">, </w:t>
      </w:r>
      <w:r w:rsidRPr="00D3585E" w:rsidR="00D3585E">
        <w:rPr>
          <w:i/>
          <w:iCs/>
        </w:rPr>
        <w:t>see</w:t>
      </w:r>
      <w:r w:rsidR="00D3585E">
        <w:t xml:space="preserve"> </w:t>
      </w:r>
      <w:r w:rsidRPr="006A7836">
        <w:t>Assignment Authorization</w:t>
      </w:r>
      <w:r w:rsidR="00D3585E">
        <w:t>.</w:t>
      </w:r>
    </w:p>
  </w:footnote>
  <w:footnote w:id="50">
    <w:p w:rsidR="00CB55FE" w14:paraId="1D87AAB9" w14:textId="79EE3D31">
      <w:pPr>
        <w:pStyle w:val="FootnoteText"/>
      </w:pPr>
      <w:r>
        <w:rPr>
          <w:rStyle w:val="FootnoteReference"/>
        </w:rPr>
        <w:footnoteRef/>
      </w:r>
      <w:r>
        <w:t xml:space="preserve"> </w:t>
      </w:r>
      <w:r w:rsidRPr="00CB55FE">
        <w:rPr>
          <w:i/>
        </w:rPr>
        <w:t>See, e.g.</w:t>
      </w:r>
      <w:r w:rsidRPr="00CB55FE">
        <w:rPr>
          <w:iCs/>
        </w:rPr>
        <w:t>,</w:t>
      </w:r>
      <w:r>
        <w:rPr>
          <w:iCs/>
        </w:rPr>
        <w:t xml:space="preserve"> </w:t>
      </w:r>
      <w:r w:rsidRPr="00CB55FE">
        <w:rPr>
          <w:i/>
          <w:iCs/>
        </w:rPr>
        <w:t>Clear Channel Broadcasting Licenses, Inc</w:t>
      </w:r>
      <w:r w:rsidRPr="00CB55FE">
        <w:rPr>
          <w:iCs/>
        </w:rPr>
        <w:t>, Notice of Apparent Liability for Forfeiture, 21 FCC Rcd 4072, 4074-75, para. 9, 13 (EB 2006)</w:t>
      </w:r>
      <w:r>
        <w:rPr>
          <w:iCs/>
        </w:rPr>
        <w:t xml:space="preserve"> </w:t>
      </w:r>
      <w:r w:rsidRPr="00AF71E1" w:rsidR="00AF71E1">
        <w:rPr>
          <w:iCs/>
        </w:rPr>
        <w:t xml:space="preserve">(forfeiture paid) </w:t>
      </w:r>
      <w:r>
        <w:rPr>
          <w:iCs/>
        </w:rPr>
        <w:t>(</w:t>
      </w:r>
      <w:r w:rsidR="00DD08A2">
        <w:rPr>
          <w:iCs/>
        </w:rPr>
        <w:t>l</w:t>
      </w:r>
      <w:r w:rsidR="00607611">
        <w:rPr>
          <w:iCs/>
        </w:rPr>
        <w:t>icensee</w:t>
      </w:r>
      <w:r w:rsidRPr="00607611" w:rsidR="00607611">
        <w:rPr>
          <w:iCs/>
        </w:rPr>
        <w:t xml:space="preserve"> excluded multiple entries from consideration and took remedial action before our investigation</w:t>
      </w:r>
      <w:r w:rsidR="00607611">
        <w:rPr>
          <w:iCs/>
        </w:rPr>
        <w:t>)</w:t>
      </w:r>
      <w:r w:rsidR="004C2E0E">
        <w:rPr>
          <w:iCs/>
        </w:rPr>
        <w:t xml:space="preserve">; </w:t>
      </w:r>
      <w:r w:rsidRPr="00DE79D1" w:rsidR="00DE79D1">
        <w:rPr>
          <w:i/>
          <w:iCs/>
        </w:rPr>
        <w:t>Clear Channel Broadcast Licenses, Inc.</w:t>
      </w:r>
      <w:r w:rsidRPr="00DE79D1" w:rsidR="00DE79D1">
        <w:rPr>
          <w:iCs/>
        </w:rPr>
        <w:t>, Notice of Apparent Liability for Forfeiture, 21 FCC Rcd 6808, 6811, para. 9 (EB-IHD 2006) (forfeiture paid) (</w:t>
      </w:r>
      <w:r w:rsidRPr="009A6A1C" w:rsidR="009A6A1C">
        <w:rPr>
          <w:iCs/>
        </w:rPr>
        <w:t>fined $6,000 for promoting a false contest</w:t>
      </w:r>
      <w:r w:rsidR="009A6A1C">
        <w:rPr>
          <w:iCs/>
        </w:rPr>
        <w:t>,</w:t>
      </w:r>
      <w:r w:rsidRPr="009A6A1C" w:rsidR="009A6A1C">
        <w:rPr>
          <w:iCs/>
        </w:rPr>
        <w:t xml:space="preserve"> </w:t>
      </w:r>
      <w:r w:rsidRPr="00DE79D1" w:rsidR="00DE79D1">
        <w:rPr>
          <w:iCs/>
        </w:rPr>
        <w:t>including upward adjustment based in part on licensee’s history of prior violations</w:t>
      </w:r>
      <w:r w:rsidR="004005E1">
        <w:rPr>
          <w:iCs/>
        </w:rPr>
        <w:t>)</w:t>
      </w:r>
      <w:r w:rsidRPr="00DE79D1" w:rsidR="00DE79D1">
        <w:rPr>
          <w:iCs/>
        </w:rPr>
        <w:t xml:space="preserve">, </w:t>
      </w:r>
      <w:r w:rsidRPr="00DE79D1" w:rsidR="00DE79D1">
        <w:rPr>
          <w:i/>
          <w:iCs/>
        </w:rPr>
        <w:t>see, e.g.</w:t>
      </w:r>
      <w:r w:rsidRPr="009A6A1C" w:rsidR="00DE79D1">
        <w:t xml:space="preserve">, </w:t>
      </w:r>
      <w:r w:rsidRPr="00DE79D1" w:rsidR="00DE79D1">
        <w:rPr>
          <w:i/>
          <w:iCs/>
        </w:rPr>
        <w:t>Capstar</w:t>
      </w:r>
      <w:r w:rsidRPr="00DE79D1" w:rsidR="00DE79D1">
        <w:rPr>
          <w:i/>
          <w:iCs/>
        </w:rPr>
        <w:t xml:space="preserve"> TX Limited Partnership</w:t>
      </w:r>
      <w:r w:rsidRPr="00DE79D1" w:rsidR="00DE79D1">
        <w:rPr>
          <w:iCs/>
        </w:rPr>
        <w:t xml:space="preserve">, Notice of Apparent Liability for Forfeiture, 20 FCC Rcd 10636 (EB 2005) (forfeiture paid); </w:t>
      </w:r>
      <w:r w:rsidRPr="00DE79D1" w:rsidR="00DE79D1">
        <w:rPr>
          <w:i/>
          <w:iCs/>
        </w:rPr>
        <w:t>Citicasters</w:t>
      </w:r>
      <w:r w:rsidRPr="00DE79D1" w:rsidR="00DE79D1">
        <w:rPr>
          <w:i/>
          <w:iCs/>
        </w:rPr>
        <w:t>, Co.</w:t>
      </w:r>
      <w:r w:rsidRPr="00DE79D1" w:rsidR="00DE79D1">
        <w:rPr>
          <w:iCs/>
        </w:rPr>
        <w:t xml:space="preserve">, Notice of Apparent Liability, 15 FCC Rcd 16612, 16613-14 (EB 2000) (forfeiture paid); </w:t>
      </w:r>
      <w:r w:rsidRPr="00DE79D1" w:rsidR="00DE79D1">
        <w:rPr>
          <w:i/>
          <w:iCs/>
        </w:rPr>
        <w:t>Clear Channel Broadcasting Licenses, Inc.</w:t>
      </w:r>
      <w:r w:rsidRPr="00DE79D1" w:rsidR="00DE79D1">
        <w:rPr>
          <w:iCs/>
        </w:rPr>
        <w:t>, Notice of Apparent Liability, 15 FCC Rcd 2734, 2735 (EB 2000) (forfeiture paid)</w:t>
      </w:r>
      <w:r w:rsidR="00DE79D1">
        <w:rPr>
          <w:iCs/>
        </w:rPr>
        <w:t xml:space="preserve">; </w:t>
      </w:r>
      <w:r w:rsidRPr="00410259" w:rsidR="00410259">
        <w:rPr>
          <w:i/>
          <w:iCs/>
        </w:rPr>
        <w:t xml:space="preserve">Clear Channel Communications, Inc., Ultimate Parent Company of AM FM Broadcasting Licenses, LLC, </w:t>
      </w:r>
      <w:r w:rsidRPr="00410259" w:rsidR="00410259">
        <w:rPr>
          <w:i/>
          <w:iCs/>
        </w:rPr>
        <w:t>Citicasters</w:t>
      </w:r>
      <w:r w:rsidRPr="00410259" w:rsidR="00410259">
        <w:rPr>
          <w:i/>
          <w:iCs/>
        </w:rPr>
        <w:t xml:space="preserve"> Licenses, Inc., </w:t>
      </w:r>
      <w:r w:rsidRPr="00410259" w:rsidR="00410259">
        <w:rPr>
          <w:i/>
          <w:iCs/>
        </w:rPr>
        <w:t>Capstar</w:t>
      </w:r>
      <w:r w:rsidRPr="00410259" w:rsidR="00410259">
        <w:rPr>
          <w:i/>
          <w:iCs/>
        </w:rPr>
        <w:t xml:space="preserve"> TX LLC</w:t>
      </w:r>
      <w:r w:rsidRPr="00410259" w:rsidR="00410259">
        <w:rPr>
          <w:iCs/>
        </w:rPr>
        <w:t xml:space="preserve">, Notice of Apparent Liability for Forfeiture, 27 FCC Rcd 343, 347-48, para. 9 (EB-IHD 2012) (cautioning the imposition of even higher forfeitures if such misconduct persists, </w:t>
      </w:r>
      <w:r w:rsidRPr="00410259" w:rsidR="00410259">
        <w:rPr>
          <w:i/>
          <w:iCs/>
        </w:rPr>
        <w:t xml:space="preserve">see, e.g., AMFM Broadcasting, </w:t>
      </w:r>
      <w:r w:rsidRPr="00410259" w:rsidR="00410259">
        <w:rPr>
          <w:iCs/>
        </w:rPr>
        <w:t>24 FCC Rcd 1529 (EB 2009) (imposing a forfeiture for failure to conduct a contest as announced and advertised) (forfeiture paid)).</w:t>
      </w:r>
    </w:p>
  </w:footnote>
  <w:footnote w:id="51">
    <w:p w:rsidR="007D5AD7" w:rsidP="007D5AD7" w14:paraId="0C27383E" w14:textId="77777777">
      <w:pPr>
        <w:pStyle w:val="FootnoteText"/>
      </w:pPr>
      <w:r w:rsidRPr="004F69F1">
        <w:rPr>
          <w:rStyle w:val="FootnoteReference"/>
        </w:rPr>
        <w:footnoteRef/>
      </w:r>
      <w:r w:rsidRPr="004F69F1">
        <w:t xml:space="preserve"> </w:t>
      </w:r>
      <w:r w:rsidRPr="006B0550">
        <w:rPr>
          <w:i/>
          <w:iCs/>
        </w:rPr>
        <w:t xml:space="preserve">See </w:t>
      </w:r>
      <w:r w:rsidRPr="004F69F1">
        <w:rPr>
          <w:i/>
        </w:rPr>
        <w:t>South Central Communications Corporation, Licensee of Stations WIKY-FM, Evansville, Indiana; WABX(FM), Evansville, Indiana; WLFW(FM), Chandler, Indiana; &amp; WSTO(FM), Owensboro, Kentucky</w:t>
      </w:r>
      <w:r w:rsidRPr="004F69F1">
        <w:t xml:space="preserve">, Notice of Apparent Liability for Forfeiture, 29 FCC Rcd 2855 (EB 2014) </w:t>
      </w:r>
      <w:r>
        <w:t xml:space="preserve">(upward adjustment imposed for delaying award by over a year and failing to remedy </w:t>
      </w:r>
      <w:r w:rsidRPr="006B0550">
        <w:t>violations until after the Bureau opened an investigation</w:t>
      </w:r>
      <w:r>
        <w:t>)</w:t>
      </w:r>
      <w:r w:rsidRPr="00461545">
        <w:t xml:space="preserve"> </w:t>
      </w:r>
      <w:r w:rsidRPr="004F69F1">
        <w:t xml:space="preserve">(forfeiture paid).  </w:t>
      </w:r>
    </w:p>
  </w:footnote>
  <w:footnote w:id="52">
    <w:p w:rsidR="00D560FF" w:rsidP="00D560FF" w14:paraId="75629BB2" w14:textId="26573126">
      <w:pPr>
        <w:pStyle w:val="FootnoteText"/>
      </w:pPr>
      <w:r>
        <w:rPr>
          <w:rStyle w:val="FootnoteReference"/>
        </w:rPr>
        <w:footnoteRef/>
      </w:r>
      <w:r>
        <w:t xml:space="preserve"> </w:t>
      </w:r>
      <w:r w:rsidRPr="00F470EA">
        <w:rPr>
          <w:i/>
        </w:rPr>
        <w:t>See Unipoint Technologies, Inc</w:t>
      </w:r>
      <w:r w:rsidRPr="00F470EA">
        <w:t xml:space="preserve">. </w:t>
      </w:r>
      <w:r w:rsidRPr="00F470EA">
        <w:rPr>
          <w:i/>
        </w:rPr>
        <w:t>d/b/a Comfi.com d/b/a Masterbell.com d/b/a Pushline.com a/k/a Communications Fidelity</w:t>
      </w:r>
      <w:r w:rsidRPr="00F470EA">
        <w:t xml:space="preserve">, Forfeiture Order, 29 FCC Rcd 1633, 1640, para. 21 (2014) (“It is immaterial whether [the licensee’s] violations were inadvertent, the result of ignorance of the law, or the product of administrative oversight.”), </w:t>
      </w:r>
      <w:r w:rsidRPr="00F470EA">
        <w:rPr>
          <w:i/>
        </w:rPr>
        <w:t>default judgment entered</w:t>
      </w:r>
      <w:r w:rsidRPr="00F470EA">
        <w:t>,</w:t>
      </w:r>
      <w:r w:rsidRPr="00F470EA">
        <w:rPr>
          <w:i/>
        </w:rPr>
        <w:t xml:space="preserve"> United States v. Unipoint Technologies, Inc</w:t>
      </w:r>
      <w:r w:rsidRPr="00F470EA">
        <w:t xml:space="preserve">., No. 14-12020-LTS, 2016 WL 8902575, at *1-2 (D. Mass. Apr. 27, 2016); </w:t>
      </w:r>
      <w:r w:rsidRPr="00F470EA">
        <w:rPr>
          <w:i/>
        </w:rPr>
        <w:t>Texas Soaring Association, Inc</w:t>
      </w:r>
      <w:r w:rsidRPr="00F470EA">
        <w:t xml:space="preserve">. </w:t>
      </w:r>
      <w:r w:rsidRPr="00F470EA">
        <w:rPr>
          <w:i/>
        </w:rPr>
        <w:t>Midlothian, Texas</w:t>
      </w:r>
      <w:r w:rsidRPr="00F470EA">
        <w:t>, Forfeiture Order, 28 FCC Rcd 10740, 10743-44, para. 7 (EB 2013) (“Even if administrative oversight, inadvertence, or a lack of familiarity with the Rules may have contributed to the violation, they do not . . . mitigate liability arising therefrom”) (footnotes omitted)</w:t>
      </w:r>
      <w:r w:rsidRPr="003A419B" w:rsidR="003A419B">
        <w:t xml:space="preserve"> </w:t>
      </w:r>
      <w:r w:rsidRPr="00F470EA" w:rsidR="003A419B">
        <w:t>(forfeiture paid)</w:t>
      </w:r>
      <w:r w:rsidRPr="00F470EA">
        <w:t xml:space="preserve">; </w:t>
      </w:r>
      <w:r w:rsidRPr="00F470EA">
        <w:rPr>
          <w:i/>
        </w:rPr>
        <w:t>Cascade Access, L.L.C.</w:t>
      </w:r>
      <w:r w:rsidRPr="00F470EA">
        <w:t xml:space="preserve">, Forfeiture Order, 28 FCC Rcd 141, 145, para. 9 (EB 2013) (rejecting argument that the unintentional nature of the violation justifies mitigation of the forfeiture amount), </w:t>
      </w:r>
      <w:r w:rsidRPr="00F470EA">
        <w:rPr>
          <w:i/>
        </w:rPr>
        <w:t>recon</w:t>
      </w:r>
      <w:r w:rsidR="00E2500B">
        <w:rPr>
          <w:i/>
        </w:rPr>
        <w:t>s</w:t>
      </w:r>
      <w:r w:rsidRPr="00F470EA">
        <w:rPr>
          <w:i/>
        </w:rPr>
        <w:t>. denied</w:t>
      </w:r>
      <w:r w:rsidRPr="00F470EA">
        <w:t>, Memorandum Opinion and Order, 30 FCC Rcd 14018 (EB 2015)</w:t>
      </w:r>
      <w:r w:rsidRPr="003A419B" w:rsidR="003A419B">
        <w:t xml:space="preserve"> </w:t>
      </w:r>
      <w:r w:rsidRPr="00F470EA" w:rsidR="003A419B">
        <w:t>(forfeiture paid)</w:t>
      </w:r>
      <w:r w:rsidRPr="00F470EA">
        <w:t xml:space="preserve">; </w:t>
      </w:r>
      <w:r w:rsidRPr="00F470EA">
        <w:rPr>
          <w:i/>
        </w:rPr>
        <w:t xml:space="preserve">América </w:t>
      </w:r>
      <w:r w:rsidRPr="00F470EA">
        <w:rPr>
          <w:i/>
        </w:rPr>
        <w:t>Móvil</w:t>
      </w:r>
      <w:r w:rsidRPr="00F470EA">
        <w:rPr>
          <w:i/>
        </w:rPr>
        <w:t>, S.A.B. de C.V. Parent of Puerto Rico Telephone Company, Inc.</w:t>
      </w:r>
      <w:r w:rsidRPr="00F470EA">
        <w:t>, Notice of Apparent Liability for Forfeiture, 26 FCC Rcd 8672, 8676, para. 11 (EB 2011) (“it is well established that administrative oversight or inadvertence is not a mitigating factor warranting a downward adjustment of a forfeiture.”)</w:t>
      </w:r>
      <w:r w:rsidRPr="00106CA9" w:rsidR="00106CA9">
        <w:t xml:space="preserve"> </w:t>
      </w:r>
      <w:r w:rsidRPr="00F470EA" w:rsidR="00106CA9">
        <w:t>(forfeiture paid)</w:t>
      </w:r>
      <w:r w:rsidRPr="00F470EA">
        <w:t xml:space="preserve">. </w:t>
      </w:r>
    </w:p>
  </w:footnote>
  <w:footnote w:id="53">
    <w:p w:rsidR="00EA5CAB" w14:paraId="687E34ED" w14:textId="0EA5EA65">
      <w:pPr>
        <w:pStyle w:val="FootnoteText"/>
      </w:pPr>
      <w:r>
        <w:rPr>
          <w:rStyle w:val="FootnoteReference"/>
        </w:rPr>
        <w:footnoteRef/>
      </w:r>
      <w:r>
        <w:t xml:space="preserve"> </w:t>
      </w:r>
      <w:r w:rsidRPr="004F4E05" w:rsidR="004F4E05">
        <w:rPr>
          <w:i/>
          <w:iCs/>
        </w:rPr>
        <w:t xml:space="preserve">See </w:t>
      </w:r>
      <w:r w:rsidRPr="00410259">
        <w:rPr>
          <w:i/>
          <w:iCs/>
        </w:rPr>
        <w:t>Clear Channel Communications, Inc.</w:t>
      </w:r>
      <w:r w:rsidRPr="00410259">
        <w:rPr>
          <w:iCs/>
        </w:rPr>
        <w:t xml:space="preserve">, 27 FCC Rcd </w:t>
      </w:r>
      <w:r w:rsidR="009910FC">
        <w:rPr>
          <w:iCs/>
        </w:rPr>
        <w:t>at</w:t>
      </w:r>
      <w:r>
        <w:rPr>
          <w:iCs/>
        </w:rPr>
        <w:t xml:space="preserve"> </w:t>
      </w:r>
      <w:r w:rsidRPr="00410259">
        <w:rPr>
          <w:iCs/>
        </w:rPr>
        <w:t>347-48, para. 9 (</w:t>
      </w:r>
      <w:r w:rsidRPr="009910FC" w:rsidR="009910FC">
        <w:rPr>
          <w:iCs/>
        </w:rPr>
        <w:t>$22,000</w:t>
      </w:r>
      <w:r w:rsidR="009910FC">
        <w:rPr>
          <w:iCs/>
        </w:rPr>
        <w:t xml:space="preserve"> forfeiture, </w:t>
      </w:r>
      <w:r w:rsidRPr="00410259">
        <w:rPr>
          <w:iCs/>
        </w:rPr>
        <w:t>cautioning the imposition of higher forfeitures if such misconduct persists</w:t>
      </w:r>
      <w:r>
        <w:rPr>
          <w:iCs/>
        </w:rPr>
        <w:t>)</w:t>
      </w:r>
      <w:r w:rsidRPr="00410259">
        <w:rPr>
          <w:iCs/>
        </w:rPr>
        <w:t xml:space="preserve"> (forfeiture paid).</w:t>
      </w:r>
    </w:p>
  </w:footnote>
  <w:footnote w:id="54">
    <w:p w:rsidR="00D9231E" w:rsidRPr="00135AC3" w:rsidP="00D73A4A" w14:paraId="4794E630" w14:textId="77777777">
      <w:pPr>
        <w:pStyle w:val="FootnoteText"/>
      </w:pPr>
      <w:r w:rsidRPr="00135AC3">
        <w:rPr>
          <w:rStyle w:val="FootnoteReference"/>
        </w:rPr>
        <w:footnoteRef/>
      </w:r>
      <w:r w:rsidRPr="00135AC3">
        <w:t xml:space="preserve"> 47 U.S.C. § 503(b).</w:t>
      </w:r>
    </w:p>
  </w:footnote>
  <w:footnote w:id="55">
    <w:p w:rsidR="00D9231E" w:rsidRPr="00135AC3" w:rsidP="00D73A4A" w14:paraId="364FA976" w14:textId="77777777">
      <w:pPr>
        <w:pStyle w:val="FootnoteText"/>
      </w:pPr>
      <w:r w:rsidRPr="00135AC3">
        <w:rPr>
          <w:rStyle w:val="FootnoteReference"/>
        </w:rPr>
        <w:footnoteRef/>
      </w:r>
      <w:r w:rsidRPr="00135AC3">
        <w:t xml:space="preserve"> 47 CFR §§ 0.111, 0.311, 1.80.</w:t>
      </w:r>
    </w:p>
  </w:footnote>
  <w:footnote w:id="56">
    <w:p w:rsidR="00D9231E" w:rsidRPr="00135AC3" w:rsidP="00D73A4A" w14:paraId="2924EE88" w14:textId="77777777">
      <w:pPr>
        <w:pStyle w:val="FootnoteText"/>
      </w:pPr>
      <w:r w:rsidRPr="00135AC3">
        <w:rPr>
          <w:rStyle w:val="FootnoteReference"/>
        </w:rPr>
        <w:footnoteRef/>
      </w:r>
      <w:r w:rsidRPr="00135AC3">
        <w:t xml:space="preserve"> 47 CFR § </w:t>
      </w:r>
      <w:r w:rsidR="00B9041F">
        <w:t>7</w:t>
      </w:r>
      <w:r w:rsidR="00C970F0">
        <w:t>3</w:t>
      </w:r>
      <w:r w:rsidR="00B9041F">
        <w:t>.1216</w:t>
      </w:r>
      <w:r w:rsidRPr="00135AC3">
        <w:t>.</w:t>
      </w:r>
    </w:p>
  </w:footnote>
  <w:footnote w:id="57">
    <w:p w:rsidR="00D9231E" w:rsidRPr="00135AC3" w:rsidP="00D73A4A" w14:paraId="08DFA902" w14:textId="77777777">
      <w:pPr>
        <w:pStyle w:val="FootnoteText"/>
      </w:pPr>
      <w:r w:rsidRPr="00135AC3">
        <w:rPr>
          <w:rStyle w:val="FootnoteReference"/>
        </w:rPr>
        <w:footnoteRef/>
      </w:r>
      <w:r w:rsidRPr="00135AC3">
        <w:t xml:space="preserve"> </w:t>
      </w:r>
      <w:r w:rsidRPr="00C970F0" w:rsidR="00C970F0">
        <w:t>47 CFR</w:t>
      </w:r>
      <w:r w:rsidRPr="00135AC3">
        <w:rPr>
          <w:i/>
        </w:rPr>
        <w:t xml:space="preserve"> </w:t>
      </w:r>
      <w:r w:rsidRPr="00135AC3">
        <w:t>§ 1.80.</w:t>
      </w:r>
    </w:p>
  </w:footnote>
  <w:footnote w:id="58">
    <w:p w:rsidR="005B7061" w:rsidRPr="0019279C" w:rsidP="005B7061" w14:paraId="07635DCA" w14:textId="1517AEB8">
      <w:pPr>
        <w:pStyle w:val="FootnoteText"/>
      </w:pPr>
      <w:r w:rsidRPr="0019279C">
        <w:rPr>
          <w:rStyle w:val="FootnoteReference"/>
        </w:rPr>
        <w:footnoteRef/>
      </w:r>
      <w:r w:rsidRPr="0019279C">
        <w:t xml:space="preserve"> </w:t>
      </w:r>
      <w:r w:rsidRPr="009716F7" w:rsidR="00266877">
        <w:t>Payments made using CORES do not require the submission of an FCC Form 159.</w:t>
      </w:r>
    </w:p>
  </w:footnote>
  <w:footnote w:id="59">
    <w:p w:rsidR="005B7061" w:rsidRPr="0019279C" w:rsidP="005B7061" w14:paraId="0A11BA5F" w14:textId="77777777">
      <w:pPr>
        <w:pStyle w:val="FootnoteText"/>
        <w:rPr>
          <w:sz w:val="22"/>
          <w:szCs w:val="22"/>
        </w:rPr>
      </w:pPr>
      <w:r w:rsidRPr="0019279C">
        <w:rPr>
          <w:rStyle w:val="FootnoteReference"/>
        </w:rPr>
        <w:footnoteRef/>
      </w:r>
      <w:r w:rsidRPr="0019279C">
        <w:t xml:space="preserve"> For questions regarding payment procedures, please contact the Financial Operations Group Help Desk by phone at 1-877-480-3201 (option #6), or by e-mail at </w:t>
      </w:r>
      <w:hyperlink r:id="rId2" w:history="1">
        <w:r w:rsidRPr="0019279C">
          <w:rPr>
            <w:rStyle w:val="Hyperlink"/>
          </w:rPr>
          <w:t>ARINQUIRIES@fcc.gov</w:t>
        </w:r>
      </w:hyperlink>
      <w:r w:rsidRPr="0019279C">
        <w:t>.</w:t>
      </w:r>
    </w:p>
  </w:footnote>
  <w:footnote w:id="60">
    <w:p w:rsidR="00266877" w14:paraId="0692E9A9" w14:textId="336377F2">
      <w:pPr>
        <w:pStyle w:val="FootnoteText"/>
      </w:pPr>
      <w:r>
        <w:rPr>
          <w:rStyle w:val="FootnoteReference"/>
        </w:rPr>
        <w:footnoteRef/>
      </w:r>
      <w:r>
        <w:t xml:space="preserve"> </w:t>
      </w:r>
      <w:r w:rsidRPr="003433FA">
        <w:t xml:space="preserve">FCC Form 159 is accessible at </w:t>
      </w:r>
      <w:hyperlink r:id="rId3" w:history="1">
        <w:r w:rsidRPr="003433FA">
          <w:rPr>
            <w:rStyle w:val="Hyperlink"/>
          </w:rPr>
          <w:t>https://www.fcc.gov/licensing-databases/fees/fcc-remittance-advice-form-159</w:t>
        </w:r>
      </w:hyperlink>
      <w:r w:rsidRPr="003433FA">
        <w:rPr>
          <w:rStyle w:val="Hyperlink"/>
        </w:rPr>
        <w:t>.</w:t>
      </w:r>
    </w:p>
  </w:footnote>
  <w:footnote w:id="61">
    <w:p w:rsidR="00D9231E" w:rsidRPr="00135AC3" w:rsidP="00D73A4A" w14:paraId="65277386" w14:textId="77777777">
      <w:pPr>
        <w:pStyle w:val="FootnoteText"/>
      </w:pPr>
      <w:r w:rsidRPr="00135AC3">
        <w:rPr>
          <w:rStyle w:val="FootnoteReference"/>
        </w:rPr>
        <w:footnoteRef/>
      </w:r>
      <w:r w:rsidRPr="00135AC3">
        <w:t xml:space="preserve"> 47 CFR §§ 1.80(f)(3),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AE9" w:rsidP="007E7901" w14:paraId="3587D18B" w14:textId="38AA534F">
    <w:pPr>
      <w:pStyle w:val="Header"/>
    </w:pPr>
    <w:r>
      <w:tab/>
    </w:r>
    <w:r>
      <w:t>Federal Communications Commission</w:t>
    </w:r>
    <w:r>
      <w:tab/>
    </w:r>
    <w:r w:rsidRPr="00FF385B" w:rsidR="00282337">
      <w:t xml:space="preserve">DA </w:t>
    </w:r>
    <w:r w:rsidR="004C412C">
      <w:t>22</w:t>
    </w:r>
    <w:r w:rsidRPr="004C412C" w:rsidR="00BE6E12">
      <w:t>-</w:t>
    </w:r>
    <w:r w:rsidR="004C412C">
      <w:t>203</w:t>
    </w:r>
    <w:r w:rsidR="009D0213">
      <w:t xml:space="preserve"> </w:t>
    </w:r>
  </w:p>
  <w:p w:rsidR="00A80AE9" w:rsidP="007E7901" w14:paraId="367E909F" w14:textId="55536816">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A80AE9" w:rsidP="007E7901" w14:paraId="307EF6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AE9" w:rsidRPr="00BD6EA6" w:rsidP="007E7901" w14:paraId="43F98C00" w14:textId="78F20823">
    <w:pPr>
      <w:pStyle w:val="Header"/>
    </w:pPr>
    <w:r>
      <w:tab/>
    </w:r>
    <w:r w:rsidRPr="00BD6EA6">
      <w:t>Federal Communications Commission</w:t>
    </w:r>
    <w:r w:rsidRPr="00BD6EA6">
      <w:tab/>
      <w:t xml:space="preserve"> </w:t>
    </w:r>
    <w:r w:rsidRPr="00BD6EA6" w:rsidR="00CB758A">
      <w:t xml:space="preserve">DA </w:t>
    </w:r>
    <w:r w:rsidR="00BD6EA6">
      <w:t>22</w:t>
    </w:r>
    <w:r w:rsidRPr="00BD6EA6" w:rsidR="005C4E1C">
      <w:t>-</w:t>
    </w:r>
    <w:r w:rsidR="00BD6EA6">
      <w:t>203</w:t>
    </w:r>
  </w:p>
  <w:p w:rsidR="00A80AE9" w:rsidRPr="00105999" w:rsidP="007E7901" w14:paraId="577CBD8F" w14:textId="5A3074E0">
    <w:pPr>
      <w:pStyle w:val="Header"/>
      <w:rPr>
        <w:color w:val="00B0F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C16B7"/>
    <w:multiLevelType w:val="hybridMultilevel"/>
    <w:tmpl w:val="457AC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472863"/>
    <w:multiLevelType w:val="hybridMultilevel"/>
    <w:tmpl w:val="F4B0B3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rPr>
    </w:lvl>
  </w:abstractNum>
  <w:abstractNum w:abstractNumId="7">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59BA0F8A"/>
    <w:multiLevelType w:val="singleLevel"/>
    <w:tmpl w:val="5E322D42"/>
    <w:lvl w:ilvl="0">
      <w:start w:val="1"/>
      <w:numFmt w:val="bullet"/>
      <w:lvlText w:val=""/>
      <w:lvlJc w:val="left"/>
      <w:pPr>
        <w:tabs>
          <w:tab w:val="num" w:pos="2520"/>
        </w:tabs>
        <w:ind w:left="2520" w:hanging="360"/>
      </w:pPr>
      <w:rPr>
        <w:rFonts w:ascii="Symbol" w:hAnsi="Symbol" w:hint="default"/>
        <w:color w:val="auto"/>
      </w:rPr>
    </w:lvl>
  </w:abstractNum>
  <w:abstractNum w:abstractNumId="12">
    <w:nsid w:val="5F2304F7"/>
    <w:multiLevelType w:val="singleLevel"/>
    <w:tmpl w:val="F03A9F1C"/>
    <w:lvl w:ilvl="0">
      <w:start w:val="1"/>
      <w:numFmt w:val="decimal"/>
      <w:lvlText w:val="%1."/>
      <w:lvlJc w:val="left"/>
      <w:pPr>
        <w:tabs>
          <w:tab w:val="num" w:pos="1080"/>
        </w:tabs>
        <w:ind w:left="0" w:firstLine="720"/>
      </w:pPr>
      <w:rPr>
        <w:b w:val="0"/>
        <w:sz w:val="22"/>
        <w:szCs w:val="22"/>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BE844D5"/>
    <w:multiLevelType w:val="multilevel"/>
    <w:tmpl w:val="A60C9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6"/>
  </w:num>
  <w:num w:numId="4">
    <w:abstractNumId w:val="9"/>
  </w:num>
  <w:num w:numId="5">
    <w:abstractNumId w:val="7"/>
  </w:num>
  <w:num w:numId="6">
    <w:abstractNumId w:val="12"/>
  </w:num>
  <w:num w:numId="7">
    <w:abstractNumId w:val="6"/>
  </w:num>
  <w:num w:numId="8">
    <w:abstractNumId w:val="6"/>
  </w:num>
  <w:num w:numId="9">
    <w:abstractNumId w:val="2"/>
  </w:num>
  <w:num w:numId="10">
    <w:abstractNumId w:val="13"/>
  </w:num>
  <w:num w:numId="11">
    <w:abstractNumId w:val="4"/>
  </w:num>
  <w:num w:numId="12">
    <w:abstractNumId w:val="10"/>
  </w:num>
  <w:num w:numId="13">
    <w:abstractNumId w:val="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10"/>
  </w:num>
  <w:num w:numId="37">
    <w:abstractNumId w:val="6"/>
  </w:num>
  <w:num w:numId="38">
    <w:abstractNumId w:val="8"/>
  </w:num>
  <w:num w:numId="39">
    <w:abstractNumId w:val="3"/>
  </w:num>
  <w:num w:numId="40">
    <w:abstractNumId w:val="1"/>
  </w:num>
  <w:num w:numId="41">
    <w:abstractNumId w:val="0"/>
  </w:num>
  <w:num w:numId="42">
    <w:abstractNumId w:val="13"/>
  </w:num>
  <w:num w:numId="43">
    <w:abstractNumId w:val="13"/>
    <w:lvlOverride w:ilvl="0">
      <w:startOverride w:val="1"/>
    </w:lvlOverride>
  </w:num>
  <w:num w:numId="44">
    <w:abstractNumId w:val="13"/>
    <w:lvlOverride w:ilvl="0">
      <w:startOverride w:val="1"/>
    </w:lvlOverride>
  </w:num>
  <w:num w:numId="45">
    <w:abstractNumId w:val="14"/>
  </w:num>
  <w:num w:numId="46">
    <w:abstractNumId w:val="5"/>
  </w:num>
  <w:num w:numId="4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9E"/>
    <w:rsid w:val="00000E8A"/>
    <w:rsid w:val="000011AC"/>
    <w:rsid w:val="00001E36"/>
    <w:rsid w:val="00001F9D"/>
    <w:rsid w:val="00002D00"/>
    <w:rsid w:val="00005203"/>
    <w:rsid w:val="00011043"/>
    <w:rsid w:val="000133D3"/>
    <w:rsid w:val="000140BB"/>
    <w:rsid w:val="0001484F"/>
    <w:rsid w:val="00015FA3"/>
    <w:rsid w:val="000208AC"/>
    <w:rsid w:val="00021E49"/>
    <w:rsid w:val="000226A1"/>
    <w:rsid w:val="00022A88"/>
    <w:rsid w:val="000263A2"/>
    <w:rsid w:val="00026B84"/>
    <w:rsid w:val="00026CE7"/>
    <w:rsid w:val="00027953"/>
    <w:rsid w:val="00027FAB"/>
    <w:rsid w:val="000323F8"/>
    <w:rsid w:val="000327C3"/>
    <w:rsid w:val="000337F4"/>
    <w:rsid w:val="00034C9A"/>
    <w:rsid w:val="000364AE"/>
    <w:rsid w:val="00036C5D"/>
    <w:rsid w:val="00037715"/>
    <w:rsid w:val="00040AF0"/>
    <w:rsid w:val="00042260"/>
    <w:rsid w:val="00042F08"/>
    <w:rsid w:val="00043EC0"/>
    <w:rsid w:val="00046F99"/>
    <w:rsid w:val="00050090"/>
    <w:rsid w:val="00050746"/>
    <w:rsid w:val="00051039"/>
    <w:rsid w:val="00051FEF"/>
    <w:rsid w:val="000522ED"/>
    <w:rsid w:val="000527CF"/>
    <w:rsid w:val="00052D22"/>
    <w:rsid w:val="00053516"/>
    <w:rsid w:val="00054C6A"/>
    <w:rsid w:val="00055609"/>
    <w:rsid w:val="00056A91"/>
    <w:rsid w:val="0005750C"/>
    <w:rsid w:val="0005789C"/>
    <w:rsid w:val="00060AEE"/>
    <w:rsid w:val="00061CCC"/>
    <w:rsid w:val="00061DFF"/>
    <w:rsid w:val="00061F79"/>
    <w:rsid w:val="00062615"/>
    <w:rsid w:val="00062BFB"/>
    <w:rsid w:val="00064602"/>
    <w:rsid w:val="000648D3"/>
    <w:rsid w:val="00066C0E"/>
    <w:rsid w:val="0007086A"/>
    <w:rsid w:val="00071DD3"/>
    <w:rsid w:val="0007443B"/>
    <w:rsid w:val="000774E3"/>
    <w:rsid w:val="000779F0"/>
    <w:rsid w:val="000807E0"/>
    <w:rsid w:val="00080E58"/>
    <w:rsid w:val="00081417"/>
    <w:rsid w:val="00082219"/>
    <w:rsid w:val="0008226F"/>
    <w:rsid w:val="0008238E"/>
    <w:rsid w:val="0008523E"/>
    <w:rsid w:val="000855A2"/>
    <w:rsid w:val="00086201"/>
    <w:rsid w:val="0008670A"/>
    <w:rsid w:val="00086FC5"/>
    <w:rsid w:val="00090A19"/>
    <w:rsid w:val="00090D87"/>
    <w:rsid w:val="00090EFC"/>
    <w:rsid w:val="00092007"/>
    <w:rsid w:val="0009211F"/>
    <w:rsid w:val="00092483"/>
    <w:rsid w:val="00093A22"/>
    <w:rsid w:val="00094312"/>
    <w:rsid w:val="00094488"/>
    <w:rsid w:val="0009595C"/>
    <w:rsid w:val="00096282"/>
    <w:rsid w:val="0009796B"/>
    <w:rsid w:val="000A13B7"/>
    <w:rsid w:val="000A1EA1"/>
    <w:rsid w:val="000A4D4E"/>
    <w:rsid w:val="000A6856"/>
    <w:rsid w:val="000A70D0"/>
    <w:rsid w:val="000A75D7"/>
    <w:rsid w:val="000A779C"/>
    <w:rsid w:val="000B129F"/>
    <w:rsid w:val="000B283B"/>
    <w:rsid w:val="000B3F55"/>
    <w:rsid w:val="000B45C6"/>
    <w:rsid w:val="000B7F0E"/>
    <w:rsid w:val="000C0603"/>
    <w:rsid w:val="000C2973"/>
    <w:rsid w:val="000C47AD"/>
    <w:rsid w:val="000D04FB"/>
    <w:rsid w:val="000D20BB"/>
    <w:rsid w:val="000D2F31"/>
    <w:rsid w:val="000D3488"/>
    <w:rsid w:val="000D4223"/>
    <w:rsid w:val="000D5BE7"/>
    <w:rsid w:val="000D6177"/>
    <w:rsid w:val="000E0996"/>
    <w:rsid w:val="000E4E02"/>
    <w:rsid w:val="000E5C6D"/>
    <w:rsid w:val="000E6EB1"/>
    <w:rsid w:val="000E71BE"/>
    <w:rsid w:val="000F076E"/>
    <w:rsid w:val="000F1A53"/>
    <w:rsid w:val="000F2D54"/>
    <w:rsid w:val="000F5D28"/>
    <w:rsid w:val="000F6ED8"/>
    <w:rsid w:val="000F7A1B"/>
    <w:rsid w:val="00100150"/>
    <w:rsid w:val="001013B1"/>
    <w:rsid w:val="001023F0"/>
    <w:rsid w:val="001027F1"/>
    <w:rsid w:val="00104BC7"/>
    <w:rsid w:val="00104DD5"/>
    <w:rsid w:val="0010543F"/>
    <w:rsid w:val="00105999"/>
    <w:rsid w:val="00105B8A"/>
    <w:rsid w:val="00106A50"/>
    <w:rsid w:val="00106CA9"/>
    <w:rsid w:val="001075F0"/>
    <w:rsid w:val="00107D49"/>
    <w:rsid w:val="00107E08"/>
    <w:rsid w:val="00110C69"/>
    <w:rsid w:val="00111186"/>
    <w:rsid w:val="0011174D"/>
    <w:rsid w:val="00112FE7"/>
    <w:rsid w:val="00114BED"/>
    <w:rsid w:val="00114CBD"/>
    <w:rsid w:val="0011623E"/>
    <w:rsid w:val="001168E5"/>
    <w:rsid w:val="00117263"/>
    <w:rsid w:val="00117ED8"/>
    <w:rsid w:val="00120750"/>
    <w:rsid w:val="00121794"/>
    <w:rsid w:val="00124B7C"/>
    <w:rsid w:val="00124BA5"/>
    <w:rsid w:val="001262CF"/>
    <w:rsid w:val="001262DD"/>
    <w:rsid w:val="00126809"/>
    <w:rsid w:val="00127547"/>
    <w:rsid w:val="00127B6E"/>
    <w:rsid w:val="001307B9"/>
    <w:rsid w:val="00135583"/>
    <w:rsid w:val="00135AC3"/>
    <w:rsid w:val="00137079"/>
    <w:rsid w:val="001410D8"/>
    <w:rsid w:val="001414E6"/>
    <w:rsid w:val="001415BC"/>
    <w:rsid w:val="00141D67"/>
    <w:rsid w:val="001476F2"/>
    <w:rsid w:val="00151680"/>
    <w:rsid w:val="00151733"/>
    <w:rsid w:val="00151ED8"/>
    <w:rsid w:val="00155B6D"/>
    <w:rsid w:val="00155B9B"/>
    <w:rsid w:val="001565E7"/>
    <w:rsid w:val="0015765E"/>
    <w:rsid w:val="0016020C"/>
    <w:rsid w:val="00161058"/>
    <w:rsid w:val="00161D7E"/>
    <w:rsid w:val="001658E6"/>
    <w:rsid w:val="00165B79"/>
    <w:rsid w:val="001670CC"/>
    <w:rsid w:val="001672C0"/>
    <w:rsid w:val="00167450"/>
    <w:rsid w:val="00170084"/>
    <w:rsid w:val="00171BB0"/>
    <w:rsid w:val="00172C66"/>
    <w:rsid w:val="00173504"/>
    <w:rsid w:val="001764E2"/>
    <w:rsid w:val="00176F01"/>
    <w:rsid w:val="00176F9B"/>
    <w:rsid w:val="001778B0"/>
    <w:rsid w:val="001810C7"/>
    <w:rsid w:val="0018159B"/>
    <w:rsid w:val="00181A20"/>
    <w:rsid w:val="0018698A"/>
    <w:rsid w:val="00187917"/>
    <w:rsid w:val="00187B06"/>
    <w:rsid w:val="00190D9F"/>
    <w:rsid w:val="0019279C"/>
    <w:rsid w:val="001942FD"/>
    <w:rsid w:val="00194632"/>
    <w:rsid w:val="001946E5"/>
    <w:rsid w:val="001975CF"/>
    <w:rsid w:val="00197B84"/>
    <w:rsid w:val="001A1893"/>
    <w:rsid w:val="001A1B2C"/>
    <w:rsid w:val="001A304A"/>
    <w:rsid w:val="001A6A41"/>
    <w:rsid w:val="001A7826"/>
    <w:rsid w:val="001A7BBE"/>
    <w:rsid w:val="001B03A1"/>
    <w:rsid w:val="001B050D"/>
    <w:rsid w:val="001B137A"/>
    <w:rsid w:val="001B187E"/>
    <w:rsid w:val="001B2173"/>
    <w:rsid w:val="001B293C"/>
    <w:rsid w:val="001B37CF"/>
    <w:rsid w:val="001B4EEF"/>
    <w:rsid w:val="001B51E5"/>
    <w:rsid w:val="001C0D14"/>
    <w:rsid w:val="001C0E27"/>
    <w:rsid w:val="001C1402"/>
    <w:rsid w:val="001C290E"/>
    <w:rsid w:val="001C3502"/>
    <w:rsid w:val="001C434C"/>
    <w:rsid w:val="001C497F"/>
    <w:rsid w:val="001C5D9A"/>
    <w:rsid w:val="001C664F"/>
    <w:rsid w:val="001C67F6"/>
    <w:rsid w:val="001D0443"/>
    <w:rsid w:val="001D0667"/>
    <w:rsid w:val="001D06E9"/>
    <w:rsid w:val="001D41B9"/>
    <w:rsid w:val="001D489F"/>
    <w:rsid w:val="001D4DED"/>
    <w:rsid w:val="001D591A"/>
    <w:rsid w:val="001D6331"/>
    <w:rsid w:val="001D7376"/>
    <w:rsid w:val="001D765A"/>
    <w:rsid w:val="001E0C10"/>
    <w:rsid w:val="001E2E82"/>
    <w:rsid w:val="001E5A62"/>
    <w:rsid w:val="001E5C1F"/>
    <w:rsid w:val="001E5F24"/>
    <w:rsid w:val="001E6A68"/>
    <w:rsid w:val="001E6E8C"/>
    <w:rsid w:val="001E7547"/>
    <w:rsid w:val="001E7971"/>
    <w:rsid w:val="001F01E4"/>
    <w:rsid w:val="001F2FF4"/>
    <w:rsid w:val="001F37D4"/>
    <w:rsid w:val="001F3CD1"/>
    <w:rsid w:val="001F4710"/>
    <w:rsid w:val="001F472D"/>
    <w:rsid w:val="001F595B"/>
    <w:rsid w:val="001F6041"/>
    <w:rsid w:val="002004F4"/>
    <w:rsid w:val="00200E37"/>
    <w:rsid w:val="00201AC6"/>
    <w:rsid w:val="00202244"/>
    <w:rsid w:val="00202BC3"/>
    <w:rsid w:val="00202EC6"/>
    <w:rsid w:val="00203320"/>
    <w:rsid w:val="00203BCF"/>
    <w:rsid w:val="00204A89"/>
    <w:rsid w:val="00205B15"/>
    <w:rsid w:val="0021478E"/>
    <w:rsid w:val="00216CE8"/>
    <w:rsid w:val="0021787E"/>
    <w:rsid w:val="0022124B"/>
    <w:rsid w:val="00221815"/>
    <w:rsid w:val="00221930"/>
    <w:rsid w:val="00221E05"/>
    <w:rsid w:val="002234AB"/>
    <w:rsid w:val="00224988"/>
    <w:rsid w:val="00224CB4"/>
    <w:rsid w:val="002265CF"/>
    <w:rsid w:val="00226FFE"/>
    <w:rsid w:val="002275AC"/>
    <w:rsid w:val="002275B7"/>
    <w:rsid w:val="00236B82"/>
    <w:rsid w:val="00237046"/>
    <w:rsid w:val="0023739F"/>
    <w:rsid w:val="00240516"/>
    <w:rsid w:val="002413A9"/>
    <w:rsid w:val="0024149E"/>
    <w:rsid w:val="0024196C"/>
    <w:rsid w:val="002422B1"/>
    <w:rsid w:val="00242C69"/>
    <w:rsid w:val="002435DC"/>
    <w:rsid w:val="00245323"/>
    <w:rsid w:val="00246385"/>
    <w:rsid w:val="0025124D"/>
    <w:rsid w:val="00251806"/>
    <w:rsid w:val="002536DC"/>
    <w:rsid w:val="00253B48"/>
    <w:rsid w:val="00255239"/>
    <w:rsid w:val="00255430"/>
    <w:rsid w:val="00256564"/>
    <w:rsid w:val="002570C6"/>
    <w:rsid w:val="0025722F"/>
    <w:rsid w:val="00262711"/>
    <w:rsid w:val="002634EB"/>
    <w:rsid w:val="00263C2F"/>
    <w:rsid w:val="00264093"/>
    <w:rsid w:val="00264460"/>
    <w:rsid w:val="00266877"/>
    <w:rsid w:val="002718B4"/>
    <w:rsid w:val="00271F32"/>
    <w:rsid w:val="0027356A"/>
    <w:rsid w:val="00273B3B"/>
    <w:rsid w:val="002765B3"/>
    <w:rsid w:val="00277114"/>
    <w:rsid w:val="002779E7"/>
    <w:rsid w:val="00280A2F"/>
    <w:rsid w:val="00280B1C"/>
    <w:rsid w:val="0028130B"/>
    <w:rsid w:val="002819E0"/>
    <w:rsid w:val="00281BB9"/>
    <w:rsid w:val="00282337"/>
    <w:rsid w:val="00284326"/>
    <w:rsid w:val="00284351"/>
    <w:rsid w:val="0028501D"/>
    <w:rsid w:val="00285253"/>
    <w:rsid w:val="00285A04"/>
    <w:rsid w:val="00285A61"/>
    <w:rsid w:val="00287188"/>
    <w:rsid w:val="00287BE3"/>
    <w:rsid w:val="00290637"/>
    <w:rsid w:val="00290C4D"/>
    <w:rsid w:val="00291A76"/>
    <w:rsid w:val="00291BDC"/>
    <w:rsid w:val="00295320"/>
    <w:rsid w:val="00296ADD"/>
    <w:rsid w:val="002A0806"/>
    <w:rsid w:val="002A0DBD"/>
    <w:rsid w:val="002A1B68"/>
    <w:rsid w:val="002A2257"/>
    <w:rsid w:val="002A2B0B"/>
    <w:rsid w:val="002A2D78"/>
    <w:rsid w:val="002A321E"/>
    <w:rsid w:val="002A3686"/>
    <w:rsid w:val="002A388B"/>
    <w:rsid w:val="002A4BCC"/>
    <w:rsid w:val="002A6D71"/>
    <w:rsid w:val="002B0876"/>
    <w:rsid w:val="002B09C9"/>
    <w:rsid w:val="002B12D2"/>
    <w:rsid w:val="002B140A"/>
    <w:rsid w:val="002B2840"/>
    <w:rsid w:val="002B2B91"/>
    <w:rsid w:val="002B2EC0"/>
    <w:rsid w:val="002B3B7A"/>
    <w:rsid w:val="002B47E1"/>
    <w:rsid w:val="002B54BD"/>
    <w:rsid w:val="002C078F"/>
    <w:rsid w:val="002C3E28"/>
    <w:rsid w:val="002C4363"/>
    <w:rsid w:val="002C438C"/>
    <w:rsid w:val="002C49F9"/>
    <w:rsid w:val="002C4E6A"/>
    <w:rsid w:val="002C54B9"/>
    <w:rsid w:val="002D07C1"/>
    <w:rsid w:val="002D1D81"/>
    <w:rsid w:val="002D2198"/>
    <w:rsid w:val="002D4659"/>
    <w:rsid w:val="002D55BA"/>
    <w:rsid w:val="002D5A8C"/>
    <w:rsid w:val="002D7A03"/>
    <w:rsid w:val="002E0338"/>
    <w:rsid w:val="002E08F9"/>
    <w:rsid w:val="002E109C"/>
    <w:rsid w:val="002E19D7"/>
    <w:rsid w:val="002E258C"/>
    <w:rsid w:val="002E2BBE"/>
    <w:rsid w:val="002E3A14"/>
    <w:rsid w:val="002E40D6"/>
    <w:rsid w:val="002E585F"/>
    <w:rsid w:val="002E6C99"/>
    <w:rsid w:val="002E7534"/>
    <w:rsid w:val="002E7D4D"/>
    <w:rsid w:val="002F0208"/>
    <w:rsid w:val="002F12B4"/>
    <w:rsid w:val="002F2AB6"/>
    <w:rsid w:val="002F5404"/>
    <w:rsid w:val="002F5A80"/>
    <w:rsid w:val="002F67B7"/>
    <w:rsid w:val="003013A6"/>
    <w:rsid w:val="003016A4"/>
    <w:rsid w:val="00301C11"/>
    <w:rsid w:val="0030272B"/>
    <w:rsid w:val="003050EE"/>
    <w:rsid w:val="00305221"/>
    <w:rsid w:val="00305D3E"/>
    <w:rsid w:val="00306ADD"/>
    <w:rsid w:val="00311081"/>
    <w:rsid w:val="0031188B"/>
    <w:rsid w:val="00311942"/>
    <w:rsid w:val="00313D47"/>
    <w:rsid w:val="00314855"/>
    <w:rsid w:val="00314C56"/>
    <w:rsid w:val="003162BF"/>
    <w:rsid w:val="0031695C"/>
    <w:rsid w:val="00317544"/>
    <w:rsid w:val="00317570"/>
    <w:rsid w:val="00320747"/>
    <w:rsid w:val="00321732"/>
    <w:rsid w:val="00322311"/>
    <w:rsid w:val="00322FC8"/>
    <w:rsid w:val="00323601"/>
    <w:rsid w:val="00323F2B"/>
    <w:rsid w:val="003248E1"/>
    <w:rsid w:val="0033170A"/>
    <w:rsid w:val="003325BA"/>
    <w:rsid w:val="0033301A"/>
    <w:rsid w:val="00335A4E"/>
    <w:rsid w:val="00336044"/>
    <w:rsid w:val="00337333"/>
    <w:rsid w:val="003417F0"/>
    <w:rsid w:val="003433FA"/>
    <w:rsid w:val="00344A72"/>
    <w:rsid w:val="00345C01"/>
    <w:rsid w:val="00347E48"/>
    <w:rsid w:val="0035049D"/>
    <w:rsid w:val="003533D2"/>
    <w:rsid w:val="003534AD"/>
    <w:rsid w:val="00354003"/>
    <w:rsid w:val="0035419D"/>
    <w:rsid w:val="003565ED"/>
    <w:rsid w:val="0036088E"/>
    <w:rsid w:val="00361AF9"/>
    <w:rsid w:val="00361B3D"/>
    <w:rsid w:val="00362107"/>
    <w:rsid w:val="00362AD3"/>
    <w:rsid w:val="00365110"/>
    <w:rsid w:val="00365EE6"/>
    <w:rsid w:val="00367426"/>
    <w:rsid w:val="0037109F"/>
    <w:rsid w:val="00371EE5"/>
    <w:rsid w:val="00372740"/>
    <w:rsid w:val="00373199"/>
    <w:rsid w:val="00377DB9"/>
    <w:rsid w:val="00380035"/>
    <w:rsid w:val="003802B4"/>
    <w:rsid w:val="00382664"/>
    <w:rsid w:val="00383862"/>
    <w:rsid w:val="00384D73"/>
    <w:rsid w:val="00385A3C"/>
    <w:rsid w:val="0038675A"/>
    <w:rsid w:val="00386DFE"/>
    <w:rsid w:val="00390891"/>
    <w:rsid w:val="003917A4"/>
    <w:rsid w:val="00391A4A"/>
    <w:rsid w:val="0039285A"/>
    <w:rsid w:val="00394614"/>
    <w:rsid w:val="003946C2"/>
    <w:rsid w:val="003964AE"/>
    <w:rsid w:val="003971A8"/>
    <w:rsid w:val="00397D5B"/>
    <w:rsid w:val="003A00A6"/>
    <w:rsid w:val="003A2F9F"/>
    <w:rsid w:val="003A3263"/>
    <w:rsid w:val="003A37AF"/>
    <w:rsid w:val="003A419B"/>
    <w:rsid w:val="003A5E1A"/>
    <w:rsid w:val="003A66BA"/>
    <w:rsid w:val="003A68F4"/>
    <w:rsid w:val="003A6B84"/>
    <w:rsid w:val="003A771F"/>
    <w:rsid w:val="003B090D"/>
    <w:rsid w:val="003B5606"/>
    <w:rsid w:val="003B57ED"/>
    <w:rsid w:val="003B7899"/>
    <w:rsid w:val="003B7B44"/>
    <w:rsid w:val="003B7D3D"/>
    <w:rsid w:val="003C1D43"/>
    <w:rsid w:val="003C1DD3"/>
    <w:rsid w:val="003C200D"/>
    <w:rsid w:val="003C4053"/>
    <w:rsid w:val="003C79BD"/>
    <w:rsid w:val="003D097D"/>
    <w:rsid w:val="003D0BCB"/>
    <w:rsid w:val="003D2593"/>
    <w:rsid w:val="003D2FD9"/>
    <w:rsid w:val="003D397A"/>
    <w:rsid w:val="003D4E0B"/>
    <w:rsid w:val="003D6115"/>
    <w:rsid w:val="003D6121"/>
    <w:rsid w:val="003D68C5"/>
    <w:rsid w:val="003E0264"/>
    <w:rsid w:val="003E0727"/>
    <w:rsid w:val="003E249A"/>
    <w:rsid w:val="003E3B17"/>
    <w:rsid w:val="003E3D77"/>
    <w:rsid w:val="003E5E06"/>
    <w:rsid w:val="003E6272"/>
    <w:rsid w:val="003E6F93"/>
    <w:rsid w:val="003F0493"/>
    <w:rsid w:val="003F0C44"/>
    <w:rsid w:val="003F1A0B"/>
    <w:rsid w:val="003F23D8"/>
    <w:rsid w:val="003F3BF2"/>
    <w:rsid w:val="003F5952"/>
    <w:rsid w:val="003F6391"/>
    <w:rsid w:val="003F7EBD"/>
    <w:rsid w:val="004005E1"/>
    <w:rsid w:val="00400AA1"/>
    <w:rsid w:val="0040137D"/>
    <w:rsid w:val="00402BCD"/>
    <w:rsid w:val="00405B14"/>
    <w:rsid w:val="0040622F"/>
    <w:rsid w:val="0041012F"/>
    <w:rsid w:val="00410259"/>
    <w:rsid w:val="0041078F"/>
    <w:rsid w:val="00412E00"/>
    <w:rsid w:val="00413CB6"/>
    <w:rsid w:val="004159E4"/>
    <w:rsid w:val="004169EB"/>
    <w:rsid w:val="00417AB2"/>
    <w:rsid w:val="00420F56"/>
    <w:rsid w:val="0042276A"/>
    <w:rsid w:val="00422A9A"/>
    <w:rsid w:val="004240B3"/>
    <w:rsid w:val="00425CD2"/>
    <w:rsid w:val="004265D5"/>
    <w:rsid w:val="004269A3"/>
    <w:rsid w:val="004270CC"/>
    <w:rsid w:val="00427311"/>
    <w:rsid w:val="0042768E"/>
    <w:rsid w:val="004311C5"/>
    <w:rsid w:val="00432AF6"/>
    <w:rsid w:val="00436FBC"/>
    <w:rsid w:val="004379E7"/>
    <w:rsid w:val="00442897"/>
    <w:rsid w:val="00443A6D"/>
    <w:rsid w:val="00446864"/>
    <w:rsid w:val="00446DE1"/>
    <w:rsid w:val="00446E63"/>
    <w:rsid w:val="00446FAE"/>
    <w:rsid w:val="004509FE"/>
    <w:rsid w:val="00451E36"/>
    <w:rsid w:val="0045295C"/>
    <w:rsid w:val="0045452F"/>
    <w:rsid w:val="00454F03"/>
    <w:rsid w:val="00456615"/>
    <w:rsid w:val="004569BC"/>
    <w:rsid w:val="00461482"/>
    <w:rsid w:val="00461545"/>
    <w:rsid w:val="00463AFB"/>
    <w:rsid w:val="00464210"/>
    <w:rsid w:val="0046577D"/>
    <w:rsid w:val="004661C0"/>
    <w:rsid w:val="004703D6"/>
    <w:rsid w:val="004707BA"/>
    <w:rsid w:val="0047339E"/>
    <w:rsid w:val="0047361A"/>
    <w:rsid w:val="00474DA1"/>
    <w:rsid w:val="00476E15"/>
    <w:rsid w:val="00480611"/>
    <w:rsid w:val="00480BA6"/>
    <w:rsid w:val="00481104"/>
    <w:rsid w:val="004818B1"/>
    <w:rsid w:val="004819EC"/>
    <w:rsid w:val="00483642"/>
    <w:rsid w:val="0048490B"/>
    <w:rsid w:val="00484DA3"/>
    <w:rsid w:val="00485E09"/>
    <w:rsid w:val="0048612E"/>
    <w:rsid w:val="00486D78"/>
    <w:rsid w:val="0049005F"/>
    <w:rsid w:val="004903F8"/>
    <w:rsid w:val="00490F1C"/>
    <w:rsid w:val="004917AD"/>
    <w:rsid w:val="0049195E"/>
    <w:rsid w:val="00493938"/>
    <w:rsid w:val="00495280"/>
    <w:rsid w:val="00495499"/>
    <w:rsid w:val="004A02D5"/>
    <w:rsid w:val="004A0EBA"/>
    <w:rsid w:val="004A18FF"/>
    <w:rsid w:val="004A4584"/>
    <w:rsid w:val="004A4BBB"/>
    <w:rsid w:val="004A4D30"/>
    <w:rsid w:val="004A592A"/>
    <w:rsid w:val="004B1894"/>
    <w:rsid w:val="004B25D3"/>
    <w:rsid w:val="004B4424"/>
    <w:rsid w:val="004B6755"/>
    <w:rsid w:val="004C088F"/>
    <w:rsid w:val="004C08D1"/>
    <w:rsid w:val="004C1922"/>
    <w:rsid w:val="004C1CB7"/>
    <w:rsid w:val="004C2E0E"/>
    <w:rsid w:val="004C3DE1"/>
    <w:rsid w:val="004C412C"/>
    <w:rsid w:val="004C471E"/>
    <w:rsid w:val="004C564E"/>
    <w:rsid w:val="004C6662"/>
    <w:rsid w:val="004C7086"/>
    <w:rsid w:val="004C71A0"/>
    <w:rsid w:val="004C726E"/>
    <w:rsid w:val="004D0909"/>
    <w:rsid w:val="004D12C1"/>
    <w:rsid w:val="004D29D1"/>
    <w:rsid w:val="004D350B"/>
    <w:rsid w:val="004D565E"/>
    <w:rsid w:val="004D5F9F"/>
    <w:rsid w:val="004D67C1"/>
    <w:rsid w:val="004E0344"/>
    <w:rsid w:val="004E09FB"/>
    <w:rsid w:val="004E2714"/>
    <w:rsid w:val="004E2EC4"/>
    <w:rsid w:val="004E38DB"/>
    <w:rsid w:val="004E5066"/>
    <w:rsid w:val="004F2878"/>
    <w:rsid w:val="004F3242"/>
    <w:rsid w:val="004F4278"/>
    <w:rsid w:val="004F4E05"/>
    <w:rsid w:val="004F531E"/>
    <w:rsid w:val="004F5C03"/>
    <w:rsid w:val="004F62C7"/>
    <w:rsid w:val="004F69F1"/>
    <w:rsid w:val="004F71E8"/>
    <w:rsid w:val="004F7E50"/>
    <w:rsid w:val="00500B02"/>
    <w:rsid w:val="0050216E"/>
    <w:rsid w:val="005036B4"/>
    <w:rsid w:val="005049FD"/>
    <w:rsid w:val="00506E83"/>
    <w:rsid w:val="00511B8E"/>
    <w:rsid w:val="0051257F"/>
    <w:rsid w:val="00512C50"/>
    <w:rsid w:val="00512CB6"/>
    <w:rsid w:val="00515DE5"/>
    <w:rsid w:val="00516A57"/>
    <w:rsid w:val="005173AC"/>
    <w:rsid w:val="005174A2"/>
    <w:rsid w:val="00517B2E"/>
    <w:rsid w:val="0052001B"/>
    <w:rsid w:val="00520F14"/>
    <w:rsid w:val="00523DEA"/>
    <w:rsid w:val="005248AB"/>
    <w:rsid w:val="00525B21"/>
    <w:rsid w:val="00526654"/>
    <w:rsid w:val="00526BF6"/>
    <w:rsid w:val="00526D1C"/>
    <w:rsid w:val="00527D24"/>
    <w:rsid w:val="0053099F"/>
    <w:rsid w:val="00531BCF"/>
    <w:rsid w:val="005323B6"/>
    <w:rsid w:val="00533CD4"/>
    <w:rsid w:val="00534399"/>
    <w:rsid w:val="005348BD"/>
    <w:rsid w:val="00536552"/>
    <w:rsid w:val="00536C93"/>
    <w:rsid w:val="00537216"/>
    <w:rsid w:val="005405DF"/>
    <w:rsid w:val="00540DD1"/>
    <w:rsid w:val="005416DF"/>
    <w:rsid w:val="0054287C"/>
    <w:rsid w:val="00542EE6"/>
    <w:rsid w:val="0054330D"/>
    <w:rsid w:val="005433BB"/>
    <w:rsid w:val="00545CA1"/>
    <w:rsid w:val="005464D4"/>
    <w:rsid w:val="00546A44"/>
    <w:rsid w:val="005473A8"/>
    <w:rsid w:val="005510D5"/>
    <w:rsid w:val="00551B85"/>
    <w:rsid w:val="00552263"/>
    <w:rsid w:val="00553780"/>
    <w:rsid w:val="00553C82"/>
    <w:rsid w:val="0055403B"/>
    <w:rsid w:val="0055500E"/>
    <w:rsid w:val="00556F8B"/>
    <w:rsid w:val="00557B97"/>
    <w:rsid w:val="00557EF3"/>
    <w:rsid w:val="00560534"/>
    <w:rsid w:val="0056128C"/>
    <w:rsid w:val="005624F4"/>
    <w:rsid w:val="00562B15"/>
    <w:rsid w:val="00563160"/>
    <w:rsid w:val="005642DF"/>
    <w:rsid w:val="005649DA"/>
    <w:rsid w:val="00565DE3"/>
    <w:rsid w:val="005679C8"/>
    <w:rsid w:val="00567D66"/>
    <w:rsid w:val="00571959"/>
    <w:rsid w:val="00572472"/>
    <w:rsid w:val="00573C4A"/>
    <w:rsid w:val="00573CFD"/>
    <w:rsid w:val="005747C1"/>
    <w:rsid w:val="005759F1"/>
    <w:rsid w:val="00575C15"/>
    <w:rsid w:val="00575D85"/>
    <w:rsid w:val="00576726"/>
    <w:rsid w:val="00576FCB"/>
    <w:rsid w:val="0058193F"/>
    <w:rsid w:val="00581B7A"/>
    <w:rsid w:val="00581C0D"/>
    <w:rsid w:val="00582665"/>
    <w:rsid w:val="005831A9"/>
    <w:rsid w:val="00583711"/>
    <w:rsid w:val="00583748"/>
    <w:rsid w:val="0058385D"/>
    <w:rsid w:val="005839EB"/>
    <w:rsid w:val="005860AF"/>
    <w:rsid w:val="005862CE"/>
    <w:rsid w:val="00587965"/>
    <w:rsid w:val="00592B78"/>
    <w:rsid w:val="00594F26"/>
    <w:rsid w:val="005955B0"/>
    <w:rsid w:val="005A048D"/>
    <w:rsid w:val="005A04B8"/>
    <w:rsid w:val="005A08D4"/>
    <w:rsid w:val="005A2190"/>
    <w:rsid w:val="005A30E1"/>
    <w:rsid w:val="005A44F5"/>
    <w:rsid w:val="005A58CC"/>
    <w:rsid w:val="005A5A89"/>
    <w:rsid w:val="005A6159"/>
    <w:rsid w:val="005A774A"/>
    <w:rsid w:val="005B0013"/>
    <w:rsid w:val="005B0E9B"/>
    <w:rsid w:val="005B130E"/>
    <w:rsid w:val="005B2199"/>
    <w:rsid w:val="005B278A"/>
    <w:rsid w:val="005B2A27"/>
    <w:rsid w:val="005B5410"/>
    <w:rsid w:val="005B55E2"/>
    <w:rsid w:val="005B7061"/>
    <w:rsid w:val="005B7B03"/>
    <w:rsid w:val="005C0BBE"/>
    <w:rsid w:val="005C0F9C"/>
    <w:rsid w:val="005C1C28"/>
    <w:rsid w:val="005C3CEE"/>
    <w:rsid w:val="005C3D8E"/>
    <w:rsid w:val="005C4E1C"/>
    <w:rsid w:val="005C5256"/>
    <w:rsid w:val="005C5E20"/>
    <w:rsid w:val="005C5EB3"/>
    <w:rsid w:val="005C7CF4"/>
    <w:rsid w:val="005D0536"/>
    <w:rsid w:val="005D2AC7"/>
    <w:rsid w:val="005D7DF3"/>
    <w:rsid w:val="005E0DFD"/>
    <w:rsid w:val="005E210D"/>
    <w:rsid w:val="005E2E18"/>
    <w:rsid w:val="005E462A"/>
    <w:rsid w:val="005E4CCA"/>
    <w:rsid w:val="005E5E17"/>
    <w:rsid w:val="005E5F55"/>
    <w:rsid w:val="005E72B8"/>
    <w:rsid w:val="005F018B"/>
    <w:rsid w:val="005F052A"/>
    <w:rsid w:val="005F1106"/>
    <w:rsid w:val="005F12EA"/>
    <w:rsid w:val="005F2AF4"/>
    <w:rsid w:val="005F3974"/>
    <w:rsid w:val="005F60EB"/>
    <w:rsid w:val="005F69BE"/>
    <w:rsid w:val="005F7843"/>
    <w:rsid w:val="005F7F48"/>
    <w:rsid w:val="0060128F"/>
    <w:rsid w:val="00602F3C"/>
    <w:rsid w:val="00603C4A"/>
    <w:rsid w:val="00604830"/>
    <w:rsid w:val="00605577"/>
    <w:rsid w:val="006057FA"/>
    <w:rsid w:val="00605949"/>
    <w:rsid w:val="00605CE1"/>
    <w:rsid w:val="00607055"/>
    <w:rsid w:val="006073D0"/>
    <w:rsid w:val="00607611"/>
    <w:rsid w:val="00610AFC"/>
    <w:rsid w:val="00611098"/>
    <w:rsid w:val="00612B80"/>
    <w:rsid w:val="0061580E"/>
    <w:rsid w:val="00615F44"/>
    <w:rsid w:val="006162EB"/>
    <w:rsid w:val="00617994"/>
    <w:rsid w:val="00617EA8"/>
    <w:rsid w:val="00621029"/>
    <w:rsid w:val="00623593"/>
    <w:rsid w:val="00623786"/>
    <w:rsid w:val="00623E3C"/>
    <w:rsid w:val="00627535"/>
    <w:rsid w:val="006312B0"/>
    <w:rsid w:val="00632B4A"/>
    <w:rsid w:val="0063719E"/>
    <w:rsid w:val="006429D1"/>
    <w:rsid w:val="00643D78"/>
    <w:rsid w:val="0064538A"/>
    <w:rsid w:val="006459D5"/>
    <w:rsid w:val="0064691D"/>
    <w:rsid w:val="006558C2"/>
    <w:rsid w:val="00656E16"/>
    <w:rsid w:val="006570C6"/>
    <w:rsid w:val="00660063"/>
    <w:rsid w:val="00660722"/>
    <w:rsid w:val="00661211"/>
    <w:rsid w:val="00663007"/>
    <w:rsid w:val="0066547A"/>
    <w:rsid w:val="0066703F"/>
    <w:rsid w:val="006703DF"/>
    <w:rsid w:val="00671692"/>
    <w:rsid w:val="00673876"/>
    <w:rsid w:val="0067792C"/>
    <w:rsid w:val="006800AD"/>
    <w:rsid w:val="00680EC8"/>
    <w:rsid w:val="0068346E"/>
    <w:rsid w:val="006835C0"/>
    <w:rsid w:val="00683BB3"/>
    <w:rsid w:val="0068555D"/>
    <w:rsid w:val="006872E2"/>
    <w:rsid w:val="006875BF"/>
    <w:rsid w:val="00687EE0"/>
    <w:rsid w:val="006909ED"/>
    <w:rsid w:val="00691F1A"/>
    <w:rsid w:val="00692841"/>
    <w:rsid w:val="00692BF4"/>
    <w:rsid w:val="0069476A"/>
    <w:rsid w:val="00696F8F"/>
    <w:rsid w:val="00697733"/>
    <w:rsid w:val="006A1B9F"/>
    <w:rsid w:val="006A1C31"/>
    <w:rsid w:val="006A2E61"/>
    <w:rsid w:val="006A5C79"/>
    <w:rsid w:val="006A68B5"/>
    <w:rsid w:val="006A6C46"/>
    <w:rsid w:val="006A6D27"/>
    <w:rsid w:val="006A73B8"/>
    <w:rsid w:val="006A7836"/>
    <w:rsid w:val="006B0550"/>
    <w:rsid w:val="006B0A01"/>
    <w:rsid w:val="006B0BF5"/>
    <w:rsid w:val="006B221A"/>
    <w:rsid w:val="006B3508"/>
    <w:rsid w:val="006B5323"/>
    <w:rsid w:val="006B606E"/>
    <w:rsid w:val="006C06FC"/>
    <w:rsid w:val="006C11DB"/>
    <w:rsid w:val="006C2271"/>
    <w:rsid w:val="006C424C"/>
    <w:rsid w:val="006C4C03"/>
    <w:rsid w:val="006C5BBF"/>
    <w:rsid w:val="006C7E5D"/>
    <w:rsid w:val="006D1D3A"/>
    <w:rsid w:val="006D455C"/>
    <w:rsid w:val="006D4AE5"/>
    <w:rsid w:val="006D5629"/>
    <w:rsid w:val="006D5BF2"/>
    <w:rsid w:val="006D6163"/>
    <w:rsid w:val="006D74CD"/>
    <w:rsid w:val="006E1886"/>
    <w:rsid w:val="006E1B8A"/>
    <w:rsid w:val="006E2C5C"/>
    <w:rsid w:val="006E5710"/>
    <w:rsid w:val="006F0620"/>
    <w:rsid w:val="006F10D4"/>
    <w:rsid w:val="006F2117"/>
    <w:rsid w:val="006F2660"/>
    <w:rsid w:val="006F275F"/>
    <w:rsid w:val="006F302E"/>
    <w:rsid w:val="007001D6"/>
    <w:rsid w:val="00701D00"/>
    <w:rsid w:val="007024A3"/>
    <w:rsid w:val="00702C87"/>
    <w:rsid w:val="00703203"/>
    <w:rsid w:val="00703C14"/>
    <w:rsid w:val="00705AF3"/>
    <w:rsid w:val="00710539"/>
    <w:rsid w:val="0071090D"/>
    <w:rsid w:val="00711B3B"/>
    <w:rsid w:val="007134CA"/>
    <w:rsid w:val="00714DAE"/>
    <w:rsid w:val="00716228"/>
    <w:rsid w:val="0072275F"/>
    <w:rsid w:val="007237DA"/>
    <w:rsid w:val="0072432B"/>
    <w:rsid w:val="00724929"/>
    <w:rsid w:val="00724C5B"/>
    <w:rsid w:val="00726523"/>
    <w:rsid w:val="007273E9"/>
    <w:rsid w:val="007275EC"/>
    <w:rsid w:val="0072776E"/>
    <w:rsid w:val="00727E1A"/>
    <w:rsid w:val="0073068A"/>
    <w:rsid w:val="00734B3A"/>
    <w:rsid w:val="00734CB2"/>
    <w:rsid w:val="00736843"/>
    <w:rsid w:val="00736CFF"/>
    <w:rsid w:val="00737DAC"/>
    <w:rsid w:val="00741AF4"/>
    <w:rsid w:val="0074225C"/>
    <w:rsid w:val="007424D5"/>
    <w:rsid w:val="00743159"/>
    <w:rsid w:val="0074334C"/>
    <w:rsid w:val="00743B8B"/>
    <w:rsid w:val="00744B25"/>
    <w:rsid w:val="00744E8F"/>
    <w:rsid w:val="00745953"/>
    <w:rsid w:val="007468F7"/>
    <w:rsid w:val="007503D1"/>
    <w:rsid w:val="00751F0E"/>
    <w:rsid w:val="007525FA"/>
    <w:rsid w:val="00754112"/>
    <w:rsid w:val="00755212"/>
    <w:rsid w:val="0075570F"/>
    <w:rsid w:val="007562DB"/>
    <w:rsid w:val="00761D0A"/>
    <w:rsid w:val="007628DA"/>
    <w:rsid w:val="00762FFA"/>
    <w:rsid w:val="007636EE"/>
    <w:rsid w:val="00765472"/>
    <w:rsid w:val="0077082E"/>
    <w:rsid w:val="00773654"/>
    <w:rsid w:val="00773D94"/>
    <w:rsid w:val="00773DC4"/>
    <w:rsid w:val="007741AB"/>
    <w:rsid w:val="007757E7"/>
    <w:rsid w:val="00775AE2"/>
    <w:rsid w:val="0077635B"/>
    <w:rsid w:val="00777064"/>
    <w:rsid w:val="0077787C"/>
    <w:rsid w:val="00780972"/>
    <w:rsid w:val="00781107"/>
    <w:rsid w:val="00783832"/>
    <w:rsid w:val="00784B5A"/>
    <w:rsid w:val="0078618E"/>
    <w:rsid w:val="007902BA"/>
    <w:rsid w:val="00791A07"/>
    <w:rsid w:val="007925A6"/>
    <w:rsid w:val="007931B7"/>
    <w:rsid w:val="007947C0"/>
    <w:rsid w:val="0079490E"/>
    <w:rsid w:val="00796691"/>
    <w:rsid w:val="00797967"/>
    <w:rsid w:val="007A1245"/>
    <w:rsid w:val="007A1E56"/>
    <w:rsid w:val="007A49D5"/>
    <w:rsid w:val="007A545D"/>
    <w:rsid w:val="007A6836"/>
    <w:rsid w:val="007A6DFC"/>
    <w:rsid w:val="007A7AF5"/>
    <w:rsid w:val="007B363D"/>
    <w:rsid w:val="007B3B23"/>
    <w:rsid w:val="007B3D22"/>
    <w:rsid w:val="007B4A2B"/>
    <w:rsid w:val="007B5D85"/>
    <w:rsid w:val="007B5ECC"/>
    <w:rsid w:val="007B733E"/>
    <w:rsid w:val="007B77C1"/>
    <w:rsid w:val="007B7C41"/>
    <w:rsid w:val="007C0EAC"/>
    <w:rsid w:val="007C1FF8"/>
    <w:rsid w:val="007C2569"/>
    <w:rsid w:val="007C3E26"/>
    <w:rsid w:val="007C3FDC"/>
    <w:rsid w:val="007C51DF"/>
    <w:rsid w:val="007C6C35"/>
    <w:rsid w:val="007C75BC"/>
    <w:rsid w:val="007D0D51"/>
    <w:rsid w:val="007D0DE2"/>
    <w:rsid w:val="007D12C0"/>
    <w:rsid w:val="007D2460"/>
    <w:rsid w:val="007D31D0"/>
    <w:rsid w:val="007D3F21"/>
    <w:rsid w:val="007D5AD7"/>
    <w:rsid w:val="007D5BDE"/>
    <w:rsid w:val="007E11D7"/>
    <w:rsid w:val="007E14EA"/>
    <w:rsid w:val="007E15E2"/>
    <w:rsid w:val="007E3182"/>
    <w:rsid w:val="007E3CB4"/>
    <w:rsid w:val="007E44AE"/>
    <w:rsid w:val="007E45EF"/>
    <w:rsid w:val="007E7901"/>
    <w:rsid w:val="007F3620"/>
    <w:rsid w:val="007F4F42"/>
    <w:rsid w:val="007F583D"/>
    <w:rsid w:val="007F62FD"/>
    <w:rsid w:val="007F669C"/>
    <w:rsid w:val="007F7DF0"/>
    <w:rsid w:val="00800B5A"/>
    <w:rsid w:val="00801461"/>
    <w:rsid w:val="00801ED5"/>
    <w:rsid w:val="008029C2"/>
    <w:rsid w:val="00803094"/>
    <w:rsid w:val="008047DC"/>
    <w:rsid w:val="008057C2"/>
    <w:rsid w:val="00805839"/>
    <w:rsid w:val="008063C3"/>
    <w:rsid w:val="008063CF"/>
    <w:rsid w:val="0080687D"/>
    <w:rsid w:val="00812EA2"/>
    <w:rsid w:val="00816A5B"/>
    <w:rsid w:val="00817AD8"/>
    <w:rsid w:val="00817D1C"/>
    <w:rsid w:val="00820D16"/>
    <w:rsid w:val="0082201E"/>
    <w:rsid w:val="0082302B"/>
    <w:rsid w:val="008251A4"/>
    <w:rsid w:val="0082775F"/>
    <w:rsid w:val="00830322"/>
    <w:rsid w:val="00830962"/>
    <w:rsid w:val="00832BF1"/>
    <w:rsid w:val="008334FC"/>
    <w:rsid w:val="008361CB"/>
    <w:rsid w:val="0083790B"/>
    <w:rsid w:val="00841F1E"/>
    <w:rsid w:val="00842114"/>
    <w:rsid w:val="00842A36"/>
    <w:rsid w:val="00842B65"/>
    <w:rsid w:val="00843394"/>
    <w:rsid w:val="00845418"/>
    <w:rsid w:val="00846FE6"/>
    <w:rsid w:val="008502C1"/>
    <w:rsid w:val="008507E2"/>
    <w:rsid w:val="00850885"/>
    <w:rsid w:val="00852031"/>
    <w:rsid w:val="0085307C"/>
    <w:rsid w:val="0085389A"/>
    <w:rsid w:val="00855963"/>
    <w:rsid w:val="008573E1"/>
    <w:rsid w:val="008574F1"/>
    <w:rsid w:val="00860C49"/>
    <w:rsid w:val="00862935"/>
    <w:rsid w:val="008654CC"/>
    <w:rsid w:val="0086630A"/>
    <w:rsid w:val="00866B5B"/>
    <w:rsid w:val="0086704D"/>
    <w:rsid w:val="008675D2"/>
    <w:rsid w:val="00871321"/>
    <w:rsid w:val="00871C61"/>
    <w:rsid w:val="00872C2C"/>
    <w:rsid w:val="008779AB"/>
    <w:rsid w:val="00880329"/>
    <w:rsid w:val="00880A2E"/>
    <w:rsid w:val="00881013"/>
    <w:rsid w:val="00881D31"/>
    <w:rsid w:val="00881E71"/>
    <w:rsid w:val="008827C7"/>
    <w:rsid w:val="00883F3B"/>
    <w:rsid w:val="0088471F"/>
    <w:rsid w:val="00884BA3"/>
    <w:rsid w:val="00885991"/>
    <w:rsid w:val="00885F0C"/>
    <w:rsid w:val="00887034"/>
    <w:rsid w:val="00891AAF"/>
    <w:rsid w:val="008929E2"/>
    <w:rsid w:val="00893464"/>
    <w:rsid w:val="00893D50"/>
    <w:rsid w:val="008954BB"/>
    <w:rsid w:val="00895851"/>
    <w:rsid w:val="00896989"/>
    <w:rsid w:val="0089730D"/>
    <w:rsid w:val="008A2AA7"/>
    <w:rsid w:val="008A2D9A"/>
    <w:rsid w:val="008A4188"/>
    <w:rsid w:val="008A5675"/>
    <w:rsid w:val="008A608B"/>
    <w:rsid w:val="008A740B"/>
    <w:rsid w:val="008A7727"/>
    <w:rsid w:val="008A7A0A"/>
    <w:rsid w:val="008B0EEA"/>
    <w:rsid w:val="008B273F"/>
    <w:rsid w:val="008B2CEF"/>
    <w:rsid w:val="008B50A3"/>
    <w:rsid w:val="008B560C"/>
    <w:rsid w:val="008B690C"/>
    <w:rsid w:val="008B6F07"/>
    <w:rsid w:val="008B7202"/>
    <w:rsid w:val="008C1661"/>
    <w:rsid w:val="008C2C8D"/>
    <w:rsid w:val="008C2FC1"/>
    <w:rsid w:val="008C33E6"/>
    <w:rsid w:val="008C34B7"/>
    <w:rsid w:val="008C40BC"/>
    <w:rsid w:val="008C4783"/>
    <w:rsid w:val="008C4ECD"/>
    <w:rsid w:val="008C6320"/>
    <w:rsid w:val="008D1DA1"/>
    <w:rsid w:val="008E0B23"/>
    <w:rsid w:val="008E2B08"/>
    <w:rsid w:val="008E2E61"/>
    <w:rsid w:val="008E33B9"/>
    <w:rsid w:val="008E3C38"/>
    <w:rsid w:val="008E4889"/>
    <w:rsid w:val="008E76CC"/>
    <w:rsid w:val="008F1E4C"/>
    <w:rsid w:val="008F3312"/>
    <w:rsid w:val="008F4C8B"/>
    <w:rsid w:val="008F6965"/>
    <w:rsid w:val="008F7D7C"/>
    <w:rsid w:val="00900382"/>
    <w:rsid w:val="00903B65"/>
    <w:rsid w:val="00904D5D"/>
    <w:rsid w:val="00905637"/>
    <w:rsid w:val="009057E0"/>
    <w:rsid w:val="009059AB"/>
    <w:rsid w:val="00906CBC"/>
    <w:rsid w:val="00906E32"/>
    <w:rsid w:val="00910B2A"/>
    <w:rsid w:val="00912226"/>
    <w:rsid w:val="00912692"/>
    <w:rsid w:val="0091299F"/>
    <w:rsid w:val="00912C7D"/>
    <w:rsid w:val="009154EA"/>
    <w:rsid w:val="009155F9"/>
    <w:rsid w:val="009158A9"/>
    <w:rsid w:val="00915BE8"/>
    <w:rsid w:val="00916017"/>
    <w:rsid w:val="009165DF"/>
    <w:rsid w:val="00917AA6"/>
    <w:rsid w:val="0092028A"/>
    <w:rsid w:val="009205B9"/>
    <w:rsid w:val="00920A63"/>
    <w:rsid w:val="00921828"/>
    <w:rsid w:val="0092341C"/>
    <w:rsid w:val="009248D3"/>
    <w:rsid w:val="009257EE"/>
    <w:rsid w:val="00926343"/>
    <w:rsid w:val="009264C5"/>
    <w:rsid w:val="00926637"/>
    <w:rsid w:val="00930AAC"/>
    <w:rsid w:val="00931134"/>
    <w:rsid w:val="009319D2"/>
    <w:rsid w:val="009327FD"/>
    <w:rsid w:val="00932C39"/>
    <w:rsid w:val="00933F52"/>
    <w:rsid w:val="00934622"/>
    <w:rsid w:val="00936331"/>
    <w:rsid w:val="00936B54"/>
    <w:rsid w:val="009372A8"/>
    <w:rsid w:val="00937340"/>
    <w:rsid w:val="0094180F"/>
    <w:rsid w:val="00941C6F"/>
    <w:rsid w:val="00941C93"/>
    <w:rsid w:val="009421A6"/>
    <w:rsid w:val="00942DF8"/>
    <w:rsid w:val="009436F7"/>
    <w:rsid w:val="0094418E"/>
    <w:rsid w:val="00944C4F"/>
    <w:rsid w:val="00945D57"/>
    <w:rsid w:val="00945ED8"/>
    <w:rsid w:val="0094627D"/>
    <w:rsid w:val="00946EAE"/>
    <w:rsid w:val="00947502"/>
    <w:rsid w:val="0095360D"/>
    <w:rsid w:val="00956CBF"/>
    <w:rsid w:val="009606F3"/>
    <w:rsid w:val="009609D5"/>
    <w:rsid w:val="00960F6F"/>
    <w:rsid w:val="009616CD"/>
    <w:rsid w:val="00961B32"/>
    <w:rsid w:val="00962A19"/>
    <w:rsid w:val="00962DCE"/>
    <w:rsid w:val="00962FEC"/>
    <w:rsid w:val="00963911"/>
    <w:rsid w:val="0096476C"/>
    <w:rsid w:val="00964798"/>
    <w:rsid w:val="00967892"/>
    <w:rsid w:val="00967942"/>
    <w:rsid w:val="00971583"/>
    <w:rsid w:val="009716F7"/>
    <w:rsid w:val="00972E20"/>
    <w:rsid w:val="0097377F"/>
    <w:rsid w:val="009744FF"/>
    <w:rsid w:val="00975A6C"/>
    <w:rsid w:val="00976571"/>
    <w:rsid w:val="00977D5E"/>
    <w:rsid w:val="00977DF5"/>
    <w:rsid w:val="009809DA"/>
    <w:rsid w:val="0098133C"/>
    <w:rsid w:val="00986380"/>
    <w:rsid w:val="00986B68"/>
    <w:rsid w:val="00986EAC"/>
    <w:rsid w:val="00986ECF"/>
    <w:rsid w:val="009910FC"/>
    <w:rsid w:val="0099158B"/>
    <w:rsid w:val="0099171B"/>
    <w:rsid w:val="0099321F"/>
    <w:rsid w:val="009961CC"/>
    <w:rsid w:val="00996590"/>
    <w:rsid w:val="0099713E"/>
    <w:rsid w:val="009A0AA6"/>
    <w:rsid w:val="009A0F27"/>
    <w:rsid w:val="009A1B52"/>
    <w:rsid w:val="009A1BD0"/>
    <w:rsid w:val="009A6A1C"/>
    <w:rsid w:val="009A72EA"/>
    <w:rsid w:val="009B31D6"/>
    <w:rsid w:val="009B51BC"/>
    <w:rsid w:val="009C008F"/>
    <w:rsid w:val="009C0442"/>
    <w:rsid w:val="009C04CE"/>
    <w:rsid w:val="009C0715"/>
    <w:rsid w:val="009C09E6"/>
    <w:rsid w:val="009C0E08"/>
    <w:rsid w:val="009C19DF"/>
    <w:rsid w:val="009C2307"/>
    <w:rsid w:val="009C26CD"/>
    <w:rsid w:val="009C2B5A"/>
    <w:rsid w:val="009C5879"/>
    <w:rsid w:val="009D0213"/>
    <w:rsid w:val="009D1107"/>
    <w:rsid w:val="009D1A61"/>
    <w:rsid w:val="009D3DC0"/>
    <w:rsid w:val="009D5225"/>
    <w:rsid w:val="009D6780"/>
    <w:rsid w:val="009D6851"/>
    <w:rsid w:val="009D72CB"/>
    <w:rsid w:val="009E323D"/>
    <w:rsid w:val="009E6157"/>
    <w:rsid w:val="009E65D7"/>
    <w:rsid w:val="009E6E1D"/>
    <w:rsid w:val="009E737E"/>
    <w:rsid w:val="009F0D39"/>
    <w:rsid w:val="009F0DCE"/>
    <w:rsid w:val="009F19DB"/>
    <w:rsid w:val="009F1EA8"/>
    <w:rsid w:val="009F1FA2"/>
    <w:rsid w:val="009F4AD7"/>
    <w:rsid w:val="009F536C"/>
    <w:rsid w:val="009F5BBF"/>
    <w:rsid w:val="009F5F0A"/>
    <w:rsid w:val="009F6D51"/>
    <w:rsid w:val="00A00247"/>
    <w:rsid w:val="00A0068D"/>
    <w:rsid w:val="00A00CBB"/>
    <w:rsid w:val="00A00FD5"/>
    <w:rsid w:val="00A02B57"/>
    <w:rsid w:val="00A030A7"/>
    <w:rsid w:val="00A03418"/>
    <w:rsid w:val="00A03C05"/>
    <w:rsid w:val="00A04C4F"/>
    <w:rsid w:val="00A0596E"/>
    <w:rsid w:val="00A116DB"/>
    <w:rsid w:val="00A1214B"/>
    <w:rsid w:val="00A13CC9"/>
    <w:rsid w:val="00A145E3"/>
    <w:rsid w:val="00A16E39"/>
    <w:rsid w:val="00A172F3"/>
    <w:rsid w:val="00A1739B"/>
    <w:rsid w:val="00A20CA6"/>
    <w:rsid w:val="00A2164F"/>
    <w:rsid w:val="00A23063"/>
    <w:rsid w:val="00A230B4"/>
    <w:rsid w:val="00A23C71"/>
    <w:rsid w:val="00A250A0"/>
    <w:rsid w:val="00A25BEE"/>
    <w:rsid w:val="00A30160"/>
    <w:rsid w:val="00A3273C"/>
    <w:rsid w:val="00A33C7C"/>
    <w:rsid w:val="00A35B82"/>
    <w:rsid w:val="00A37212"/>
    <w:rsid w:val="00A4235E"/>
    <w:rsid w:val="00A42521"/>
    <w:rsid w:val="00A46F98"/>
    <w:rsid w:val="00A47828"/>
    <w:rsid w:val="00A47AF3"/>
    <w:rsid w:val="00A52DD8"/>
    <w:rsid w:val="00A5342C"/>
    <w:rsid w:val="00A542E1"/>
    <w:rsid w:val="00A543F5"/>
    <w:rsid w:val="00A6089B"/>
    <w:rsid w:val="00A6318B"/>
    <w:rsid w:val="00A6542A"/>
    <w:rsid w:val="00A71E8A"/>
    <w:rsid w:val="00A72B68"/>
    <w:rsid w:val="00A72CBC"/>
    <w:rsid w:val="00A736D4"/>
    <w:rsid w:val="00A743EE"/>
    <w:rsid w:val="00A77856"/>
    <w:rsid w:val="00A778A3"/>
    <w:rsid w:val="00A8079E"/>
    <w:rsid w:val="00A808CD"/>
    <w:rsid w:val="00A80AE9"/>
    <w:rsid w:val="00A8119C"/>
    <w:rsid w:val="00A83731"/>
    <w:rsid w:val="00A855A1"/>
    <w:rsid w:val="00A87688"/>
    <w:rsid w:val="00A90930"/>
    <w:rsid w:val="00A91CDE"/>
    <w:rsid w:val="00A93B60"/>
    <w:rsid w:val="00A947CA"/>
    <w:rsid w:val="00A95E94"/>
    <w:rsid w:val="00A95F8A"/>
    <w:rsid w:val="00A973F0"/>
    <w:rsid w:val="00A97491"/>
    <w:rsid w:val="00AA30D4"/>
    <w:rsid w:val="00AA3FBC"/>
    <w:rsid w:val="00AA44EB"/>
    <w:rsid w:val="00AA4E65"/>
    <w:rsid w:val="00AA5281"/>
    <w:rsid w:val="00AA575F"/>
    <w:rsid w:val="00AA63CB"/>
    <w:rsid w:val="00AA72BC"/>
    <w:rsid w:val="00AA7312"/>
    <w:rsid w:val="00AA7AC0"/>
    <w:rsid w:val="00AB213D"/>
    <w:rsid w:val="00AB2771"/>
    <w:rsid w:val="00AB3173"/>
    <w:rsid w:val="00AB4A4F"/>
    <w:rsid w:val="00AB526D"/>
    <w:rsid w:val="00AB5ED0"/>
    <w:rsid w:val="00AC03AC"/>
    <w:rsid w:val="00AC1B47"/>
    <w:rsid w:val="00AC32B6"/>
    <w:rsid w:val="00AC3E37"/>
    <w:rsid w:val="00AC4195"/>
    <w:rsid w:val="00AC518B"/>
    <w:rsid w:val="00AC51D7"/>
    <w:rsid w:val="00AC637D"/>
    <w:rsid w:val="00AC6969"/>
    <w:rsid w:val="00AD1AC8"/>
    <w:rsid w:val="00AD2723"/>
    <w:rsid w:val="00AD3597"/>
    <w:rsid w:val="00AD60C7"/>
    <w:rsid w:val="00AD72BF"/>
    <w:rsid w:val="00AD7843"/>
    <w:rsid w:val="00AE02F4"/>
    <w:rsid w:val="00AE129D"/>
    <w:rsid w:val="00AE2380"/>
    <w:rsid w:val="00AE4DF4"/>
    <w:rsid w:val="00AE5713"/>
    <w:rsid w:val="00AE64A2"/>
    <w:rsid w:val="00AE6BA5"/>
    <w:rsid w:val="00AF0633"/>
    <w:rsid w:val="00AF194D"/>
    <w:rsid w:val="00AF1A57"/>
    <w:rsid w:val="00AF2516"/>
    <w:rsid w:val="00AF59E4"/>
    <w:rsid w:val="00AF71E1"/>
    <w:rsid w:val="00AF73E1"/>
    <w:rsid w:val="00AF7739"/>
    <w:rsid w:val="00B00E5B"/>
    <w:rsid w:val="00B024C5"/>
    <w:rsid w:val="00B02D0D"/>
    <w:rsid w:val="00B02EEC"/>
    <w:rsid w:val="00B03175"/>
    <w:rsid w:val="00B03844"/>
    <w:rsid w:val="00B03BED"/>
    <w:rsid w:val="00B07B3C"/>
    <w:rsid w:val="00B07C5D"/>
    <w:rsid w:val="00B10743"/>
    <w:rsid w:val="00B12810"/>
    <w:rsid w:val="00B136F8"/>
    <w:rsid w:val="00B15EFA"/>
    <w:rsid w:val="00B17BF9"/>
    <w:rsid w:val="00B2116A"/>
    <w:rsid w:val="00B22050"/>
    <w:rsid w:val="00B22A4D"/>
    <w:rsid w:val="00B24C57"/>
    <w:rsid w:val="00B255C8"/>
    <w:rsid w:val="00B2566C"/>
    <w:rsid w:val="00B268A8"/>
    <w:rsid w:val="00B26DDF"/>
    <w:rsid w:val="00B27DC6"/>
    <w:rsid w:val="00B31184"/>
    <w:rsid w:val="00B31329"/>
    <w:rsid w:val="00B31721"/>
    <w:rsid w:val="00B324B4"/>
    <w:rsid w:val="00B325F5"/>
    <w:rsid w:val="00B33BDF"/>
    <w:rsid w:val="00B355F9"/>
    <w:rsid w:val="00B35EF2"/>
    <w:rsid w:val="00B36680"/>
    <w:rsid w:val="00B37E8D"/>
    <w:rsid w:val="00B37ECA"/>
    <w:rsid w:val="00B4148B"/>
    <w:rsid w:val="00B419C2"/>
    <w:rsid w:val="00B424E3"/>
    <w:rsid w:val="00B44768"/>
    <w:rsid w:val="00B45D0C"/>
    <w:rsid w:val="00B47280"/>
    <w:rsid w:val="00B47AE1"/>
    <w:rsid w:val="00B505B5"/>
    <w:rsid w:val="00B55D75"/>
    <w:rsid w:val="00B55E00"/>
    <w:rsid w:val="00B562B9"/>
    <w:rsid w:val="00B57AEB"/>
    <w:rsid w:val="00B6050B"/>
    <w:rsid w:val="00B7187D"/>
    <w:rsid w:val="00B71E55"/>
    <w:rsid w:val="00B72293"/>
    <w:rsid w:val="00B724CF"/>
    <w:rsid w:val="00B72834"/>
    <w:rsid w:val="00B73371"/>
    <w:rsid w:val="00B740B9"/>
    <w:rsid w:val="00B76325"/>
    <w:rsid w:val="00B76EA9"/>
    <w:rsid w:val="00B77020"/>
    <w:rsid w:val="00B775AD"/>
    <w:rsid w:val="00B779D7"/>
    <w:rsid w:val="00B77E0A"/>
    <w:rsid w:val="00B81FAB"/>
    <w:rsid w:val="00B8230A"/>
    <w:rsid w:val="00B82705"/>
    <w:rsid w:val="00B84A2D"/>
    <w:rsid w:val="00B84C10"/>
    <w:rsid w:val="00B858A9"/>
    <w:rsid w:val="00B9041F"/>
    <w:rsid w:val="00B9124C"/>
    <w:rsid w:val="00B912D1"/>
    <w:rsid w:val="00B91FCE"/>
    <w:rsid w:val="00B93119"/>
    <w:rsid w:val="00B939ED"/>
    <w:rsid w:val="00B95223"/>
    <w:rsid w:val="00B96075"/>
    <w:rsid w:val="00B968EE"/>
    <w:rsid w:val="00BA050D"/>
    <w:rsid w:val="00BA12F5"/>
    <w:rsid w:val="00BA3095"/>
    <w:rsid w:val="00BA60F2"/>
    <w:rsid w:val="00BA6924"/>
    <w:rsid w:val="00BA6BDF"/>
    <w:rsid w:val="00BA7BCB"/>
    <w:rsid w:val="00BA7DB0"/>
    <w:rsid w:val="00BB0F9F"/>
    <w:rsid w:val="00BB26D5"/>
    <w:rsid w:val="00BB41C9"/>
    <w:rsid w:val="00BB5504"/>
    <w:rsid w:val="00BB55BB"/>
    <w:rsid w:val="00BB6890"/>
    <w:rsid w:val="00BB7D22"/>
    <w:rsid w:val="00BC1D81"/>
    <w:rsid w:val="00BC4524"/>
    <w:rsid w:val="00BD00F4"/>
    <w:rsid w:val="00BD03C6"/>
    <w:rsid w:val="00BD1395"/>
    <w:rsid w:val="00BD1CB0"/>
    <w:rsid w:val="00BD1F2D"/>
    <w:rsid w:val="00BD24CB"/>
    <w:rsid w:val="00BD2A14"/>
    <w:rsid w:val="00BD400F"/>
    <w:rsid w:val="00BD5423"/>
    <w:rsid w:val="00BD5E86"/>
    <w:rsid w:val="00BD6500"/>
    <w:rsid w:val="00BD6B89"/>
    <w:rsid w:val="00BD6EA6"/>
    <w:rsid w:val="00BD797E"/>
    <w:rsid w:val="00BD79A2"/>
    <w:rsid w:val="00BD7F97"/>
    <w:rsid w:val="00BE129A"/>
    <w:rsid w:val="00BE253A"/>
    <w:rsid w:val="00BE5301"/>
    <w:rsid w:val="00BE55BC"/>
    <w:rsid w:val="00BE6B83"/>
    <w:rsid w:val="00BE6E12"/>
    <w:rsid w:val="00BE7A16"/>
    <w:rsid w:val="00BF3C06"/>
    <w:rsid w:val="00BF3F30"/>
    <w:rsid w:val="00BF5069"/>
    <w:rsid w:val="00BF667B"/>
    <w:rsid w:val="00BF7116"/>
    <w:rsid w:val="00C00C5B"/>
    <w:rsid w:val="00C018B5"/>
    <w:rsid w:val="00C05044"/>
    <w:rsid w:val="00C0507C"/>
    <w:rsid w:val="00C059CF"/>
    <w:rsid w:val="00C064F7"/>
    <w:rsid w:val="00C10910"/>
    <w:rsid w:val="00C10A1B"/>
    <w:rsid w:val="00C10FC1"/>
    <w:rsid w:val="00C11141"/>
    <w:rsid w:val="00C1259E"/>
    <w:rsid w:val="00C12A2D"/>
    <w:rsid w:val="00C14AE6"/>
    <w:rsid w:val="00C155A8"/>
    <w:rsid w:val="00C168C8"/>
    <w:rsid w:val="00C174CB"/>
    <w:rsid w:val="00C17AAF"/>
    <w:rsid w:val="00C207B9"/>
    <w:rsid w:val="00C2122B"/>
    <w:rsid w:val="00C2152A"/>
    <w:rsid w:val="00C22C48"/>
    <w:rsid w:val="00C23ABD"/>
    <w:rsid w:val="00C25B89"/>
    <w:rsid w:val="00C279CB"/>
    <w:rsid w:val="00C30280"/>
    <w:rsid w:val="00C30A3C"/>
    <w:rsid w:val="00C30C5A"/>
    <w:rsid w:val="00C3280E"/>
    <w:rsid w:val="00C33934"/>
    <w:rsid w:val="00C355C5"/>
    <w:rsid w:val="00C3603E"/>
    <w:rsid w:val="00C360AD"/>
    <w:rsid w:val="00C36901"/>
    <w:rsid w:val="00C36A2B"/>
    <w:rsid w:val="00C377B3"/>
    <w:rsid w:val="00C43CA4"/>
    <w:rsid w:val="00C44B78"/>
    <w:rsid w:val="00C4553B"/>
    <w:rsid w:val="00C45B1D"/>
    <w:rsid w:val="00C466E5"/>
    <w:rsid w:val="00C468A8"/>
    <w:rsid w:val="00C51AC6"/>
    <w:rsid w:val="00C531F8"/>
    <w:rsid w:val="00C53DD8"/>
    <w:rsid w:val="00C54301"/>
    <w:rsid w:val="00C56F31"/>
    <w:rsid w:val="00C57E53"/>
    <w:rsid w:val="00C605C3"/>
    <w:rsid w:val="00C622A2"/>
    <w:rsid w:val="00C63C46"/>
    <w:rsid w:val="00C65C7E"/>
    <w:rsid w:val="00C66706"/>
    <w:rsid w:val="00C71DB4"/>
    <w:rsid w:val="00C72B6D"/>
    <w:rsid w:val="00C734C9"/>
    <w:rsid w:val="00C73547"/>
    <w:rsid w:val="00C73AEC"/>
    <w:rsid w:val="00C753F7"/>
    <w:rsid w:val="00C7556C"/>
    <w:rsid w:val="00C767DB"/>
    <w:rsid w:val="00C768C6"/>
    <w:rsid w:val="00C77167"/>
    <w:rsid w:val="00C77C90"/>
    <w:rsid w:val="00C82520"/>
    <w:rsid w:val="00C832B7"/>
    <w:rsid w:val="00C84152"/>
    <w:rsid w:val="00C84595"/>
    <w:rsid w:val="00C84D18"/>
    <w:rsid w:val="00C85AE6"/>
    <w:rsid w:val="00C86B5E"/>
    <w:rsid w:val="00C90348"/>
    <w:rsid w:val="00C9426F"/>
    <w:rsid w:val="00C9460F"/>
    <w:rsid w:val="00C95F04"/>
    <w:rsid w:val="00C960D0"/>
    <w:rsid w:val="00C970F0"/>
    <w:rsid w:val="00CA2AD5"/>
    <w:rsid w:val="00CA33BD"/>
    <w:rsid w:val="00CA4E58"/>
    <w:rsid w:val="00CA5D43"/>
    <w:rsid w:val="00CA6609"/>
    <w:rsid w:val="00CB343F"/>
    <w:rsid w:val="00CB408E"/>
    <w:rsid w:val="00CB4877"/>
    <w:rsid w:val="00CB4EAC"/>
    <w:rsid w:val="00CB55FE"/>
    <w:rsid w:val="00CB5720"/>
    <w:rsid w:val="00CB758A"/>
    <w:rsid w:val="00CC004E"/>
    <w:rsid w:val="00CC0420"/>
    <w:rsid w:val="00CC1197"/>
    <w:rsid w:val="00CC21AD"/>
    <w:rsid w:val="00CC3972"/>
    <w:rsid w:val="00CC4892"/>
    <w:rsid w:val="00CC6AA8"/>
    <w:rsid w:val="00CC6CDB"/>
    <w:rsid w:val="00CD018A"/>
    <w:rsid w:val="00CD08FE"/>
    <w:rsid w:val="00CD1498"/>
    <w:rsid w:val="00CD25AC"/>
    <w:rsid w:val="00CD3772"/>
    <w:rsid w:val="00CD418D"/>
    <w:rsid w:val="00CD47AF"/>
    <w:rsid w:val="00CD4F0D"/>
    <w:rsid w:val="00CD5533"/>
    <w:rsid w:val="00CD55E5"/>
    <w:rsid w:val="00CD58AC"/>
    <w:rsid w:val="00CD6004"/>
    <w:rsid w:val="00CD68C5"/>
    <w:rsid w:val="00CD6C5D"/>
    <w:rsid w:val="00CD7983"/>
    <w:rsid w:val="00CE0CB6"/>
    <w:rsid w:val="00CE1A19"/>
    <w:rsid w:val="00CE1D8C"/>
    <w:rsid w:val="00CE2186"/>
    <w:rsid w:val="00CE2A41"/>
    <w:rsid w:val="00CE6393"/>
    <w:rsid w:val="00CE6B65"/>
    <w:rsid w:val="00CF2006"/>
    <w:rsid w:val="00CF3236"/>
    <w:rsid w:val="00CF3684"/>
    <w:rsid w:val="00CF4415"/>
    <w:rsid w:val="00CF574D"/>
    <w:rsid w:val="00CF7C71"/>
    <w:rsid w:val="00D0192F"/>
    <w:rsid w:val="00D05DB7"/>
    <w:rsid w:val="00D05FD2"/>
    <w:rsid w:val="00D076C5"/>
    <w:rsid w:val="00D117BF"/>
    <w:rsid w:val="00D13C07"/>
    <w:rsid w:val="00D145A7"/>
    <w:rsid w:val="00D14CB7"/>
    <w:rsid w:val="00D17880"/>
    <w:rsid w:val="00D17D4E"/>
    <w:rsid w:val="00D23FA8"/>
    <w:rsid w:val="00D24D9E"/>
    <w:rsid w:val="00D263C6"/>
    <w:rsid w:val="00D313F1"/>
    <w:rsid w:val="00D31C12"/>
    <w:rsid w:val="00D31E5C"/>
    <w:rsid w:val="00D3585E"/>
    <w:rsid w:val="00D378CC"/>
    <w:rsid w:val="00D37CB8"/>
    <w:rsid w:val="00D4044E"/>
    <w:rsid w:val="00D417E4"/>
    <w:rsid w:val="00D43B01"/>
    <w:rsid w:val="00D4603D"/>
    <w:rsid w:val="00D46EC5"/>
    <w:rsid w:val="00D535CE"/>
    <w:rsid w:val="00D54C88"/>
    <w:rsid w:val="00D560FF"/>
    <w:rsid w:val="00D60A39"/>
    <w:rsid w:val="00D628D2"/>
    <w:rsid w:val="00D62904"/>
    <w:rsid w:val="00D70BF9"/>
    <w:rsid w:val="00D728D0"/>
    <w:rsid w:val="00D72BCA"/>
    <w:rsid w:val="00D73523"/>
    <w:rsid w:val="00D73A4A"/>
    <w:rsid w:val="00D7505C"/>
    <w:rsid w:val="00D7735C"/>
    <w:rsid w:val="00D82CDF"/>
    <w:rsid w:val="00D84C22"/>
    <w:rsid w:val="00D84F84"/>
    <w:rsid w:val="00D855EE"/>
    <w:rsid w:val="00D87051"/>
    <w:rsid w:val="00D90183"/>
    <w:rsid w:val="00D9069E"/>
    <w:rsid w:val="00D91371"/>
    <w:rsid w:val="00D9231E"/>
    <w:rsid w:val="00D93B3E"/>
    <w:rsid w:val="00D94730"/>
    <w:rsid w:val="00D94CA6"/>
    <w:rsid w:val="00D961DE"/>
    <w:rsid w:val="00D97D6F"/>
    <w:rsid w:val="00DA028D"/>
    <w:rsid w:val="00DA1744"/>
    <w:rsid w:val="00DA2F0D"/>
    <w:rsid w:val="00DA3957"/>
    <w:rsid w:val="00DA4D78"/>
    <w:rsid w:val="00DA54B8"/>
    <w:rsid w:val="00DA5A3B"/>
    <w:rsid w:val="00DA6456"/>
    <w:rsid w:val="00DA6495"/>
    <w:rsid w:val="00DA68E4"/>
    <w:rsid w:val="00DA7606"/>
    <w:rsid w:val="00DB12CF"/>
    <w:rsid w:val="00DB2039"/>
    <w:rsid w:val="00DB3AC0"/>
    <w:rsid w:val="00DB3F6F"/>
    <w:rsid w:val="00DB4079"/>
    <w:rsid w:val="00DB423D"/>
    <w:rsid w:val="00DB6F00"/>
    <w:rsid w:val="00DC0BEA"/>
    <w:rsid w:val="00DC0DB8"/>
    <w:rsid w:val="00DC2814"/>
    <w:rsid w:val="00DC301A"/>
    <w:rsid w:val="00DC3761"/>
    <w:rsid w:val="00DC3C8E"/>
    <w:rsid w:val="00DC5550"/>
    <w:rsid w:val="00DC6065"/>
    <w:rsid w:val="00DD08A2"/>
    <w:rsid w:val="00DD189F"/>
    <w:rsid w:val="00DD309B"/>
    <w:rsid w:val="00DD32BA"/>
    <w:rsid w:val="00DE1025"/>
    <w:rsid w:val="00DE1FA0"/>
    <w:rsid w:val="00DE3075"/>
    <w:rsid w:val="00DE3332"/>
    <w:rsid w:val="00DE3BAB"/>
    <w:rsid w:val="00DE45CC"/>
    <w:rsid w:val="00DE4621"/>
    <w:rsid w:val="00DE517E"/>
    <w:rsid w:val="00DE5AFF"/>
    <w:rsid w:val="00DE6AB9"/>
    <w:rsid w:val="00DE72E4"/>
    <w:rsid w:val="00DE79D1"/>
    <w:rsid w:val="00DE7D11"/>
    <w:rsid w:val="00DE7D55"/>
    <w:rsid w:val="00DF0C4C"/>
    <w:rsid w:val="00DF1383"/>
    <w:rsid w:val="00DF3AE8"/>
    <w:rsid w:val="00DF3CA1"/>
    <w:rsid w:val="00DF4750"/>
    <w:rsid w:val="00DF5B5C"/>
    <w:rsid w:val="00DF5E93"/>
    <w:rsid w:val="00DF63D6"/>
    <w:rsid w:val="00E017B1"/>
    <w:rsid w:val="00E01C39"/>
    <w:rsid w:val="00E047E9"/>
    <w:rsid w:val="00E066BE"/>
    <w:rsid w:val="00E06EDB"/>
    <w:rsid w:val="00E0720D"/>
    <w:rsid w:val="00E0799B"/>
    <w:rsid w:val="00E11B2C"/>
    <w:rsid w:val="00E11D84"/>
    <w:rsid w:val="00E1300D"/>
    <w:rsid w:val="00E1368A"/>
    <w:rsid w:val="00E14201"/>
    <w:rsid w:val="00E14893"/>
    <w:rsid w:val="00E15131"/>
    <w:rsid w:val="00E151DE"/>
    <w:rsid w:val="00E152E2"/>
    <w:rsid w:val="00E15403"/>
    <w:rsid w:val="00E16191"/>
    <w:rsid w:val="00E16B38"/>
    <w:rsid w:val="00E202DA"/>
    <w:rsid w:val="00E20787"/>
    <w:rsid w:val="00E211F4"/>
    <w:rsid w:val="00E21D14"/>
    <w:rsid w:val="00E21E63"/>
    <w:rsid w:val="00E231BE"/>
    <w:rsid w:val="00E24683"/>
    <w:rsid w:val="00E2481B"/>
    <w:rsid w:val="00E2500B"/>
    <w:rsid w:val="00E25549"/>
    <w:rsid w:val="00E25705"/>
    <w:rsid w:val="00E26DD0"/>
    <w:rsid w:val="00E270C3"/>
    <w:rsid w:val="00E27910"/>
    <w:rsid w:val="00E309F5"/>
    <w:rsid w:val="00E30A2A"/>
    <w:rsid w:val="00E3148B"/>
    <w:rsid w:val="00E31885"/>
    <w:rsid w:val="00E371D2"/>
    <w:rsid w:val="00E37C75"/>
    <w:rsid w:val="00E41B51"/>
    <w:rsid w:val="00E42809"/>
    <w:rsid w:val="00E44C14"/>
    <w:rsid w:val="00E4668C"/>
    <w:rsid w:val="00E529DF"/>
    <w:rsid w:val="00E52F40"/>
    <w:rsid w:val="00E5629D"/>
    <w:rsid w:val="00E6033D"/>
    <w:rsid w:val="00E60C38"/>
    <w:rsid w:val="00E6263B"/>
    <w:rsid w:val="00E6342F"/>
    <w:rsid w:val="00E64A40"/>
    <w:rsid w:val="00E661C6"/>
    <w:rsid w:val="00E700C6"/>
    <w:rsid w:val="00E70783"/>
    <w:rsid w:val="00E71901"/>
    <w:rsid w:val="00E72A60"/>
    <w:rsid w:val="00E72E6A"/>
    <w:rsid w:val="00E739CC"/>
    <w:rsid w:val="00E74A7B"/>
    <w:rsid w:val="00E75908"/>
    <w:rsid w:val="00E7693E"/>
    <w:rsid w:val="00E77896"/>
    <w:rsid w:val="00E77C38"/>
    <w:rsid w:val="00E81F58"/>
    <w:rsid w:val="00E83AA6"/>
    <w:rsid w:val="00E8428D"/>
    <w:rsid w:val="00E84FAE"/>
    <w:rsid w:val="00E85FA7"/>
    <w:rsid w:val="00E87DF3"/>
    <w:rsid w:val="00E90768"/>
    <w:rsid w:val="00E90E3E"/>
    <w:rsid w:val="00E92A13"/>
    <w:rsid w:val="00E94AF9"/>
    <w:rsid w:val="00E959BD"/>
    <w:rsid w:val="00E963FE"/>
    <w:rsid w:val="00E975E1"/>
    <w:rsid w:val="00E9760C"/>
    <w:rsid w:val="00EA0202"/>
    <w:rsid w:val="00EA04B2"/>
    <w:rsid w:val="00EA0DF1"/>
    <w:rsid w:val="00EA1671"/>
    <w:rsid w:val="00EA2965"/>
    <w:rsid w:val="00EA2F93"/>
    <w:rsid w:val="00EA4AF6"/>
    <w:rsid w:val="00EA4D28"/>
    <w:rsid w:val="00EA5996"/>
    <w:rsid w:val="00EA5CAB"/>
    <w:rsid w:val="00EA68D0"/>
    <w:rsid w:val="00EA6CA7"/>
    <w:rsid w:val="00EB335B"/>
    <w:rsid w:val="00EB4E0D"/>
    <w:rsid w:val="00EB4ED0"/>
    <w:rsid w:val="00EB58EE"/>
    <w:rsid w:val="00EB6C45"/>
    <w:rsid w:val="00EB70FF"/>
    <w:rsid w:val="00EB75C7"/>
    <w:rsid w:val="00EC25DB"/>
    <w:rsid w:val="00EC3847"/>
    <w:rsid w:val="00EC3CE9"/>
    <w:rsid w:val="00EC4FA2"/>
    <w:rsid w:val="00EC68B9"/>
    <w:rsid w:val="00EC6A26"/>
    <w:rsid w:val="00EC6FC4"/>
    <w:rsid w:val="00EC70D7"/>
    <w:rsid w:val="00ED0516"/>
    <w:rsid w:val="00ED22AF"/>
    <w:rsid w:val="00ED249A"/>
    <w:rsid w:val="00ED40F7"/>
    <w:rsid w:val="00ED5209"/>
    <w:rsid w:val="00ED69ED"/>
    <w:rsid w:val="00ED7578"/>
    <w:rsid w:val="00EE1091"/>
    <w:rsid w:val="00EE4E04"/>
    <w:rsid w:val="00EE6027"/>
    <w:rsid w:val="00EE60C5"/>
    <w:rsid w:val="00EE6668"/>
    <w:rsid w:val="00EE720E"/>
    <w:rsid w:val="00EE7CC4"/>
    <w:rsid w:val="00EF229C"/>
    <w:rsid w:val="00EF54F0"/>
    <w:rsid w:val="00EF58D8"/>
    <w:rsid w:val="00EF5AED"/>
    <w:rsid w:val="00EF619F"/>
    <w:rsid w:val="00EF6227"/>
    <w:rsid w:val="00F0130A"/>
    <w:rsid w:val="00F01641"/>
    <w:rsid w:val="00F01D68"/>
    <w:rsid w:val="00F0335A"/>
    <w:rsid w:val="00F04382"/>
    <w:rsid w:val="00F043A8"/>
    <w:rsid w:val="00F04591"/>
    <w:rsid w:val="00F056BA"/>
    <w:rsid w:val="00F0641E"/>
    <w:rsid w:val="00F067B2"/>
    <w:rsid w:val="00F11B07"/>
    <w:rsid w:val="00F11F36"/>
    <w:rsid w:val="00F12516"/>
    <w:rsid w:val="00F132FC"/>
    <w:rsid w:val="00F174F3"/>
    <w:rsid w:val="00F17B8B"/>
    <w:rsid w:val="00F22476"/>
    <w:rsid w:val="00F22CB5"/>
    <w:rsid w:val="00F23B70"/>
    <w:rsid w:val="00F23C24"/>
    <w:rsid w:val="00F2547A"/>
    <w:rsid w:val="00F26669"/>
    <w:rsid w:val="00F2700F"/>
    <w:rsid w:val="00F30EB0"/>
    <w:rsid w:val="00F3185B"/>
    <w:rsid w:val="00F334D2"/>
    <w:rsid w:val="00F3482E"/>
    <w:rsid w:val="00F357E9"/>
    <w:rsid w:val="00F376C0"/>
    <w:rsid w:val="00F4191E"/>
    <w:rsid w:val="00F42106"/>
    <w:rsid w:val="00F42CCF"/>
    <w:rsid w:val="00F433F5"/>
    <w:rsid w:val="00F470EA"/>
    <w:rsid w:val="00F51A57"/>
    <w:rsid w:val="00F53E10"/>
    <w:rsid w:val="00F54A3F"/>
    <w:rsid w:val="00F54F6A"/>
    <w:rsid w:val="00F5551E"/>
    <w:rsid w:val="00F55A63"/>
    <w:rsid w:val="00F55DC2"/>
    <w:rsid w:val="00F56143"/>
    <w:rsid w:val="00F5670E"/>
    <w:rsid w:val="00F56DA8"/>
    <w:rsid w:val="00F56DE2"/>
    <w:rsid w:val="00F60495"/>
    <w:rsid w:val="00F6165E"/>
    <w:rsid w:val="00F623B0"/>
    <w:rsid w:val="00F62636"/>
    <w:rsid w:val="00F629A3"/>
    <w:rsid w:val="00F64735"/>
    <w:rsid w:val="00F66126"/>
    <w:rsid w:val="00F66241"/>
    <w:rsid w:val="00F67A1A"/>
    <w:rsid w:val="00F67DDA"/>
    <w:rsid w:val="00F7050F"/>
    <w:rsid w:val="00F729D1"/>
    <w:rsid w:val="00F731DF"/>
    <w:rsid w:val="00F7746F"/>
    <w:rsid w:val="00F805F5"/>
    <w:rsid w:val="00F80C2B"/>
    <w:rsid w:val="00F81C66"/>
    <w:rsid w:val="00F82FDC"/>
    <w:rsid w:val="00F8332C"/>
    <w:rsid w:val="00F8570F"/>
    <w:rsid w:val="00F91451"/>
    <w:rsid w:val="00F9172F"/>
    <w:rsid w:val="00F94089"/>
    <w:rsid w:val="00F95575"/>
    <w:rsid w:val="00F964A5"/>
    <w:rsid w:val="00F965ED"/>
    <w:rsid w:val="00F97F2C"/>
    <w:rsid w:val="00FA0F7C"/>
    <w:rsid w:val="00FA2D68"/>
    <w:rsid w:val="00FA2E5C"/>
    <w:rsid w:val="00FA3193"/>
    <w:rsid w:val="00FA34FE"/>
    <w:rsid w:val="00FA46F3"/>
    <w:rsid w:val="00FA5074"/>
    <w:rsid w:val="00FB01AB"/>
    <w:rsid w:val="00FB0901"/>
    <w:rsid w:val="00FB1C45"/>
    <w:rsid w:val="00FB2334"/>
    <w:rsid w:val="00FB28AB"/>
    <w:rsid w:val="00FB3CA5"/>
    <w:rsid w:val="00FB3F67"/>
    <w:rsid w:val="00FB60EB"/>
    <w:rsid w:val="00FB6E89"/>
    <w:rsid w:val="00FB7AC2"/>
    <w:rsid w:val="00FC033E"/>
    <w:rsid w:val="00FC059C"/>
    <w:rsid w:val="00FC2D75"/>
    <w:rsid w:val="00FC3523"/>
    <w:rsid w:val="00FC49F7"/>
    <w:rsid w:val="00FC5457"/>
    <w:rsid w:val="00FC57DF"/>
    <w:rsid w:val="00FC5F5B"/>
    <w:rsid w:val="00FC6F1D"/>
    <w:rsid w:val="00FC700B"/>
    <w:rsid w:val="00FD11E5"/>
    <w:rsid w:val="00FD1BCA"/>
    <w:rsid w:val="00FD1FC5"/>
    <w:rsid w:val="00FD2416"/>
    <w:rsid w:val="00FD34F7"/>
    <w:rsid w:val="00FD3661"/>
    <w:rsid w:val="00FD374E"/>
    <w:rsid w:val="00FD5729"/>
    <w:rsid w:val="00FD75C9"/>
    <w:rsid w:val="00FE0EF9"/>
    <w:rsid w:val="00FE1561"/>
    <w:rsid w:val="00FE3393"/>
    <w:rsid w:val="00FE4420"/>
    <w:rsid w:val="00FE6C7C"/>
    <w:rsid w:val="00FE7438"/>
    <w:rsid w:val="00FF2FE0"/>
    <w:rsid w:val="00FF385B"/>
    <w:rsid w:val="00FF3E40"/>
    <w:rsid w:val="00FF6181"/>
    <w:rsid w:val="00FF73A9"/>
    <w:rsid w:val="00FF7475"/>
    <w:rsid w:val="00FF7EA3"/>
    <w:rsid w:val="00FF7FA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F002CCB"/>
  <w15:chartTrackingRefBased/>
  <w15:docId w15:val="{7D4A3A25-5F2C-49E4-AC45-8A04CBD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D6EA6"/>
    <w:pPr>
      <w:widowControl w:val="0"/>
    </w:pPr>
    <w:rPr>
      <w:snapToGrid w:val="0"/>
      <w:kern w:val="28"/>
      <w:sz w:val="22"/>
    </w:rPr>
  </w:style>
  <w:style w:type="paragraph" w:styleId="Heading1">
    <w:name w:val="heading 1"/>
    <w:basedOn w:val="Normal"/>
    <w:next w:val="ParaNum"/>
    <w:link w:val="Heading1Char"/>
    <w:qFormat/>
    <w:rsid w:val="00BD6EA6"/>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D6EA6"/>
    <w:pPr>
      <w:keepNext/>
      <w:numPr>
        <w:ilvl w:val="1"/>
        <w:numId w:val="11"/>
      </w:numPr>
      <w:spacing w:after="120"/>
      <w:outlineLvl w:val="1"/>
    </w:pPr>
    <w:rPr>
      <w:b/>
    </w:rPr>
  </w:style>
  <w:style w:type="paragraph" w:styleId="Heading3">
    <w:name w:val="heading 3"/>
    <w:basedOn w:val="Normal"/>
    <w:next w:val="ParaNum"/>
    <w:qFormat/>
    <w:rsid w:val="00BD6EA6"/>
    <w:pPr>
      <w:keepNext/>
      <w:numPr>
        <w:ilvl w:val="2"/>
        <w:numId w:val="11"/>
      </w:numPr>
      <w:tabs>
        <w:tab w:val="left" w:pos="2160"/>
      </w:tabs>
      <w:spacing w:after="120"/>
      <w:outlineLvl w:val="2"/>
    </w:pPr>
    <w:rPr>
      <w:b/>
    </w:rPr>
  </w:style>
  <w:style w:type="paragraph" w:styleId="Heading4">
    <w:name w:val="heading 4"/>
    <w:basedOn w:val="Normal"/>
    <w:next w:val="ParaNum"/>
    <w:qFormat/>
    <w:rsid w:val="00BD6EA6"/>
    <w:pPr>
      <w:keepNext/>
      <w:numPr>
        <w:ilvl w:val="3"/>
        <w:numId w:val="11"/>
      </w:numPr>
      <w:tabs>
        <w:tab w:val="left" w:pos="2880"/>
      </w:tabs>
      <w:spacing w:after="120"/>
      <w:outlineLvl w:val="3"/>
    </w:pPr>
    <w:rPr>
      <w:b/>
    </w:rPr>
  </w:style>
  <w:style w:type="paragraph" w:styleId="Heading5">
    <w:name w:val="heading 5"/>
    <w:basedOn w:val="Normal"/>
    <w:next w:val="ParaNum"/>
    <w:qFormat/>
    <w:rsid w:val="00BD6EA6"/>
    <w:pPr>
      <w:keepNext/>
      <w:numPr>
        <w:ilvl w:val="4"/>
        <w:numId w:val="11"/>
      </w:numPr>
      <w:tabs>
        <w:tab w:val="left" w:pos="3600"/>
      </w:tabs>
      <w:suppressAutoHyphens/>
      <w:spacing w:after="120"/>
      <w:outlineLvl w:val="4"/>
    </w:pPr>
    <w:rPr>
      <w:b/>
    </w:rPr>
  </w:style>
  <w:style w:type="paragraph" w:styleId="Heading6">
    <w:name w:val="heading 6"/>
    <w:basedOn w:val="Normal"/>
    <w:next w:val="ParaNum"/>
    <w:qFormat/>
    <w:rsid w:val="00BD6EA6"/>
    <w:pPr>
      <w:numPr>
        <w:ilvl w:val="5"/>
        <w:numId w:val="11"/>
      </w:numPr>
      <w:tabs>
        <w:tab w:val="left" w:pos="4320"/>
      </w:tabs>
      <w:spacing w:after="120"/>
      <w:outlineLvl w:val="5"/>
    </w:pPr>
    <w:rPr>
      <w:b/>
    </w:rPr>
  </w:style>
  <w:style w:type="paragraph" w:styleId="Heading7">
    <w:name w:val="heading 7"/>
    <w:basedOn w:val="Normal"/>
    <w:next w:val="ParaNum"/>
    <w:qFormat/>
    <w:rsid w:val="00BD6EA6"/>
    <w:pPr>
      <w:numPr>
        <w:ilvl w:val="6"/>
        <w:numId w:val="11"/>
      </w:numPr>
      <w:tabs>
        <w:tab w:val="left" w:pos="5040"/>
      </w:tabs>
      <w:spacing w:after="120"/>
      <w:ind w:left="5040" w:hanging="720"/>
      <w:outlineLvl w:val="6"/>
    </w:pPr>
    <w:rPr>
      <w:b/>
    </w:rPr>
  </w:style>
  <w:style w:type="paragraph" w:styleId="Heading8">
    <w:name w:val="heading 8"/>
    <w:basedOn w:val="Normal"/>
    <w:next w:val="ParaNum"/>
    <w:qFormat/>
    <w:rsid w:val="00BD6EA6"/>
    <w:pPr>
      <w:numPr>
        <w:ilvl w:val="7"/>
        <w:numId w:val="11"/>
      </w:numPr>
      <w:tabs>
        <w:tab w:val="clear" w:pos="5400"/>
        <w:tab w:val="left" w:pos="5760"/>
      </w:tabs>
      <w:spacing w:after="120"/>
      <w:ind w:left="5760" w:hanging="720"/>
      <w:outlineLvl w:val="7"/>
    </w:pPr>
    <w:rPr>
      <w:b/>
    </w:rPr>
  </w:style>
  <w:style w:type="paragraph" w:styleId="Heading9">
    <w:name w:val="heading 9"/>
    <w:basedOn w:val="Normal"/>
    <w:next w:val="ParaNum"/>
    <w:qFormat/>
    <w:rsid w:val="00BD6EA6"/>
    <w:pPr>
      <w:numPr>
        <w:ilvl w:val="8"/>
        <w:numId w:val="1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D6E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6EA6"/>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D6EA6"/>
    <w:pPr>
      <w:numPr>
        <w:numId w:val="10"/>
      </w:numPr>
      <w:tabs>
        <w:tab w:val="clear" w:pos="1080"/>
        <w:tab w:val="num" w:pos="1440"/>
      </w:tabs>
      <w:spacing w:after="120"/>
    </w:pPr>
  </w:style>
  <w:style w:type="paragraph" w:styleId="FootnoteText">
    <w:name w:val="footnote text"/>
    <w:aliases w:val="Footnote Text Char Char Char,Footnote Text Char Char Char Char Char,Footnote Text Char1,Footnote Text Char1 Char,Footnote Text Char1 Char Char Char,Footnote Text Char2,Styl,f,fn,ft,rrfootnote,rrfootnote Char Char Char Char Char"/>
    <w:link w:val="FootnoteTextChar"/>
    <w:rsid w:val="00BD6EA6"/>
    <w:pPr>
      <w:spacing w:after="120"/>
    </w:pPr>
  </w:style>
  <w:style w:type="paragraph" w:customStyle="1" w:styleId="Bullet">
    <w:name w:val="Bullet"/>
    <w:basedOn w:val="Normal"/>
    <w:rsid w:val="00BD6EA6"/>
    <w:pPr>
      <w:tabs>
        <w:tab w:val="left" w:pos="2160"/>
      </w:tabs>
      <w:spacing w:after="220"/>
      <w:ind w:left="2160" w:hanging="720"/>
    </w:pPr>
  </w:style>
  <w:style w:type="paragraph" w:styleId="BlockText">
    <w:name w:val="Block Text"/>
    <w:basedOn w:val="Normal"/>
    <w:rsid w:val="00BD6EA6"/>
    <w:pPr>
      <w:spacing w:after="240"/>
      <w:ind w:left="1440" w:right="1440"/>
    </w:pPr>
  </w:style>
  <w:style w:type="paragraph" w:customStyle="1" w:styleId="TableFormat">
    <w:name w:val="TableFormat"/>
    <w:basedOn w:val="Bullet"/>
    <w:rsid w:val="00BD6EA6"/>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D6EA6"/>
    <w:rPr>
      <w:rFonts w:ascii="Times New Roman" w:hAnsi="Times New Roman"/>
      <w:dstrike w:val="0"/>
      <w:color w:val="auto"/>
      <w:sz w:val="20"/>
      <w:vertAlign w:val="superscript"/>
    </w:rPr>
  </w:style>
  <w:style w:type="paragraph" w:styleId="Header">
    <w:name w:val="header"/>
    <w:basedOn w:val="Normal"/>
    <w:autoRedefine/>
    <w:rsid w:val="00BD6EA6"/>
    <w:pPr>
      <w:tabs>
        <w:tab w:val="center" w:pos="4680"/>
        <w:tab w:val="right" w:pos="9360"/>
      </w:tabs>
    </w:pPr>
    <w:rPr>
      <w:b/>
    </w:rPr>
  </w:style>
  <w:style w:type="paragraph" w:styleId="Footer">
    <w:name w:val="footer"/>
    <w:basedOn w:val="Normal"/>
    <w:link w:val="FooterChar"/>
    <w:uiPriority w:val="99"/>
    <w:rsid w:val="00BD6EA6"/>
    <w:pPr>
      <w:tabs>
        <w:tab w:val="center" w:pos="4320"/>
        <w:tab w:val="right" w:pos="8640"/>
      </w:tabs>
    </w:pPr>
  </w:style>
  <w:style w:type="paragraph" w:styleId="TOC2">
    <w:name w:val="toc 2"/>
    <w:basedOn w:val="Normal"/>
    <w:next w:val="Normal"/>
    <w:semiHidden/>
    <w:rsid w:val="00BD6EA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BD6EA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D6E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D6E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D6E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D6E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D6E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D6E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D6EA6"/>
    <w:pPr>
      <w:tabs>
        <w:tab w:val="left" w:pos="3240"/>
        <w:tab w:val="right" w:leader="dot" w:pos="9360"/>
      </w:tabs>
      <w:suppressAutoHyphens/>
      <w:ind w:left="3240" w:hanging="360"/>
    </w:pPr>
    <w:rPr>
      <w:noProof/>
    </w:rPr>
  </w:style>
  <w:style w:type="character" w:styleId="PageNumber">
    <w:name w:val="page number"/>
    <w:basedOn w:val="DefaultParagraphFont"/>
    <w:rsid w:val="00BD6EA6"/>
  </w:style>
  <w:style w:type="paragraph" w:styleId="Title">
    <w:name w:val="Title"/>
    <w:basedOn w:val="Normal"/>
    <w:qFormat/>
    <w:pPr>
      <w:jc w:val="center"/>
    </w:pPr>
    <w:rPr>
      <w:b/>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1,Footnote Text Char2 Char,f Char1,fn Char,rrfootnote Char"/>
    <w:link w:val="FootnoteText"/>
  </w:style>
  <w:style w:type="paragraph" w:styleId="EndnoteText">
    <w:name w:val="endnote text"/>
    <w:basedOn w:val="Normal"/>
    <w:semiHidden/>
    <w:rsid w:val="00BD6EA6"/>
    <w:rPr>
      <w:sz w:val="20"/>
    </w:rPr>
  </w:style>
  <w:style w:type="character" w:customStyle="1" w:styleId="ParaNumChar">
    <w:name w:val="ParaNum Char"/>
    <w:link w:val="ParaNum"/>
    <w:rPr>
      <w:snapToGrid w:val="0"/>
      <w:kern w:val="28"/>
      <w:sz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character" w:styleId="EndnoteReference">
    <w:name w:val="endnote reference"/>
    <w:semiHidden/>
    <w:rsid w:val="00BD6EA6"/>
    <w:rPr>
      <w:vertAlign w:val="superscript"/>
    </w:rPr>
  </w:style>
  <w:style w:type="paragraph" w:styleId="TOAHeading">
    <w:name w:val="toa heading"/>
    <w:basedOn w:val="Normal"/>
    <w:next w:val="Normal"/>
    <w:semiHidden/>
    <w:rsid w:val="00BD6EA6"/>
    <w:pPr>
      <w:tabs>
        <w:tab w:val="right" w:pos="9360"/>
      </w:tabs>
      <w:suppressAutoHyphens/>
    </w:pPr>
  </w:style>
  <w:style w:type="character" w:customStyle="1" w:styleId="EquationCaption">
    <w:name w:val="_Equation Caption"/>
    <w:rsid w:val="00BD6EA6"/>
  </w:style>
  <w:style w:type="paragraph" w:customStyle="1" w:styleId="Paratitle">
    <w:name w:val="Para title"/>
    <w:basedOn w:val="Normal"/>
    <w:rsid w:val="00BD6EA6"/>
    <w:pPr>
      <w:tabs>
        <w:tab w:val="center" w:pos="9270"/>
      </w:tabs>
      <w:spacing w:after="240"/>
    </w:pPr>
    <w:rPr>
      <w:spacing w:val="-2"/>
    </w:rPr>
  </w:style>
  <w:style w:type="paragraph" w:customStyle="1" w:styleId="TOCTitle">
    <w:name w:val="TOC Title"/>
    <w:basedOn w:val="Normal"/>
    <w:rsid w:val="00BD6E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D6EA6"/>
    <w:pPr>
      <w:jc w:val="center"/>
    </w:pPr>
    <w:rPr>
      <w:rFonts w:ascii="Times New Roman Bold" w:hAnsi="Times New Roman Bold"/>
      <w:b/>
      <w:bCs/>
      <w:caps/>
      <w:szCs w:val="22"/>
    </w:rPr>
  </w:style>
  <w:style w:type="character" w:styleId="Hyperlink">
    <w:name w:val="Hyperlink"/>
    <w:rsid w:val="00BD6EA6"/>
    <w:rPr>
      <w:color w:val="0000FF"/>
      <w:u w:val="single"/>
    </w:rPr>
  </w:style>
  <w:style w:type="character" w:customStyle="1" w:styleId="documentbody">
    <w:name w:val="documentbody"/>
    <w:basedOn w:val="DefaultParagraphFont"/>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character" w:styleId="FollowedHyperlink">
    <w:name w:val="FollowedHyperlink"/>
    <w:rPr>
      <w:color w:val="800080"/>
      <w:u w:val="single"/>
    </w:rPr>
  </w:style>
  <w:style w:type="character" w:customStyle="1" w:styleId="bestsection">
    <w:name w:val="bestsection"/>
    <w:basedOn w:val="DefaultParagraphFont"/>
  </w:style>
  <w:style w:type="character" w:customStyle="1" w:styleId="FootnoteTextChar1CharCharCharCharChar1">
    <w:name w:val="Footnote Text Char1 Char Char Char Char Char1"/>
    <w:aliases w:val="Footnote Text Char Char Char Char Char Char Char Char,Footnote Text Char3 Char2"/>
    <w:rPr>
      <w:lang w:val="en-US" w:eastAsia="en-US" w:bidi="ar-SA"/>
    </w:rPr>
  </w:style>
  <w:style w:type="character" w:customStyle="1" w:styleId="searchterm">
    <w:name w:val="searchterm"/>
    <w:basedOn w:val="DefaultParagraphFont"/>
  </w:style>
  <w:style w:type="character" w:customStyle="1" w:styleId="CommentSubjectChar">
    <w:name w:val="Comment Subject Char"/>
    <w:link w:val="CommentSubject"/>
    <w:rPr>
      <w:b/>
      <w:bCs/>
      <w:lang w:val="en-US" w:eastAsia="en-US" w:bidi="ar-SA"/>
    </w:rPr>
  </w:style>
  <w:style w:type="paragraph" w:styleId="Revision">
    <w:name w:val="Revision"/>
    <w:hidden/>
    <w:semiHidden/>
    <w:rPr>
      <w:sz w:val="24"/>
      <w:szCs w:val="24"/>
    </w:rPr>
  </w:style>
  <w:style w:type="character" w:customStyle="1" w:styleId="FootnoteTextChar1CharCharCharCharChar">
    <w:name w:val="Footnote Text Char1 Char Char Char Char Char"/>
    <w:aliases w:val="Footnote Text Char Char Char Char Char Char Char,Footnote Text Char Char1,f Char"/>
    <w:rPr>
      <w:lang w:val="en-US" w:eastAsia="en-US" w:bidi="ar-SA"/>
    </w:rPr>
  </w:style>
  <w:style w:type="character" w:styleId="Emphasis">
    <w:name w:val="Emphasis"/>
    <w:uiPriority w:val="20"/>
    <w:qFormat/>
    <w:rPr>
      <w:i/>
      <w:iCs/>
    </w:rPr>
  </w:style>
  <w:style w:type="character" w:customStyle="1" w:styleId="rrfootnoteCharCharChar">
    <w:name w:val="rrfootnote Char Char Char"/>
    <w:aliases w:val="Footnote Text Char2 Char Char"/>
    <w:semiHidden/>
    <w:rPr>
      <w:lang w:val="en-US" w:eastAsia="en-US" w:bidi="ar-SA"/>
    </w:rPr>
  </w:style>
  <w:style w:type="character" w:customStyle="1" w:styleId="UnresolvedMention">
    <w:name w:val="Unresolved Mention"/>
    <w:uiPriority w:val="99"/>
    <w:semiHidden/>
    <w:unhideWhenUsed/>
    <w:rsid w:val="00373199"/>
    <w:rPr>
      <w:color w:val="808080"/>
      <w:shd w:val="clear" w:color="auto" w:fill="E6E6E6"/>
    </w:rPr>
  </w:style>
  <w:style w:type="character" w:customStyle="1" w:styleId="Heading1Char">
    <w:name w:val="Heading 1 Char"/>
    <w:link w:val="Heading1"/>
    <w:rsid w:val="00D9231E"/>
    <w:rPr>
      <w:rFonts w:ascii="Times New Roman Bold" w:hAnsi="Times New Roman Bold"/>
      <w:b/>
      <w:caps/>
      <w:snapToGrid w:val="0"/>
      <w:kern w:val="28"/>
      <w:sz w:val="22"/>
    </w:rPr>
  </w:style>
  <w:style w:type="character" w:customStyle="1" w:styleId="cosearchwithinterm">
    <w:name w:val="co_searchwithinterm"/>
    <w:rsid w:val="004D12C1"/>
  </w:style>
  <w:style w:type="character" w:customStyle="1" w:styleId="FooterChar">
    <w:name w:val="Footer Char"/>
    <w:link w:val="Footer"/>
    <w:uiPriority w:val="99"/>
    <w:rsid w:val="00BD6EA6"/>
    <w:rPr>
      <w:snapToGrid w:val="0"/>
      <w:kern w:val="28"/>
      <w:sz w:val="22"/>
    </w:rPr>
  </w:style>
  <w:style w:type="character" w:customStyle="1" w:styleId="FootnoteTextCharChar">
    <w:name w:val="Footnote Text Char Char"/>
    <w:aliases w:val="Footnote Text Char Char Char Char2 Char,Footnote Text Char1 Char Char Char Char Char Char,Footnote Text Char1 Char Char2 Char,Footnote Text Char2 Char Char1 Char Char1 Char,Footnote Text Char2 Char1 Char"/>
    <w:rsid w:val="00E6342F"/>
  </w:style>
  <w:style w:type="paragraph" w:styleId="ListParagraph">
    <w:name w:val="List Paragraph"/>
    <w:basedOn w:val="Normal"/>
    <w:uiPriority w:val="34"/>
    <w:qFormat/>
    <w:rsid w:val="00081417"/>
    <w:pPr>
      <w:ind w:left="720"/>
    </w:pPr>
  </w:style>
  <w:style w:type="character" w:customStyle="1" w:styleId="Heading2Char">
    <w:name w:val="Heading 2 Char"/>
    <w:link w:val="Heading2"/>
    <w:rsid w:val="002E033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enneth.Scheibel@fcc.gov" TargetMode="External" /><Relationship Id="rId11" Type="http://schemas.openxmlformats.org/officeDocument/2006/relationships/hyperlink" Target="mailto:WBGG.0odav0w4puhp9dkq@u.box.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nya.Baez@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int.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views/public/assignmentDraftCopy?displayType=html&amp;appKey=aa132496ea75450b9bf7c1b6063ebeb7&amp;id=aa132496ea75450b9bf7c1b6063ebeb7&amp;goBack=N" TargetMode="External" /><Relationship Id="rId2" Type="http://schemas.openxmlformats.org/officeDocument/2006/relationships/hyperlink" Target="mailto:ARINQUIRIES@fcc.gov" TargetMode="External" /><Relationship Id="rId3" Type="http://schemas.openxmlformats.org/officeDocument/2006/relationships/hyperlink" Target="https://www.fcc.gov/licensing-databases/fees/fcc-remittance-advice-form-15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