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97A47" w:rsidP="00334AD5" w14:paraId="15FC9610" w14:textId="77777777">
      <w:pPr>
        <w:jc w:val="right"/>
        <w:rPr>
          <w:b/>
          <w:szCs w:val="22"/>
        </w:rPr>
      </w:pPr>
    </w:p>
    <w:p w:rsidR="00334AD5" w:rsidRPr="00CA3425" w:rsidP="00334AD5" w14:paraId="295927A7" w14:textId="5882C551">
      <w:pPr>
        <w:jc w:val="right"/>
        <w:rPr>
          <w:b/>
          <w:szCs w:val="22"/>
        </w:rPr>
      </w:pPr>
      <w:r w:rsidRPr="00143796">
        <w:rPr>
          <w:b/>
          <w:szCs w:val="22"/>
        </w:rPr>
        <w:t xml:space="preserve">DA </w:t>
      </w:r>
      <w:r w:rsidR="00B233D4">
        <w:rPr>
          <w:b/>
          <w:szCs w:val="22"/>
        </w:rPr>
        <w:t>22-206</w:t>
      </w:r>
    </w:p>
    <w:p w:rsidR="00334AD5" w:rsidRPr="0029562D" w:rsidP="00334AD5" w14:paraId="5C52EFC8" w14:textId="07BBEA96">
      <w:pPr>
        <w:spacing w:before="60"/>
        <w:jc w:val="right"/>
        <w:rPr>
          <w:b/>
          <w:szCs w:val="22"/>
        </w:rPr>
      </w:pPr>
      <w:r w:rsidRPr="00CA3425">
        <w:rPr>
          <w:b/>
          <w:szCs w:val="22"/>
        </w:rPr>
        <w:t xml:space="preserve">Released: </w:t>
      </w:r>
      <w:r w:rsidR="00B71A53">
        <w:rPr>
          <w:b/>
          <w:szCs w:val="22"/>
        </w:rPr>
        <w:t>March 1, 2022</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56091BAA">
      <w:pPr>
        <w:jc w:val="center"/>
        <w:rPr>
          <w:b/>
          <w:szCs w:val="22"/>
        </w:rPr>
      </w:pPr>
      <w:r w:rsidRPr="008B54CB">
        <w:rPr>
          <w:b/>
          <w:szCs w:val="22"/>
        </w:rPr>
        <w:t xml:space="preserve">BY </w:t>
      </w:r>
      <w:r w:rsidRPr="00B6284C" w:rsidR="00B6284C">
        <w:rPr>
          <w:b/>
          <w:bCs/>
        </w:rPr>
        <w:t>U.S. TELEPACIFIC CORP. D</w:t>
      </w:r>
      <w:r w:rsidR="00A97A47">
        <w:rPr>
          <w:b/>
          <w:bCs/>
        </w:rPr>
        <w:t>/</w:t>
      </w:r>
      <w:r w:rsidR="00B6284C">
        <w:rPr>
          <w:b/>
          <w:bCs/>
        </w:rPr>
        <w:t>B</w:t>
      </w:r>
      <w:r w:rsidR="00A97A47">
        <w:rPr>
          <w:b/>
          <w:bCs/>
        </w:rPr>
        <w:t>/</w:t>
      </w:r>
      <w:r w:rsidR="00B6284C">
        <w:rPr>
          <w:b/>
          <w:bCs/>
        </w:rPr>
        <w:t>A</w:t>
      </w:r>
      <w:r w:rsidRPr="00B6284C" w:rsidR="00B6284C">
        <w:rPr>
          <w:b/>
          <w:bCs/>
        </w:rPr>
        <w:t xml:space="preserve"> TPX COMMUNICATIONS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768BEB61">
      <w:pPr>
        <w:jc w:val="center"/>
        <w:rPr>
          <w:b/>
          <w:szCs w:val="22"/>
        </w:rPr>
      </w:pPr>
      <w:r w:rsidRPr="0029562D">
        <w:rPr>
          <w:b/>
          <w:szCs w:val="22"/>
        </w:rPr>
        <w:t>WC Docket No</w:t>
      </w:r>
      <w:r w:rsidRPr="001C06E1">
        <w:rPr>
          <w:b/>
          <w:szCs w:val="22"/>
        </w:rPr>
        <w:t xml:space="preserve">. </w:t>
      </w:r>
      <w:r w:rsidR="00551DD4">
        <w:rPr>
          <w:b/>
          <w:szCs w:val="22"/>
        </w:rPr>
        <w:t>21-</w:t>
      </w:r>
      <w:r w:rsidR="00937436">
        <w:rPr>
          <w:b/>
          <w:szCs w:val="22"/>
        </w:rPr>
        <w:t>268</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40E761C0">
      <w:pPr>
        <w:pStyle w:val="NoSpacing"/>
        <w:rPr>
          <w:b/>
          <w:szCs w:val="22"/>
        </w:rPr>
      </w:pPr>
      <w:r w:rsidRPr="00CA3425">
        <w:rPr>
          <w:b/>
          <w:szCs w:val="22"/>
        </w:rPr>
        <w:t xml:space="preserve">Comments Due: </w:t>
      </w:r>
      <w:r w:rsidR="00B71A53">
        <w:rPr>
          <w:b/>
          <w:szCs w:val="22"/>
        </w:rPr>
        <w:t>March 16, 2022</w:t>
      </w:r>
    </w:p>
    <w:p w:rsidR="00334AD5" w:rsidRPr="0069551B" w:rsidP="00334AD5" w14:paraId="74A871CE" w14:textId="77777777">
      <w:pPr>
        <w:pStyle w:val="NoSpacing"/>
        <w:rPr>
          <w:b/>
          <w:szCs w:val="22"/>
        </w:rPr>
      </w:pPr>
    </w:p>
    <w:p w:rsidR="00334AD5" w:rsidRPr="00452866" w:rsidP="00B50723" w14:paraId="7D22E18B" w14:textId="16A2B2D9">
      <w:pPr>
        <w:autoSpaceDE w:val="0"/>
        <w:autoSpaceDN w:val="0"/>
        <w:adjustRightInd w:val="0"/>
        <w:ind w:firstLine="720"/>
        <w:rPr>
          <w:szCs w:val="22"/>
        </w:rPr>
      </w:pPr>
      <w:r>
        <w:t>U.S. TelePacific Corp. d</w:t>
      </w:r>
      <w:r w:rsidR="00160A98">
        <w:t>/</w:t>
      </w:r>
      <w:r>
        <w:t>b</w:t>
      </w:r>
      <w:r w:rsidR="00160A98">
        <w:t>/</w:t>
      </w:r>
      <w:r>
        <w:t xml:space="preserve">a </w:t>
      </w:r>
      <w:r>
        <w:t>TPx</w:t>
      </w:r>
      <w:r>
        <w:t xml:space="preserve"> Communications</w:t>
      </w:r>
      <w:r w:rsidRPr="00452866">
        <w:rPr>
          <w:szCs w:val="22"/>
        </w:rPr>
        <w:t xml:space="preserve"> </w:t>
      </w:r>
      <w:r w:rsidRPr="00452866">
        <w:rPr>
          <w:szCs w:val="22"/>
        </w:rPr>
        <w:t>(</w:t>
      </w:r>
      <w:r>
        <w:rPr>
          <w:szCs w:val="22"/>
        </w:rPr>
        <w:t>TPx</w:t>
      </w:r>
      <w:r w:rsidR="0086073F">
        <w:rPr>
          <w:szCs w:val="22"/>
        </w:rPr>
        <w:t>)</w:t>
      </w:r>
      <w:r>
        <w:rPr>
          <w:szCs w:val="22"/>
        </w:rPr>
        <w:t xml:space="preserve"> </w:t>
      </w:r>
      <w:r w:rsidR="00165F87">
        <w:rPr>
          <w:szCs w:val="22"/>
        </w:rPr>
        <w:t xml:space="preserve">is an interconnected Voice </w:t>
      </w:r>
      <w:r w:rsidR="00DA0CF4">
        <w:rPr>
          <w:szCs w:val="22"/>
        </w:rPr>
        <w:t>over</w:t>
      </w:r>
      <w:r w:rsidR="00165F87">
        <w:rPr>
          <w:szCs w:val="22"/>
        </w:rPr>
        <w:t xml:space="preserve">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w:t>
      </w:r>
      <w:r>
        <w:rPr>
          <w:rStyle w:val="FootnoteReference"/>
          <w:szCs w:val="22"/>
        </w:rPr>
        <w:footnoteReference w:id="4"/>
      </w:r>
      <w:r w:rsidRPr="00452866">
        <w:rPr>
          <w:szCs w:val="22"/>
        </w:rPr>
        <w:t xml:space="preserve">  </w:t>
      </w:r>
      <w:r w:rsidR="00165F87">
        <w:rPr>
          <w:szCs w:val="22"/>
        </w:rPr>
        <w:t xml:space="preserve">In its Application, </w:t>
      </w:r>
      <w:r>
        <w:rPr>
          <w:szCs w:val="22"/>
        </w:rPr>
        <w:t>TPx</w:t>
      </w:r>
      <w:r w:rsidR="00F303C9">
        <w:rPr>
          <w:szCs w:val="22"/>
        </w:rPr>
        <w:t xml:space="preserve"> </w:t>
      </w:r>
      <w:r w:rsidR="00165F87">
        <w:rPr>
          <w:szCs w:val="22"/>
        </w:rPr>
        <w:t>indicates that it intends to</w:t>
      </w:r>
      <w:r w:rsidR="00DB4086">
        <w:rPr>
          <w:szCs w:val="22"/>
        </w:rPr>
        <w:t xml:space="preserve"> initially</w:t>
      </w:r>
      <w:r w:rsidR="00165F87">
        <w:rPr>
          <w:szCs w:val="22"/>
        </w:rPr>
        <w:t xml:space="preserve"> request numbers i</w:t>
      </w:r>
      <w:r w:rsidR="00F44348">
        <w:rPr>
          <w:szCs w:val="22"/>
        </w:rPr>
        <w:t>n</w:t>
      </w:r>
      <w:r w:rsidRPr="00B50723" w:rsidR="00B50723">
        <w:rPr>
          <w:snapToGrid/>
          <w:kern w:val="0"/>
          <w:sz w:val="20"/>
        </w:rPr>
        <w:t xml:space="preserve"> </w:t>
      </w:r>
      <w:r w:rsidRPr="00B50723" w:rsidR="00B50723">
        <w:rPr>
          <w:szCs w:val="22"/>
        </w:rPr>
        <w:t>Alabama, Arkansas, California, Florida, Georgia, Indiana, Kansas, Kentucky, Louisiana, Mississippi, Nevada, North Carolina, Ohio, Oklahoma, South Carolina, Tennessee, Texas, and Wisconsin</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1C4554E3">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551DD4">
        <w:rPr>
          <w:szCs w:val="22"/>
        </w:rPr>
        <w:t xml:space="preserve"> </w:t>
      </w:r>
      <w:r w:rsidR="00B6284C">
        <w:rPr>
          <w:szCs w:val="22"/>
        </w:rPr>
        <w:t>TPx</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B6284C">
        <w:rPr>
          <w:szCs w:val="22"/>
        </w:rPr>
        <w:t>TPx</w:t>
      </w:r>
      <w:r w:rsidRPr="00452866" w:rsidR="00F303C9">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B6284C">
        <w:rPr>
          <w:szCs w:val="22"/>
        </w:rPr>
        <w:t>TPx</w:t>
      </w:r>
      <w:r w:rsidR="00551DD4">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B6284C">
        <w:rPr>
          <w:szCs w:val="22"/>
        </w:rPr>
        <w:t>TPx</w:t>
      </w:r>
      <w:r w:rsidRPr="00452866" w:rsidR="00F303C9">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B6284C">
        <w:rPr>
          <w:szCs w:val="22"/>
        </w:rPr>
        <w:t>TPX</w:t>
      </w:r>
      <w:r w:rsidR="00F303C9">
        <w:rPr>
          <w:szCs w:val="22"/>
        </w:rPr>
        <w:t xml:space="preserve"> </w:t>
      </w:r>
      <w:r w:rsidR="00EC58FD">
        <w:rPr>
          <w:szCs w:val="22"/>
        </w:rPr>
        <w:t>further certifies</w:t>
      </w:r>
      <w:r w:rsidRPr="00452866">
        <w:rPr>
          <w:szCs w:val="22"/>
        </w:rPr>
        <w:t xml:space="preserve"> that none of its key management and technical personnel are being or have </w:t>
      </w:r>
      <w:r w:rsidRPr="00452866">
        <w:rPr>
          <w:szCs w:val="22"/>
        </w:rPr>
        <w:t>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B6284C">
        <w:rPr>
          <w:szCs w:val="22"/>
        </w:rPr>
        <w:t>TPx</w:t>
      </w:r>
      <w:r w:rsidR="00F303C9">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7B9BE9D1">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51DD4">
        <w:rPr>
          <w:szCs w:val="22"/>
        </w:rPr>
        <w:t>21-</w:t>
      </w:r>
      <w:r w:rsidR="00937436">
        <w:rPr>
          <w:szCs w:val="22"/>
        </w:rPr>
        <w:t>268</w:t>
      </w:r>
      <w:r w:rsidR="005321BE">
        <w:rPr>
          <w:szCs w:val="22"/>
        </w:rPr>
        <w:t xml:space="preserve"> </w:t>
      </w:r>
      <w:r w:rsidRPr="007E63F9">
        <w:rPr>
          <w:b/>
          <w:szCs w:val="22"/>
        </w:rPr>
        <w:t xml:space="preserve">on or before </w:t>
      </w:r>
      <w:r w:rsidR="00B233D4">
        <w:rPr>
          <w:b/>
          <w:szCs w:val="22"/>
        </w:rPr>
        <w:t>March 16, 2022</w:t>
      </w:r>
      <w:r w:rsidRPr="00CA3425">
        <w:rPr>
          <w:szCs w:val="22"/>
        </w:rPr>
        <w:t>.</w:t>
      </w:r>
      <w:r>
        <w:rPr>
          <w:rStyle w:val="FootnoteReference"/>
          <w:szCs w:val="22"/>
        </w:rPr>
        <w:footnoteReference w:id="12"/>
      </w:r>
      <w:r w:rsidRPr="00452866">
        <w:rPr>
          <w:szCs w:val="22"/>
        </w:rPr>
        <w:t xml:space="preserve">  Commenters must serve a copy of comments on </w:t>
      </w:r>
      <w:r w:rsidR="00B6284C">
        <w:rPr>
          <w:szCs w:val="22"/>
        </w:rPr>
        <w:t>TPx</w:t>
      </w:r>
      <w:r w:rsidRPr="00452866" w:rsidR="00F303C9">
        <w:rPr>
          <w:szCs w:val="22"/>
        </w:rPr>
        <w:t xml:space="preserve"> </w:t>
      </w:r>
      <w:r w:rsidRPr="00452866">
        <w:rPr>
          <w:szCs w:val="22"/>
        </w:rPr>
        <w:t xml:space="preserve">no later than the above comment filing date.  Unless otherwise notified by the Commission, </w:t>
      </w:r>
      <w:r w:rsidR="00B6284C">
        <w:rPr>
          <w:szCs w:val="22"/>
        </w:rPr>
        <w:t>TPx</w:t>
      </w:r>
      <w:r w:rsidRPr="00452866" w:rsidR="00F303C9">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6A2E5D" w:rsidRPr="006A2E5D" w:rsidP="006A2E5D" w14:paraId="69A6DD65" w14:textId="7A45C05C">
      <w:pPr>
        <w:numPr>
          <w:ilvl w:val="0"/>
          <w:numId w:val="7"/>
        </w:numPr>
        <w:rPr>
          <w:szCs w:val="22"/>
        </w:rPr>
      </w:pPr>
      <w:hyperlink r:id="rId6" w:history="1">
        <w:r w:rsidRPr="002A1399" w:rsidR="001B338B">
          <w:rPr>
            <w:rStyle w:val="Hyperlink"/>
            <w:szCs w:val="22"/>
          </w:rPr>
          <w:t>DAA@fcc.gov</w:t>
        </w:r>
      </w:hyperlink>
      <w:r w:rsidRPr="006A2E5D">
        <w:rPr>
          <w:szCs w:val="22"/>
        </w:rPr>
        <w:t xml:space="preserve">; </w:t>
      </w:r>
    </w:p>
    <w:p w:rsidR="006A2E5D" w:rsidRPr="006A2E5D" w:rsidP="006A2E5D" w14:paraId="41886B98" w14:textId="77777777">
      <w:pPr>
        <w:rPr>
          <w:szCs w:val="22"/>
        </w:rPr>
      </w:pPr>
    </w:p>
    <w:p w:rsidR="006A2E5D" w:rsidRPr="006A2E5D" w:rsidP="006A2E5D" w14:paraId="29948262" w14:textId="155564AA">
      <w:pPr>
        <w:numPr>
          <w:ilvl w:val="0"/>
          <w:numId w:val="7"/>
        </w:numPr>
        <w:rPr>
          <w:szCs w:val="22"/>
        </w:rPr>
      </w:pPr>
      <w:r w:rsidRPr="006A2E5D">
        <w:rPr>
          <w:szCs w:val="22"/>
        </w:rPr>
        <w:t xml:space="preserve">Margoux Newman, Competition Policy Division, Wireline Competition Bureau, </w:t>
      </w:r>
      <w:hyperlink r:id="rId7" w:history="1">
        <w:r w:rsidRPr="002A1399" w:rsidR="001B338B">
          <w:rPr>
            <w:rStyle w:val="Hyperlink"/>
            <w:szCs w:val="22"/>
          </w:rPr>
          <w:t>Margoux.Newman@fcc.gov</w:t>
        </w:r>
      </w:hyperlink>
      <w:r w:rsidRPr="006A2E5D">
        <w:rPr>
          <w:szCs w:val="22"/>
        </w:rPr>
        <w:t>;</w:t>
      </w:r>
    </w:p>
    <w:p w:rsidR="006A2E5D" w:rsidRPr="006A2E5D" w:rsidP="006A2E5D" w14:paraId="415AAD1D" w14:textId="77777777">
      <w:pPr>
        <w:rPr>
          <w:szCs w:val="22"/>
        </w:rPr>
      </w:pPr>
    </w:p>
    <w:p w:rsidR="006A2E5D" w:rsidRPr="006A2E5D" w:rsidP="006A2E5D" w14:paraId="4EAFFE43" w14:textId="62497112">
      <w:pPr>
        <w:numPr>
          <w:ilvl w:val="0"/>
          <w:numId w:val="7"/>
        </w:numPr>
        <w:rPr>
          <w:szCs w:val="22"/>
        </w:rPr>
      </w:pPr>
      <w:r>
        <w:rPr>
          <w:szCs w:val="22"/>
        </w:rPr>
        <w:t>Michael Nemcik</w:t>
      </w:r>
      <w:r w:rsidRPr="006A2E5D">
        <w:rPr>
          <w:szCs w:val="22"/>
        </w:rPr>
        <w:t xml:space="preserve">, Competition Policy Division, Wireline Competition Bureau, </w:t>
      </w:r>
      <w:hyperlink r:id="rId8" w:history="1">
        <w:r w:rsidRPr="002A1399">
          <w:rPr>
            <w:rStyle w:val="Hyperlink"/>
            <w:szCs w:val="22"/>
          </w:rPr>
          <w:t>Michael.Nemcik@fcc.gov</w:t>
        </w:r>
      </w:hyperlink>
      <w:r w:rsidRPr="006A2E5D">
        <w:rPr>
          <w:szCs w:val="22"/>
        </w:rPr>
        <w:t xml:space="preserve">; </w:t>
      </w:r>
    </w:p>
    <w:p w:rsidR="006A2E5D" w:rsidRPr="006A2E5D" w:rsidP="006A2E5D" w14:paraId="50BA2A2E" w14:textId="77777777">
      <w:pPr>
        <w:ind w:left="360"/>
        <w:rPr>
          <w:szCs w:val="22"/>
        </w:rPr>
      </w:pPr>
    </w:p>
    <w:p w:rsidR="006A2E5D" w:rsidRPr="006A2E5D" w:rsidP="006A2E5D" w14:paraId="10F0F863" w14:textId="6D66FBA0">
      <w:pPr>
        <w:numPr>
          <w:ilvl w:val="0"/>
          <w:numId w:val="7"/>
        </w:numPr>
        <w:rPr>
          <w:szCs w:val="22"/>
        </w:rPr>
      </w:pPr>
      <w:r w:rsidRPr="006A2E5D">
        <w:rPr>
          <w:szCs w:val="22"/>
        </w:rPr>
        <w:t xml:space="preserve">Michelle Sclater, Competition Policy Division, Wireline Competition Bureau, </w:t>
      </w:r>
      <w:hyperlink r:id="rId9" w:history="1">
        <w:r w:rsidRPr="002A1399" w:rsidR="00AE67A4">
          <w:rPr>
            <w:rStyle w:val="Hyperlink"/>
            <w:szCs w:val="22"/>
          </w:rPr>
          <w:t>Michelle.Sclater@fcc.gov</w:t>
        </w:r>
      </w:hyperlink>
      <w:r w:rsidRPr="006A2E5D">
        <w:rPr>
          <w:szCs w:val="22"/>
        </w:rPr>
        <w:t>.</w:t>
      </w:r>
    </w:p>
    <w:p w:rsidR="00334AD5" w:rsidRPr="00452866" w:rsidP="00334AD5" w14:paraId="67A5860C" w14:textId="77777777">
      <w:pPr>
        <w:rPr>
          <w:szCs w:val="22"/>
        </w:rPr>
      </w:pPr>
    </w:p>
    <w:p w:rsidR="00334AD5" w:rsidRPr="00452866" w:rsidP="00334AD5" w14:paraId="541457CB" w14:textId="558F8824">
      <w:pPr>
        <w:ind w:firstLine="720"/>
        <w:rPr>
          <w:szCs w:val="22"/>
        </w:rPr>
      </w:pPr>
      <w:r w:rsidRPr="00452866">
        <w:rPr>
          <w:szCs w:val="22"/>
        </w:rPr>
        <w:t>People with Disabilities:  To request materials in accessible form</w:t>
      </w:r>
      <w:r w:rsidR="00906445">
        <w:rPr>
          <w:szCs w:val="22"/>
        </w:rPr>
        <w:t>ats</w:t>
      </w:r>
      <w:r w:rsidRPr="00452866">
        <w:rPr>
          <w:szCs w:val="22"/>
        </w:rPr>
        <w:t xml:space="preserve"> for people with disabilities (braille, large print, electronic files, audio format), send an e-mail to </w:t>
      </w:r>
      <w:hyperlink r:id="rId10" w:history="1">
        <w:r w:rsidRPr="002A1399" w:rsidR="004C01BB">
          <w:rPr>
            <w:rStyle w:val="Hyperlink"/>
            <w:szCs w:val="22"/>
          </w:rPr>
          <w:t>fcc504@fcc.gov</w:t>
        </w:r>
      </w:hyperlink>
      <w:r w:rsidR="004C01BB">
        <w:rPr>
          <w:szCs w:val="22"/>
        </w:rPr>
        <w:t xml:space="preserve"> </w:t>
      </w:r>
      <w:r w:rsidRPr="00452866">
        <w:rPr>
          <w:szCs w:val="22"/>
        </w:rPr>
        <w:t>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ex parte</w:t>
      </w:r>
      <w:r w:rsidRPr="00452866">
        <w:rPr>
          <w:szCs w:val="22"/>
        </w:rPr>
        <w:t xml:space="preserve"> rules.  Persons making </w:t>
      </w:r>
      <w:r w:rsidRPr="00452866">
        <w:rPr>
          <w:i/>
          <w:szCs w:val="22"/>
        </w:rPr>
        <w:t xml:space="preserve">ex parte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452866">
        <w:rPr>
          <w:szCs w:val="22"/>
        </w:rPr>
        <w:t xml:space="preserve">oral </w:t>
      </w:r>
      <w:r w:rsidRPr="00452866">
        <w:rPr>
          <w:i/>
          <w:szCs w:val="22"/>
        </w:rPr>
        <w:t>ex 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ex 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ex parte</w:t>
      </w:r>
      <w:r w:rsidRPr="00452866">
        <w:rPr>
          <w:szCs w:val="22"/>
        </w:rPr>
        <w:t xml:space="preserve"> meetings are deemed to be written </w:t>
      </w:r>
      <w:r w:rsidRPr="00452866">
        <w:rPr>
          <w:i/>
          <w:szCs w:val="22"/>
        </w:rPr>
        <w:t>ex 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ex parte</w:t>
      </w:r>
      <w:r w:rsidRPr="00452866">
        <w:rPr>
          <w:szCs w:val="22"/>
        </w:rPr>
        <w:t xml:space="preserve"> rules.</w:t>
      </w:r>
    </w:p>
    <w:p w:rsidR="00334AD5" w:rsidRPr="00452866" w:rsidP="00334AD5" w14:paraId="44B2C254" w14:textId="77777777">
      <w:pPr>
        <w:rPr>
          <w:szCs w:val="22"/>
        </w:rPr>
      </w:pPr>
    </w:p>
    <w:p w:rsidR="00334AD5" w:rsidRPr="00452866" w:rsidP="00334AD5" w14:paraId="62D9E7BA" w14:textId="68BF20DF">
      <w:pPr>
        <w:rPr>
          <w:szCs w:val="22"/>
        </w:rPr>
      </w:pPr>
      <w:r w:rsidRPr="00452866">
        <w:rPr>
          <w:szCs w:val="22"/>
        </w:rPr>
        <w:tab/>
      </w:r>
      <w:r w:rsidR="00B74DED">
        <w:rPr>
          <w:szCs w:val="22"/>
        </w:rPr>
        <w:t>P</w:t>
      </w:r>
      <w:r w:rsidRPr="00452866" w:rsidR="00771312">
        <w:rPr>
          <w:szCs w:val="22"/>
        </w:rPr>
        <w:t>lease contact</w:t>
      </w:r>
      <w:r w:rsidR="00771312">
        <w:rPr>
          <w:szCs w:val="22"/>
        </w:rPr>
        <w:t xml:space="preserve"> </w:t>
      </w:r>
      <w:hyperlink r:id="rId6" w:history="1">
        <w:r w:rsidRPr="002A1399" w:rsidR="00B74DED">
          <w:rPr>
            <w:rStyle w:val="Hyperlink"/>
            <w:szCs w:val="22"/>
          </w:rPr>
          <w:t>DAA@fcc.gov</w:t>
        </w:r>
      </w:hyperlink>
      <w:r w:rsidRPr="006A2E5D" w:rsidR="006A2E5D">
        <w:rPr>
          <w:szCs w:val="22"/>
        </w:rPr>
        <w:t xml:space="preserve">; Margoux Newman at </w:t>
      </w:r>
      <w:hyperlink r:id="rId7" w:history="1">
        <w:r w:rsidRPr="002A1399" w:rsidR="00B74DED">
          <w:rPr>
            <w:rStyle w:val="Hyperlink"/>
            <w:szCs w:val="22"/>
          </w:rPr>
          <w:t>Margoux.Newman@fcc.gov</w:t>
        </w:r>
      </w:hyperlink>
      <w:r w:rsidRPr="006A2E5D" w:rsidR="006A2E5D">
        <w:rPr>
          <w:szCs w:val="22"/>
        </w:rPr>
        <w:t xml:space="preserve">, </w:t>
      </w:r>
      <w:r w:rsidR="00B74DED">
        <w:rPr>
          <w:szCs w:val="22"/>
        </w:rPr>
        <w:t>Michael Nemcik</w:t>
      </w:r>
      <w:r w:rsidRPr="006A2E5D" w:rsidR="006A2E5D">
        <w:rPr>
          <w:szCs w:val="22"/>
        </w:rPr>
        <w:t xml:space="preserve"> at </w:t>
      </w:r>
      <w:hyperlink r:id="rId8" w:history="1">
        <w:r w:rsidRPr="002A1399" w:rsidR="00B74DED">
          <w:rPr>
            <w:rStyle w:val="Hyperlink"/>
            <w:szCs w:val="22"/>
          </w:rPr>
          <w:t>Michael.Nemcik@fcc.gov</w:t>
        </w:r>
      </w:hyperlink>
      <w:r w:rsidRPr="006A2E5D" w:rsidR="006A2E5D">
        <w:rPr>
          <w:szCs w:val="22"/>
        </w:rPr>
        <w:t xml:space="preserve">, or Michelle Sclater at </w:t>
      </w:r>
      <w:hyperlink r:id="rId9" w:history="1">
        <w:r w:rsidRPr="002A1399" w:rsidR="00B74DED">
          <w:rPr>
            <w:rStyle w:val="Hyperlink"/>
            <w:szCs w:val="22"/>
          </w:rPr>
          <w:t>Michelle.Sclater@fcc.gov</w:t>
        </w:r>
      </w:hyperlink>
      <w:r w:rsidR="00B74DED">
        <w:rPr>
          <w:szCs w:val="22"/>
        </w:rPr>
        <w:t xml:space="preserve"> for further information.</w:t>
      </w: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203" w14:paraId="3524EF86" w14:textId="77777777">
      <w:r>
        <w:separator/>
      </w:r>
    </w:p>
  </w:footnote>
  <w:footnote w:type="continuationSeparator" w:id="1">
    <w:p w:rsidR="00D97203" w14:paraId="27E0E85F" w14:textId="77777777">
      <w:pPr>
        <w:rPr>
          <w:sz w:val="20"/>
        </w:rPr>
      </w:pPr>
      <w:r>
        <w:rPr>
          <w:sz w:val="20"/>
        </w:rPr>
        <w:t xml:space="preserve">(Continued from previous page)  </w:t>
      </w:r>
      <w:r>
        <w:rPr>
          <w:sz w:val="20"/>
        </w:rPr>
        <w:separator/>
      </w:r>
    </w:p>
  </w:footnote>
  <w:footnote w:type="continuationNotice" w:id="2">
    <w:p w:rsidR="00D97203" w:rsidP="00910F12" w14:paraId="68DD595A" w14:textId="77777777">
      <w:pPr>
        <w:jc w:val="right"/>
        <w:rPr>
          <w:sz w:val="20"/>
        </w:rPr>
      </w:pPr>
    </w:p>
  </w:footnote>
  <w:footnote w:id="3">
    <w:p w:rsidR="00334AD5" w:rsidRPr="00442FF5" w:rsidP="00334AD5" w14:paraId="5EAAE905" w14:textId="209A099A">
      <w:pPr>
        <w:pStyle w:val="FootnoteText"/>
      </w:pPr>
      <w:r w:rsidRPr="00442FF5">
        <w:rPr>
          <w:rStyle w:val="FootnoteReference"/>
          <w:sz w:val="20"/>
        </w:rPr>
        <w:footnoteRef/>
      </w:r>
      <w:r w:rsidRPr="00442FF5">
        <w:t xml:space="preserve"> We assign WC Docket No. </w:t>
      </w:r>
      <w:r w:rsidR="00551DD4">
        <w:t>21-</w:t>
      </w:r>
      <w:r w:rsidR="00937436">
        <w:t>268</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373A08A2">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897148">
        <w:t xml:space="preserve">U.S. TelePacific Corp. d/b/a </w:t>
      </w:r>
      <w:r w:rsidR="00897148">
        <w:t>TPx</w:t>
      </w:r>
      <w:r w:rsidR="00897148">
        <w:t xml:space="preserve"> Communications</w:t>
      </w:r>
      <w:r w:rsidRPr="00442FF5" w:rsidR="00F303C9">
        <w:t xml:space="preserve"> </w:t>
      </w:r>
      <w:r w:rsidRPr="00442FF5" w:rsidR="00165F87">
        <w:t xml:space="preserve">for Authorization to Obtain Numbering Resources, WC Docket No. </w:t>
      </w:r>
      <w:r w:rsidR="00551DD4">
        <w:t>21-</w:t>
      </w:r>
      <w:r w:rsidR="00937436">
        <w:t>268</w:t>
      </w:r>
      <w:r w:rsidR="00DE2192">
        <w:t xml:space="preserve"> </w:t>
      </w:r>
      <w:r w:rsidRPr="00442FF5" w:rsidR="00165F87">
        <w:t xml:space="preserve">(filed </w:t>
      </w:r>
      <w:r w:rsidR="006A2E5D">
        <w:t>June 1</w:t>
      </w:r>
      <w:r w:rsidR="00B6284C">
        <w:t>7</w:t>
      </w:r>
      <w:r w:rsidR="00551DD4">
        <w:t>, 2021</w:t>
      </w:r>
      <w:r w:rsidRPr="00442FF5" w:rsidR="00165F87">
        <w:t xml:space="preserve">), </w:t>
      </w:r>
      <w:hyperlink r:id="rId1" w:history="1"/>
      <w:hyperlink r:id="rId2" w:history="1">
        <w:r w:rsidRPr="002A1399" w:rsidR="00F84085">
          <w:rPr>
            <w:rStyle w:val="Hyperlink"/>
          </w:rPr>
          <w:t>https://www.fcc.gov/ecfs/filing/10617664510974</w:t>
        </w:r>
      </w:hyperlink>
      <w:r w:rsidR="00B6284C">
        <w:t xml:space="preserve"> </w:t>
      </w:r>
      <w:r w:rsidR="00937436">
        <w:t>(</w:t>
      </w:r>
      <w:r w:rsidR="00B6284C">
        <w:rPr>
          <w:szCs w:val="22"/>
        </w:rPr>
        <w:t>TPx</w:t>
      </w:r>
      <w:r w:rsidRPr="00442FF5" w:rsidR="00F303C9">
        <w:t xml:space="preserve"> </w:t>
      </w:r>
      <w:r w:rsidRPr="00442FF5" w:rsidR="00165F87">
        <w:t>Application);</w:t>
      </w:r>
      <w:r w:rsidR="002A218E">
        <w:t xml:space="preserve"> </w:t>
      </w:r>
      <w:r w:rsidRPr="00442FF5" w:rsidR="00165F87">
        <w:rPr>
          <w:i/>
          <w:iCs/>
        </w:rPr>
        <w:t>see also</w:t>
      </w:r>
      <w:r w:rsidRPr="00442FF5" w:rsidR="00165F87">
        <w:t xml:space="preserve"> 47 CFR § 52.15(g)(3).</w:t>
      </w:r>
    </w:p>
  </w:footnote>
  <w:footnote w:id="5">
    <w:p w:rsidR="00165F87" w:rsidRPr="00442FF5" w14:paraId="7C6ED4BB" w14:textId="285CF861">
      <w:pPr>
        <w:pStyle w:val="FootnoteText"/>
      </w:pPr>
      <w:r w:rsidRPr="00442FF5">
        <w:rPr>
          <w:rStyle w:val="FootnoteReference"/>
          <w:sz w:val="20"/>
        </w:rPr>
        <w:footnoteRef/>
      </w:r>
      <w:r w:rsidRPr="00442FF5">
        <w:t xml:space="preserve"> </w:t>
      </w:r>
      <w:r w:rsidR="00B6284C">
        <w:rPr>
          <w:szCs w:val="22"/>
        </w:rPr>
        <w:t>TPx</w:t>
      </w:r>
      <w:r w:rsidRPr="00442FF5" w:rsidR="00F303C9">
        <w:t xml:space="preserve"> </w:t>
      </w:r>
      <w:r w:rsidRPr="00442FF5" w:rsidR="004971A4">
        <w:t>Application</w:t>
      </w:r>
      <w:r w:rsidRPr="00442FF5" w:rsidR="00EC58FD">
        <w:t xml:space="preserve"> at </w:t>
      </w:r>
      <w:r w:rsidR="00007634">
        <w:t>2, Appx. A</w:t>
      </w:r>
      <w:r w:rsidRPr="00442FF5" w:rsidR="00EC58FD">
        <w:t>.</w:t>
      </w:r>
      <w:r w:rsidR="00007634">
        <w:t xml:space="preserve"> </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2D5CEEF3">
      <w:pPr>
        <w:pStyle w:val="FootnoteText"/>
      </w:pPr>
      <w:r w:rsidRPr="00442FF5">
        <w:rPr>
          <w:rStyle w:val="FootnoteReference"/>
          <w:sz w:val="20"/>
        </w:rPr>
        <w:footnoteRef/>
      </w:r>
      <w:r w:rsidRPr="00442FF5">
        <w:t xml:space="preserve"> </w:t>
      </w:r>
      <w:r w:rsidR="00B6284C">
        <w:rPr>
          <w:szCs w:val="22"/>
        </w:rPr>
        <w:t>TPx</w:t>
      </w:r>
      <w:r w:rsidRPr="00442FF5" w:rsidR="00F303C9">
        <w:t xml:space="preserve"> </w:t>
      </w:r>
      <w:r w:rsidRPr="00442FF5" w:rsidR="00EC58FD">
        <w:t>Application at</w:t>
      </w:r>
      <w:r w:rsidR="009103A9">
        <w:t xml:space="preserve"> </w:t>
      </w:r>
      <w:r w:rsidR="00F44348">
        <w:t>2</w:t>
      </w:r>
      <w:r w:rsidR="00F41863">
        <w:t>-</w:t>
      </w:r>
      <w:r w:rsidR="00F44348">
        <w:t>4</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2F395330">
      <w:pPr>
        <w:pStyle w:val="FootnoteText"/>
      </w:pPr>
      <w:r w:rsidRPr="00442FF5">
        <w:rPr>
          <w:rStyle w:val="FootnoteReference"/>
          <w:sz w:val="20"/>
        </w:rPr>
        <w:footnoteRef/>
      </w:r>
      <w:r w:rsidRPr="00442FF5">
        <w:t xml:space="preserve"> </w:t>
      </w:r>
      <w:r w:rsidR="00B6284C">
        <w:rPr>
          <w:szCs w:val="22"/>
        </w:rPr>
        <w:t>TPx</w:t>
      </w:r>
      <w:r w:rsidRPr="00442FF5" w:rsidR="00F303C9">
        <w:t xml:space="preserve"> </w:t>
      </w:r>
      <w:r w:rsidRPr="00442FF5" w:rsidR="00EC58FD">
        <w:t xml:space="preserve">Application at </w:t>
      </w:r>
      <w:r w:rsidR="00F41863">
        <w:t>2-</w:t>
      </w:r>
      <w:r w:rsidR="00F303C9">
        <w:t>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17870D45">
      <w:pPr>
        <w:pStyle w:val="FootnoteText"/>
      </w:pPr>
      <w:r w:rsidRPr="00442FF5">
        <w:rPr>
          <w:rStyle w:val="FootnoteReference"/>
          <w:sz w:val="20"/>
        </w:rPr>
        <w:footnoteRef/>
      </w:r>
      <w:r w:rsidRPr="00442FF5">
        <w:t xml:space="preserve"> </w:t>
      </w:r>
      <w:r w:rsidR="00B6284C">
        <w:rPr>
          <w:szCs w:val="22"/>
        </w:rPr>
        <w:t>TPx</w:t>
      </w:r>
      <w:r w:rsidRPr="00442FF5" w:rsidR="00F303C9">
        <w:t xml:space="preserve"> </w:t>
      </w:r>
      <w:r w:rsidRPr="00442FF5" w:rsidR="00EC58FD">
        <w:t xml:space="preserve">Application at </w:t>
      </w:r>
      <w:r w:rsidR="00F303C9">
        <w:t>3</w:t>
      </w:r>
      <w:r w:rsidR="00FC2470">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1B5A1B8F">
      <w:pPr>
        <w:pStyle w:val="FootnoteText"/>
      </w:pPr>
      <w:r w:rsidRPr="00442FF5">
        <w:rPr>
          <w:rStyle w:val="FootnoteReference"/>
          <w:sz w:val="20"/>
        </w:rPr>
        <w:footnoteRef/>
      </w:r>
      <w:r w:rsidR="00450C0B">
        <w:t xml:space="preserve"> </w:t>
      </w:r>
      <w:r w:rsidR="00B6284C">
        <w:rPr>
          <w:szCs w:val="22"/>
        </w:rPr>
        <w:t>TPx</w:t>
      </w:r>
      <w:r w:rsidRPr="00442FF5" w:rsidR="00F303C9">
        <w:t xml:space="preserve"> </w:t>
      </w:r>
      <w:r w:rsidRPr="00442FF5" w:rsidR="00EC58FD">
        <w:t xml:space="preserve">Application at </w:t>
      </w:r>
      <w:r w:rsidR="00F41863">
        <w:t>3-</w:t>
      </w:r>
      <w:r w:rsidR="00F44348">
        <w:t>4</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43831CFC">
      <w:pPr>
        <w:pStyle w:val="FootnoteText"/>
      </w:pPr>
      <w:r w:rsidRPr="005321BE">
        <w:rPr>
          <w:rStyle w:val="FootnoteReference"/>
          <w:sz w:val="20"/>
        </w:rPr>
        <w:footnoteRef/>
      </w:r>
      <w:r w:rsidRPr="005321BE">
        <w:t xml:space="preserve"> </w:t>
      </w:r>
      <w:r w:rsidR="00E71913">
        <w:rPr>
          <w:szCs w:val="22"/>
        </w:rPr>
        <w:t>TPx</w:t>
      </w:r>
      <w:r w:rsidRPr="00442FF5" w:rsidR="00E71913">
        <w:t xml:space="preserve"> Application at </w:t>
      </w:r>
      <w:r w:rsidR="00E71913">
        <w:t>3-4</w:t>
      </w:r>
      <w:r w:rsidRPr="00442FF5" w:rsidR="00E71913">
        <w:t xml:space="preserve">; </w:t>
      </w:r>
      <w:r w:rsidRPr="00442FF5" w:rsidR="00E71913">
        <w:rPr>
          <w:i/>
          <w:iCs/>
        </w:rPr>
        <w:t xml:space="preserve">see </w:t>
      </w:r>
      <w:r w:rsidRPr="00442FF5" w:rsidR="00E71913">
        <w:t>47 CFR § 52.15(g)(3)(i)(F).</w:t>
      </w:r>
    </w:p>
  </w:footnote>
  <w:footnote w:id="11">
    <w:p w:rsidR="00334AD5" w:rsidRPr="005321BE" w:rsidP="00334AD5" w14:paraId="588FBC3B" w14:textId="283D796B">
      <w:pPr>
        <w:pStyle w:val="FootnoteText"/>
      </w:pPr>
      <w:r w:rsidRPr="005321BE">
        <w:rPr>
          <w:rStyle w:val="FootnoteReference"/>
          <w:sz w:val="20"/>
        </w:rPr>
        <w:footnoteRef/>
      </w:r>
      <w:r w:rsidRPr="005321BE">
        <w:t xml:space="preserve"> </w:t>
      </w:r>
      <w:r w:rsidR="00B6284C">
        <w:rPr>
          <w:szCs w:val="22"/>
        </w:rPr>
        <w:t>TPx</w:t>
      </w:r>
      <w:r w:rsidR="00F303C9">
        <w:rPr>
          <w:szCs w:val="22"/>
        </w:rPr>
        <w:t xml:space="preserve"> </w:t>
      </w:r>
      <w:r w:rsidR="00450C0B">
        <w:rPr>
          <w:szCs w:val="22"/>
        </w:rPr>
        <w:t xml:space="preserve">Application </w:t>
      </w:r>
      <w:r w:rsidR="00EC58FD">
        <w:t>at</w:t>
      </w:r>
      <w:r w:rsidR="0065217C">
        <w:t xml:space="preserve"> </w:t>
      </w:r>
      <w:r w:rsidR="00F41863">
        <w:t>4</w:t>
      </w:r>
      <w:r w:rsidR="00A84137">
        <w:t>;</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E66BAEB">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5DF89606">
    <w:pPr>
      <w:tabs>
        <w:tab w:val="center" w:pos="4680"/>
        <w:tab w:val="right" w:pos="9360"/>
      </w:tabs>
    </w:pPr>
    <w:r w:rsidRPr="009838BC">
      <w:rPr>
        <w:b/>
      </w:rPr>
      <w:tab/>
      <w:t>Federal Communications Commission</w:t>
    </w:r>
    <w:r w:rsidRPr="009838BC">
      <w:rPr>
        <w:b/>
      </w:rPr>
      <w:tab/>
    </w:r>
    <w:r w:rsidR="00B233D4">
      <w:rPr>
        <w:b/>
      </w:rPr>
      <w:t>DA 22-206</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07634"/>
    <w:rsid w:val="00013A8B"/>
    <w:rsid w:val="00021445"/>
    <w:rsid w:val="00027EA0"/>
    <w:rsid w:val="00036039"/>
    <w:rsid w:val="00036560"/>
    <w:rsid w:val="00037F90"/>
    <w:rsid w:val="0006255C"/>
    <w:rsid w:val="000875BF"/>
    <w:rsid w:val="00087F1A"/>
    <w:rsid w:val="00091E51"/>
    <w:rsid w:val="00096D8C"/>
    <w:rsid w:val="000A4F31"/>
    <w:rsid w:val="000B2479"/>
    <w:rsid w:val="000C0B65"/>
    <w:rsid w:val="000E3D42"/>
    <w:rsid w:val="000E5884"/>
    <w:rsid w:val="000F43D1"/>
    <w:rsid w:val="00103469"/>
    <w:rsid w:val="00122BD5"/>
    <w:rsid w:val="0013352D"/>
    <w:rsid w:val="00143796"/>
    <w:rsid w:val="00160A98"/>
    <w:rsid w:val="00165C6D"/>
    <w:rsid w:val="00165F87"/>
    <w:rsid w:val="0017199B"/>
    <w:rsid w:val="0017635A"/>
    <w:rsid w:val="001979D9"/>
    <w:rsid w:val="001A6026"/>
    <w:rsid w:val="001B338B"/>
    <w:rsid w:val="001C06E1"/>
    <w:rsid w:val="001D1F22"/>
    <w:rsid w:val="001D6BCF"/>
    <w:rsid w:val="001E01CA"/>
    <w:rsid w:val="002060D9"/>
    <w:rsid w:val="00210F21"/>
    <w:rsid w:val="00226822"/>
    <w:rsid w:val="00230197"/>
    <w:rsid w:val="00243CE0"/>
    <w:rsid w:val="00260594"/>
    <w:rsid w:val="00263E25"/>
    <w:rsid w:val="00264B52"/>
    <w:rsid w:val="00285017"/>
    <w:rsid w:val="0029223C"/>
    <w:rsid w:val="00293241"/>
    <w:rsid w:val="00293E74"/>
    <w:rsid w:val="0029562D"/>
    <w:rsid w:val="002A1235"/>
    <w:rsid w:val="002A1399"/>
    <w:rsid w:val="002A218E"/>
    <w:rsid w:val="002A2D2E"/>
    <w:rsid w:val="0032450E"/>
    <w:rsid w:val="003255EB"/>
    <w:rsid w:val="00334AD5"/>
    <w:rsid w:val="00335690"/>
    <w:rsid w:val="00343749"/>
    <w:rsid w:val="00357D50"/>
    <w:rsid w:val="00371EC1"/>
    <w:rsid w:val="003872F5"/>
    <w:rsid w:val="003925DC"/>
    <w:rsid w:val="00394035"/>
    <w:rsid w:val="003A72C7"/>
    <w:rsid w:val="003A7D37"/>
    <w:rsid w:val="003B0550"/>
    <w:rsid w:val="003B4E73"/>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0C0B"/>
    <w:rsid w:val="00451B0F"/>
    <w:rsid w:val="00452866"/>
    <w:rsid w:val="0046125F"/>
    <w:rsid w:val="00471FC1"/>
    <w:rsid w:val="004833F1"/>
    <w:rsid w:val="00484052"/>
    <w:rsid w:val="0048612D"/>
    <w:rsid w:val="00487524"/>
    <w:rsid w:val="00496106"/>
    <w:rsid w:val="004971A4"/>
    <w:rsid w:val="004C01BB"/>
    <w:rsid w:val="004C12D0"/>
    <w:rsid w:val="004C2EE3"/>
    <w:rsid w:val="004E0884"/>
    <w:rsid w:val="004E4A22"/>
    <w:rsid w:val="00511968"/>
    <w:rsid w:val="005321BE"/>
    <w:rsid w:val="005329E9"/>
    <w:rsid w:val="0054053D"/>
    <w:rsid w:val="00547070"/>
    <w:rsid w:val="00551DD4"/>
    <w:rsid w:val="0055614C"/>
    <w:rsid w:val="00572047"/>
    <w:rsid w:val="00572CDD"/>
    <w:rsid w:val="00583C37"/>
    <w:rsid w:val="0059197D"/>
    <w:rsid w:val="005E7F13"/>
    <w:rsid w:val="005F321E"/>
    <w:rsid w:val="00607BA5"/>
    <w:rsid w:val="006148B3"/>
    <w:rsid w:val="0062654C"/>
    <w:rsid w:val="00626EB6"/>
    <w:rsid w:val="006353A3"/>
    <w:rsid w:val="0065217C"/>
    <w:rsid w:val="00652A86"/>
    <w:rsid w:val="00655D03"/>
    <w:rsid w:val="00683F84"/>
    <w:rsid w:val="00685984"/>
    <w:rsid w:val="0069551B"/>
    <w:rsid w:val="00697FC9"/>
    <w:rsid w:val="006A2E5D"/>
    <w:rsid w:val="006A34B1"/>
    <w:rsid w:val="006A6A81"/>
    <w:rsid w:val="006D106E"/>
    <w:rsid w:val="006E26AF"/>
    <w:rsid w:val="006E2DB9"/>
    <w:rsid w:val="006F7393"/>
    <w:rsid w:val="0070224F"/>
    <w:rsid w:val="007115F7"/>
    <w:rsid w:val="00730661"/>
    <w:rsid w:val="00771312"/>
    <w:rsid w:val="00785689"/>
    <w:rsid w:val="0079754B"/>
    <w:rsid w:val="007A16B7"/>
    <w:rsid w:val="007A1E6D"/>
    <w:rsid w:val="007D65A8"/>
    <w:rsid w:val="007E07A7"/>
    <w:rsid w:val="007E63F9"/>
    <w:rsid w:val="00811E19"/>
    <w:rsid w:val="00816348"/>
    <w:rsid w:val="00821385"/>
    <w:rsid w:val="00822CE0"/>
    <w:rsid w:val="00837C62"/>
    <w:rsid w:val="00841AB1"/>
    <w:rsid w:val="0086073F"/>
    <w:rsid w:val="0088358F"/>
    <w:rsid w:val="00897148"/>
    <w:rsid w:val="008B54CB"/>
    <w:rsid w:val="008B7845"/>
    <w:rsid w:val="008B7B6C"/>
    <w:rsid w:val="008C22FD"/>
    <w:rsid w:val="008F4C4F"/>
    <w:rsid w:val="00904EE6"/>
    <w:rsid w:val="00906445"/>
    <w:rsid w:val="009103A9"/>
    <w:rsid w:val="00910F12"/>
    <w:rsid w:val="00926503"/>
    <w:rsid w:val="00930ECF"/>
    <w:rsid w:val="00931735"/>
    <w:rsid w:val="00937436"/>
    <w:rsid w:val="00940190"/>
    <w:rsid w:val="00953D2D"/>
    <w:rsid w:val="00974746"/>
    <w:rsid w:val="009838BC"/>
    <w:rsid w:val="009A5BDC"/>
    <w:rsid w:val="009B1B73"/>
    <w:rsid w:val="009C0AE2"/>
    <w:rsid w:val="009F6627"/>
    <w:rsid w:val="00A0456B"/>
    <w:rsid w:val="00A45F4F"/>
    <w:rsid w:val="00A600A9"/>
    <w:rsid w:val="00A80584"/>
    <w:rsid w:val="00A84137"/>
    <w:rsid w:val="00A866AC"/>
    <w:rsid w:val="00A97488"/>
    <w:rsid w:val="00A97A47"/>
    <w:rsid w:val="00AA3FAE"/>
    <w:rsid w:val="00AA55B7"/>
    <w:rsid w:val="00AA5B9E"/>
    <w:rsid w:val="00AB14FF"/>
    <w:rsid w:val="00AB2407"/>
    <w:rsid w:val="00AB496D"/>
    <w:rsid w:val="00AB53DF"/>
    <w:rsid w:val="00AC71A9"/>
    <w:rsid w:val="00AD6BF4"/>
    <w:rsid w:val="00AE67A4"/>
    <w:rsid w:val="00AE73E0"/>
    <w:rsid w:val="00AF4646"/>
    <w:rsid w:val="00B07E5C"/>
    <w:rsid w:val="00B12CB4"/>
    <w:rsid w:val="00B16755"/>
    <w:rsid w:val="00B233D4"/>
    <w:rsid w:val="00B326E3"/>
    <w:rsid w:val="00B3546F"/>
    <w:rsid w:val="00B36D8D"/>
    <w:rsid w:val="00B376F7"/>
    <w:rsid w:val="00B44BCD"/>
    <w:rsid w:val="00B50723"/>
    <w:rsid w:val="00B50DCA"/>
    <w:rsid w:val="00B609D6"/>
    <w:rsid w:val="00B6284C"/>
    <w:rsid w:val="00B71A53"/>
    <w:rsid w:val="00B74DED"/>
    <w:rsid w:val="00B811F7"/>
    <w:rsid w:val="00B96CAE"/>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1EA2"/>
    <w:rsid w:val="00CA3425"/>
    <w:rsid w:val="00CC72B6"/>
    <w:rsid w:val="00CD4954"/>
    <w:rsid w:val="00D0218D"/>
    <w:rsid w:val="00D024C4"/>
    <w:rsid w:val="00D055A9"/>
    <w:rsid w:val="00D216CD"/>
    <w:rsid w:val="00D51DD5"/>
    <w:rsid w:val="00D53750"/>
    <w:rsid w:val="00D74217"/>
    <w:rsid w:val="00D76D42"/>
    <w:rsid w:val="00D97203"/>
    <w:rsid w:val="00DA0CF4"/>
    <w:rsid w:val="00DA2529"/>
    <w:rsid w:val="00DB09C5"/>
    <w:rsid w:val="00DB130A"/>
    <w:rsid w:val="00DB4086"/>
    <w:rsid w:val="00DC10A1"/>
    <w:rsid w:val="00DC655F"/>
    <w:rsid w:val="00DD7EBD"/>
    <w:rsid w:val="00DE2192"/>
    <w:rsid w:val="00DF62B6"/>
    <w:rsid w:val="00E07225"/>
    <w:rsid w:val="00E155B7"/>
    <w:rsid w:val="00E46A77"/>
    <w:rsid w:val="00E5409F"/>
    <w:rsid w:val="00E548AC"/>
    <w:rsid w:val="00E71913"/>
    <w:rsid w:val="00E90579"/>
    <w:rsid w:val="00E92EE1"/>
    <w:rsid w:val="00EB748E"/>
    <w:rsid w:val="00EC0185"/>
    <w:rsid w:val="00EC4653"/>
    <w:rsid w:val="00EC58FD"/>
    <w:rsid w:val="00ED037E"/>
    <w:rsid w:val="00EF31E3"/>
    <w:rsid w:val="00F021FA"/>
    <w:rsid w:val="00F0255C"/>
    <w:rsid w:val="00F16F14"/>
    <w:rsid w:val="00F303C9"/>
    <w:rsid w:val="00F41863"/>
    <w:rsid w:val="00F44348"/>
    <w:rsid w:val="00F57ACA"/>
    <w:rsid w:val="00F60919"/>
    <w:rsid w:val="00F62E97"/>
    <w:rsid w:val="00F64209"/>
    <w:rsid w:val="00F74BD6"/>
    <w:rsid w:val="00F84085"/>
    <w:rsid w:val="00F93BF5"/>
    <w:rsid w:val="00F96F63"/>
    <w:rsid w:val="00FC24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160A98"/>
    <w:rPr>
      <w:sz w:val="16"/>
      <w:szCs w:val="16"/>
    </w:rPr>
  </w:style>
  <w:style w:type="paragraph" w:styleId="CommentText">
    <w:name w:val="annotation text"/>
    <w:basedOn w:val="Normal"/>
    <w:link w:val="CommentTextChar"/>
    <w:uiPriority w:val="99"/>
    <w:semiHidden/>
    <w:unhideWhenUsed/>
    <w:rsid w:val="00160A98"/>
    <w:rPr>
      <w:sz w:val="20"/>
    </w:rPr>
  </w:style>
  <w:style w:type="character" w:customStyle="1" w:styleId="CommentTextChar">
    <w:name w:val="Comment Text Char"/>
    <w:basedOn w:val="DefaultParagraphFont"/>
    <w:link w:val="CommentText"/>
    <w:uiPriority w:val="99"/>
    <w:semiHidden/>
    <w:rsid w:val="00160A98"/>
    <w:rPr>
      <w:snapToGrid w:val="0"/>
      <w:kern w:val="28"/>
    </w:rPr>
  </w:style>
  <w:style w:type="paragraph" w:styleId="CommentSubject">
    <w:name w:val="annotation subject"/>
    <w:basedOn w:val="CommentText"/>
    <w:next w:val="CommentText"/>
    <w:link w:val="CommentSubjectChar"/>
    <w:uiPriority w:val="99"/>
    <w:semiHidden/>
    <w:unhideWhenUsed/>
    <w:rsid w:val="00160A98"/>
    <w:rPr>
      <w:b/>
      <w:bCs/>
    </w:rPr>
  </w:style>
  <w:style w:type="character" w:customStyle="1" w:styleId="CommentSubjectChar">
    <w:name w:val="Comment Subject Char"/>
    <w:basedOn w:val="CommentTextChar"/>
    <w:link w:val="CommentSubject"/>
    <w:uiPriority w:val="99"/>
    <w:semiHidden/>
    <w:rsid w:val="00160A9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Michael.Nemcik@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61766451097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