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23BF714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37660B">
        <w:rPr>
          <w:b/>
          <w:szCs w:val="22"/>
        </w:rPr>
        <w:t>207</w:t>
      </w:r>
    </w:p>
    <w:p w:rsidR="006076B9" w:rsidP="007D67D9" w14:paraId="6DA34BF3" w14:textId="39627A28">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146CF3">
        <w:rPr>
          <w:b/>
          <w:szCs w:val="22"/>
        </w:rPr>
        <w:t>March 1</w:t>
      </w:r>
      <w:r w:rsidR="009D2C06">
        <w:rPr>
          <w:b/>
          <w:szCs w:val="22"/>
        </w:rPr>
        <w:t>, 202</w:t>
      </w:r>
      <w:r w:rsidR="00146CF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6A2CE5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7CE9CC5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4B7DE3">
        <w:rPr>
          <w:b/>
          <w:kern w:val="0"/>
          <w:szCs w:val="22"/>
        </w:rPr>
        <w:t>2</w:t>
      </w:r>
      <w:r w:rsidR="000364C6">
        <w:rPr>
          <w:b/>
          <w:kern w:val="0"/>
          <w:szCs w:val="22"/>
        </w:rPr>
        <w:t>-</w:t>
      </w:r>
      <w:r w:rsidR="00146CF3">
        <w:rPr>
          <w:b/>
          <w:kern w:val="0"/>
          <w:szCs w:val="22"/>
        </w:rPr>
        <w:t>51</w:t>
      </w:r>
      <w:r w:rsidR="004B7DE3">
        <w:rPr>
          <w:b/>
          <w:kern w:val="0"/>
          <w:szCs w:val="22"/>
        </w:rPr>
        <w:t xml:space="preserve">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3FA7A42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7D0CF5">
        <w:rPr>
          <w:b/>
          <w:kern w:val="0"/>
          <w:szCs w:val="22"/>
        </w:rPr>
        <w:t>March</w:t>
      </w:r>
      <w:r w:rsidR="00677A9F">
        <w:rPr>
          <w:b/>
          <w:kern w:val="0"/>
          <w:szCs w:val="22"/>
        </w:rPr>
        <w:t xml:space="preserve"> </w:t>
      </w:r>
      <w:r w:rsidR="007D0CF5">
        <w:rPr>
          <w:b/>
          <w:kern w:val="0"/>
          <w:szCs w:val="22"/>
        </w:rPr>
        <w:t>1</w:t>
      </w:r>
      <w:r w:rsidR="00AD5F3D">
        <w:rPr>
          <w:b/>
          <w:kern w:val="0"/>
          <w:szCs w:val="22"/>
        </w:rPr>
        <w:t>6</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62C720F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AD5F3D">
        <w:rPr>
          <w:rFonts w:eastAsia="MS Mincho"/>
          <w:b/>
          <w:szCs w:val="22"/>
        </w:rPr>
        <w:t>April</w:t>
      </w:r>
      <w:r w:rsidR="004B7DE3">
        <w:rPr>
          <w:rFonts w:eastAsia="MS Mincho"/>
          <w:b/>
          <w:szCs w:val="22"/>
        </w:rPr>
        <w:t xml:space="preserve"> </w:t>
      </w:r>
      <w:r w:rsidR="008F36EC">
        <w:rPr>
          <w:rFonts w:eastAsia="MS Mincho"/>
          <w:b/>
          <w:szCs w:val="22"/>
        </w:rPr>
        <w:t>1</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8B5449">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48B0657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7D0CF5">
        <w:rPr>
          <w:b/>
          <w:szCs w:val="22"/>
        </w:rPr>
        <w:t>March 1</w:t>
      </w:r>
      <w:r w:rsidR="00AD5F3D">
        <w:rPr>
          <w:b/>
          <w:szCs w:val="22"/>
        </w:rPr>
        <w:t>6</w:t>
      </w:r>
      <w:r w:rsidR="00FB7548">
        <w:rPr>
          <w:b/>
          <w:szCs w:val="22"/>
        </w:rPr>
        <w:t>,</w:t>
      </w:r>
      <w:r w:rsidR="00350315">
        <w:rPr>
          <w:b/>
          <w:szCs w:val="22"/>
        </w:rPr>
        <w:t xml:space="preserve"> </w:t>
      </w:r>
      <w:r w:rsidR="00FA0AFD">
        <w:rPr>
          <w:b/>
          <w:szCs w:val="22"/>
        </w:rPr>
        <w:t>20</w:t>
      </w:r>
      <w:r w:rsidR="00064C34">
        <w:rPr>
          <w:b/>
          <w:szCs w:val="22"/>
        </w:rPr>
        <w:t>2</w:t>
      </w:r>
      <w:r w:rsidR="009F79A0">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10C3C6C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4A3689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5550A" w:rsidRPr="0025550A" w:rsidP="0025550A" w14:paraId="0EB1974F" w14:textId="695AFDC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r w:rsidRPr="0025550A">
        <w:rPr>
          <w:b/>
          <w:szCs w:val="22"/>
        </w:rPr>
        <w:t xml:space="preserve">Applicant(s): </w:t>
      </w:r>
      <w:r w:rsidRPr="00146CF3" w:rsidR="00146CF3">
        <w:rPr>
          <w:b/>
          <w:szCs w:val="22"/>
        </w:rPr>
        <w:t>U.S. TelePacific Corp.</w:t>
      </w:r>
      <w:r w:rsidR="00A24F4D">
        <w:rPr>
          <w:b/>
          <w:szCs w:val="22"/>
        </w:rPr>
        <w:t xml:space="preserve"> and</w:t>
      </w:r>
      <w:r w:rsidRPr="00146CF3" w:rsidR="00146CF3">
        <w:rPr>
          <w:b/>
          <w:szCs w:val="22"/>
        </w:rPr>
        <w:t xml:space="preserve"> DSCI, LLC</w:t>
      </w:r>
    </w:p>
    <w:p w:rsidR="0025550A" w:rsidRPr="0025550A" w:rsidP="0025550A" w14:paraId="4E06755C" w14:textId="6F45678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WC Docket No. 2</w:t>
      </w:r>
      <w:r w:rsidR="003C26F5">
        <w:rPr>
          <w:b/>
          <w:szCs w:val="22"/>
        </w:rPr>
        <w:t>2</w:t>
      </w:r>
      <w:r w:rsidRPr="0025550A">
        <w:rPr>
          <w:b/>
          <w:szCs w:val="22"/>
        </w:rPr>
        <w:t>-</w:t>
      </w:r>
      <w:r w:rsidR="00146CF3">
        <w:rPr>
          <w:b/>
          <w:szCs w:val="22"/>
        </w:rPr>
        <w:t>51</w:t>
      </w:r>
      <w:r w:rsidRPr="0025550A">
        <w:rPr>
          <w:b/>
          <w:szCs w:val="22"/>
        </w:rPr>
        <w:t>, Comp. Pol. File No. 17</w:t>
      </w:r>
      <w:r w:rsidR="00B577E3">
        <w:rPr>
          <w:b/>
          <w:szCs w:val="22"/>
        </w:rPr>
        <w:t>5</w:t>
      </w:r>
      <w:r w:rsidR="00146CF3">
        <w:rPr>
          <w:b/>
          <w:szCs w:val="22"/>
        </w:rPr>
        <w:t>9</w:t>
      </w:r>
    </w:p>
    <w:p w:rsidR="0025550A" w:rsidRPr="0025550A" w:rsidP="0025550A" w14:paraId="68D12515" w14:textId="3354380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Link –</w:t>
      </w:r>
      <w:r w:rsidR="00146CF3">
        <w:rPr>
          <w:b/>
          <w:szCs w:val="22"/>
        </w:rPr>
        <w:t xml:space="preserve"> </w:t>
      </w:r>
      <w:hyperlink r:id="rId8" w:history="1">
        <w:r w:rsidRPr="00146CF3" w:rsidR="00146CF3">
          <w:rPr>
            <w:rStyle w:val="Hyperlink"/>
            <w:bCs/>
            <w:szCs w:val="22"/>
          </w:rPr>
          <w:t>https://www.fcc.gov/ecfs/search/filings?q=((proceedings.name:((22%5C-51*))%20OR%20proceedings.description:((22%5C-51*))))&amp;sort=date_disseminated,DESC</w:t>
        </w:r>
      </w:hyperlink>
    </w:p>
    <w:p w:rsidR="0025550A" w:rsidRPr="0025550A" w:rsidP="00146CF3" w14:paraId="3A888E97" w14:textId="1F4EE7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Affected Service(s) – </w:t>
      </w:r>
      <w:r w:rsidRPr="00146CF3" w:rsidR="00146CF3">
        <w:rPr>
          <w:bCs/>
          <w:szCs w:val="22"/>
        </w:rPr>
        <w:t>business local exchange lines, Primary Rate Interface,</w:t>
      </w:r>
      <w:r w:rsidR="00146CF3">
        <w:rPr>
          <w:bCs/>
          <w:szCs w:val="22"/>
        </w:rPr>
        <w:t xml:space="preserve"> </w:t>
      </w:r>
      <w:r w:rsidRPr="00146CF3" w:rsidR="00146CF3">
        <w:rPr>
          <w:bCs/>
          <w:szCs w:val="22"/>
        </w:rPr>
        <w:t>Multiprotocol Label Switching and T1 telecommunications services</w:t>
      </w:r>
    </w:p>
    <w:p w:rsidR="00146CF3" w:rsidP="0031678A" w14:paraId="4E1F459D" w14:textId="6F9D56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5550A">
        <w:rPr>
          <w:b/>
          <w:szCs w:val="22"/>
        </w:rPr>
        <w:t xml:space="preserve">Service Area(s) – </w:t>
      </w:r>
      <w:r w:rsidRPr="00146CF3">
        <w:rPr>
          <w:bCs/>
          <w:szCs w:val="22"/>
        </w:rPr>
        <w:t>C</w:t>
      </w:r>
      <w:r>
        <w:rPr>
          <w:bCs/>
          <w:szCs w:val="22"/>
        </w:rPr>
        <w:t>alifornia and</w:t>
      </w:r>
      <w:r w:rsidRPr="00146CF3">
        <w:rPr>
          <w:bCs/>
          <w:szCs w:val="22"/>
        </w:rPr>
        <w:t xml:space="preserve"> M</w:t>
      </w:r>
      <w:r>
        <w:rPr>
          <w:bCs/>
          <w:szCs w:val="22"/>
        </w:rPr>
        <w:t>assachusetts</w:t>
      </w:r>
      <w:r w:rsidRPr="00146CF3">
        <w:rPr>
          <w:bCs/>
          <w:szCs w:val="22"/>
        </w:rPr>
        <w:t xml:space="preserve"> </w:t>
      </w:r>
    </w:p>
    <w:p w:rsidR="0025550A" w:rsidRPr="0025550A" w:rsidP="0031678A" w14:paraId="13731F76" w14:textId="4BEA444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Authorized Date(s) – </w:t>
      </w:r>
      <w:r w:rsidRPr="0025550A">
        <w:rPr>
          <w:bCs/>
          <w:szCs w:val="22"/>
        </w:rPr>
        <w:t xml:space="preserve">on or after </w:t>
      </w:r>
      <w:r w:rsidR="00146CF3">
        <w:rPr>
          <w:bCs/>
          <w:szCs w:val="22"/>
        </w:rPr>
        <w:t xml:space="preserve">April </w:t>
      </w:r>
      <w:r w:rsidR="008F36EC">
        <w:rPr>
          <w:bCs/>
          <w:szCs w:val="22"/>
        </w:rPr>
        <w:t>1</w:t>
      </w:r>
      <w:r w:rsidR="003C26F5">
        <w:rPr>
          <w:bCs/>
          <w:szCs w:val="22"/>
        </w:rPr>
        <w:t>, 2022</w:t>
      </w:r>
    </w:p>
    <w:p w:rsidR="0025550A" w:rsidP="0025550A" w14:paraId="3A4800B4" w14:textId="53CE65E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Contact(s) – </w:t>
      </w:r>
      <w:r w:rsidRPr="0025550A">
        <w:rPr>
          <w:bCs/>
          <w:szCs w:val="22"/>
        </w:rPr>
        <w:t>Kimberly Jackson, (202) 418-7393 (voice), Kimberly.Jackson@fcc.gov, of the Competition Policy Division, Wireline Competition Bureau</w:t>
      </w:r>
    </w:p>
    <w:p w:rsidR="0063046B" w:rsidP="0063046B" w14:paraId="0AB76A1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85130237"/>
      <w:bookmarkEnd w:id="2"/>
    </w:p>
    <w:bookmarkEnd w:id="3"/>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13CE9F64">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2A41F2A0">
    <w:pPr>
      <w:pStyle w:val="Header"/>
    </w:pPr>
    <w:r>
      <w:tab/>
    </w:r>
    <w:r>
      <w:ptab w:relativeTo="margin" w:alignment="right" w:leader="none"/>
    </w:r>
    <w:r>
      <w:t xml:space="preserve">DA </w:t>
    </w:r>
    <w:r w:rsidR="00D26EA7">
      <w:t>2</w:t>
    </w:r>
    <w:r w:rsidR="00152702">
      <w:t>2</w:t>
    </w:r>
    <w:r w:rsidR="00C8526E">
      <w:t>-</w:t>
    </w:r>
    <w:r w:rsidR="0037660B">
      <w:t>207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7647761"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12F0"/>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7F9"/>
    <w:rsid w:val="00431FDE"/>
    <w:rsid w:val="0043290D"/>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0CF5"/>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F213C"/>
    <w:rsid w:val="009F79A0"/>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75D"/>
    <w:rsid w:val="00FC5BCC"/>
    <w:rsid w:val="00FC60B3"/>
    <w:rsid w:val="00FD08A4"/>
    <w:rsid w:val="00FD1B47"/>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q=((proceedings.name:((22%5C-51*))%20OR%20proceedings.description:((22%5C-51*))))&amp;sort=date_disseminated,DESC"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