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824563" w:rsidP="00247723" w14:paraId="4D921CB8" w14:textId="77777777">
      <w:pPr>
        <w:jc w:val="right"/>
        <w:rPr>
          <w:b/>
          <w:sz w:val="24"/>
        </w:rPr>
      </w:pPr>
    </w:p>
    <w:p w:rsidR="003A0DD8" w:rsidRPr="00B3607A" w:rsidP="00247723" w14:paraId="0F432B1B" w14:textId="4C17F17F">
      <w:pPr>
        <w:jc w:val="right"/>
        <w:rPr>
          <w:b/>
          <w:szCs w:val="22"/>
        </w:rPr>
      </w:pPr>
      <w:r w:rsidRPr="00B3607A">
        <w:rPr>
          <w:b/>
          <w:szCs w:val="22"/>
        </w:rPr>
        <w:t xml:space="preserve">DA </w:t>
      </w:r>
      <w:r w:rsidR="00AF6056">
        <w:rPr>
          <w:b/>
          <w:szCs w:val="22"/>
        </w:rPr>
        <w:t>22</w:t>
      </w:r>
      <w:r w:rsidRPr="00AF6056" w:rsidR="00531D94">
        <w:rPr>
          <w:b/>
          <w:szCs w:val="22"/>
        </w:rPr>
        <w:t>-</w:t>
      </w:r>
      <w:r w:rsidR="00AF6056">
        <w:rPr>
          <w:b/>
          <w:szCs w:val="22"/>
        </w:rPr>
        <w:t>20</w:t>
      </w:r>
    </w:p>
    <w:p w:rsidR="003A0DD8" w:rsidRPr="00B3607A" w14:paraId="1ED964BB" w14:textId="12C1B906">
      <w:pPr>
        <w:spacing w:before="60"/>
        <w:jc w:val="right"/>
        <w:rPr>
          <w:b/>
          <w:szCs w:val="22"/>
        </w:rPr>
      </w:pPr>
      <w:r w:rsidRPr="00B3607A">
        <w:rPr>
          <w:b/>
          <w:szCs w:val="22"/>
        </w:rPr>
        <w:t xml:space="preserve">Released:  </w:t>
      </w:r>
      <w:r w:rsidR="00AF6056">
        <w:rPr>
          <w:b/>
          <w:szCs w:val="22"/>
        </w:rPr>
        <w:t>January 10</w:t>
      </w:r>
      <w:r w:rsidRPr="00B3607A" w:rsidR="00247723">
        <w:rPr>
          <w:b/>
          <w:szCs w:val="22"/>
        </w:rPr>
        <w:t>, 202</w:t>
      </w:r>
      <w:r w:rsidR="009B528A">
        <w:rPr>
          <w:b/>
          <w:szCs w:val="22"/>
        </w:rPr>
        <w:t>2</w:t>
      </w:r>
    </w:p>
    <w:p w:rsidR="003A0DD8" w:rsidRPr="00B3607A" w14:paraId="14FA1D13" w14:textId="77777777">
      <w:pPr>
        <w:jc w:val="right"/>
        <w:rPr>
          <w:szCs w:val="22"/>
        </w:rPr>
      </w:pPr>
    </w:p>
    <w:p w:rsidR="00247723" w:rsidRPr="00B3607A" w:rsidP="00531D94" w14:paraId="7BCF8953" w14:textId="3E0E7DFE">
      <w:pPr>
        <w:spacing w:after="240"/>
        <w:jc w:val="center"/>
        <w:rPr>
          <w:b/>
          <w:szCs w:val="22"/>
          <w:highlight w:val="yellow"/>
        </w:rPr>
      </w:pPr>
      <w:r w:rsidRPr="00B3607A">
        <w:rPr>
          <w:b/>
          <w:szCs w:val="22"/>
        </w:rPr>
        <w:t>MEDIA</w:t>
      </w:r>
      <w:r w:rsidR="00531D94">
        <w:rPr>
          <w:b/>
          <w:szCs w:val="22"/>
        </w:rPr>
        <w:t xml:space="preserve"> </w:t>
      </w:r>
      <w:r w:rsidRPr="00B3607A">
        <w:rPr>
          <w:b/>
          <w:szCs w:val="22"/>
        </w:rPr>
        <w:t>BUREAU</w:t>
      </w:r>
      <w:r w:rsidR="00531D94">
        <w:rPr>
          <w:b/>
          <w:szCs w:val="22"/>
        </w:rPr>
        <w:t xml:space="preserve"> </w:t>
      </w:r>
      <w:r w:rsidRPr="00B3607A">
        <w:rPr>
          <w:b/>
          <w:szCs w:val="22"/>
        </w:rPr>
        <w:t>SEEK</w:t>
      </w:r>
      <w:r w:rsidR="00531D94">
        <w:rPr>
          <w:b/>
          <w:szCs w:val="22"/>
        </w:rPr>
        <w:t>S</w:t>
      </w:r>
      <w:r w:rsidRPr="00B3607A">
        <w:rPr>
          <w:b/>
          <w:szCs w:val="22"/>
        </w:rPr>
        <w:t xml:space="preserve"> </w:t>
      </w:r>
      <w:r w:rsidR="00531D94">
        <w:rPr>
          <w:b/>
          <w:szCs w:val="22"/>
        </w:rPr>
        <w:t xml:space="preserve">TO REFRESH THE RECORD ON ACCESSIBILITY RULES FOR </w:t>
      </w:r>
      <w:r w:rsidR="001F249D">
        <w:rPr>
          <w:b/>
          <w:szCs w:val="22"/>
        </w:rPr>
        <w:t>CLOSED CAPTIONING DISPLAY SETTINGS</w:t>
      </w:r>
      <w:r w:rsidR="00531D94">
        <w:rPr>
          <w:b/>
          <w:szCs w:val="22"/>
        </w:rPr>
        <w:t xml:space="preserve"> UNDER</w:t>
      </w:r>
      <w:r w:rsidRPr="00B3607A">
        <w:rPr>
          <w:b/>
          <w:szCs w:val="22"/>
        </w:rPr>
        <w:t xml:space="preserve"> </w:t>
      </w:r>
      <w:r w:rsidR="00531D94">
        <w:rPr>
          <w:b/>
          <w:szCs w:val="22"/>
        </w:rPr>
        <w:t>THE TELEVISION DECODER CIRCUITRY ACT</w:t>
      </w:r>
    </w:p>
    <w:p w:rsidR="003A0DD8" w:rsidRPr="00B3607A" w14:paraId="44620107" w14:textId="5D80F265">
      <w:pPr>
        <w:jc w:val="center"/>
        <w:rPr>
          <w:b/>
          <w:szCs w:val="22"/>
        </w:rPr>
      </w:pPr>
      <w:r>
        <w:rPr>
          <w:b/>
          <w:szCs w:val="22"/>
        </w:rPr>
        <w:t>MB</w:t>
      </w:r>
      <w:r w:rsidRPr="00B3607A" w:rsidR="007F12E7">
        <w:rPr>
          <w:b/>
          <w:szCs w:val="22"/>
        </w:rPr>
        <w:t xml:space="preserve"> Docket No. </w:t>
      </w:r>
      <w:r>
        <w:rPr>
          <w:b/>
          <w:szCs w:val="22"/>
        </w:rPr>
        <w:t>12-</w:t>
      </w:r>
      <w:r w:rsidR="00C35632">
        <w:rPr>
          <w:b/>
          <w:szCs w:val="22"/>
        </w:rPr>
        <w:t>1</w:t>
      </w:r>
      <w:r>
        <w:rPr>
          <w:b/>
          <w:szCs w:val="22"/>
        </w:rPr>
        <w:t>08</w:t>
      </w:r>
    </w:p>
    <w:p w:rsidR="00B3607A" w:rsidRPr="00B3607A" w14:paraId="2468BF02" w14:textId="61746CF1">
      <w:pPr>
        <w:jc w:val="center"/>
        <w:rPr>
          <w:b/>
          <w:szCs w:val="22"/>
        </w:rPr>
      </w:pPr>
    </w:p>
    <w:p w:rsidR="00B3607A" w:rsidRPr="00B3607A" w:rsidP="00B3607A" w14:paraId="4A8442C0" w14:textId="1C0D73A3">
      <w:pPr>
        <w:rPr>
          <w:b/>
          <w:szCs w:val="22"/>
        </w:rPr>
      </w:pPr>
      <w:r w:rsidRPr="00B3607A">
        <w:rPr>
          <w:b/>
          <w:szCs w:val="22"/>
        </w:rPr>
        <w:t xml:space="preserve">Comments Due:  </w:t>
      </w:r>
      <w:bookmarkStart w:id="0" w:name="_Hlk89763721"/>
      <w:r w:rsidR="009114FB">
        <w:rPr>
          <w:b/>
          <w:szCs w:val="22"/>
        </w:rPr>
        <w:t>[30 days after publication in the Federal Register]</w:t>
      </w:r>
    </w:p>
    <w:bookmarkEnd w:id="0"/>
    <w:p w:rsidR="00B3607A" w:rsidRPr="00B3607A" w:rsidP="00B3607A" w14:paraId="4F63160C" w14:textId="7BC4B71B">
      <w:pPr>
        <w:rPr>
          <w:b/>
          <w:szCs w:val="22"/>
        </w:rPr>
      </w:pPr>
      <w:r w:rsidRPr="00B3607A">
        <w:rPr>
          <w:b/>
          <w:szCs w:val="22"/>
        </w:rPr>
        <w:t xml:space="preserve">Reply Comments Due:  </w:t>
      </w:r>
      <w:r w:rsidRPr="009114FB" w:rsidR="009114FB">
        <w:rPr>
          <w:b/>
          <w:szCs w:val="22"/>
        </w:rPr>
        <w:t>[</w:t>
      </w:r>
      <w:r w:rsidR="009114FB">
        <w:rPr>
          <w:b/>
          <w:szCs w:val="22"/>
        </w:rPr>
        <w:t>45</w:t>
      </w:r>
      <w:r w:rsidRPr="009114FB" w:rsidR="009114FB">
        <w:rPr>
          <w:b/>
          <w:szCs w:val="22"/>
        </w:rPr>
        <w:t xml:space="preserve"> days after publication in the Federal Register]</w:t>
      </w:r>
    </w:p>
    <w:p w:rsidR="003A0DD8" w14:paraId="7ECE549D" w14:textId="77777777">
      <w:pPr>
        <w:rPr>
          <w:b/>
          <w:sz w:val="24"/>
        </w:rPr>
      </w:pPr>
    </w:p>
    <w:p w:rsidR="00C46C01" w:rsidRPr="00C46C01" w:rsidP="00C46C01" w14:paraId="39B65875" w14:textId="31B485D5">
      <w:pPr>
        <w:spacing w:after="120"/>
        <w:ind w:firstLine="720"/>
      </w:pPr>
      <w:r>
        <w:t>With</w:t>
      </w:r>
      <w:r w:rsidRPr="3EE24E9E" w:rsidR="007F12E7">
        <w:t xml:space="preserve"> this Public Notice, </w:t>
      </w:r>
      <w:r>
        <w:t>the Media Bureau</w:t>
      </w:r>
      <w:r w:rsidRPr="3EE24E9E" w:rsidR="007F12E7">
        <w:t xml:space="preserve"> </w:t>
      </w:r>
      <w:r w:rsidR="00531D94">
        <w:t>seek</w:t>
      </w:r>
      <w:r>
        <w:t>s</w:t>
      </w:r>
      <w:r w:rsidR="00531D94">
        <w:t xml:space="preserve"> to refresh the record on proposed rule</w:t>
      </w:r>
      <w:r w:rsidR="0027339A">
        <w:t>s</w:t>
      </w:r>
      <w:r w:rsidR="00531D94">
        <w:t xml:space="preserve"> intended to enable </w:t>
      </w:r>
      <w:r w:rsidRPr="00531D94" w:rsidR="00531D94">
        <w:t>individuals who are deaf and hard of hearing to fully enjoy video programming through closed captioning.</w:t>
      </w:r>
      <w:r>
        <w:rPr>
          <w:rStyle w:val="FootnoteReference"/>
        </w:rPr>
        <w:footnoteReference w:id="3"/>
      </w:r>
      <w:r w:rsidR="00095DC2">
        <w:t xml:space="preserve">  Specifically, </w:t>
      </w:r>
      <w:r w:rsidR="00A064D9">
        <w:t>in 2015</w:t>
      </w:r>
      <w:r w:rsidR="00AE0474">
        <w:t>,</w:t>
      </w:r>
      <w:r w:rsidR="00A064D9">
        <w:t xml:space="preserve"> </w:t>
      </w:r>
      <w:r w:rsidR="00095DC2">
        <w:t xml:space="preserve">the Commission </w:t>
      </w:r>
      <w:r w:rsidR="00DC6FF1">
        <w:t xml:space="preserve">proposed rules that would </w:t>
      </w:r>
      <w:r w:rsidRPr="00DC6FF1" w:rsidR="00DC6FF1">
        <w:t>require manufacturers of covered apparatus and multichannel video programming distributors (MVPDs) to make closed captioning display settings readily accessible to individuals who are deaf and hard of hearing</w:t>
      </w:r>
      <w:r w:rsidR="000478C9">
        <w:t xml:space="preserve"> </w:t>
      </w:r>
      <w:r w:rsidRPr="000478C9" w:rsidR="000478C9">
        <w:t xml:space="preserve">and </w:t>
      </w:r>
      <w:r w:rsidR="00095DC2">
        <w:t>asked commenters to address</w:t>
      </w:r>
      <w:r w:rsidRPr="000478C9" w:rsidR="000478C9">
        <w:t xml:space="preserve"> the Commission’s authority to adopt such rules under the Television Decoder Circuitry Act of 1990 (TDCA)</w:t>
      </w:r>
      <w:r w:rsidRPr="00DC6FF1" w:rsidR="00DC6FF1">
        <w:t>.</w:t>
      </w:r>
      <w:r>
        <w:rPr>
          <w:rStyle w:val="FootnoteReference"/>
        </w:rPr>
        <w:footnoteReference w:id="4"/>
      </w:r>
      <w:r w:rsidRPr="00DC6FF1" w:rsidR="00DC6FF1">
        <w:t xml:space="preserve">  </w:t>
      </w:r>
      <w:r>
        <w:t>The comment period closed</w:t>
      </w:r>
      <w:r w:rsidR="00917B98">
        <w:t xml:space="preserve"> nearly six years ago.</w:t>
      </w:r>
      <w:r>
        <w:rPr>
          <w:rStyle w:val="FootnoteReference"/>
        </w:rPr>
        <w:footnoteReference w:id="5"/>
      </w:r>
      <w:r>
        <w:t xml:space="preserve"> </w:t>
      </w:r>
      <w:r w:rsidR="000478C9">
        <w:t xml:space="preserve"> </w:t>
      </w:r>
      <w:r w:rsidRPr="00C46C01">
        <w:t xml:space="preserve">To ensure that the Commission </w:t>
      </w:r>
      <w:r w:rsidR="00A064D9">
        <w:t>has the benefit of</w:t>
      </w:r>
      <w:r w:rsidR="00474598">
        <w:t xml:space="preserve"> current</w:t>
      </w:r>
      <w:r w:rsidR="00A064D9">
        <w:t xml:space="preserve"> information, including </w:t>
      </w:r>
      <w:r w:rsidR="00474598">
        <w:t xml:space="preserve">any </w:t>
      </w:r>
      <w:r w:rsidRPr="00C46C01">
        <w:t xml:space="preserve">developments </w:t>
      </w:r>
      <w:r w:rsidR="00D94C05">
        <w:t xml:space="preserve">relating to these issues </w:t>
      </w:r>
      <w:r w:rsidRPr="00C46C01">
        <w:t xml:space="preserve">since the release of the underlying </w:t>
      </w:r>
      <w:r w:rsidRPr="00034510" w:rsidR="00034510">
        <w:rPr>
          <w:i/>
          <w:iCs/>
        </w:rPr>
        <w:t>Second Further Notice of Proposed Rulemaking (Second Further Notice)</w:t>
      </w:r>
      <w:r w:rsidRPr="00C46C01">
        <w:t xml:space="preserve">, we </w:t>
      </w:r>
      <w:r w:rsidR="00867FAD">
        <w:t xml:space="preserve">invite parties </w:t>
      </w:r>
      <w:r w:rsidRPr="00C46C01">
        <w:t xml:space="preserve">to </w:t>
      </w:r>
      <w:r w:rsidR="009B59C2">
        <w:t>update</w:t>
      </w:r>
      <w:r w:rsidRPr="00C46C01">
        <w:t xml:space="preserve"> the record on these issues.  </w:t>
      </w:r>
    </w:p>
    <w:p w:rsidR="00531D94" w:rsidP="00247723" w14:paraId="732F48F0" w14:textId="46939BEF">
      <w:pPr>
        <w:spacing w:after="120"/>
        <w:ind w:firstLine="720"/>
      </w:pPr>
      <w:r w:rsidRPr="00B81342">
        <w:rPr>
          <w:i/>
          <w:iCs/>
        </w:rPr>
        <w:t>Background</w:t>
      </w:r>
      <w:r>
        <w:t xml:space="preserve">.  </w:t>
      </w:r>
      <w:r w:rsidRPr="002E5375" w:rsidR="002E5375">
        <w:t>The TDCA amended the Communications Act of 1934, as amended (the Act), to require that television receivers contain built-in decoder circuitry designed to display closed captioning</w:t>
      </w:r>
      <w:r w:rsidR="0032021E">
        <w:t xml:space="preserve"> and </w:t>
      </w:r>
      <w:r w:rsidRPr="002E5375" w:rsidR="002E5375">
        <w:t>to require that the Commission’s rules provide performance and display standards for such built-in decoder circuitry.</w:t>
      </w:r>
      <w:r>
        <w:rPr>
          <w:vertAlign w:val="superscript"/>
        </w:rPr>
        <w:footnoteReference w:id="6"/>
      </w:r>
      <w:r w:rsidRPr="002E5375" w:rsidR="002E5375">
        <w:t xml:space="preserve">  In 2000, the Commission adopted</w:t>
      </w:r>
      <w:r w:rsidR="00095DC2">
        <w:t xml:space="preserve"> such</w:t>
      </w:r>
      <w:r w:rsidRPr="002E5375" w:rsidR="002E5375">
        <w:t xml:space="preserve"> standards for the display of closed captions on digital television receivers</w:t>
      </w:r>
      <w:r w:rsidR="00867FAD">
        <w:t>.  These standards</w:t>
      </w:r>
      <w:r w:rsidRPr="002E5375" w:rsidR="002E5375">
        <w:t xml:space="preserve"> allow users to customize the appearance of captions by changing the font, size, color, and other features of captions.</w:t>
      </w:r>
      <w:r>
        <w:rPr>
          <w:rStyle w:val="FootnoteReference"/>
        </w:rPr>
        <w:footnoteReference w:id="7"/>
      </w:r>
    </w:p>
    <w:p w:rsidR="00531D94" w:rsidP="009B528A" w14:paraId="4EDA480A" w14:textId="2D7B3DD9">
      <w:pPr>
        <w:widowControl/>
        <w:spacing w:after="120"/>
        <w:ind w:firstLine="720"/>
      </w:pPr>
      <w:r w:rsidRPr="0032021E">
        <w:t xml:space="preserve">In 2010, Congress enacted the </w:t>
      </w:r>
      <w:r w:rsidRPr="00FD64F7" w:rsidR="00FD64F7">
        <w:t>Twenty-First Century Communications and Video Accessibility Act of 2010 (CVAA)</w:t>
      </w:r>
      <w:r w:rsidR="00FD64F7">
        <w:t xml:space="preserve"> </w:t>
      </w:r>
      <w:r w:rsidR="00A064D9">
        <w:t xml:space="preserve">to </w:t>
      </w:r>
      <w:r w:rsidR="00BB7D02">
        <w:t>enable</w:t>
      </w:r>
      <w:r w:rsidRPr="0032021E">
        <w:t xml:space="preserve"> individuals with disabilities to fully utilize modern communications services and equipment and to better access video programming.</w:t>
      </w:r>
      <w:r>
        <w:rPr>
          <w:rStyle w:val="FootnoteReference"/>
        </w:rPr>
        <w:footnoteReference w:id="8"/>
      </w:r>
      <w:r w:rsidRPr="0032021E">
        <w:t xml:space="preserve">  </w:t>
      </w:r>
      <w:r w:rsidR="00FD64F7">
        <w:t xml:space="preserve">The </w:t>
      </w:r>
      <w:r w:rsidRPr="0032021E">
        <w:t xml:space="preserve">CVAA broadened </w:t>
      </w:r>
      <w:r w:rsidR="00FD64F7">
        <w:t>the application of closed captioning display and functionality requirements to additional types of apparatus</w:t>
      </w:r>
      <w:r w:rsidR="00867FAD">
        <w:t>, beyond</w:t>
      </w:r>
      <w:r w:rsidR="00E24020">
        <w:t xml:space="preserve"> broadcast</w:t>
      </w:r>
      <w:r w:rsidR="00867FAD">
        <w:t xml:space="preserve"> television receivers</w:t>
      </w:r>
      <w:r w:rsidR="00CD14F0">
        <w:t xml:space="preserve">, to include any </w:t>
      </w:r>
      <w:r w:rsidRPr="00A21892" w:rsidR="00CD14F0">
        <w:t>“apparatus designed to receive or play back video programming transmitted simultaneously with sound</w:t>
      </w:r>
      <w:r w:rsidR="00CD14F0">
        <w:t>.</w:t>
      </w:r>
      <w:r w:rsidRPr="00A21892" w:rsidR="00CD14F0">
        <w:t>”</w:t>
      </w:r>
      <w:r>
        <w:rPr>
          <w:rStyle w:val="FootnoteReference"/>
        </w:rPr>
        <w:footnoteReference w:id="9"/>
      </w:r>
      <w:r w:rsidRPr="0032021E">
        <w:t xml:space="preserve">  </w:t>
      </w:r>
      <w:r w:rsidR="00867FAD">
        <w:t>Pursuant to the CVAA, i</w:t>
      </w:r>
      <w:r w:rsidRPr="0032021E">
        <w:t xml:space="preserve">n 2012, the Commission </w:t>
      </w:r>
      <w:r w:rsidR="00DA283D">
        <w:t xml:space="preserve">adopted </w:t>
      </w:r>
      <w:r w:rsidRPr="0032021E">
        <w:t xml:space="preserve">performance and display standards for </w:t>
      </w:r>
      <w:r w:rsidR="00DA283D">
        <w:t xml:space="preserve">the broadened category of covered apparatus </w:t>
      </w:r>
      <w:r w:rsidRPr="0032021E">
        <w:t>and in particular adopted functional requirements to ensure that consumers can modify caption display features on covered apparatus.</w:t>
      </w:r>
      <w:r>
        <w:rPr>
          <w:rStyle w:val="FootnoteReference"/>
        </w:rPr>
        <w:footnoteReference w:id="10"/>
      </w:r>
      <w:r w:rsidRPr="0032021E">
        <w:t xml:space="preserve">  These rules require that apparatus provide functionality that allows users to change the presentation, color, opacity, size, and font of captions, caption background color and opacity, character edge attributes, and caption window color</w:t>
      </w:r>
      <w:r w:rsidR="00A064D9">
        <w:t>.</w:t>
      </w:r>
      <w:r w:rsidRPr="0032021E">
        <w:t xml:space="preserve"> </w:t>
      </w:r>
      <w:r w:rsidR="006443E5">
        <w:t xml:space="preserve"> </w:t>
      </w:r>
      <w:r w:rsidR="00A064D9">
        <w:t>B</w:t>
      </w:r>
      <w:r w:rsidRPr="0032021E">
        <w:t xml:space="preserve">ut the </w:t>
      </w:r>
      <w:r w:rsidR="00A064D9">
        <w:t xml:space="preserve">rules </w:t>
      </w:r>
      <w:r w:rsidRPr="0032021E">
        <w:t>do not mandate</w:t>
      </w:r>
      <w:r w:rsidR="00867FAD">
        <w:t xml:space="preserve"> the means by which</w:t>
      </w:r>
      <w:r w:rsidRPr="0032021E">
        <w:t xml:space="preserve"> users access such features on the </w:t>
      </w:r>
      <w:r w:rsidR="00867FAD">
        <w:t>covered apparatus</w:t>
      </w:r>
      <w:r w:rsidRPr="0032021E">
        <w:t>.</w:t>
      </w:r>
      <w:r>
        <w:rPr>
          <w:rStyle w:val="FootnoteReference"/>
        </w:rPr>
        <w:footnoteReference w:id="11"/>
      </w:r>
    </w:p>
    <w:p w:rsidR="00DE3E2A" w:rsidP="00DE3E2A" w14:paraId="2448E80B" w14:textId="78227773">
      <w:pPr>
        <w:tabs>
          <w:tab w:val="num" w:pos="1440"/>
        </w:tabs>
        <w:spacing w:after="120"/>
        <w:ind w:firstLine="720"/>
      </w:pPr>
      <w:r w:rsidRPr="00DE3E2A">
        <w:t xml:space="preserve">In </w:t>
      </w:r>
      <w:r>
        <w:t xml:space="preserve">2015, the Commission issued </w:t>
      </w:r>
      <w:r w:rsidR="00034510">
        <w:t>the</w:t>
      </w:r>
      <w:r w:rsidRPr="00DE3E2A">
        <w:t xml:space="preserve"> </w:t>
      </w:r>
      <w:bookmarkStart w:id="2" w:name="_Hlk89843954"/>
      <w:r w:rsidRPr="00DE3E2A">
        <w:rPr>
          <w:i/>
        </w:rPr>
        <w:t xml:space="preserve">Second Further Notice </w:t>
      </w:r>
      <w:bookmarkEnd w:id="2"/>
      <w:r w:rsidRPr="00DE3E2A">
        <w:t xml:space="preserve">in the above docket, </w:t>
      </w:r>
      <w:r>
        <w:t>seeking</w:t>
      </w:r>
      <w:r w:rsidRPr="00DE3E2A">
        <w:t xml:space="preserve"> comment on </w:t>
      </w:r>
      <w:r w:rsidR="006443E5">
        <w:t xml:space="preserve">proposed </w:t>
      </w:r>
      <w:r w:rsidRPr="00DE3E2A">
        <w:t>rules that would require manufacturers and MVPDs to ensure that consumers are able to readily access user display settings for closed captioning</w:t>
      </w:r>
      <w:r w:rsidR="008347E4">
        <w:t xml:space="preserve"> on covered apparatus</w:t>
      </w:r>
      <w:r w:rsidRPr="00DE3E2A">
        <w:t>.</w:t>
      </w:r>
      <w:r>
        <w:rPr>
          <w:vertAlign w:val="superscript"/>
        </w:rPr>
        <w:footnoteReference w:id="12"/>
      </w:r>
      <w:r w:rsidRPr="00DE3E2A">
        <w:t xml:space="preserve">  Both industry and consumer</w:t>
      </w:r>
      <w:r w:rsidR="008002F1">
        <w:t xml:space="preserve"> advocates</w:t>
      </w:r>
      <w:r w:rsidRPr="00DE3E2A">
        <w:t>, as well as individual consumers, filed comments in the proceeding.</w:t>
      </w:r>
      <w:r>
        <w:rPr>
          <w:vertAlign w:val="superscript"/>
        </w:rPr>
        <w:footnoteReference w:id="13"/>
      </w:r>
      <w:r w:rsidRPr="00DE3E2A">
        <w:t xml:space="preserve"> </w:t>
      </w:r>
    </w:p>
    <w:p w:rsidR="00531D94" w:rsidP="00247723" w14:paraId="5B323850" w14:textId="1379702F">
      <w:pPr>
        <w:spacing w:after="120"/>
        <w:ind w:firstLine="720"/>
      </w:pPr>
      <w:r>
        <w:t xml:space="preserve">Since the Commission last invited comment on these issues, consumers and other stakeholders have raised </w:t>
      </w:r>
      <w:r w:rsidR="005F5B24">
        <w:t xml:space="preserve">ongoing </w:t>
      </w:r>
      <w:r>
        <w:t xml:space="preserve">concerns about difficulties </w:t>
      </w:r>
      <w:r w:rsidR="009540EF">
        <w:t xml:space="preserve">consumers </w:t>
      </w:r>
      <w:r>
        <w:t>face when attempting to access closed captioning display settings across a host of technologies and services.</w:t>
      </w:r>
      <w:r w:rsidR="00E34B8A">
        <w:t xml:space="preserve">  </w:t>
      </w:r>
      <w:r w:rsidR="009540EF">
        <w:t>For instance, t</w:t>
      </w:r>
      <w:r w:rsidR="00095DC2">
        <w:t>he Commission has receive</w:t>
      </w:r>
      <w:r w:rsidR="009540EF">
        <w:t>d</w:t>
      </w:r>
      <w:r w:rsidR="00095DC2">
        <w:t xml:space="preserve"> c</w:t>
      </w:r>
      <w:r w:rsidR="00E34B8A">
        <w:t>onsumer complaints regarding user interfaces and the difficulty of adjusting closed captioning settings.</w:t>
      </w:r>
      <w:r>
        <w:rPr>
          <w:rStyle w:val="FootnoteReference"/>
        </w:rPr>
        <w:footnoteReference w:id="14"/>
      </w:r>
      <w:r w:rsidR="00590706">
        <w:t xml:space="preserve">  </w:t>
      </w:r>
      <w:r w:rsidR="009540EF">
        <w:t>Furthermore</w:t>
      </w:r>
      <w:r w:rsidR="00BA4D69">
        <w:t xml:space="preserve">, </w:t>
      </w:r>
      <w:r w:rsidRPr="00590706" w:rsidR="00590706">
        <w:t xml:space="preserve">comments </w:t>
      </w:r>
      <w:r w:rsidR="005550AB">
        <w:t xml:space="preserve">received </w:t>
      </w:r>
      <w:r w:rsidR="009540EF">
        <w:t xml:space="preserve">earlier this year </w:t>
      </w:r>
      <w:r w:rsidRPr="00590706" w:rsidR="00590706">
        <w:t xml:space="preserve">in response to a </w:t>
      </w:r>
      <w:r w:rsidRPr="00645F8B" w:rsidR="00590706">
        <w:t>related public notice</w:t>
      </w:r>
      <w:r w:rsidRPr="00590706" w:rsidR="00590706">
        <w:t xml:space="preserve"> </w:t>
      </w:r>
      <w:r w:rsidRPr="00590706" w:rsidR="00590706">
        <w:t xml:space="preserve">concerning the Commission’s implementation of the CVAA suggest that these issues </w:t>
      </w:r>
      <w:r w:rsidR="009540EF">
        <w:t>persist</w:t>
      </w:r>
      <w:r w:rsidRPr="00590706" w:rsidR="00590706">
        <w:t>.</w:t>
      </w:r>
      <w:r>
        <w:rPr>
          <w:rStyle w:val="FootnoteReference"/>
        </w:rPr>
        <w:footnoteReference w:id="15"/>
      </w:r>
      <w:r w:rsidR="00BA4D69">
        <w:t xml:space="preserve"> </w:t>
      </w:r>
      <w:r w:rsidR="008F3C32">
        <w:t xml:space="preserve"> M</w:t>
      </w:r>
      <w:r w:rsidR="00BA4D69">
        <w:t>ost recently,</w:t>
      </w:r>
      <w:r w:rsidR="00DB79CC">
        <w:t xml:space="preserve"> </w:t>
      </w:r>
      <w:r w:rsidRPr="00DB79CC" w:rsidR="00DB79CC">
        <w:t>at a forum co-hosted by the Media Bureau and the Consumer and Governmental Affairs Bureau</w:t>
      </w:r>
      <w:r w:rsidR="00DB79CC">
        <w:t>,</w:t>
      </w:r>
      <w:r w:rsidR="00BA4D69">
        <w:t xml:space="preserve"> panelists </w:t>
      </w:r>
      <w:r w:rsidR="00DB79CC">
        <w:t>detail</w:t>
      </w:r>
      <w:r w:rsidR="009540EF">
        <w:t xml:space="preserve">ed the </w:t>
      </w:r>
      <w:r w:rsidR="00BA4D69">
        <w:t xml:space="preserve">discoverability and ease of use </w:t>
      </w:r>
      <w:r w:rsidR="009540EF">
        <w:t>challenges posed by</w:t>
      </w:r>
      <w:r w:rsidR="00BA4D69">
        <w:t xml:space="preserve"> closed captioning display settings across</w:t>
      </w:r>
      <w:r w:rsidR="00DB79CC">
        <w:t xml:space="preserve"> an</w:t>
      </w:r>
      <w:r w:rsidR="00BA4D69">
        <w:t xml:space="preserve"> increasingly fragmented video programming hardware and software </w:t>
      </w:r>
      <w:r w:rsidR="00DB79CC">
        <w:t>environment</w:t>
      </w:r>
      <w:r w:rsidR="00BA4D69">
        <w:t>.</w:t>
      </w:r>
      <w:r>
        <w:rPr>
          <w:rStyle w:val="FootnoteReference"/>
        </w:rPr>
        <w:footnoteReference w:id="16"/>
      </w:r>
    </w:p>
    <w:p w:rsidR="001231C8" w:rsidRPr="00002A3E" w:rsidP="00247723" w14:paraId="25B77792" w14:textId="0DE160F9">
      <w:pPr>
        <w:spacing w:after="120"/>
        <w:ind w:firstLine="720"/>
      </w:pPr>
      <w:r w:rsidRPr="007176F9">
        <w:rPr>
          <w:i/>
          <w:iCs/>
        </w:rPr>
        <w:t>Request for Additional Comment</w:t>
      </w:r>
      <w:r>
        <w:t xml:space="preserve">.  </w:t>
      </w:r>
      <w:r w:rsidR="00095DC2">
        <w:t xml:space="preserve">Accordingly, the </w:t>
      </w:r>
      <w:r w:rsidR="00BA4D69">
        <w:t xml:space="preserve">Media </w:t>
      </w:r>
      <w:r w:rsidR="00095DC2">
        <w:t>Bureau</w:t>
      </w:r>
      <w:r w:rsidR="00F67685">
        <w:t xml:space="preserve"> invites all stakeholders</w:t>
      </w:r>
      <w:r w:rsidR="00EE4F84">
        <w:t xml:space="preserve"> to update the record after</w:t>
      </w:r>
      <w:r w:rsidR="00F67685">
        <w:t xml:space="preserve"> review</w:t>
      </w:r>
      <w:r w:rsidR="00EE4F84">
        <w:t>ing</w:t>
      </w:r>
      <w:r w:rsidR="00F67685">
        <w:t xml:space="preserve"> the specific proposals, underlying analysis, and questions contained in the </w:t>
      </w:r>
      <w:r w:rsidRPr="00F67685" w:rsidR="00F67685">
        <w:rPr>
          <w:i/>
          <w:iCs/>
        </w:rPr>
        <w:t>Second Further Notice</w:t>
      </w:r>
      <w:r w:rsidR="00F67685">
        <w:t>,</w:t>
      </w:r>
      <w:r>
        <w:rPr>
          <w:rStyle w:val="FootnoteReference"/>
        </w:rPr>
        <w:footnoteReference w:id="17"/>
      </w:r>
      <w:r w:rsidR="00F67685">
        <w:t xml:space="preserve"> a</w:t>
      </w:r>
      <w:r w:rsidR="00EE4F84">
        <w:t>s well as</w:t>
      </w:r>
      <w:r w:rsidR="00F67685">
        <w:t xml:space="preserve"> the existing record in this proceeding</w:t>
      </w:r>
      <w:r w:rsidR="00EE4F84">
        <w:t>.</w:t>
      </w:r>
      <w:r w:rsidR="00F67685">
        <w:t xml:space="preserve"> </w:t>
      </w:r>
      <w:r w:rsidR="00763F38">
        <w:t xml:space="preserve"> </w:t>
      </w:r>
      <w:r>
        <w:t xml:space="preserve">The </w:t>
      </w:r>
      <w:r>
        <w:rPr>
          <w:i/>
          <w:iCs/>
        </w:rPr>
        <w:t>Second Further Notice</w:t>
      </w:r>
      <w:r>
        <w:t xml:space="preserve"> </w:t>
      </w:r>
      <w:r w:rsidR="00EE4F84">
        <w:t xml:space="preserve">presented a host of issues </w:t>
      </w:r>
      <w:r>
        <w:t>that generated substantive discussion</w:t>
      </w:r>
      <w:r w:rsidR="00763F38">
        <w:t>,</w:t>
      </w:r>
      <w:r>
        <w:t xml:space="preserve"> </w:t>
      </w:r>
      <w:r w:rsidR="00EE4F84">
        <w:t xml:space="preserve">including </w:t>
      </w:r>
      <w:r>
        <w:t>the Commission</w:t>
      </w:r>
      <w:r w:rsidR="00EE4F84">
        <w:t>’s</w:t>
      </w:r>
      <w:r>
        <w:t xml:space="preserve"> authority </w:t>
      </w:r>
      <w:r w:rsidR="00EE4F84">
        <w:t xml:space="preserve">pursuant to </w:t>
      </w:r>
      <w:r>
        <w:t>the TDCA to require that closed captioning display settings be readily accessible</w:t>
      </w:r>
      <w:r w:rsidR="00EE4F84">
        <w:t>,</w:t>
      </w:r>
      <w:r>
        <w:rPr>
          <w:rStyle w:val="FootnoteReference"/>
        </w:rPr>
        <w:footnoteReference w:id="18"/>
      </w:r>
      <w:r w:rsidR="00002A3E">
        <w:t xml:space="preserve"> </w:t>
      </w:r>
      <w:r w:rsidR="00EE4F84">
        <w:t xml:space="preserve">the means by which </w:t>
      </w:r>
      <w:r w:rsidR="00002A3E">
        <w:t>the Commission</w:t>
      </w:r>
      <w:r>
        <w:t xml:space="preserve"> </w:t>
      </w:r>
      <w:r w:rsidRPr="00002A3E" w:rsidR="00002A3E">
        <w:t>would implement a requirement that consumers be able to readily access user display settings for closed captioning</w:t>
      </w:r>
      <w:r w:rsidR="00EE4F84">
        <w:t>,</w:t>
      </w:r>
      <w:r>
        <w:rPr>
          <w:rStyle w:val="FootnoteReference"/>
        </w:rPr>
        <w:footnoteReference w:id="19"/>
      </w:r>
      <w:r w:rsidR="00002A3E">
        <w:t xml:space="preserve"> </w:t>
      </w:r>
      <w:r w:rsidR="00EE4F84">
        <w:t>and the extent to which section 303(u)(1)</w:t>
      </w:r>
      <w:r>
        <w:rPr>
          <w:rStyle w:val="FootnoteReference"/>
        </w:rPr>
        <w:footnoteReference w:id="20"/>
      </w:r>
      <w:r w:rsidR="00EE4F84">
        <w:t xml:space="preserve"> could be a source of authority to impose closed captioning </w:t>
      </w:r>
      <w:r w:rsidR="00002A3E">
        <w:t xml:space="preserve">requirements to all </w:t>
      </w:r>
      <w:r w:rsidRPr="00002A3E" w:rsidR="00002A3E">
        <w:t>apparatus</w:t>
      </w:r>
      <w:r w:rsidR="00F92D0E">
        <w:t xml:space="preserve">, </w:t>
      </w:r>
      <w:r w:rsidRPr="00002A3E" w:rsidR="00002A3E">
        <w:t xml:space="preserve">as interpreted consistently with </w:t>
      </w:r>
      <w:r w:rsidR="00413CFE">
        <w:t>Commission</w:t>
      </w:r>
      <w:r w:rsidRPr="00002A3E" w:rsidR="00002A3E">
        <w:t xml:space="preserve"> precedent</w:t>
      </w:r>
      <w:r w:rsidR="00413CFE">
        <w:t>.</w:t>
      </w:r>
      <w:r>
        <w:rPr>
          <w:rStyle w:val="FootnoteReference"/>
        </w:rPr>
        <w:footnoteReference w:id="21"/>
      </w:r>
      <w:r w:rsidR="00F73F28">
        <w:t xml:space="preserve">  The </w:t>
      </w:r>
      <w:r w:rsidRPr="005E3121" w:rsidR="00F73F28">
        <w:rPr>
          <w:i/>
          <w:iCs/>
        </w:rPr>
        <w:t xml:space="preserve">Second Further Notice </w:t>
      </w:r>
      <w:r w:rsidR="00F73F28">
        <w:t xml:space="preserve">further asked </w:t>
      </w:r>
      <w:r w:rsidR="00285B62">
        <w:t>which entities should be responsible for compliance and, specifically, whether both manufacturers and MVPDs should be obligated to facilitate the ability of consumers to locate and control closed captioning display settings</w:t>
      </w:r>
      <w:r w:rsidR="00D75042">
        <w:t>.</w:t>
      </w:r>
      <w:r>
        <w:rPr>
          <w:rStyle w:val="FootnoteReference"/>
        </w:rPr>
        <w:footnoteReference w:id="22"/>
      </w:r>
      <w:r w:rsidR="00D75042">
        <w:t xml:space="preserve">  </w:t>
      </w:r>
      <w:r w:rsidR="006D42D3">
        <w:t>T</w:t>
      </w:r>
      <w:r w:rsidR="00D75042">
        <w:t xml:space="preserve">he </w:t>
      </w:r>
      <w:r w:rsidRPr="005E3121" w:rsidR="00D75042">
        <w:rPr>
          <w:i/>
          <w:iCs/>
        </w:rPr>
        <w:t>Second Further Notice</w:t>
      </w:r>
      <w:r w:rsidR="00D75042">
        <w:t xml:space="preserve"> </w:t>
      </w:r>
      <w:r w:rsidR="006D42D3">
        <w:t xml:space="preserve">also </w:t>
      </w:r>
      <w:r w:rsidR="00D75042">
        <w:t xml:space="preserve">sought comment on the appropriate timeframe for </w:t>
      </w:r>
      <w:r w:rsidR="00285B62">
        <w:t>requiring covered entities to ensure that</w:t>
      </w:r>
      <w:r w:rsidRPr="00D75042" w:rsidR="00D75042">
        <w:t xml:space="preserve"> closed captioning display settings</w:t>
      </w:r>
      <w:r w:rsidR="00285B62">
        <w:t xml:space="preserve"> are made readily accessible to consumers</w:t>
      </w:r>
      <w:r w:rsidR="00D75042">
        <w:t>.</w:t>
      </w:r>
      <w:r>
        <w:rPr>
          <w:rStyle w:val="FootnoteReference"/>
        </w:rPr>
        <w:footnoteReference w:id="23"/>
      </w:r>
      <w:r w:rsidR="00D75042">
        <w:t xml:space="preserve"> </w:t>
      </w:r>
      <w:r w:rsidR="00F73F28">
        <w:t xml:space="preserve"> </w:t>
      </w:r>
      <w:r w:rsidR="00A049E3">
        <w:t xml:space="preserve">Herein, we specifically seek </w:t>
      </w:r>
      <w:r w:rsidR="007E3927">
        <w:t xml:space="preserve">updated </w:t>
      </w:r>
      <w:r w:rsidR="00A049E3">
        <w:t>comment on th</w:t>
      </w:r>
      <w:r w:rsidR="00EE4F84">
        <w:t xml:space="preserve">ese and other </w:t>
      </w:r>
      <w:r w:rsidR="00A049E3">
        <w:t xml:space="preserve">issues </w:t>
      </w:r>
      <w:r w:rsidR="00EE4F84">
        <w:t xml:space="preserve">posed in the </w:t>
      </w:r>
      <w:r w:rsidRPr="00F92D0E" w:rsidR="00EE4F84">
        <w:rPr>
          <w:i/>
          <w:iCs/>
        </w:rPr>
        <w:t>Second Further Notice</w:t>
      </w:r>
      <w:r w:rsidR="00EE4F84">
        <w:t xml:space="preserve">. </w:t>
      </w:r>
    </w:p>
    <w:p w:rsidR="00474598" w:rsidP="009B528A" w14:paraId="1D8DB925" w14:textId="4A6AD958">
      <w:pPr>
        <w:widowControl/>
        <w:spacing w:after="120"/>
        <w:ind w:firstLine="720"/>
      </w:pPr>
      <w:r>
        <w:t>C</w:t>
      </w:r>
      <w:r w:rsidRPr="00645F8B" w:rsidR="00F67685">
        <w:t xml:space="preserve">ommenters </w:t>
      </w:r>
      <w:r w:rsidRPr="00645F8B" w:rsidR="00E7703E">
        <w:t>are</w:t>
      </w:r>
      <w:r w:rsidRPr="00645F8B" w:rsidR="00F67685">
        <w:t xml:space="preserve"> welcome to submit new or additional relevant information about the current state of the availability of hardware and software solutions designed to facilitate the activation and </w:t>
      </w:r>
      <w:r w:rsidRPr="00645F8B" w:rsidR="008F3C32">
        <w:t>customization</w:t>
      </w:r>
      <w:r w:rsidRPr="00645F8B" w:rsidR="00F67685">
        <w:t xml:space="preserve"> of closed captioning, and its ease of use. </w:t>
      </w:r>
      <w:r w:rsidRPr="00645F8B" w:rsidR="001F4685">
        <w:t xml:space="preserve"> </w:t>
      </w:r>
      <w:r w:rsidRPr="00645F8B" w:rsidR="009672FB">
        <w:t xml:space="preserve">For example, to what extent are manufacturers </w:t>
      </w:r>
      <w:r w:rsidRPr="00645F8B" w:rsidR="00DF123E">
        <w:t xml:space="preserve">and MVPDs </w:t>
      </w:r>
      <w:r w:rsidRPr="00645F8B" w:rsidR="009672FB">
        <w:t>currently “making caption display settings accessible via mechanisms reasonably comparable to a button, key, or icon,” such as “a button on the remote or access through the first level of a menu</w:t>
      </w:r>
      <w:r w:rsidR="005C7E3C">
        <w:t>,</w:t>
      </w:r>
      <w:r w:rsidRPr="00645F8B" w:rsidR="009672FB">
        <w:t>”</w:t>
      </w:r>
      <w:r w:rsidR="005C7E3C">
        <w:t xml:space="preserve"> as noted in the </w:t>
      </w:r>
      <w:r w:rsidR="005C7E3C">
        <w:rPr>
          <w:i/>
          <w:iCs/>
        </w:rPr>
        <w:t>Second Further Notice</w:t>
      </w:r>
      <w:r w:rsidRPr="00645F8B" w:rsidR="009672FB">
        <w:t>?</w:t>
      </w:r>
      <w:r>
        <w:rPr>
          <w:rStyle w:val="FootnoteReference"/>
        </w:rPr>
        <w:footnoteReference w:id="24"/>
      </w:r>
    </w:p>
    <w:p w:rsidR="00272AC5" w:rsidRPr="0063782E" w:rsidP="00247723" w14:paraId="38123769" w14:textId="74A94A21">
      <w:pPr>
        <w:spacing w:after="120"/>
        <w:ind w:firstLine="720"/>
        <w:rPr>
          <w:rFonts w:eastAsia="Calibri"/>
          <w:snapToGrid/>
        </w:rPr>
      </w:pPr>
      <w:r>
        <w:rPr>
          <w:rFonts w:eastAsia="Calibri"/>
          <w:i/>
          <w:iCs/>
          <w:snapToGrid/>
        </w:rPr>
        <w:t>Initial Regulatory Flexibility Analysis</w:t>
      </w:r>
      <w:r>
        <w:rPr>
          <w:rFonts w:eastAsia="Calibri"/>
          <w:snapToGrid/>
        </w:rPr>
        <w:t xml:space="preserve">. </w:t>
      </w:r>
      <w:r w:rsidR="001F4685">
        <w:rPr>
          <w:rFonts w:eastAsia="Calibri"/>
          <w:snapToGrid/>
        </w:rPr>
        <w:t xml:space="preserve"> </w:t>
      </w:r>
      <w:r>
        <w:rPr>
          <w:rFonts w:eastAsia="Calibri"/>
          <w:snapToGrid/>
        </w:rPr>
        <w:t xml:space="preserve">The </w:t>
      </w:r>
      <w:r>
        <w:rPr>
          <w:rFonts w:eastAsia="Calibri"/>
          <w:i/>
          <w:iCs/>
          <w:snapToGrid/>
        </w:rPr>
        <w:t>Second Further Notice</w:t>
      </w:r>
      <w:r>
        <w:rPr>
          <w:rFonts w:eastAsia="Calibri"/>
          <w:snapToGrid/>
        </w:rPr>
        <w:t xml:space="preserve"> included an Initial Regulatory Flexibility Analysis (IRFA) pursuant to 5 U.S.C. </w:t>
      </w:r>
      <w:r w:rsidRPr="0063782E">
        <w:rPr>
          <w:rFonts w:eastAsia="Calibri"/>
          <w:snapToGrid/>
        </w:rPr>
        <w:t>§</w:t>
      </w:r>
      <w:r>
        <w:rPr>
          <w:rFonts w:eastAsia="Calibri"/>
          <w:snapToGrid/>
        </w:rPr>
        <w:t xml:space="preserve"> 603, exploring the potential impact on small entities of the Commission’s proposals.</w:t>
      </w:r>
      <w:r>
        <w:rPr>
          <w:rStyle w:val="FootnoteReference"/>
          <w:rFonts w:eastAsia="Calibri"/>
          <w:snapToGrid/>
        </w:rPr>
        <w:footnoteReference w:id="25"/>
      </w:r>
      <w:r>
        <w:rPr>
          <w:rFonts w:eastAsia="Calibri"/>
          <w:snapToGrid/>
        </w:rPr>
        <w:t xml:space="preserve">  We invite parties to file comments on the IRFA in light of this request to refresh the record.</w:t>
      </w:r>
      <w:r w:rsidR="006F40A5">
        <w:rPr>
          <w:rFonts w:eastAsia="Calibri"/>
          <w:snapToGrid/>
        </w:rPr>
        <w:t xml:space="preserve"> </w:t>
      </w:r>
    </w:p>
    <w:p w:rsidR="00247723" w:rsidP="00247723" w14:paraId="5D97848E" w14:textId="742B1843">
      <w:pPr>
        <w:spacing w:after="120"/>
        <w:ind w:firstLine="720"/>
        <w:rPr>
          <w:szCs w:val="18"/>
        </w:rPr>
      </w:pPr>
      <w:r w:rsidRPr="00AB2E2D">
        <w:rPr>
          <w:rFonts w:eastAsia="Calibri"/>
          <w:i/>
          <w:iCs/>
          <w:snapToGrid/>
        </w:rPr>
        <w:t xml:space="preserve">Ex </w:t>
      </w:r>
      <w:r w:rsidRPr="00AB2E2D">
        <w:rPr>
          <w:rFonts w:eastAsia="Calibri"/>
          <w:i/>
          <w:iCs/>
          <w:snapToGrid/>
        </w:rPr>
        <w:t>Parte</w:t>
      </w:r>
      <w:r w:rsidRPr="00AB2E2D">
        <w:rPr>
          <w:rFonts w:eastAsia="Calibri"/>
          <w:i/>
          <w:iCs/>
          <w:snapToGrid/>
        </w:rPr>
        <w:t xml:space="preserve"> Rules</w:t>
      </w:r>
      <w:r w:rsidRPr="00AB2E2D">
        <w:rPr>
          <w:rFonts w:eastAsia="Calibri"/>
          <w:snapToGrid/>
        </w:rPr>
        <w:t>.</w:t>
      </w:r>
      <w:r w:rsidRPr="00430441">
        <w:rPr>
          <w:rFonts w:eastAsia="Calibri"/>
          <w:snapToGrid/>
        </w:rPr>
        <w:t xml:space="preserve">  </w:t>
      </w:r>
      <w:r>
        <w:rPr>
          <w:rFonts w:eastAsia="Calibri"/>
          <w:snapToGrid/>
        </w:rPr>
        <w:t>Th</w:t>
      </w:r>
      <w:r w:rsidR="00F828CA">
        <w:rPr>
          <w:rFonts w:eastAsia="Calibri"/>
          <w:snapToGrid/>
        </w:rPr>
        <w:t>is</w:t>
      </w:r>
      <w:r>
        <w:rPr>
          <w:rFonts w:eastAsia="Calibri"/>
          <w:snapToGrid/>
        </w:rPr>
        <w:t xml:space="preserve"> proceeding </w:t>
      </w:r>
      <w:r w:rsidR="005C7E3C">
        <w:rPr>
          <w:rFonts w:eastAsia="Calibri"/>
          <w:snapToGrid/>
        </w:rPr>
        <w:t>has been designated</w:t>
      </w:r>
      <w:r>
        <w:rPr>
          <w:rFonts w:eastAsia="Calibri"/>
          <w:snapToGrid/>
        </w:rPr>
        <w:t xml:space="preserve"> as a “permit-but-disclose” proceeding in accordance with the Commission’s </w:t>
      </w:r>
      <w:r>
        <w:rPr>
          <w:rFonts w:eastAsia="Calibri"/>
          <w:i/>
          <w:iCs/>
          <w:snapToGrid/>
        </w:rPr>
        <w:t xml:space="preserve">ex </w:t>
      </w:r>
      <w:r>
        <w:rPr>
          <w:rFonts w:eastAsia="Calibri"/>
          <w:i/>
          <w:iCs/>
          <w:snapToGrid/>
        </w:rPr>
        <w:t>parte</w:t>
      </w:r>
      <w:r>
        <w:rPr>
          <w:rFonts w:eastAsia="Calibri"/>
          <w:i/>
          <w:iCs/>
          <w:snapToGrid/>
        </w:rPr>
        <w:t xml:space="preserve"> </w:t>
      </w:r>
      <w:r>
        <w:rPr>
          <w:rFonts w:eastAsia="Calibri"/>
          <w:snapToGrid/>
        </w:rPr>
        <w:t>rules.</w:t>
      </w:r>
      <w:r>
        <w:rPr>
          <w:rFonts w:eastAsia="Calibri"/>
          <w:snapToGrid/>
          <w:vertAlign w:val="superscript"/>
        </w:rPr>
        <w:footnoteReference w:id="26"/>
      </w:r>
      <w:r>
        <w:rPr>
          <w:rFonts w:eastAsia="Calibri"/>
          <w:snapToGrid/>
        </w:rPr>
        <w:t xml:space="preserve">  Persons making </w:t>
      </w:r>
      <w:r>
        <w:rPr>
          <w:rFonts w:eastAsia="Calibri"/>
          <w:i/>
          <w:snapToGrid/>
        </w:rPr>
        <w:t xml:space="preserve">ex </w:t>
      </w:r>
      <w:r>
        <w:rPr>
          <w:rFonts w:eastAsia="Calibri"/>
          <w:i/>
          <w:snapToGrid/>
        </w:rPr>
        <w:t>parte</w:t>
      </w:r>
      <w:r>
        <w:rPr>
          <w:rFonts w:eastAsia="Calibri"/>
          <w:i/>
          <w:snapToGrid/>
        </w:rPr>
        <w:t xml:space="preserve"> </w:t>
      </w:r>
      <w:r>
        <w:rPr>
          <w:rFonts w:eastAsia="Calibri"/>
          <w:snapToGrid/>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rFonts w:eastAsia="Calibri"/>
          <w:i/>
          <w:iCs/>
          <w:snapToGrid/>
        </w:rPr>
        <w:t xml:space="preserve">ex </w:t>
      </w:r>
      <w:r>
        <w:rPr>
          <w:rFonts w:eastAsia="Calibri"/>
          <w:i/>
          <w:iCs/>
          <w:snapToGrid/>
        </w:rPr>
        <w:t>parte</w:t>
      </w:r>
      <w:r>
        <w:rPr>
          <w:rFonts w:eastAsia="Calibri"/>
          <w:i/>
          <w:iCs/>
          <w:snapToGrid/>
        </w:rPr>
        <w:t xml:space="preserve"> </w:t>
      </w:r>
      <w:r>
        <w:rPr>
          <w:rFonts w:eastAsia="Calibri"/>
          <w:snapToGrid/>
        </w:rPr>
        <w:t xml:space="preserve">presentations are reminded that memoranda summarizing the presentation must (1) list all persons attending or otherwise participating in the meeting at which the </w:t>
      </w:r>
      <w:r>
        <w:rPr>
          <w:rFonts w:eastAsia="Calibri"/>
          <w:i/>
          <w:iCs/>
          <w:snapToGrid/>
        </w:rPr>
        <w:t xml:space="preserve">ex </w:t>
      </w:r>
      <w:r>
        <w:rPr>
          <w:rFonts w:eastAsia="Calibri"/>
          <w:i/>
          <w:iCs/>
          <w:snapToGrid/>
        </w:rPr>
        <w:t>parte</w:t>
      </w:r>
      <w:r>
        <w:rPr>
          <w:rFonts w:eastAsia="Calibri"/>
          <w:i/>
          <w:iCs/>
          <w:snapToGrid/>
        </w:rPr>
        <w:t xml:space="preserve"> </w:t>
      </w:r>
      <w:r>
        <w:rPr>
          <w:rFonts w:eastAsia="Calibri"/>
          <w:snapToGrid/>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rFonts w:eastAsia="Calibri"/>
          <w:i/>
          <w:iCs/>
          <w:snapToGrid/>
        </w:rPr>
        <w:t xml:space="preserve">ex </w:t>
      </w:r>
      <w:r>
        <w:rPr>
          <w:rFonts w:eastAsia="Calibri"/>
          <w:i/>
          <w:iCs/>
          <w:snapToGrid/>
        </w:rPr>
        <w:t>parte</w:t>
      </w:r>
      <w:r>
        <w:rPr>
          <w:rFonts w:eastAsia="Calibri"/>
          <w:i/>
          <w:iCs/>
          <w:snapToGrid/>
        </w:rPr>
        <w:t xml:space="preserve"> </w:t>
      </w:r>
      <w:r>
        <w:rPr>
          <w:rFonts w:eastAsia="Calibri"/>
          <w:snapToGrid/>
        </w:rPr>
        <w:t xml:space="preserve">meetings are deemed to be written </w:t>
      </w:r>
      <w:r>
        <w:rPr>
          <w:rFonts w:eastAsia="Calibri"/>
          <w:i/>
          <w:iCs/>
          <w:snapToGrid/>
        </w:rPr>
        <w:t xml:space="preserve">ex </w:t>
      </w:r>
      <w:r>
        <w:rPr>
          <w:rFonts w:eastAsia="Calibri"/>
          <w:i/>
          <w:iCs/>
          <w:snapToGrid/>
        </w:rPr>
        <w:t>parte</w:t>
      </w:r>
      <w:r>
        <w:rPr>
          <w:rFonts w:eastAsia="Calibri"/>
          <w:snapToGrid/>
        </w:rPr>
        <w:t xml:space="preserve"> presentations and must be filed consistent with rule 1.1206(b).  In proceedings governed by rule 1.49(f) or for which the Commission has made available a method of electronic filing, written </w:t>
      </w:r>
      <w:r>
        <w:rPr>
          <w:rFonts w:eastAsia="Calibri"/>
          <w:i/>
          <w:iCs/>
          <w:snapToGrid/>
        </w:rPr>
        <w:t xml:space="preserve">ex </w:t>
      </w:r>
      <w:r>
        <w:rPr>
          <w:rFonts w:eastAsia="Calibri"/>
          <w:i/>
          <w:iCs/>
          <w:snapToGrid/>
        </w:rPr>
        <w:t>parte</w:t>
      </w:r>
      <w:r>
        <w:rPr>
          <w:rFonts w:eastAsia="Calibri"/>
          <w:i/>
          <w:iCs/>
          <w:snapToGrid/>
        </w:rPr>
        <w:t xml:space="preserve"> </w:t>
      </w:r>
      <w:r>
        <w:rPr>
          <w:rFonts w:eastAsia="Calibri"/>
          <w:snapToGrid/>
        </w:rPr>
        <w:t xml:space="preserve">presentations and memoranda summarizing oral </w:t>
      </w:r>
      <w:r>
        <w:rPr>
          <w:rFonts w:eastAsia="Calibri"/>
          <w:i/>
          <w:iCs/>
          <w:snapToGrid/>
        </w:rPr>
        <w:t xml:space="preserve">ex </w:t>
      </w:r>
      <w:r>
        <w:rPr>
          <w:rFonts w:eastAsia="Calibri"/>
          <w:i/>
          <w:iCs/>
          <w:snapToGrid/>
        </w:rPr>
        <w:t>parte</w:t>
      </w:r>
      <w:r>
        <w:rPr>
          <w:rFonts w:eastAsia="Calibri"/>
          <w:i/>
          <w:iCs/>
          <w:snapToGrid/>
        </w:rPr>
        <w:t xml:space="preserve"> </w:t>
      </w:r>
      <w:r>
        <w:rPr>
          <w:rFonts w:eastAsia="Calibri"/>
          <w:snapToGrid/>
        </w:rPr>
        <w:t>presentations, and all attachments thereto, must be filed through the electronic comment filing system available for that proceeding, and must be filed in their native format (</w:t>
      </w:r>
      <w:r>
        <w:rPr>
          <w:rFonts w:eastAsia="Calibri"/>
          <w:i/>
          <w:iCs/>
          <w:snapToGrid/>
        </w:rPr>
        <w:t>e.g.</w:t>
      </w:r>
      <w:r>
        <w:rPr>
          <w:rFonts w:eastAsia="Calibri"/>
          <w:snapToGrid/>
        </w:rPr>
        <w:t xml:space="preserve">, .doc, .xml, .ppt, searchable .pdf).  Participants in this proceeding should familiarize themselves with the Commission’s </w:t>
      </w:r>
      <w:r>
        <w:rPr>
          <w:rFonts w:eastAsia="Calibri"/>
          <w:i/>
          <w:iCs/>
          <w:snapToGrid/>
        </w:rPr>
        <w:t xml:space="preserve">ex </w:t>
      </w:r>
      <w:r>
        <w:rPr>
          <w:rFonts w:eastAsia="Calibri"/>
          <w:i/>
          <w:iCs/>
          <w:snapToGrid/>
        </w:rPr>
        <w:t>parte</w:t>
      </w:r>
      <w:r>
        <w:rPr>
          <w:rFonts w:eastAsia="Calibri"/>
          <w:i/>
          <w:iCs/>
          <w:snapToGrid/>
        </w:rPr>
        <w:t xml:space="preserve"> </w:t>
      </w:r>
      <w:r>
        <w:rPr>
          <w:rFonts w:eastAsia="Calibri"/>
          <w:snapToGrid/>
        </w:rPr>
        <w:t>rules.</w:t>
      </w:r>
    </w:p>
    <w:p w:rsidR="00247723" w:rsidP="00247723" w14:paraId="18C51BCC" w14:textId="2273161C">
      <w:pPr>
        <w:spacing w:after="120"/>
        <w:ind w:firstLine="720"/>
        <w:rPr>
          <w:szCs w:val="18"/>
        </w:rPr>
      </w:pPr>
      <w:r w:rsidRPr="00AB2E2D">
        <w:rPr>
          <w:i/>
          <w:iCs/>
          <w:szCs w:val="18"/>
        </w:rPr>
        <w:t>Filing Requirements</w:t>
      </w:r>
      <w:r w:rsidRPr="00AB2E2D">
        <w:rPr>
          <w:szCs w:val="18"/>
        </w:rPr>
        <w:t>.</w:t>
      </w:r>
      <w:r>
        <w:rPr>
          <w:szCs w:val="18"/>
        </w:rPr>
        <w:t xml:space="preserve">  All filings responsive to this Public Notice must reference </w:t>
      </w:r>
      <w:r w:rsidR="004D3CFE">
        <w:rPr>
          <w:szCs w:val="18"/>
        </w:rPr>
        <w:t>MB</w:t>
      </w:r>
      <w:r>
        <w:rPr>
          <w:szCs w:val="18"/>
        </w:rPr>
        <w:t xml:space="preserve"> Docket No. </w:t>
      </w:r>
      <w:r w:rsidR="004D3CFE">
        <w:rPr>
          <w:szCs w:val="18"/>
        </w:rPr>
        <w:t>12-108.</w:t>
      </w:r>
      <w:r>
        <w:rPr>
          <w:szCs w:val="18"/>
        </w:rPr>
        <w:t xml:space="preserve">  </w:t>
      </w:r>
      <w:r>
        <w:rPr>
          <w:rFonts w:eastAsia="Calibri"/>
          <w:snapToGrid/>
        </w:rPr>
        <w:t xml:space="preserve">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Pr>
          <w:rFonts w:eastAsia="Calibri"/>
          <w:i/>
          <w:snapToGrid/>
        </w:rPr>
        <w:t>See Electronic Filing of Documents in Rulemaking Proceedings</w:t>
      </w:r>
      <w:r>
        <w:rPr>
          <w:rFonts w:eastAsia="Calibri"/>
          <w:snapToGrid/>
        </w:rPr>
        <w:t>, 63 FR 24121 (1998).</w:t>
      </w:r>
    </w:p>
    <w:p w:rsidR="00247723" w:rsidP="00247723" w14:paraId="5CC81D46" w14:textId="77777777">
      <w:pPr>
        <w:numPr>
          <w:ilvl w:val="0"/>
          <w:numId w:val="7"/>
        </w:numPr>
        <w:spacing w:after="120"/>
        <w:rPr>
          <w:szCs w:val="18"/>
        </w:rPr>
      </w:pPr>
      <w:r>
        <w:rPr>
          <w:szCs w:val="18"/>
        </w:rPr>
        <w:t xml:space="preserve">Electronic Filers:  Comments may be filed electronically using the Internet by accessing the ECFS:  http://apps.fcc.gov/ecfs/.  </w:t>
      </w:r>
    </w:p>
    <w:p w:rsidR="00247723" w:rsidP="00247723" w14:paraId="0418012B" w14:textId="77777777">
      <w:pPr>
        <w:numPr>
          <w:ilvl w:val="0"/>
          <w:numId w:val="7"/>
        </w:numPr>
        <w:spacing w:after="120"/>
        <w:rPr>
          <w:szCs w:val="18"/>
        </w:rPr>
      </w:pPr>
      <w:r>
        <w:rPr>
          <w:szCs w:val="18"/>
        </w:rPr>
        <w:t xml:space="preserve">Paper Filers:  Parties who choose to file by paper must file an original and one copy of each filing. </w:t>
      </w:r>
    </w:p>
    <w:p w:rsidR="00247723" w:rsidP="009B528A" w14:paraId="27F16FF7" w14:textId="77777777">
      <w:pPr>
        <w:widowControl/>
        <w:numPr>
          <w:ilvl w:val="0"/>
          <w:numId w:val="7"/>
        </w:numPr>
        <w:spacing w:after="120"/>
        <w:rPr>
          <w:szCs w:val="18"/>
        </w:rPr>
      </w:pPr>
      <w:r>
        <w:rPr>
          <w:szCs w:val="18"/>
        </w:rPr>
        <w:t>Filings can be sent by commercial overnight courier, or by first-class or overnight U.S. Postal Service mail.  All filings must be addressed to the Commission’s Secretary, Office of the Secretary, Federal Communications Commission.</w:t>
      </w:r>
    </w:p>
    <w:p w:rsidR="00247723" w:rsidRPr="004D3CFE" w:rsidP="00FE34E8" w14:paraId="4E970DF6" w14:textId="33DEC69B">
      <w:pPr>
        <w:widowControl/>
        <w:numPr>
          <w:ilvl w:val="1"/>
          <w:numId w:val="7"/>
        </w:numPr>
        <w:spacing w:after="120"/>
        <w:rPr>
          <w:szCs w:val="18"/>
        </w:rPr>
      </w:pPr>
      <w:r>
        <w:rPr>
          <w:szCs w:val="18"/>
        </w:rPr>
        <w:t xml:space="preserve">Commercial overnight mail (other than U.S. Postal Service Express Mail and </w:t>
      </w:r>
      <w:r>
        <w:rPr>
          <w:szCs w:val="18"/>
        </w:rPr>
        <w:t>Priority Mail) must be sent to 9050 Junction Drive, Annapolis Junction, MD  20701.</w:t>
      </w:r>
      <w:r w:rsidR="004D3CFE">
        <w:rPr>
          <w:szCs w:val="18"/>
        </w:rPr>
        <w:t xml:space="preserve">  </w:t>
      </w:r>
      <w:r w:rsidRPr="004D3CFE">
        <w:rPr>
          <w:szCs w:val="18"/>
        </w:rPr>
        <w:t>U.S. Postal Service first-class, Express, and Priority mail must be addressed to 45 L Street, NE, Washington, DC 20554.</w:t>
      </w:r>
    </w:p>
    <w:p w:rsidR="00247723" w:rsidRPr="004D3CFE" w:rsidP="004D3CFE" w14:paraId="13FF7D19" w14:textId="2A0DE1E5">
      <w:pPr>
        <w:numPr>
          <w:ilvl w:val="0"/>
          <w:numId w:val="7"/>
        </w:numPr>
        <w:spacing w:after="120"/>
        <w:rPr>
          <w:szCs w:val="18"/>
        </w:rPr>
      </w:pPr>
      <w:r>
        <w:rPr>
          <w:szCs w:val="18"/>
        </w:rPr>
        <w:t>Effective March 19, 2020, and until further notice, the Commission no longer accepts any hand or messenger delivered filings.  This is a temporary measure taken to help protect the health and safety of individuals, and to mitigate the transmission of COVID-19.</w:t>
      </w:r>
      <w:r w:rsidR="004D3CFE">
        <w:rPr>
          <w:szCs w:val="18"/>
        </w:rPr>
        <w:t xml:space="preserve">  </w:t>
      </w:r>
      <w:r w:rsidRPr="004D3CFE" w:rsidR="004D3CFE">
        <w:rPr>
          <w:szCs w:val="18"/>
        </w:rPr>
        <w:t xml:space="preserve">See FCC Announces Closure of FCC Headquarters Open Window and Change in Hand-Delivery Policy, Public Notice, DA 20-304 (March 19, 2020).  </w:t>
      </w:r>
    </w:p>
    <w:p w:rsidR="00247723" w:rsidP="00247723" w14:paraId="7714ECAE" w14:textId="77777777">
      <w:pPr>
        <w:spacing w:after="120"/>
        <w:ind w:firstLine="720"/>
        <w:rPr>
          <w:szCs w:val="18"/>
        </w:rPr>
      </w:pPr>
      <w:r w:rsidRPr="00AB2E2D">
        <w:rPr>
          <w:i/>
          <w:iCs/>
          <w:szCs w:val="18"/>
        </w:rPr>
        <w:t>People with Disabilities</w:t>
      </w:r>
      <w:r w:rsidRPr="00AB2E2D">
        <w:rPr>
          <w:szCs w:val="18"/>
        </w:rPr>
        <w:t>.</w:t>
      </w:r>
      <w:r>
        <w:rPr>
          <w:szCs w:val="18"/>
        </w:rPr>
        <w:t xml:space="preserve">  To request materials in accessible formats for people with disabilities (braille, large print, electronic files, audio format), send an e-mail to </w:t>
      </w:r>
      <w:hyperlink r:id="rId5" w:history="1">
        <w:r w:rsidRPr="00954A3A">
          <w:rPr>
            <w:rStyle w:val="Hyperlink"/>
            <w:szCs w:val="18"/>
          </w:rPr>
          <w:t>fcc504@fcc.gov</w:t>
        </w:r>
      </w:hyperlink>
      <w:r>
        <w:rPr>
          <w:szCs w:val="18"/>
        </w:rPr>
        <w:t xml:space="preserve"> or call the FCC’s Consumer and Governmental Affairs Bureau at (202) 418-0530 (voice).</w:t>
      </w:r>
    </w:p>
    <w:p w:rsidR="00247723" w:rsidP="00247723" w14:paraId="78C8B782" w14:textId="77777777">
      <w:pPr>
        <w:spacing w:after="120"/>
        <w:ind w:firstLine="720"/>
        <w:rPr>
          <w:szCs w:val="18"/>
          <w:highlight w:val="yellow"/>
        </w:rPr>
      </w:pPr>
      <w:r w:rsidRPr="00AB2E2D">
        <w:rPr>
          <w:i/>
          <w:iCs/>
          <w:szCs w:val="18"/>
        </w:rPr>
        <w:t>Availability of Documents</w:t>
      </w:r>
      <w:r w:rsidRPr="00AB2E2D">
        <w:rPr>
          <w:szCs w:val="18"/>
        </w:rPr>
        <w:t>.</w:t>
      </w:r>
      <w:r>
        <w:rPr>
          <w:szCs w:val="18"/>
        </w:rPr>
        <w:t xml:space="preserve">  Comments, reply comments, and </w:t>
      </w:r>
      <w:r>
        <w:rPr>
          <w:i/>
          <w:iCs/>
          <w:szCs w:val="18"/>
        </w:rPr>
        <w:t xml:space="preserve">ex </w:t>
      </w:r>
      <w:r>
        <w:rPr>
          <w:i/>
          <w:iCs/>
          <w:szCs w:val="18"/>
        </w:rPr>
        <w:t>parte</w:t>
      </w:r>
      <w:r>
        <w:rPr>
          <w:szCs w:val="18"/>
        </w:rPr>
        <w:t xml:space="preserve"> submissions will be available via ECFS.  Documents will be available electronically in ASCII, Microsoft Word, and/or Adobe Acrobat.</w:t>
      </w:r>
    </w:p>
    <w:p w:rsidR="00247723" w:rsidRPr="00A2342B" w:rsidP="00247723" w14:paraId="4734F06F" w14:textId="1B25DDB3">
      <w:pPr>
        <w:spacing w:after="120"/>
        <w:ind w:firstLine="720"/>
        <w:rPr>
          <w:szCs w:val="18"/>
        </w:rPr>
      </w:pPr>
      <w:r w:rsidRPr="00AB2E2D">
        <w:rPr>
          <w:i/>
          <w:iCs/>
          <w:szCs w:val="18"/>
        </w:rPr>
        <w:t>Additional Information</w:t>
      </w:r>
      <w:r w:rsidRPr="00AB2E2D">
        <w:rPr>
          <w:szCs w:val="18"/>
        </w:rPr>
        <w:t>.</w:t>
      </w:r>
      <w:r>
        <w:rPr>
          <w:szCs w:val="18"/>
        </w:rPr>
        <w:t xml:space="preserve">  For additional information, contact </w:t>
      </w:r>
      <w:r w:rsidR="00734749">
        <w:t>Michael Scurato, Michael.Scurato@fcc.gov,</w:t>
      </w:r>
      <w:r>
        <w:rPr>
          <w:szCs w:val="18"/>
        </w:rPr>
        <w:t xml:space="preserve"> of the Media Bureau, Policy Division, (202) 418-</w:t>
      </w:r>
      <w:r w:rsidR="00734749">
        <w:rPr>
          <w:szCs w:val="18"/>
        </w:rPr>
        <w:t>2083.</w:t>
      </w:r>
    </w:p>
    <w:p w:rsidR="00247723" w:rsidP="00247723" w14:paraId="54F8B60E" w14:textId="77777777">
      <w:pPr>
        <w:spacing w:after="120"/>
        <w:jc w:val="center"/>
        <w:rPr>
          <w:szCs w:val="18"/>
        </w:rPr>
      </w:pPr>
      <w:r>
        <w:rPr>
          <w:szCs w:val="18"/>
        </w:rPr>
        <w:t>-FCC-</w:t>
      </w:r>
    </w:p>
    <w:p w:rsidR="00247723" w14:paraId="4C90FA87" w14:textId="77777777">
      <w:pPr>
        <w:rPr>
          <w:bCs/>
          <w:sz w:val="24"/>
        </w:rPr>
      </w:pPr>
    </w:p>
    <w:sectPr>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A0DD8" w14:paraId="09ABC7EA" w14:textId="77777777">
    <w:pPr>
      <w:pStyle w:val="Footer"/>
      <w:framePr w:wrap="around" w:vAnchor="text" w:hAnchor="margin" w:xAlign="center" w:y="1"/>
    </w:pPr>
    <w:r>
      <w:fldChar w:fldCharType="begin"/>
    </w:r>
    <w:r>
      <w:instrText xml:space="preserve">PAGE  </w:instrText>
    </w:r>
    <w:r>
      <w:fldChar w:fldCharType="separate"/>
    </w:r>
    <w:r>
      <w:fldChar w:fldCharType="end"/>
    </w:r>
  </w:p>
  <w:p w:rsidR="003A0DD8" w14:paraId="1E210AB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A0DD8" w14:paraId="4E21C83B"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A0DD8" w14:paraId="64DC8EFA"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86344" w14:paraId="6C191E9E" w14:textId="77777777">
      <w:r>
        <w:separator/>
      </w:r>
    </w:p>
  </w:footnote>
  <w:footnote w:type="continuationSeparator" w:id="1">
    <w:p w:rsidR="00486344" w14:paraId="32011AF0" w14:textId="77777777">
      <w:pPr>
        <w:rPr>
          <w:sz w:val="20"/>
        </w:rPr>
      </w:pPr>
      <w:r>
        <w:rPr>
          <w:sz w:val="20"/>
        </w:rPr>
        <w:t xml:space="preserve">(Continued from previous page)  </w:t>
      </w:r>
      <w:r>
        <w:rPr>
          <w:sz w:val="20"/>
        </w:rPr>
        <w:separator/>
      </w:r>
    </w:p>
  </w:footnote>
  <w:footnote w:type="continuationNotice" w:id="2">
    <w:p w:rsidR="00486344" w14:paraId="32276901" w14:textId="77777777">
      <w:pPr>
        <w:jc w:val="right"/>
        <w:rPr>
          <w:sz w:val="20"/>
        </w:rPr>
      </w:pPr>
      <w:r>
        <w:rPr>
          <w:sz w:val="20"/>
        </w:rPr>
        <w:t>(continued….)</w:t>
      </w:r>
    </w:p>
  </w:footnote>
  <w:footnote w:id="3">
    <w:p w:rsidR="00095DC2" w14:paraId="03C137DB" w14:textId="57FB7EE6">
      <w:pPr>
        <w:pStyle w:val="FootnoteText"/>
      </w:pPr>
      <w:r>
        <w:rPr>
          <w:rStyle w:val="FootnoteReference"/>
        </w:rPr>
        <w:footnoteRef/>
      </w:r>
      <w:r>
        <w:t xml:space="preserve"> </w:t>
      </w:r>
      <w:r w:rsidRPr="009642FF" w:rsidR="00A70806">
        <w:rPr>
          <w:i/>
          <w:iCs/>
        </w:rPr>
        <w:t>Second Further Notice of Proposed Rulemaking</w:t>
      </w:r>
      <w:r w:rsidRPr="00A70806" w:rsidR="00A70806">
        <w:t>.</w:t>
      </w:r>
      <w:r w:rsidR="00A70806">
        <w:t xml:space="preserve">  </w:t>
      </w:r>
      <w:r w:rsidRPr="00095DC2">
        <w:rPr>
          <w:i/>
        </w:rPr>
        <w:t>Accessibility of User Interfaces, and Video Programming Guides and Menus</w:t>
      </w:r>
      <w:r w:rsidRPr="00095DC2">
        <w:t>, Second Report and Order, Order on Reconsideration, and Second Further Notice of Proposed Rulemaking, 30 FCC Rcd 13914, 13932-35, paras. 33-40 (2015) (</w:t>
      </w:r>
      <w:r w:rsidRPr="00095DC2">
        <w:rPr>
          <w:i/>
        </w:rPr>
        <w:t>Second Further Notice</w:t>
      </w:r>
      <w:r w:rsidRPr="00095DC2">
        <w:t>).</w:t>
      </w:r>
    </w:p>
  </w:footnote>
  <w:footnote w:id="4">
    <w:p w:rsidR="00C46C01" w14:paraId="3C79D3EB" w14:textId="48326963">
      <w:pPr>
        <w:pStyle w:val="FootnoteText"/>
      </w:pPr>
      <w:r>
        <w:rPr>
          <w:rStyle w:val="FootnoteReference"/>
        </w:rPr>
        <w:footnoteRef/>
      </w:r>
      <w:r>
        <w:t xml:space="preserve"> </w:t>
      </w:r>
      <w:r w:rsidRPr="00FD64F7" w:rsidR="00FD64F7">
        <w:t>Television Decoder Circuitry Act of 1990, Pub. L. No. 101-431, 104 Stat. 960 (1990) (codified at 47 U.S.C. §§ 303(u), 330(b)) (TDCA)</w:t>
      </w:r>
      <w:r w:rsidR="00FD64F7">
        <w:t xml:space="preserve">; </w:t>
      </w:r>
      <w:r w:rsidR="00FD64F7">
        <w:rPr>
          <w:i/>
        </w:rPr>
        <w:t>Second Further Notice</w:t>
      </w:r>
      <w:r w:rsidR="00095DC2">
        <w:t xml:space="preserve">, </w:t>
      </w:r>
      <w:r w:rsidRPr="00095DC2" w:rsidR="00095DC2">
        <w:t xml:space="preserve">30 FCC Rcd </w:t>
      </w:r>
      <w:r w:rsidR="00095DC2">
        <w:t xml:space="preserve">at </w:t>
      </w:r>
      <w:r w:rsidRPr="00095DC2" w:rsidR="00095DC2">
        <w:t>13932-35, paras. 33-40</w:t>
      </w:r>
      <w:r w:rsidR="00095DC2">
        <w:t>.</w:t>
      </w:r>
    </w:p>
  </w:footnote>
  <w:footnote w:id="5">
    <w:p w:rsidR="00917B98" w:rsidRPr="001D380C" w14:paraId="2DCACF1C" w14:textId="2CE298F4">
      <w:pPr>
        <w:pStyle w:val="FootnoteText"/>
      </w:pPr>
      <w:r>
        <w:rPr>
          <w:rStyle w:val="FootnoteReference"/>
        </w:rPr>
        <w:footnoteRef/>
      </w:r>
      <w:r>
        <w:t xml:space="preserve"> </w:t>
      </w:r>
      <w:r w:rsidR="001D380C">
        <w:t xml:space="preserve">Comments in response to the </w:t>
      </w:r>
      <w:r w:rsidR="001D380C">
        <w:rPr>
          <w:i/>
          <w:iCs/>
        </w:rPr>
        <w:t>Second Further Notice</w:t>
      </w:r>
      <w:r w:rsidR="001D380C">
        <w:t xml:space="preserve"> were due by February 24, 2016, and reply comments were due by March 7, 2016.  </w:t>
      </w:r>
      <w:r w:rsidR="001D380C">
        <w:rPr>
          <w:i/>
          <w:iCs/>
        </w:rPr>
        <w:t>Notice of Effective Date of Second Accessible User Interfaces Order; Announcement of Comment and Reply Comment Deadlines for Accompanying Second Further Notice of Proposed Rulemaking</w:t>
      </w:r>
      <w:r w:rsidR="001D380C">
        <w:t xml:space="preserve">, MB Docket No. 12-108, Public Notice, </w:t>
      </w:r>
      <w:r w:rsidR="000C5490">
        <w:t>31</w:t>
      </w:r>
      <w:r w:rsidR="001D380C">
        <w:t xml:space="preserve"> FCC Rcd </w:t>
      </w:r>
      <w:r w:rsidR="000C5490">
        <w:t>960</w:t>
      </w:r>
      <w:r w:rsidR="001D380C">
        <w:t xml:space="preserve"> (MB 2016).</w:t>
      </w:r>
    </w:p>
  </w:footnote>
  <w:footnote w:id="6">
    <w:p w:rsidR="002E5375" w:rsidRPr="00CC55C2" w:rsidP="002E5375" w14:paraId="0D6139C2" w14:textId="14BEEE15">
      <w:pPr>
        <w:pStyle w:val="FootnoteText"/>
      </w:pPr>
      <w:r>
        <w:rPr>
          <w:rStyle w:val="FootnoteReference"/>
        </w:rPr>
        <w:footnoteRef/>
      </w:r>
      <w:r>
        <w:t xml:space="preserve"> </w:t>
      </w:r>
      <w:r>
        <w:t xml:space="preserve">TDCA, </w:t>
      </w:r>
      <w:r w:rsidRPr="004157DF">
        <w:t>§</w:t>
      </w:r>
      <w:r>
        <w:t xml:space="preserve"> </w:t>
      </w:r>
      <w:r w:rsidR="0032021E">
        <w:t xml:space="preserve">3, </w:t>
      </w:r>
      <w:r>
        <w:t>4; 47 U.S.C. §</w:t>
      </w:r>
      <w:r w:rsidR="008002F1">
        <w:t>§</w:t>
      </w:r>
      <w:r>
        <w:t xml:space="preserve"> </w:t>
      </w:r>
      <w:r w:rsidRPr="008E5B56" w:rsidR="008E5B56">
        <w:t>303(u), 330(b)</w:t>
      </w:r>
      <w:r>
        <w:t xml:space="preserve">.  </w:t>
      </w:r>
    </w:p>
  </w:footnote>
  <w:footnote w:id="7">
    <w:p w:rsidR="00FD64F7" w:rsidP="00FD64F7" w14:paraId="03B7E5DB" w14:textId="344EBAE7">
      <w:pPr>
        <w:pStyle w:val="FootnoteText"/>
      </w:pPr>
      <w:r>
        <w:rPr>
          <w:rStyle w:val="FootnoteReference"/>
        </w:rPr>
        <w:footnoteRef/>
      </w:r>
      <w:r>
        <w:t xml:space="preserve"> </w:t>
      </w:r>
      <w:r w:rsidRPr="003A766F" w:rsidR="003A766F">
        <w:rPr>
          <w:i/>
          <w:iCs/>
        </w:rPr>
        <w:t>Closed Captioning Requirements for Digital Television Receivers; Closed Captioning and Video Description of Video Programming, Implementation of Section 305 of the Telecommunications Act of 1996, Video Programming Accessibility</w:t>
      </w:r>
      <w:r w:rsidRPr="003A766F" w:rsidR="003A766F">
        <w:t xml:space="preserve">, ET Docket No. 99-254, MM Docket No. 95-176, Report and Order, 15 FCC </w:t>
      </w:r>
      <w:r w:rsidRPr="003A766F" w:rsidR="003A766F">
        <w:t>Rcd</w:t>
      </w:r>
      <w:r w:rsidRPr="003A766F" w:rsidR="003A766F">
        <w:t xml:space="preserve"> 16788</w:t>
      </w:r>
      <w:r w:rsidR="003A766F">
        <w:t xml:space="preserve">, </w:t>
      </w:r>
      <w:r w:rsidRPr="00CD14F0" w:rsidR="003A766F">
        <w:t>16791</w:t>
      </w:r>
      <w:r w:rsidRPr="009B528A" w:rsidR="00CD14F0">
        <w:t>-95</w:t>
      </w:r>
      <w:r w:rsidRPr="00CD14F0" w:rsidR="003A766F">
        <w:t>, para</w:t>
      </w:r>
      <w:r w:rsidRPr="009B528A" w:rsidR="00CD14F0">
        <w:t>s</w:t>
      </w:r>
      <w:r w:rsidRPr="00CD14F0" w:rsidR="003A766F">
        <w:t>. 7</w:t>
      </w:r>
      <w:r w:rsidR="00CD14F0">
        <w:t>-19</w:t>
      </w:r>
      <w:r w:rsidR="003A766F">
        <w:t xml:space="preserve"> </w:t>
      </w:r>
      <w:r w:rsidRPr="003A766F" w:rsidR="003A766F">
        <w:t>(2000) (</w:t>
      </w:r>
      <w:r w:rsidRPr="003A766F" w:rsidR="003A766F">
        <w:rPr>
          <w:i/>
          <w:iCs/>
        </w:rPr>
        <w:t>DTV Closed Captioning Order</w:t>
      </w:r>
      <w:r w:rsidR="003A766F">
        <w:t xml:space="preserve">).  </w:t>
      </w:r>
    </w:p>
  </w:footnote>
  <w:footnote w:id="8">
    <w:p w:rsidR="00FD64F7" w:rsidP="00FD64F7" w14:paraId="4BD04BB8" w14:textId="1B9B6418">
      <w:pPr>
        <w:pStyle w:val="FootnoteText"/>
      </w:pPr>
      <w:r>
        <w:rPr>
          <w:rStyle w:val="FootnoteReference"/>
        </w:rPr>
        <w:footnoteRef/>
      </w:r>
      <w:r>
        <w:t xml:space="preserve"> </w:t>
      </w:r>
      <w:r>
        <w:rPr>
          <w:i/>
        </w:rPr>
        <w:t>See generally</w:t>
      </w:r>
      <w:r w:rsidR="00824E52">
        <w:rPr>
          <w:iCs/>
        </w:rPr>
        <w:t xml:space="preserve"> Twenty-First Century Communications and Video Accessibility Act of 2010,</w:t>
      </w:r>
      <w:r>
        <w:rPr>
          <w:i/>
        </w:rPr>
        <w:t xml:space="preserve"> </w:t>
      </w:r>
      <w:r w:rsidRPr="00824E52" w:rsidR="00824E52">
        <w:rPr>
          <w:iCs/>
        </w:rPr>
        <w:t xml:space="preserve">Pub. L. No. 111-260, 124 Stat. 2751 (2010) (CVAA); Pub. L. No. 111-265 (technical amendments to CVAA). </w:t>
      </w:r>
    </w:p>
  </w:footnote>
  <w:footnote w:id="9">
    <w:p w:rsidR="00FD64F7" w:rsidP="00FD64F7" w14:paraId="119BFF9B" w14:textId="5E231586">
      <w:pPr>
        <w:pStyle w:val="FootnoteText"/>
      </w:pPr>
      <w:r>
        <w:rPr>
          <w:rStyle w:val="FootnoteReference"/>
        </w:rPr>
        <w:footnoteRef/>
      </w:r>
      <w:r>
        <w:t xml:space="preserve"> CVAA, </w:t>
      </w:r>
      <w:bookmarkStart w:id="1" w:name="_Hlk90029580"/>
      <w:r>
        <w:t>§</w:t>
      </w:r>
      <w:bookmarkEnd w:id="1"/>
      <w:r>
        <w:t xml:space="preserve"> 203(a)</w:t>
      </w:r>
      <w:r w:rsidRPr="00E76D9E">
        <w:t>; 47 U.S.C. § 303(u)(1)</w:t>
      </w:r>
      <w:r w:rsidR="008347E4">
        <w:t>.</w:t>
      </w:r>
      <w:r>
        <w:t xml:space="preserve">  </w:t>
      </w:r>
    </w:p>
  </w:footnote>
  <w:footnote w:id="10">
    <w:p w:rsidR="00FD64F7" w:rsidRPr="002565B1" w:rsidP="00FD64F7" w14:paraId="4813CB60" w14:textId="43BC8D1B">
      <w:pPr>
        <w:pStyle w:val="FootnoteText"/>
      </w:pPr>
      <w:r>
        <w:rPr>
          <w:rStyle w:val="FootnoteReference"/>
        </w:rPr>
        <w:footnoteRef/>
      </w:r>
      <w:r>
        <w:t xml:space="preserve"> </w:t>
      </w:r>
      <w:r>
        <w:t>47 CFR § 79.103(c)</w:t>
      </w:r>
      <w:r w:rsidR="00C142B4">
        <w:t>.</w:t>
      </w:r>
      <w:r>
        <w:t xml:space="preserve"> </w:t>
      </w:r>
      <w:r w:rsidR="00C142B4">
        <w:t xml:space="preserve"> </w:t>
      </w:r>
      <w:r w:rsidR="00C142B4">
        <w:rPr>
          <w:i/>
        </w:rPr>
        <w:t>S</w:t>
      </w:r>
      <w:r>
        <w:rPr>
          <w:i/>
        </w:rPr>
        <w:t>ee also</w:t>
      </w:r>
      <w:r>
        <w:t xml:space="preserve"> </w:t>
      </w:r>
      <w:r w:rsidRPr="003A766F" w:rsidR="003A766F">
        <w:rPr>
          <w:i/>
          <w:iCs/>
        </w:rPr>
        <w:t>Closed Captioning of Internet Protocol-Delivered Video Programming:</w:t>
      </w:r>
      <w:r w:rsidR="003A766F">
        <w:rPr>
          <w:i/>
          <w:iCs/>
        </w:rPr>
        <w:t xml:space="preserve"> </w:t>
      </w:r>
      <w:r w:rsidRPr="003A766F" w:rsidR="003A766F">
        <w:rPr>
          <w:i/>
          <w:iCs/>
        </w:rPr>
        <w:t>Implementation of the Twenty-First Century Communications and Video Accessibility Act of 2010</w:t>
      </w:r>
      <w:r w:rsidRPr="003A766F" w:rsidR="003A766F">
        <w:t>, MB Docket No.</w:t>
      </w:r>
      <w:r w:rsidR="003A766F">
        <w:t xml:space="preserve"> </w:t>
      </w:r>
      <w:r w:rsidRPr="003A766F" w:rsidR="003A766F">
        <w:t>11-154, Report and Order, 27 FCC Rcd 787, 8</w:t>
      </w:r>
      <w:r w:rsidR="003A766F">
        <w:t>50-54</w:t>
      </w:r>
      <w:r w:rsidRPr="003A766F" w:rsidR="003A766F">
        <w:t xml:space="preserve">, </w:t>
      </w:r>
      <w:r w:rsidR="003A766F">
        <w:t>paras. 109-13</w:t>
      </w:r>
      <w:r w:rsidRPr="003A766F" w:rsidR="003A766F">
        <w:t xml:space="preserve"> (2012) (</w:t>
      </w:r>
      <w:r w:rsidRPr="003A766F" w:rsidR="003A766F">
        <w:rPr>
          <w:i/>
          <w:iCs/>
        </w:rPr>
        <w:t>IP Closed Captioning Order</w:t>
      </w:r>
      <w:r w:rsidRPr="003A766F" w:rsidR="003A766F">
        <w:t>).</w:t>
      </w:r>
    </w:p>
  </w:footnote>
  <w:footnote w:id="11">
    <w:p w:rsidR="00FD64F7" w:rsidRPr="00D628B7" w:rsidP="00FD64F7" w14:paraId="28007B14" w14:textId="77777777">
      <w:pPr>
        <w:pStyle w:val="FootnoteText"/>
      </w:pPr>
      <w:r>
        <w:rPr>
          <w:rStyle w:val="FootnoteReference"/>
        </w:rPr>
        <w:footnoteRef/>
      </w:r>
      <w:r>
        <w:t xml:space="preserve"> </w:t>
      </w:r>
      <w:r>
        <w:rPr>
          <w:i/>
        </w:rPr>
        <w:t>See</w:t>
      </w:r>
      <w:r>
        <w:t xml:space="preserve"> 47 CFR § 79.103(c).</w:t>
      </w:r>
    </w:p>
  </w:footnote>
  <w:footnote w:id="12">
    <w:p w:rsidR="00DE3E2A" w:rsidRPr="002F1F91" w:rsidP="00DE3E2A" w14:paraId="7B561680" w14:textId="0D81C0FF">
      <w:pPr>
        <w:pStyle w:val="FootnoteText"/>
      </w:pPr>
      <w:r>
        <w:rPr>
          <w:rStyle w:val="FootnoteReference"/>
        </w:rPr>
        <w:footnoteRef/>
      </w:r>
      <w:r>
        <w:t xml:space="preserve"> </w:t>
      </w:r>
      <w:r>
        <w:rPr>
          <w:i/>
        </w:rPr>
        <w:t>See</w:t>
      </w:r>
      <w:r w:rsidR="00364BCA">
        <w:rPr>
          <w:i/>
        </w:rPr>
        <w:t xml:space="preserve"> Second Further Notice</w:t>
      </w:r>
      <w:r w:rsidRPr="00326143">
        <w:t xml:space="preserve">, 30 </w:t>
      </w:r>
      <w:r>
        <w:t xml:space="preserve">FCC Rcd </w:t>
      </w:r>
      <w:r w:rsidR="00364BCA">
        <w:t xml:space="preserve">at </w:t>
      </w:r>
      <w:r>
        <w:t xml:space="preserve">13932-35, </w:t>
      </w:r>
      <w:r w:rsidRPr="002F1F91">
        <w:t>paras. 33-40</w:t>
      </w:r>
      <w:r w:rsidR="00364BCA">
        <w:t xml:space="preserve">. </w:t>
      </w:r>
      <w:r>
        <w:t xml:space="preserve"> </w:t>
      </w:r>
      <w:r w:rsidR="005550AB">
        <w:t xml:space="preserve">The Commission also sought comment on its authority under the TDCA to adopt such requirements.  </w:t>
      </w:r>
      <w:r w:rsidRPr="005550AB" w:rsidR="005550AB">
        <w:rPr>
          <w:i/>
        </w:rPr>
        <w:t>Second Further Notice</w:t>
      </w:r>
      <w:r w:rsidRPr="005550AB" w:rsidR="005550AB">
        <w:t>, 30 FCC Rcd at 13932-3</w:t>
      </w:r>
      <w:r w:rsidR="005550AB">
        <w:t>3</w:t>
      </w:r>
      <w:r w:rsidRPr="005550AB" w:rsidR="005550AB">
        <w:t>, paras. 33-</w:t>
      </w:r>
      <w:r w:rsidR="005550AB">
        <w:t>35</w:t>
      </w:r>
      <w:r w:rsidRPr="005550AB" w:rsidR="005550AB">
        <w:t xml:space="preserve">.  </w:t>
      </w:r>
      <w:r w:rsidR="005550AB">
        <w:t>Previously, i</w:t>
      </w:r>
      <w:r>
        <w:t xml:space="preserve">n the </w:t>
      </w:r>
      <w:r w:rsidRPr="00F74F0E">
        <w:rPr>
          <w:i/>
        </w:rPr>
        <w:t xml:space="preserve">Further Notice of Proposed Rulemaking </w:t>
      </w:r>
      <w:r>
        <w:t xml:space="preserve">in </w:t>
      </w:r>
      <w:r w:rsidR="00364BCA">
        <w:t>this docket</w:t>
      </w:r>
      <w:r>
        <w:t xml:space="preserve">, </w:t>
      </w:r>
      <w:r w:rsidR="005550AB">
        <w:t xml:space="preserve">the Commission </w:t>
      </w:r>
      <w:r>
        <w:t xml:space="preserve">inquired whether </w:t>
      </w:r>
      <w:r w:rsidR="001F4685">
        <w:t>s</w:t>
      </w:r>
      <w:r>
        <w:t xml:space="preserve">ections 204 and 205 of the CVAA provide the Commission with authority to adopt such a requirement.  </w:t>
      </w:r>
      <w:r>
        <w:rPr>
          <w:i/>
        </w:rPr>
        <w:t xml:space="preserve">See </w:t>
      </w:r>
      <w:r w:rsidRPr="000B3B7A" w:rsidR="000B3B7A">
        <w:rPr>
          <w:i/>
        </w:rPr>
        <w:t>of User Interfaces, and Video Programming Guides and Menus; Accessible Emergency Information, and Apparatus Requirements for Emergency Information and Video Description: Implementation of the Twenty-First Century Communications and Video Accessibility Act of 2010</w:t>
      </w:r>
      <w:r w:rsidRPr="000B3B7A" w:rsidR="000B3B7A">
        <w:t>, Report and Order and Further Notice of Proposed Rulemaking, 28 FCC Rcd 17330</w:t>
      </w:r>
      <w:r w:rsidR="000B3B7A">
        <w:t>, 17415, para. 140</w:t>
      </w:r>
      <w:r w:rsidRPr="000B3B7A" w:rsidR="000B3B7A">
        <w:t xml:space="preserve"> (2013)</w:t>
      </w:r>
      <w:r w:rsidR="000530FC">
        <w:t xml:space="preserve"> (</w:t>
      </w:r>
      <w:r w:rsidRPr="000530FC" w:rsidR="000530FC">
        <w:rPr>
          <w:i/>
          <w:iCs/>
        </w:rPr>
        <w:t>Report and Order and</w:t>
      </w:r>
      <w:r w:rsidR="000530FC">
        <w:t xml:space="preserve"> </w:t>
      </w:r>
      <w:r w:rsidRPr="000530FC" w:rsidR="000530FC">
        <w:rPr>
          <w:i/>
          <w:iCs/>
        </w:rPr>
        <w:t>Further Notice</w:t>
      </w:r>
      <w:r w:rsidR="000530FC">
        <w:t>)</w:t>
      </w:r>
      <w:r w:rsidR="000B3B7A">
        <w:t>.</w:t>
      </w:r>
    </w:p>
  </w:footnote>
  <w:footnote w:id="13">
    <w:p w:rsidR="00DE3E2A" w:rsidRPr="007D6828" w:rsidP="00DE3E2A" w14:paraId="30AA37CB" w14:textId="45D5A6E4">
      <w:pPr>
        <w:pStyle w:val="FootnoteText"/>
        <w:rPr>
          <w:iCs/>
        </w:rPr>
      </w:pPr>
      <w:r>
        <w:rPr>
          <w:rStyle w:val="FootnoteReference"/>
        </w:rPr>
        <w:footnoteRef/>
      </w:r>
      <w:r>
        <w:t xml:space="preserve"> </w:t>
      </w:r>
      <w:r w:rsidRPr="007D6828">
        <w:rPr>
          <w:i/>
        </w:rPr>
        <w:t>See</w:t>
      </w:r>
      <w:r w:rsidR="007D6828">
        <w:rPr>
          <w:i/>
        </w:rPr>
        <w:t>, e.g.</w:t>
      </w:r>
      <w:r w:rsidRPr="009642FF" w:rsidR="007D6828">
        <w:rPr>
          <w:iCs/>
        </w:rPr>
        <w:t>,</w:t>
      </w:r>
      <w:r w:rsidR="007D6828">
        <w:rPr>
          <w:i/>
        </w:rPr>
        <w:t xml:space="preserve"> </w:t>
      </w:r>
      <w:r w:rsidR="007D6828">
        <w:rPr>
          <w:iCs/>
        </w:rPr>
        <w:t xml:space="preserve">Comments of </w:t>
      </w:r>
      <w:r w:rsidRPr="007D6828" w:rsidR="007D6828">
        <w:rPr>
          <w:iCs/>
        </w:rPr>
        <w:t>Telecommunications for the Deaf and Hard of Hearing, Inc., National Association of the Deaf, Hearing Loss Association of America, Rehabilitation Engineering Research Center on Technology for the Deaf and Hard of Hearing, Gallaudet University (Consumer Groups)</w:t>
      </w:r>
      <w:r w:rsidR="007D6828">
        <w:rPr>
          <w:iCs/>
        </w:rPr>
        <w:t>, MB Docket No. 12-108 (rec. Feb. 24, 2016); Comments of the Consumer Technology Association (CTA), MB Docket No. 12-108 (rec. Feb. 24, 2016); Reply Comments of EchoStar Technologies Corporation, MB Docket No. 12-108 (rec. Mar. 7. 2016); Reply Comments of American Cable Association, MB Docket No. 12-108 (rec. Mar. 7, 2016).</w:t>
      </w:r>
    </w:p>
  </w:footnote>
  <w:footnote w:id="14">
    <w:p w:rsidR="00E34B8A" w:rsidRPr="008A3EE3" w14:paraId="01D668EF" w14:textId="332E0ADE">
      <w:pPr>
        <w:pStyle w:val="FootnoteText"/>
      </w:pPr>
      <w:r>
        <w:rPr>
          <w:rStyle w:val="FootnoteReference"/>
        </w:rPr>
        <w:footnoteRef/>
      </w:r>
      <w:r>
        <w:t xml:space="preserve"> </w:t>
      </w:r>
      <w:r w:rsidR="00336502">
        <w:rPr>
          <w:i/>
          <w:iCs/>
        </w:rPr>
        <w:t>See, e.g.</w:t>
      </w:r>
      <w:r w:rsidRPr="009642FF" w:rsidR="00336502">
        <w:t>,</w:t>
      </w:r>
      <w:r w:rsidR="00336502">
        <w:rPr>
          <w:i/>
          <w:iCs/>
        </w:rPr>
        <w:t xml:space="preserve"> </w:t>
      </w:r>
      <w:r w:rsidR="008A3EE3">
        <w:t xml:space="preserve">Complaint No. 3729169 (Feb. 6, 2020) (“[My provider] </w:t>
      </w:r>
      <w:r w:rsidRPr="000B1ED1" w:rsidR="008A3EE3">
        <w:rPr>
          <w:bCs/>
        </w:rPr>
        <w:t>does not give me an option to control the size of font and color of the caption through tv. The caption is so small and it's hard to read.</w:t>
      </w:r>
      <w:r w:rsidR="008A3EE3">
        <w:rPr>
          <w:bCs/>
        </w:rPr>
        <w:t xml:space="preserve">”); Complaint No. 4020061 (June 10, 2020) (“[I] </w:t>
      </w:r>
      <w:r w:rsidRPr="000B1ED1" w:rsidR="008A3EE3">
        <w:rPr>
          <w:bCs/>
        </w:rPr>
        <w:t>cannot control caption position on the tv screen, the caption font changes at random, the ‘large font’ setting does not produce sufficiently large captioned text.</w:t>
      </w:r>
      <w:r w:rsidR="008A3EE3">
        <w:rPr>
          <w:bCs/>
        </w:rPr>
        <w:t>”).</w:t>
      </w:r>
    </w:p>
  </w:footnote>
  <w:footnote w:id="15">
    <w:p w:rsidR="00590706" w:rsidRPr="000C5490" w14:paraId="0F92E848" w14:textId="11E9C5E7">
      <w:pPr>
        <w:pStyle w:val="FootnoteText"/>
      </w:pPr>
      <w:r>
        <w:rPr>
          <w:rStyle w:val="FootnoteReference"/>
        </w:rPr>
        <w:footnoteRef/>
      </w:r>
      <w:r>
        <w:t xml:space="preserve"> Accessibility </w:t>
      </w:r>
      <w:r w:rsidRPr="008A3EE3">
        <w:t>Advocacy</w:t>
      </w:r>
      <w:r>
        <w:t xml:space="preserve"> and Research Organizations Comments, GN Docket No. 21-140</w:t>
      </w:r>
      <w:r w:rsidR="00C37E5B">
        <w:t>, 43</w:t>
      </w:r>
      <w:r>
        <w:t xml:space="preserve"> (</w:t>
      </w:r>
      <w:r w:rsidR="00C37E5B">
        <w:t>rec. June 7</w:t>
      </w:r>
      <w:r>
        <w:t>, 2021) (“As many of the Accessibility Advocacy and Research Organizations noted in our comments on the [</w:t>
      </w:r>
      <w:r>
        <w:rPr>
          <w:i/>
          <w:iCs/>
        </w:rPr>
        <w:t>Second Further Notice</w:t>
      </w:r>
      <w:r>
        <w:t xml:space="preserve">], the Commission indeed possesses the authority to require the availability and accessibility of caption settings under the TDCA, and should act swiftly to complete the proceeding initiated in [the </w:t>
      </w:r>
      <w:r>
        <w:rPr>
          <w:i/>
          <w:iCs/>
        </w:rPr>
        <w:t>Second Further Notice</w:t>
      </w:r>
      <w:r>
        <w:t>].”).</w:t>
      </w:r>
      <w:r w:rsidR="005B410B">
        <w:t xml:space="preserve">  </w:t>
      </w:r>
      <w:r w:rsidR="005B410B">
        <w:rPr>
          <w:i/>
          <w:iCs/>
        </w:rPr>
        <w:t xml:space="preserve">See </w:t>
      </w:r>
      <w:r w:rsidRPr="000C5490" w:rsidR="000C5490">
        <w:rPr>
          <w:i/>
          <w:iCs/>
        </w:rPr>
        <w:t xml:space="preserve">Consumer </w:t>
      </w:r>
      <w:r w:rsidR="000C5490">
        <w:rPr>
          <w:i/>
          <w:iCs/>
        </w:rPr>
        <w:t>a</w:t>
      </w:r>
      <w:r w:rsidRPr="000C5490" w:rsidR="000C5490">
        <w:rPr>
          <w:i/>
          <w:iCs/>
        </w:rPr>
        <w:t xml:space="preserve">nd Governmental Affairs, Media, </w:t>
      </w:r>
      <w:r w:rsidR="000C5490">
        <w:rPr>
          <w:i/>
          <w:iCs/>
        </w:rPr>
        <w:t>a</w:t>
      </w:r>
      <w:r w:rsidRPr="000C5490" w:rsidR="000C5490">
        <w:rPr>
          <w:i/>
          <w:iCs/>
        </w:rPr>
        <w:t xml:space="preserve">nd Wireless Telecommunications Bureaus Seek Update </w:t>
      </w:r>
      <w:r w:rsidR="000C5490">
        <w:rPr>
          <w:i/>
          <w:iCs/>
        </w:rPr>
        <w:t>o</w:t>
      </w:r>
      <w:r w:rsidRPr="000C5490" w:rsidR="000C5490">
        <w:rPr>
          <w:i/>
          <w:iCs/>
        </w:rPr>
        <w:t xml:space="preserve">n Commission's Fulfillment </w:t>
      </w:r>
      <w:r w:rsidR="000C5490">
        <w:rPr>
          <w:i/>
          <w:iCs/>
        </w:rPr>
        <w:t>o</w:t>
      </w:r>
      <w:r w:rsidRPr="000C5490" w:rsidR="000C5490">
        <w:rPr>
          <w:i/>
          <w:iCs/>
        </w:rPr>
        <w:t xml:space="preserve">f </w:t>
      </w:r>
      <w:r w:rsidR="000C5490">
        <w:rPr>
          <w:i/>
          <w:iCs/>
        </w:rPr>
        <w:t>t</w:t>
      </w:r>
      <w:r w:rsidRPr="000C5490" w:rsidR="000C5490">
        <w:rPr>
          <w:i/>
          <w:iCs/>
        </w:rPr>
        <w:t xml:space="preserve">he Twenty-First Century Communications </w:t>
      </w:r>
      <w:r w:rsidR="000C5490">
        <w:rPr>
          <w:i/>
          <w:iCs/>
        </w:rPr>
        <w:t>a</w:t>
      </w:r>
      <w:r w:rsidRPr="000C5490" w:rsidR="000C5490">
        <w:rPr>
          <w:i/>
          <w:iCs/>
        </w:rPr>
        <w:t>nd Video Accessibility Act</w:t>
      </w:r>
      <w:r w:rsidR="000C5490">
        <w:t xml:space="preserve">, </w:t>
      </w:r>
      <w:r w:rsidRPr="000C5490" w:rsidR="000C5490">
        <w:t xml:space="preserve">GN Docket No. </w:t>
      </w:r>
      <w:r w:rsidRPr="000C5490" w:rsidR="000C5490">
        <w:t>12-140</w:t>
      </w:r>
      <w:r w:rsidR="000C5490">
        <w:t xml:space="preserve">, Public Notice, </w:t>
      </w:r>
      <w:r w:rsidR="00A60DC3">
        <w:t xml:space="preserve">36 FCC </w:t>
      </w:r>
      <w:r w:rsidR="00A60DC3">
        <w:t>Rcd</w:t>
      </w:r>
      <w:r w:rsidR="00A60DC3">
        <w:t xml:space="preserve"> 7108</w:t>
      </w:r>
      <w:r w:rsidR="000C5490">
        <w:t xml:space="preserve"> (</w:t>
      </w:r>
      <w:r w:rsidR="00FD5009">
        <w:t xml:space="preserve">CGB, MB, and WCB </w:t>
      </w:r>
      <w:r w:rsidR="000C5490">
        <w:t>2021).</w:t>
      </w:r>
    </w:p>
  </w:footnote>
  <w:footnote w:id="16">
    <w:p w:rsidR="00BA4D69" w:rsidRPr="005B410B" w14:paraId="7AF74D8A" w14:textId="7E10178A">
      <w:pPr>
        <w:pStyle w:val="FootnoteText"/>
      </w:pPr>
      <w:r>
        <w:rPr>
          <w:rStyle w:val="FootnoteReference"/>
        </w:rPr>
        <w:footnoteRef/>
      </w:r>
      <w:r>
        <w:t xml:space="preserve"> </w:t>
      </w:r>
      <w:r w:rsidR="005B410B">
        <w:rPr>
          <w:i/>
          <w:iCs/>
        </w:rPr>
        <w:t>See</w:t>
      </w:r>
      <w:r w:rsidR="005B410B">
        <w:t xml:space="preserve"> </w:t>
      </w:r>
      <w:r w:rsidR="005B410B">
        <w:rPr>
          <w:i/>
          <w:iCs/>
        </w:rPr>
        <w:t>FCC Announces Forum on Improving Accessibility of Online Video Programming</w:t>
      </w:r>
      <w:r w:rsidR="005B410B">
        <w:t xml:space="preserve">, GN Docket No. </w:t>
      </w:r>
      <w:r w:rsidR="005B410B">
        <w:t>12-140, Public Notice</w:t>
      </w:r>
      <w:r w:rsidR="000C5490">
        <w:t>, DA 21-1452</w:t>
      </w:r>
      <w:r w:rsidR="005B410B">
        <w:t xml:space="preserve"> (</w:t>
      </w:r>
      <w:r w:rsidR="00593EBF">
        <w:t>MB and CGB</w:t>
      </w:r>
      <w:r w:rsidR="005B410B">
        <w:t xml:space="preserve"> 2021)</w:t>
      </w:r>
      <w:r w:rsidR="00D1174A">
        <w:t xml:space="preserve">; </w:t>
      </w:r>
      <w:r w:rsidR="00D1174A">
        <w:rPr>
          <w:i/>
          <w:iCs/>
        </w:rPr>
        <w:t>see also</w:t>
      </w:r>
      <w:r w:rsidRPr="00611432" w:rsidR="00611432">
        <w:t xml:space="preserve"> FCC, Video Programming Accessibility Forum – Online Closed Captioning, https://www.fcc.gov/news-events/events/2021/12/video-programming-accessibility-forum-online-closed-captioning (last visited </w:t>
      </w:r>
      <w:r w:rsidR="00A60DC3">
        <w:t>Jan</w:t>
      </w:r>
      <w:r w:rsidRPr="00611432" w:rsidR="00611432">
        <w:t xml:space="preserve">. </w:t>
      </w:r>
      <w:r w:rsidR="00A60DC3">
        <w:t>10</w:t>
      </w:r>
      <w:r w:rsidRPr="00611432" w:rsidR="00611432">
        <w:t>, 202</w:t>
      </w:r>
      <w:r w:rsidR="00A60DC3">
        <w:t>2</w:t>
      </w:r>
      <w:r w:rsidRPr="00611432" w:rsidR="00611432">
        <w:t>)</w:t>
      </w:r>
      <w:r w:rsidR="005B410B">
        <w:t>.</w:t>
      </w:r>
    </w:p>
  </w:footnote>
  <w:footnote w:id="17">
    <w:p w:rsidR="00E7703E" w14:paraId="0EB160EB" w14:textId="093BA914">
      <w:pPr>
        <w:pStyle w:val="FootnoteText"/>
      </w:pPr>
      <w:r>
        <w:rPr>
          <w:rStyle w:val="FootnoteReference"/>
        </w:rPr>
        <w:footnoteRef/>
      </w:r>
      <w:r>
        <w:t xml:space="preserve"> </w:t>
      </w:r>
      <w:r w:rsidRPr="00095DC2">
        <w:rPr>
          <w:i/>
        </w:rPr>
        <w:t>Second Further Notice</w:t>
      </w:r>
      <w:r>
        <w:rPr>
          <w:iCs/>
        </w:rPr>
        <w:t>,</w:t>
      </w:r>
      <w:r w:rsidRPr="00095DC2">
        <w:t xml:space="preserve"> 30 FCC Rcd </w:t>
      </w:r>
      <w:r w:rsidR="00002A3E">
        <w:t>at</w:t>
      </w:r>
      <w:r w:rsidRPr="00095DC2">
        <w:t xml:space="preserve"> 13932-35, paras. 33-40</w:t>
      </w:r>
      <w:r>
        <w:t>.</w:t>
      </w:r>
    </w:p>
  </w:footnote>
  <w:footnote w:id="18">
    <w:p w:rsidR="00002A3E" w14:paraId="0FCF13A4" w14:textId="7AE4D2E5">
      <w:pPr>
        <w:pStyle w:val="FootnoteText"/>
      </w:pPr>
      <w:r>
        <w:rPr>
          <w:rStyle w:val="FootnoteReference"/>
        </w:rPr>
        <w:footnoteRef/>
      </w:r>
      <w:r>
        <w:t xml:space="preserve"> </w:t>
      </w:r>
      <w:r w:rsidRPr="00002A3E">
        <w:rPr>
          <w:i/>
          <w:iCs/>
        </w:rPr>
        <w:t>Id</w:t>
      </w:r>
      <w:r w:rsidRPr="00285B62">
        <w:t xml:space="preserve">. </w:t>
      </w:r>
      <w:r w:rsidRPr="00002A3E">
        <w:t>at 1393</w:t>
      </w:r>
      <w:r>
        <w:t>2-34</w:t>
      </w:r>
      <w:r w:rsidRPr="00002A3E">
        <w:t>, para</w:t>
      </w:r>
      <w:r>
        <w:t>s</w:t>
      </w:r>
      <w:r w:rsidRPr="00002A3E">
        <w:t>. 3</w:t>
      </w:r>
      <w:r>
        <w:t>3-35</w:t>
      </w:r>
      <w:r w:rsidRPr="00002A3E">
        <w:t>.</w:t>
      </w:r>
    </w:p>
  </w:footnote>
  <w:footnote w:id="19">
    <w:p w:rsidR="00002A3E" w:rsidRPr="00002A3E" w14:paraId="5A29A410" w14:textId="70AEB964">
      <w:pPr>
        <w:pStyle w:val="FootnoteText"/>
      </w:pPr>
      <w:r>
        <w:rPr>
          <w:rStyle w:val="FootnoteReference"/>
        </w:rPr>
        <w:footnoteRef/>
      </w:r>
      <w:r>
        <w:t xml:space="preserve"> </w:t>
      </w:r>
      <w:r>
        <w:rPr>
          <w:i/>
          <w:iCs/>
        </w:rPr>
        <w:t>Id</w:t>
      </w:r>
      <w:r w:rsidRPr="00285B62">
        <w:t>.</w:t>
      </w:r>
      <w:r w:rsidR="0070290A">
        <w:t xml:space="preserve"> </w:t>
      </w:r>
      <w:r>
        <w:t>at 13934, para. 37.</w:t>
      </w:r>
      <w:r w:rsidR="00F92D0E">
        <w:t xml:space="preserve">  Specifically, the </w:t>
      </w:r>
      <w:r w:rsidR="00F92D0E">
        <w:rPr>
          <w:i/>
          <w:iCs/>
        </w:rPr>
        <w:t>Second Further Notice</w:t>
      </w:r>
      <w:r w:rsidR="00F73F28">
        <w:t xml:space="preserve"> sought comment on whether, to ensure that closed captioning display settings are readily accessible, the Commission should require that they be included </w:t>
      </w:r>
      <w:r w:rsidR="006D42D3">
        <w:t xml:space="preserve">in the menu </w:t>
      </w:r>
      <w:r w:rsidR="00F73F28">
        <w:t>no lower than the first level</w:t>
      </w:r>
      <w:r w:rsidR="006D42D3">
        <w:t xml:space="preserve"> of options</w:t>
      </w:r>
      <w:r w:rsidR="00E552FF">
        <w:t>, or whether there are alternative means to implement this requirement</w:t>
      </w:r>
      <w:r w:rsidR="00F73F28">
        <w:t xml:space="preserve">.  </w:t>
      </w:r>
      <w:r w:rsidR="00F73F28">
        <w:rPr>
          <w:i/>
          <w:iCs/>
        </w:rPr>
        <w:t>Id</w:t>
      </w:r>
      <w:r w:rsidRPr="00285B62" w:rsidR="00F73F28">
        <w:t>.</w:t>
      </w:r>
      <w:r w:rsidRPr="00285B62" w:rsidR="00831B5F">
        <w:t xml:space="preserve"> </w:t>
      </w:r>
      <w:r w:rsidR="00831B5F">
        <w:t xml:space="preserve"> </w:t>
      </w:r>
    </w:p>
  </w:footnote>
  <w:footnote w:id="20">
    <w:p w:rsidR="00531632" w:rsidP="00531632" w14:paraId="47AF7341" w14:textId="77777777">
      <w:pPr>
        <w:pStyle w:val="FootnoteText"/>
      </w:pPr>
      <w:r>
        <w:rPr>
          <w:rStyle w:val="FootnoteReference"/>
        </w:rPr>
        <w:footnoteRef/>
      </w:r>
      <w:r>
        <w:t xml:space="preserve"> Section 303(u) applies specifically to </w:t>
      </w:r>
      <w:r w:rsidRPr="00F92D0E">
        <w:t>apparatus designed to receive or play back video programming transmitted simultaneously with sound, if such apparatus is manufactured in the United States or imported for use in the United States and uses a picture screen of any size</w:t>
      </w:r>
      <w:r>
        <w:t xml:space="preserve">.  </w:t>
      </w:r>
      <w:r w:rsidRPr="00F92D0E">
        <w:t>47 U.S.C. § 303(u)(1)</w:t>
      </w:r>
      <w:r>
        <w:t>.</w:t>
      </w:r>
    </w:p>
  </w:footnote>
  <w:footnote w:id="21">
    <w:p w:rsidR="00413CFE" w:rsidRPr="00413CFE" w14:paraId="3E33934D" w14:textId="15C39645">
      <w:pPr>
        <w:pStyle w:val="FootnoteText"/>
      </w:pPr>
      <w:r>
        <w:rPr>
          <w:rStyle w:val="FootnoteReference"/>
        </w:rPr>
        <w:footnoteRef/>
      </w:r>
      <w:r>
        <w:t xml:space="preserve"> </w:t>
      </w:r>
      <w:r w:rsidRPr="00095DC2" w:rsidR="00F73F28">
        <w:rPr>
          <w:i/>
        </w:rPr>
        <w:t>Second Further Notice</w:t>
      </w:r>
      <w:r w:rsidR="00F73F28">
        <w:rPr>
          <w:iCs/>
        </w:rPr>
        <w:t>,</w:t>
      </w:r>
      <w:r w:rsidRPr="00095DC2" w:rsidR="00F73F28">
        <w:t xml:space="preserve"> 30 FCC Rcd </w:t>
      </w:r>
      <w:r w:rsidRPr="00413CFE">
        <w:t>at 1393</w:t>
      </w:r>
      <w:r>
        <w:t>5</w:t>
      </w:r>
      <w:r w:rsidRPr="00413CFE">
        <w:t>, para. 3</w:t>
      </w:r>
      <w:r>
        <w:t>9</w:t>
      </w:r>
      <w:r w:rsidRPr="00413CFE">
        <w:t>.</w:t>
      </w:r>
      <w:r>
        <w:t xml:space="preserve">  </w:t>
      </w:r>
      <w:r>
        <w:rPr>
          <w:i/>
          <w:iCs/>
        </w:rPr>
        <w:t>See</w:t>
      </w:r>
      <w:r>
        <w:t xml:space="preserve"> </w:t>
      </w:r>
      <w:r w:rsidRPr="00413CFE">
        <w:t>47 U.S.C. § 303(u)(1)</w:t>
      </w:r>
      <w:r>
        <w:t xml:space="preserve">; </w:t>
      </w:r>
      <w:r w:rsidRPr="00413CFE">
        <w:rPr>
          <w:i/>
          <w:iCs/>
        </w:rPr>
        <w:t>IP Closed Captioning Order</w:t>
      </w:r>
      <w:r>
        <w:t xml:space="preserve">, 27 FCC Rcd at 839-43, paras. 93-96.  During the initial comment period, some commenters argued that </w:t>
      </w:r>
      <w:r w:rsidRPr="00413CFE">
        <w:t>the Commission’s authority with respect to the TDCA is limited to the accessibility of broadcast television receivers</w:t>
      </w:r>
      <w:r>
        <w:t xml:space="preserve">.  </w:t>
      </w:r>
      <w:r w:rsidRPr="00413CFE">
        <w:t>Comments</w:t>
      </w:r>
      <w:r>
        <w:t xml:space="preserve"> of AT&amp;T Services, Inc., MB Docket No. 12-108,</w:t>
      </w:r>
      <w:r w:rsidRPr="00413CFE">
        <w:t xml:space="preserve"> at 1-2</w:t>
      </w:r>
      <w:r>
        <w:t xml:space="preserve"> (rec. Feb. 24, 2016)</w:t>
      </w:r>
      <w:r w:rsidRPr="00413CFE">
        <w:t xml:space="preserve">; </w:t>
      </w:r>
      <w:r>
        <w:t>Comments of Consumer Technology Association,</w:t>
      </w:r>
      <w:r w:rsidRPr="00413CFE">
        <w:t xml:space="preserve"> </w:t>
      </w:r>
      <w:r>
        <w:t>MB Docket No. 12-108,</w:t>
      </w:r>
      <w:r w:rsidRPr="00413CFE">
        <w:t xml:space="preserve"> at 3</w:t>
      </w:r>
      <w:r>
        <w:t xml:space="preserve"> (rec.</w:t>
      </w:r>
      <w:r w:rsidR="00A91058">
        <w:t xml:space="preserve"> Feb. 24, 2016)</w:t>
      </w:r>
      <w:r w:rsidRPr="00413CFE">
        <w:t>.</w:t>
      </w:r>
      <w:r w:rsidR="00A91058">
        <w:t xml:space="preserve">  </w:t>
      </w:r>
      <w:r w:rsidR="00A91058">
        <w:rPr>
          <w:i/>
          <w:iCs/>
        </w:rPr>
        <w:t xml:space="preserve">But </w:t>
      </w:r>
      <w:r w:rsidR="0070290A">
        <w:rPr>
          <w:i/>
          <w:iCs/>
        </w:rPr>
        <w:t>s</w:t>
      </w:r>
      <w:r w:rsidR="00A91058">
        <w:rPr>
          <w:i/>
          <w:iCs/>
        </w:rPr>
        <w:t>ee</w:t>
      </w:r>
      <w:r w:rsidR="00A91058">
        <w:t xml:space="preserve"> Reply Comments of Consumer Groups and RERC, MB Docket. No. 12-108, at 7, 10 (rec. Mar. 7, 2016) (agreeing with the Commission that the TDCA provides ample authority to apply a rule </w:t>
      </w:r>
      <w:r w:rsidRPr="00A91058" w:rsidR="00A91058">
        <w:t xml:space="preserve">broadly to the full range of devices covered by </w:t>
      </w:r>
      <w:r w:rsidR="00A91058">
        <w:t>s</w:t>
      </w:r>
      <w:r w:rsidRPr="00A91058" w:rsidR="00A91058">
        <w:t>ection 303(u)</w:t>
      </w:r>
      <w:r w:rsidR="00A91058">
        <w:t>).</w:t>
      </w:r>
    </w:p>
  </w:footnote>
  <w:footnote w:id="22">
    <w:p w:rsidR="00D75042" w14:paraId="2ABBBB4B" w14:textId="6638F6E8">
      <w:pPr>
        <w:pStyle w:val="FootnoteText"/>
      </w:pPr>
      <w:r>
        <w:rPr>
          <w:rStyle w:val="FootnoteReference"/>
        </w:rPr>
        <w:footnoteRef/>
      </w:r>
      <w:r>
        <w:t xml:space="preserve"> </w:t>
      </w:r>
      <w:r w:rsidRPr="00D75042">
        <w:rPr>
          <w:i/>
        </w:rPr>
        <w:t>Second Further Notice</w:t>
      </w:r>
      <w:r w:rsidRPr="00D75042">
        <w:rPr>
          <w:iCs/>
        </w:rPr>
        <w:t>,</w:t>
      </w:r>
      <w:r w:rsidRPr="00D75042">
        <w:t xml:space="preserve"> 30 FCC Rcd at 13935, para. 39</w:t>
      </w:r>
      <w:r>
        <w:t>.</w:t>
      </w:r>
    </w:p>
  </w:footnote>
  <w:footnote w:id="23">
    <w:p w:rsidR="00D75042" w14:paraId="3378EE01" w14:textId="5F24CFC6">
      <w:pPr>
        <w:pStyle w:val="FootnoteText"/>
      </w:pPr>
      <w:r>
        <w:rPr>
          <w:rStyle w:val="FootnoteReference"/>
        </w:rPr>
        <w:footnoteRef/>
      </w:r>
      <w:r>
        <w:t xml:space="preserve"> </w:t>
      </w:r>
      <w:r w:rsidRPr="00D75042">
        <w:rPr>
          <w:i/>
          <w:iCs/>
        </w:rPr>
        <w:t>Id</w:t>
      </w:r>
      <w:r w:rsidRPr="00285B62">
        <w:t xml:space="preserve">. </w:t>
      </w:r>
      <w:r w:rsidRPr="00D75042">
        <w:t>at 1393</w:t>
      </w:r>
      <w:r>
        <w:t>5</w:t>
      </w:r>
      <w:r w:rsidRPr="00D75042">
        <w:t xml:space="preserve">, para. </w:t>
      </w:r>
      <w:r>
        <w:t>40</w:t>
      </w:r>
      <w:r w:rsidRPr="00D75042">
        <w:t>.</w:t>
      </w:r>
    </w:p>
  </w:footnote>
  <w:footnote w:id="24">
    <w:p w:rsidR="009672FB" w14:paraId="0721C7A9" w14:textId="0E6B6104">
      <w:pPr>
        <w:pStyle w:val="FootnoteText"/>
      </w:pPr>
      <w:r>
        <w:rPr>
          <w:rStyle w:val="FootnoteReference"/>
        </w:rPr>
        <w:footnoteRef/>
      </w:r>
      <w:r>
        <w:t xml:space="preserve"> </w:t>
      </w:r>
      <w:r w:rsidRPr="009672FB">
        <w:rPr>
          <w:i/>
          <w:iCs/>
        </w:rPr>
        <w:t xml:space="preserve">See </w:t>
      </w:r>
      <w:r w:rsidR="00285B62">
        <w:rPr>
          <w:i/>
        </w:rPr>
        <w:t>id</w:t>
      </w:r>
      <w:r w:rsidR="00285B62">
        <w:rPr>
          <w:iCs/>
        </w:rPr>
        <w:t>.</w:t>
      </w:r>
      <w:r w:rsidRPr="00095DC2">
        <w:t xml:space="preserve"> </w:t>
      </w:r>
      <w:r>
        <w:t>at</w:t>
      </w:r>
      <w:r w:rsidRPr="00095DC2">
        <w:t xml:space="preserve"> 13935, para. </w:t>
      </w:r>
      <w:r>
        <w:t>3</w:t>
      </w:r>
      <w:r w:rsidR="00DF123E">
        <w:t xml:space="preserve">8 (quoting a March 2015 letter reporting the intentions of TV manufacturers); </w:t>
      </w:r>
      <w:r w:rsidRPr="0063509F" w:rsidR="00DF123E">
        <w:rPr>
          <w:i/>
          <w:iCs/>
        </w:rPr>
        <w:t>see also</w:t>
      </w:r>
      <w:r w:rsidR="00DF123E">
        <w:t xml:space="preserve"> CVAA,</w:t>
      </w:r>
      <w:r w:rsidRPr="00DF123E" w:rsidR="00DF123E">
        <w:t xml:space="preserve"> </w:t>
      </w:r>
      <w:bookmarkStart w:id="3" w:name="_Hlk90029979"/>
      <w:r w:rsidR="00DF123E">
        <w:t>§</w:t>
      </w:r>
      <w:bookmarkStart w:id="4" w:name="_Hlk90030891"/>
      <w:bookmarkEnd w:id="3"/>
      <w:r w:rsidR="0063509F">
        <w:t>§</w:t>
      </w:r>
      <w:bookmarkEnd w:id="4"/>
      <w:r w:rsidR="00DF123E">
        <w:t xml:space="preserve"> 204(a)</w:t>
      </w:r>
      <w:r w:rsidR="0063509F">
        <w:t>, 205(a)</w:t>
      </w:r>
      <w:r w:rsidR="00DF123E">
        <w:t xml:space="preserve"> (</w:t>
      </w:r>
      <w:r w:rsidR="0063509F">
        <w:t>providing for access to closed captioning capabilities through a mechanism “reasonably comparable to a button, key, or icon”)</w:t>
      </w:r>
      <w:r w:rsidR="00FB7410">
        <w:t>; 47 CFR § 79.109(a)(1) (requiring manufacturers of covered apparatus to “</w:t>
      </w:r>
      <w:r w:rsidRPr="00FB7410" w:rsidR="00FB7410">
        <w:t>ensure that closed captioning can be activated through a mechanism that is reasonably comparable to a button, key, or icon</w:t>
      </w:r>
      <w:r w:rsidR="00FB7410">
        <w:t>”)</w:t>
      </w:r>
      <w:r w:rsidRPr="00FB7410" w:rsidR="00FB7410">
        <w:t>.</w:t>
      </w:r>
      <w:r w:rsidR="00DF123E">
        <w:t xml:space="preserve">   </w:t>
      </w:r>
    </w:p>
  </w:footnote>
  <w:footnote w:id="25">
    <w:p w:rsidR="0063782E" w14:paraId="0D31CF6F" w14:textId="747BA6C3">
      <w:pPr>
        <w:pStyle w:val="FootnoteText"/>
      </w:pPr>
      <w:r>
        <w:rPr>
          <w:rStyle w:val="FootnoteReference"/>
        </w:rPr>
        <w:footnoteRef/>
      </w:r>
      <w:r>
        <w:t xml:space="preserve"> </w:t>
      </w:r>
      <w:r w:rsidRPr="00C37E5B" w:rsidR="00C37E5B">
        <w:rPr>
          <w:i/>
        </w:rPr>
        <w:t>Second Further Notice</w:t>
      </w:r>
      <w:r w:rsidRPr="00C37E5B" w:rsidR="00C37E5B">
        <w:t>, 30 FCC Rcd at 13936, para. 42.</w:t>
      </w:r>
    </w:p>
  </w:footnote>
  <w:footnote w:id="26">
    <w:p w:rsidR="00247723" w:rsidP="00247723" w14:paraId="128C83B5" w14:textId="54833278">
      <w:pPr>
        <w:pStyle w:val="FootnoteText"/>
      </w:pPr>
      <w:r>
        <w:rPr>
          <w:rStyle w:val="FootnoteReference"/>
          <w:szCs w:val="22"/>
        </w:rPr>
        <w:footnoteRef/>
      </w:r>
      <w:r>
        <w:rPr>
          <w:lang w:val="da-DK"/>
        </w:rPr>
        <w:t xml:space="preserve"> </w:t>
      </w:r>
      <w:r w:rsidR="005C7E3C">
        <w:rPr>
          <w:i/>
          <w:iCs/>
          <w:lang w:val="da-DK"/>
        </w:rPr>
        <w:t xml:space="preserve">Id. </w:t>
      </w:r>
      <w:r w:rsidRPr="009B528A" w:rsidR="005C7E3C">
        <w:rPr>
          <w:lang w:val="da-DK"/>
        </w:rPr>
        <w:t>a</w:t>
      </w:r>
      <w:r w:rsidR="005C7E3C">
        <w:rPr>
          <w:lang w:val="da-DK"/>
        </w:rPr>
        <w:t xml:space="preserve">t </w:t>
      </w:r>
      <w:r w:rsidR="00474598">
        <w:rPr>
          <w:lang w:val="da-DK"/>
        </w:rPr>
        <w:t>13936-37</w:t>
      </w:r>
      <w:r w:rsidR="005C7E3C">
        <w:rPr>
          <w:lang w:val="da-DK"/>
        </w:rPr>
        <w:t xml:space="preserve">, para. </w:t>
      </w:r>
      <w:r w:rsidR="00474598">
        <w:rPr>
          <w:lang w:val="da-DK"/>
        </w:rPr>
        <w:t>46</w:t>
      </w:r>
      <w:r w:rsidR="005C7E3C">
        <w:rPr>
          <w:lang w:val="da-DK"/>
        </w:rPr>
        <w:t xml:space="preserve">.  </w:t>
      </w:r>
      <w:r w:rsidR="005C7E3C">
        <w:rPr>
          <w:i/>
          <w:iCs/>
          <w:lang w:val="da-DK"/>
        </w:rPr>
        <w:t xml:space="preserve">See </w:t>
      </w:r>
      <w:r>
        <w:rPr>
          <w:lang w:val="da-DK"/>
        </w:rPr>
        <w:t xml:space="preserve">47 CFR § 1.1200 </w:t>
      </w:r>
      <w:r>
        <w:rPr>
          <w:i/>
          <w:iCs/>
          <w:lang w:val="da-DK"/>
        </w:rPr>
        <w:t>et seq</w:t>
      </w:r>
      <w:r w:rsidRPr="009B528A">
        <w:rPr>
          <w:lang w:val="da-DK"/>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A0DD8" w14:paraId="0214ED3C" w14:textId="685C905F">
    <w:pPr>
      <w:tabs>
        <w:tab w:val="center" w:pos="4680"/>
        <w:tab w:val="right" w:pos="9360"/>
      </w:tabs>
    </w:pPr>
    <w:r>
      <w:rPr>
        <w:b/>
      </w:rPr>
      <w:tab/>
      <w:t>Federal Communications Commission</w:t>
    </w:r>
    <w:r>
      <w:rPr>
        <w:b/>
      </w:rPr>
      <w:tab/>
    </w:r>
    <w:r w:rsidR="00867D72">
      <w:rPr>
        <w:b/>
      </w:rPr>
      <w:t xml:space="preserve">DA </w:t>
    </w:r>
    <w:r w:rsidR="00AF6056">
      <w:rPr>
        <w:b/>
      </w:rPr>
      <w:t>22-20</w:t>
    </w:r>
  </w:p>
  <w:p w:rsidR="003A0DD8" w:rsidRPr="003628D7" w:rsidP="003628D7" w14:paraId="14747C49" w14:textId="386CFF54">
    <w:pPr>
      <w:tabs>
        <w:tab w:val="left" w:pos="-720"/>
      </w:tabs>
      <w:suppressAutoHyphens/>
      <w:spacing w:line="19" w:lineRule="exact"/>
      <w:rPr>
        <w:spacing w:val="-2"/>
      </w:rPr>
    </w:pPr>
    <w:r>
      <w:rPr>
        <w:noProof/>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4"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strokeweight="0.05pt">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4563" w:rsidRPr="00A866AC" w:rsidP="00824563" w14:paraId="0C55D834" w14:textId="3DA106B3">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3"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24563" w:rsidP="00824563" w14:textId="77777777">
                          <w:pPr>
                            <w:rPr>
                              <w:rFonts w:ascii="Arial" w:hAnsi="Arial"/>
                              <w:b/>
                            </w:rPr>
                          </w:pPr>
                          <w:r>
                            <w:rPr>
                              <w:rFonts w:ascii="Arial" w:hAnsi="Arial"/>
                              <w:b/>
                            </w:rPr>
                            <w:t>Federal Communications Commission</w:t>
                          </w:r>
                        </w:p>
                        <w:p w:rsidR="00824563" w:rsidP="00824563" w14:textId="62546DBB">
                          <w:pPr>
                            <w:rPr>
                              <w:rFonts w:ascii="Arial" w:hAnsi="Arial"/>
                              <w:b/>
                            </w:rPr>
                          </w:pPr>
                          <w:r>
                            <w:rPr>
                              <w:rFonts w:ascii="Arial" w:hAnsi="Arial"/>
                              <w:b/>
                            </w:rPr>
                            <w:t>45 L Street NE</w:t>
                          </w:r>
                        </w:p>
                        <w:p w:rsidR="00824563" w:rsidP="00824563" w14:textId="684A19CB">
                          <w:pPr>
                            <w:rPr>
                              <w:rFonts w:ascii="Arial" w:hAnsi="Arial"/>
                              <w:sz w:val="24"/>
                            </w:rPr>
                          </w:pPr>
                          <w:r>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824563" w:rsidP="00824563" w14:paraId="27016715" w14:textId="77777777">
                    <w:pPr>
                      <w:rPr>
                        <w:rFonts w:ascii="Arial" w:hAnsi="Arial"/>
                        <w:b/>
                      </w:rPr>
                    </w:pPr>
                    <w:r>
                      <w:rPr>
                        <w:rFonts w:ascii="Arial" w:hAnsi="Arial"/>
                        <w:b/>
                      </w:rPr>
                      <w:t>Federal Communications Commission</w:t>
                    </w:r>
                  </w:p>
                  <w:p w:rsidR="00824563" w:rsidP="00824563" w14:paraId="7BDC55B6" w14:textId="62546DBB">
                    <w:pPr>
                      <w:rPr>
                        <w:rFonts w:ascii="Arial" w:hAnsi="Arial"/>
                        <w:b/>
                      </w:rPr>
                    </w:pPr>
                    <w:r>
                      <w:rPr>
                        <w:rFonts w:ascii="Arial" w:hAnsi="Arial"/>
                        <w:b/>
                      </w:rPr>
                      <w:t>45 L Street NE</w:t>
                    </w:r>
                  </w:p>
                  <w:p w:rsidR="00824563" w:rsidP="00824563" w14:paraId="4ED11317" w14:textId="684A19CB">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027"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66697DC6" w:rsidR="007F12E7">
      <w:rPr>
        <w:rFonts w:ascii="Arial" w:hAnsi="Arial" w:cs="Arial"/>
        <w:b/>
        <w:bCs/>
        <w:sz w:val="96"/>
        <w:szCs w:val="96"/>
      </w:rPr>
      <w:t>PUBLIC NOTICE</w:t>
    </w:r>
  </w:p>
  <w:p w:rsidR="003A0DD8" w:rsidRPr="00824563" w:rsidP="00824563" w14:paraId="60540AAE" w14:textId="3C267F6D">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720090</wp:posOffset>
              </wp:positionV>
              <wp:extent cx="5943600" cy="0"/>
              <wp:effectExtent l="13335" t="5715" r="5715" b="13335"/>
              <wp:wrapNone/>
              <wp:docPr id="2"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2540"/>
              <wp:wrapNone/>
              <wp:docPr id="1"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24563" w:rsidP="00824563" w14:textId="77777777">
                          <w:pPr>
                            <w:spacing w:before="40"/>
                            <w:jc w:val="right"/>
                            <w:rPr>
                              <w:rFonts w:ascii="Arial" w:hAnsi="Arial"/>
                              <w:b/>
                              <w:sz w:val="16"/>
                            </w:rPr>
                          </w:pPr>
                          <w:r>
                            <w:rPr>
                              <w:rFonts w:ascii="Arial" w:hAnsi="Arial"/>
                              <w:b/>
                              <w:sz w:val="16"/>
                            </w:rPr>
                            <w:t>News Media Information 202 / 418-0500</w:t>
                          </w:r>
                        </w:p>
                        <w:p w:rsidR="00824563" w:rsidP="00824563" w14:textId="77777777">
                          <w:pPr>
                            <w:jc w:val="right"/>
                            <w:rPr>
                              <w:rFonts w:ascii="Arial" w:hAnsi="Arial"/>
                              <w:b/>
                              <w:sz w:val="16"/>
                            </w:rPr>
                          </w:pPr>
                          <w:r>
                            <w:rPr>
                              <w:rFonts w:ascii="Arial" w:hAnsi="Arial"/>
                              <w:b/>
                              <w:sz w:val="16"/>
                            </w:rPr>
                            <w:t xml:space="preserve">Internet: </w:t>
                          </w:r>
                          <w:bookmarkStart w:id="5" w:name="_Hlt233824"/>
                          <w:hyperlink r:id="rId2" w:history="1">
                            <w:r w:rsidRPr="00D216CD">
                              <w:rPr>
                                <w:rStyle w:val="Hyperlink"/>
                                <w:rFonts w:ascii="Arial" w:hAnsi="Arial"/>
                                <w:b/>
                                <w:sz w:val="16"/>
                              </w:rPr>
                              <w:t>h</w:t>
                            </w:r>
                            <w:bookmarkEnd w:id="5"/>
                            <w:r w:rsidRPr="00D216CD">
                              <w:rPr>
                                <w:rStyle w:val="Hyperlink"/>
                                <w:rFonts w:ascii="Arial" w:hAnsi="Arial"/>
                                <w:b/>
                                <w:sz w:val="16"/>
                              </w:rPr>
                              <w:t>ttps://www.fcc.gov</w:t>
                            </w:r>
                          </w:hyperlink>
                        </w:p>
                        <w:p w:rsidR="00824563" w:rsidP="00824563" w14:textId="7C958770">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824563" w:rsidP="00824563" w14:paraId="440127A6" w14:textId="77777777">
                    <w:pPr>
                      <w:spacing w:before="40"/>
                      <w:jc w:val="right"/>
                      <w:rPr>
                        <w:rFonts w:ascii="Arial" w:hAnsi="Arial"/>
                        <w:b/>
                        <w:sz w:val="16"/>
                      </w:rPr>
                    </w:pPr>
                    <w:r>
                      <w:rPr>
                        <w:rFonts w:ascii="Arial" w:hAnsi="Arial"/>
                        <w:b/>
                        <w:sz w:val="16"/>
                      </w:rPr>
                      <w:t>News Media Information 202 / 418-0500</w:t>
                    </w:r>
                  </w:p>
                  <w:p w:rsidR="00824563" w:rsidP="00824563" w14:paraId="7B5AE358" w14:textId="77777777">
                    <w:pPr>
                      <w:jc w:val="right"/>
                      <w:rPr>
                        <w:rFonts w:ascii="Arial" w:hAnsi="Arial"/>
                        <w:b/>
                        <w:sz w:val="16"/>
                      </w:rPr>
                    </w:pPr>
                    <w:r>
                      <w:rPr>
                        <w:rFonts w:ascii="Arial" w:hAnsi="Arial"/>
                        <w:b/>
                        <w:sz w:val="16"/>
                      </w:rPr>
                      <w:t xml:space="preserve">Internet: </w:t>
                    </w:r>
                    <w:bookmarkStart w:id="5" w:name="_Hlt233824"/>
                    <w:hyperlink r:id="rId2" w:history="1">
                      <w:r w:rsidRPr="00D216CD">
                        <w:rPr>
                          <w:rStyle w:val="Hyperlink"/>
                          <w:rFonts w:ascii="Arial" w:hAnsi="Arial"/>
                          <w:b/>
                          <w:sz w:val="16"/>
                        </w:rPr>
                        <w:t>h</w:t>
                      </w:r>
                      <w:bookmarkEnd w:id="5"/>
                      <w:r w:rsidRPr="00D216CD">
                        <w:rPr>
                          <w:rStyle w:val="Hyperlink"/>
                          <w:rFonts w:ascii="Arial" w:hAnsi="Arial"/>
                          <w:b/>
                          <w:sz w:val="16"/>
                        </w:rPr>
                        <w:t>ttps://www.fcc.gov</w:t>
                      </w:r>
                    </w:hyperlink>
                  </w:p>
                  <w:p w:rsidR="00824563" w:rsidP="00824563" w14:paraId="68D09137" w14:textId="7C958770">
                    <w:pPr>
                      <w:jc w:val="right"/>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FD637D"/>
    <w:multiLevelType w:val="hybridMultilevel"/>
    <w:tmpl w:val="0F1C2306"/>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723"/>
    <w:rsid w:val="00002A3E"/>
    <w:rsid w:val="000134E2"/>
    <w:rsid w:val="00034510"/>
    <w:rsid w:val="000414BB"/>
    <w:rsid w:val="000478C9"/>
    <w:rsid w:val="000530FC"/>
    <w:rsid w:val="000755AA"/>
    <w:rsid w:val="00080569"/>
    <w:rsid w:val="000830CB"/>
    <w:rsid w:val="00095DC2"/>
    <w:rsid w:val="000B1ED1"/>
    <w:rsid w:val="000B3B7A"/>
    <w:rsid w:val="000C3167"/>
    <w:rsid w:val="000C5490"/>
    <w:rsid w:val="000C7A77"/>
    <w:rsid w:val="000E510D"/>
    <w:rsid w:val="000F1550"/>
    <w:rsid w:val="001231C8"/>
    <w:rsid w:val="0013332B"/>
    <w:rsid w:val="00133ECD"/>
    <w:rsid w:val="001363C7"/>
    <w:rsid w:val="0017450A"/>
    <w:rsid w:val="00190BF1"/>
    <w:rsid w:val="001B3867"/>
    <w:rsid w:val="001D1963"/>
    <w:rsid w:val="001D380C"/>
    <w:rsid w:val="001F249D"/>
    <w:rsid w:val="001F4685"/>
    <w:rsid w:val="0021425C"/>
    <w:rsid w:val="00226304"/>
    <w:rsid w:val="002305C1"/>
    <w:rsid w:val="00230ABD"/>
    <w:rsid w:val="0023248B"/>
    <w:rsid w:val="00247723"/>
    <w:rsid w:val="002565B1"/>
    <w:rsid w:val="00272AC5"/>
    <w:rsid w:val="0027339A"/>
    <w:rsid w:val="0028345C"/>
    <w:rsid w:val="00285B62"/>
    <w:rsid w:val="002971FF"/>
    <w:rsid w:val="002A5B5D"/>
    <w:rsid w:val="002C0C73"/>
    <w:rsid w:val="002E5375"/>
    <w:rsid w:val="002F1F91"/>
    <w:rsid w:val="00314108"/>
    <w:rsid w:val="003179E7"/>
    <w:rsid w:val="0032021E"/>
    <w:rsid w:val="00326143"/>
    <w:rsid w:val="00336502"/>
    <w:rsid w:val="003628D7"/>
    <w:rsid w:val="00364BCA"/>
    <w:rsid w:val="0037126C"/>
    <w:rsid w:val="003850AF"/>
    <w:rsid w:val="00385F4E"/>
    <w:rsid w:val="003A0DD8"/>
    <w:rsid w:val="003A4A2E"/>
    <w:rsid w:val="003A766F"/>
    <w:rsid w:val="003A76A3"/>
    <w:rsid w:val="003B4AE3"/>
    <w:rsid w:val="003E6874"/>
    <w:rsid w:val="003F4605"/>
    <w:rsid w:val="00402D1C"/>
    <w:rsid w:val="00407020"/>
    <w:rsid w:val="00412C17"/>
    <w:rsid w:val="00413934"/>
    <w:rsid w:val="00413CFE"/>
    <w:rsid w:val="004157DF"/>
    <w:rsid w:val="00416592"/>
    <w:rsid w:val="0042113C"/>
    <w:rsid w:val="00430441"/>
    <w:rsid w:val="0045231D"/>
    <w:rsid w:val="0046771B"/>
    <w:rsid w:val="0047313A"/>
    <w:rsid w:val="00474598"/>
    <w:rsid w:val="00486344"/>
    <w:rsid w:val="004D3CFE"/>
    <w:rsid w:val="004F6746"/>
    <w:rsid w:val="00507E43"/>
    <w:rsid w:val="00531632"/>
    <w:rsid w:val="00531D94"/>
    <w:rsid w:val="0054329C"/>
    <w:rsid w:val="005550AB"/>
    <w:rsid w:val="00590706"/>
    <w:rsid w:val="00593EBF"/>
    <w:rsid w:val="005A6137"/>
    <w:rsid w:val="005B410B"/>
    <w:rsid w:val="005B6239"/>
    <w:rsid w:val="005B6C5E"/>
    <w:rsid w:val="005C7E3C"/>
    <w:rsid w:val="005D6132"/>
    <w:rsid w:val="005E2B6B"/>
    <w:rsid w:val="005E3121"/>
    <w:rsid w:val="005F5B24"/>
    <w:rsid w:val="00611432"/>
    <w:rsid w:val="00616A46"/>
    <w:rsid w:val="0063509F"/>
    <w:rsid w:val="006371AC"/>
    <w:rsid w:val="0063782E"/>
    <w:rsid w:val="0064191C"/>
    <w:rsid w:val="006443E5"/>
    <w:rsid w:val="00645318"/>
    <w:rsid w:val="00645F8B"/>
    <w:rsid w:val="0065436D"/>
    <w:rsid w:val="00670323"/>
    <w:rsid w:val="006950DA"/>
    <w:rsid w:val="006A0FE2"/>
    <w:rsid w:val="006A4099"/>
    <w:rsid w:val="006C69A0"/>
    <w:rsid w:val="006D42D3"/>
    <w:rsid w:val="006F3997"/>
    <w:rsid w:val="006F40A5"/>
    <w:rsid w:val="0070290A"/>
    <w:rsid w:val="00713616"/>
    <w:rsid w:val="007176F9"/>
    <w:rsid w:val="00734749"/>
    <w:rsid w:val="00747B7B"/>
    <w:rsid w:val="00755E1B"/>
    <w:rsid w:val="00763F38"/>
    <w:rsid w:val="00796A67"/>
    <w:rsid w:val="007D6828"/>
    <w:rsid w:val="007E3927"/>
    <w:rsid w:val="007E4EE6"/>
    <w:rsid w:val="007F12E7"/>
    <w:rsid w:val="008002F1"/>
    <w:rsid w:val="00821266"/>
    <w:rsid w:val="00824563"/>
    <w:rsid w:val="00824E52"/>
    <w:rsid w:val="00831B5F"/>
    <w:rsid w:val="008347E4"/>
    <w:rsid w:val="00867D72"/>
    <w:rsid w:val="00867FAD"/>
    <w:rsid w:val="00895112"/>
    <w:rsid w:val="00896327"/>
    <w:rsid w:val="008A3EE3"/>
    <w:rsid w:val="008B6AD8"/>
    <w:rsid w:val="008C0600"/>
    <w:rsid w:val="008C0A6F"/>
    <w:rsid w:val="008D2FA1"/>
    <w:rsid w:val="008E33C8"/>
    <w:rsid w:val="008E5B56"/>
    <w:rsid w:val="008E5BD5"/>
    <w:rsid w:val="008F3C32"/>
    <w:rsid w:val="009114FB"/>
    <w:rsid w:val="00917B98"/>
    <w:rsid w:val="0092262F"/>
    <w:rsid w:val="0092456C"/>
    <w:rsid w:val="00926567"/>
    <w:rsid w:val="00936C97"/>
    <w:rsid w:val="00943097"/>
    <w:rsid w:val="00943B9E"/>
    <w:rsid w:val="009540EF"/>
    <w:rsid w:val="00954A3A"/>
    <w:rsid w:val="009642FF"/>
    <w:rsid w:val="009672FB"/>
    <w:rsid w:val="0097041D"/>
    <w:rsid w:val="00997264"/>
    <w:rsid w:val="009B528A"/>
    <w:rsid w:val="009B59C2"/>
    <w:rsid w:val="009B7AEB"/>
    <w:rsid w:val="009C0FAF"/>
    <w:rsid w:val="009C709D"/>
    <w:rsid w:val="009E194C"/>
    <w:rsid w:val="009E58A9"/>
    <w:rsid w:val="009F67DF"/>
    <w:rsid w:val="00A01B6A"/>
    <w:rsid w:val="00A043E6"/>
    <w:rsid w:val="00A049E3"/>
    <w:rsid w:val="00A055FB"/>
    <w:rsid w:val="00A064D9"/>
    <w:rsid w:val="00A21892"/>
    <w:rsid w:val="00A23351"/>
    <w:rsid w:val="00A2342B"/>
    <w:rsid w:val="00A471C8"/>
    <w:rsid w:val="00A5114A"/>
    <w:rsid w:val="00A52A04"/>
    <w:rsid w:val="00A60DC3"/>
    <w:rsid w:val="00A70806"/>
    <w:rsid w:val="00A82575"/>
    <w:rsid w:val="00A866AC"/>
    <w:rsid w:val="00A91058"/>
    <w:rsid w:val="00A931C9"/>
    <w:rsid w:val="00A95D07"/>
    <w:rsid w:val="00AA5055"/>
    <w:rsid w:val="00AB2E2D"/>
    <w:rsid w:val="00AD3858"/>
    <w:rsid w:val="00AD3A87"/>
    <w:rsid w:val="00AE0474"/>
    <w:rsid w:val="00AF4507"/>
    <w:rsid w:val="00AF6056"/>
    <w:rsid w:val="00B3607A"/>
    <w:rsid w:val="00B46579"/>
    <w:rsid w:val="00B635CB"/>
    <w:rsid w:val="00B66CC2"/>
    <w:rsid w:val="00B81342"/>
    <w:rsid w:val="00B8202E"/>
    <w:rsid w:val="00B85D43"/>
    <w:rsid w:val="00BA4D69"/>
    <w:rsid w:val="00BB7BCA"/>
    <w:rsid w:val="00BB7D02"/>
    <w:rsid w:val="00BE2AA1"/>
    <w:rsid w:val="00BF6591"/>
    <w:rsid w:val="00C142B4"/>
    <w:rsid w:val="00C35632"/>
    <w:rsid w:val="00C37E5B"/>
    <w:rsid w:val="00C462C1"/>
    <w:rsid w:val="00C46C01"/>
    <w:rsid w:val="00C60834"/>
    <w:rsid w:val="00C6257A"/>
    <w:rsid w:val="00C6755B"/>
    <w:rsid w:val="00CA1EC5"/>
    <w:rsid w:val="00CA68C8"/>
    <w:rsid w:val="00CB38F9"/>
    <w:rsid w:val="00CC55C2"/>
    <w:rsid w:val="00CD14F0"/>
    <w:rsid w:val="00D0557F"/>
    <w:rsid w:val="00D1174A"/>
    <w:rsid w:val="00D216CD"/>
    <w:rsid w:val="00D35FDD"/>
    <w:rsid w:val="00D628B7"/>
    <w:rsid w:val="00D75042"/>
    <w:rsid w:val="00D94C05"/>
    <w:rsid w:val="00DA283D"/>
    <w:rsid w:val="00DA5A60"/>
    <w:rsid w:val="00DB79CC"/>
    <w:rsid w:val="00DC6FF1"/>
    <w:rsid w:val="00DD11AF"/>
    <w:rsid w:val="00DE3BAA"/>
    <w:rsid w:val="00DE3E2A"/>
    <w:rsid w:val="00DE4123"/>
    <w:rsid w:val="00DE738E"/>
    <w:rsid w:val="00DF123E"/>
    <w:rsid w:val="00E04236"/>
    <w:rsid w:val="00E06227"/>
    <w:rsid w:val="00E24020"/>
    <w:rsid w:val="00E327CB"/>
    <w:rsid w:val="00E34B8A"/>
    <w:rsid w:val="00E45D1E"/>
    <w:rsid w:val="00E552FF"/>
    <w:rsid w:val="00E76D9E"/>
    <w:rsid w:val="00E7703E"/>
    <w:rsid w:val="00E8249B"/>
    <w:rsid w:val="00E87097"/>
    <w:rsid w:val="00E92196"/>
    <w:rsid w:val="00EA7224"/>
    <w:rsid w:val="00EB7F96"/>
    <w:rsid w:val="00EE42DF"/>
    <w:rsid w:val="00EE4F84"/>
    <w:rsid w:val="00F243F5"/>
    <w:rsid w:val="00F67685"/>
    <w:rsid w:val="00F7211B"/>
    <w:rsid w:val="00F73F28"/>
    <w:rsid w:val="00F74F0E"/>
    <w:rsid w:val="00F828CA"/>
    <w:rsid w:val="00F82F49"/>
    <w:rsid w:val="00F84023"/>
    <w:rsid w:val="00F91E7F"/>
    <w:rsid w:val="00F92233"/>
    <w:rsid w:val="00F92D0E"/>
    <w:rsid w:val="00FB20FE"/>
    <w:rsid w:val="00FB7410"/>
    <w:rsid w:val="00FC1976"/>
    <w:rsid w:val="00FD5009"/>
    <w:rsid w:val="00FD64F7"/>
    <w:rsid w:val="00FE34E8"/>
    <w:rsid w:val="3EE24E9E"/>
    <w:rsid w:val="66697DC6"/>
    <w:rsid w:val="7D84E99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B90174E"/>
  <w15:chartTrackingRefBased/>
  <w15:docId w15:val="{557017BD-EB3D-4324-AD52-05321EC04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Footnote Text Char Char Char,Footnote Text Char Char Char Char Char Char,Footnote Text Char1 Char,Footnote Text Char1 Char1 Char Char Char,Footnote Text Char2 Char Char Char,f,fn,fn Char"/>
    <w:link w:val="FootnoteTextChar1"/>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ind w:hanging="99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FootnoteTextChar1">
    <w:name w:val="Footnote Text Char1"/>
    <w:aliases w:val="ALTS FOOTNOTE Char Char,ALTS FOOTNOTE Char1,Footnote Text Char Char,Footnote Text Char Char Char Char,Footnote Text Char Char Char Char Char Char Char,Footnote Text Char1 Char Char,Footnote Text Char1 Char1 Char Char Char Char,f Char"/>
    <w:link w:val="FootnoteText"/>
    <w:rsid w:val="00247723"/>
  </w:style>
  <w:style w:type="character" w:customStyle="1" w:styleId="UnresolvedMention">
    <w:name w:val="Unresolved Mention"/>
    <w:basedOn w:val="DefaultParagraphFont"/>
    <w:uiPriority w:val="99"/>
    <w:rsid w:val="004D3CFE"/>
    <w:rPr>
      <w:color w:val="605E5C"/>
      <w:shd w:val="clear" w:color="auto" w:fill="E1DFDD"/>
    </w:rPr>
  </w:style>
  <w:style w:type="character" w:styleId="CommentReference">
    <w:name w:val="annotation reference"/>
    <w:basedOn w:val="DefaultParagraphFont"/>
    <w:uiPriority w:val="99"/>
    <w:semiHidden/>
    <w:unhideWhenUsed/>
    <w:rsid w:val="00A064D9"/>
    <w:rPr>
      <w:sz w:val="16"/>
      <w:szCs w:val="16"/>
    </w:rPr>
  </w:style>
  <w:style w:type="paragraph" w:styleId="CommentText">
    <w:name w:val="annotation text"/>
    <w:basedOn w:val="Normal"/>
    <w:link w:val="CommentTextChar"/>
    <w:uiPriority w:val="99"/>
    <w:semiHidden/>
    <w:unhideWhenUsed/>
    <w:rsid w:val="00A064D9"/>
    <w:rPr>
      <w:sz w:val="20"/>
    </w:rPr>
  </w:style>
  <w:style w:type="character" w:customStyle="1" w:styleId="CommentTextChar">
    <w:name w:val="Comment Text Char"/>
    <w:basedOn w:val="DefaultParagraphFont"/>
    <w:link w:val="CommentText"/>
    <w:uiPriority w:val="99"/>
    <w:semiHidden/>
    <w:rsid w:val="00A064D9"/>
    <w:rPr>
      <w:snapToGrid w:val="0"/>
      <w:kern w:val="28"/>
    </w:rPr>
  </w:style>
  <w:style w:type="paragraph" w:styleId="CommentSubject">
    <w:name w:val="annotation subject"/>
    <w:basedOn w:val="CommentText"/>
    <w:next w:val="CommentText"/>
    <w:link w:val="CommentSubjectChar"/>
    <w:uiPriority w:val="99"/>
    <w:semiHidden/>
    <w:unhideWhenUsed/>
    <w:rsid w:val="00A064D9"/>
    <w:rPr>
      <w:b/>
      <w:bCs/>
    </w:rPr>
  </w:style>
  <w:style w:type="character" w:customStyle="1" w:styleId="CommentSubjectChar">
    <w:name w:val="Comment Subject Char"/>
    <w:basedOn w:val="CommentTextChar"/>
    <w:link w:val="CommentSubject"/>
    <w:uiPriority w:val="99"/>
    <w:semiHidden/>
    <w:rsid w:val="00A064D9"/>
    <w:rPr>
      <w:b/>
      <w:bCs/>
      <w:snapToGrid w:val="0"/>
      <w:kern w:val="28"/>
    </w:rPr>
  </w:style>
  <w:style w:type="paragraph" w:styleId="Revision">
    <w:name w:val="Revision"/>
    <w:hidden/>
    <w:uiPriority w:val="99"/>
    <w:semiHidden/>
    <w:rsid w:val="000830CB"/>
    <w:rPr>
      <w:snapToGrid w:val="0"/>
      <w:kern w:val="28"/>
      <w:sz w:val="22"/>
    </w:rPr>
  </w:style>
  <w:style w:type="character" w:styleId="Emphasis">
    <w:name w:val="Emphasis"/>
    <w:basedOn w:val="DefaultParagraphFont"/>
    <w:uiPriority w:val="20"/>
    <w:qFormat/>
    <w:rsid w:val="007E3927"/>
    <w:rPr>
      <w:i/>
      <w:iCs/>
    </w:rPr>
  </w:style>
  <w:style w:type="character" w:customStyle="1" w:styleId="cosearchwithinterm">
    <w:name w:val="co_searchwithinterm"/>
    <w:basedOn w:val="DefaultParagraphFont"/>
    <w:rsid w:val="007E39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fcc504@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