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F84BCA" w:rsidRPr="00ED5746" w:rsidP="00F84BCA" w14:paraId="6E794A72" w14:textId="57F3AC31">
      <w:pPr>
        <w:jc w:val="center"/>
        <w:rPr>
          <w:b/>
        </w:rPr>
      </w:pPr>
      <w:r w:rsidRPr="00ED5746">
        <w:rPr>
          <w:rFonts w:ascii="Times New Roman Bold" w:hAnsi="Times New Roman Bold"/>
          <w:b/>
          <w:kern w:val="0"/>
          <w:szCs w:val="22"/>
        </w:rPr>
        <w:t>Before</w:t>
      </w:r>
      <w:r w:rsidRPr="00ED5746">
        <w:rPr>
          <w:b/>
        </w:rPr>
        <w:t xml:space="preserve"> the</w:t>
      </w:r>
    </w:p>
    <w:p w:rsidR="00F84BCA" w:rsidRPr="00ED5746" w:rsidP="00F84BCA" w14:paraId="3E29EF73" w14:textId="77777777">
      <w:pPr>
        <w:pStyle w:val="StyleBoldCentered"/>
      </w:pPr>
      <w:r w:rsidRPr="00ED5746">
        <w:t>F</w:t>
      </w:r>
      <w:r w:rsidRPr="00ED5746">
        <w:rPr>
          <w:caps w:val="0"/>
        </w:rPr>
        <w:t>ederal Communications Commission</w:t>
      </w:r>
    </w:p>
    <w:p w:rsidR="00F84BCA" w:rsidRPr="00ED5746" w:rsidP="00F84BCA" w14:paraId="69D3F3B4" w14:textId="3863332E">
      <w:pPr>
        <w:pStyle w:val="StyleBoldCentered"/>
      </w:pPr>
      <w:r w:rsidRPr="00ED5746">
        <w:rPr>
          <w:caps w:val="0"/>
        </w:rPr>
        <w:t>Washington, D</w:t>
      </w:r>
      <w:r w:rsidR="00034A4C">
        <w:rPr>
          <w:caps w:val="0"/>
        </w:rPr>
        <w:t>.</w:t>
      </w:r>
      <w:r w:rsidRPr="00ED5746">
        <w:rPr>
          <w:caps w:val="0"/>
        </w:rPr>
        <w:t>C</w:t>
      </w:r>
      <w:r w:rsidR="00034A4C">
        <w:rPr>
          <w:caps w:val="0"/>
        </w:rPr>
        <w:t>.</w:t>
      </w:r>
      <w:r w:rsidRPr="00ED5746">
        <w:rPr>
          <w:caps w:val="0"/>
        </w:rPr>
        <w:t xml:space="preserve"> 20554</w:t>
      </w:r>
    </w:p>
    <w:p w:rsidR="00F84BCA" w:rsidRPr="00ED5746" w:rsidP="00F84BCA" w14:paraId="033933EF" w14:textId="77777777"/>
    <w:tbl>
      <w:tblPr>
        <w:tblW w:w="0" w:type="auto"/>
        <w:tblLayout w:type="fixed"/>
        <w:tblLook w:val="0000"/>
      </w:tblPr>
      <w:tblGrid>
        <w:gridCol w:w="4698"/>
        <w:gridCol w:w="630"/>
        <w:gridCol w:w="4248"/>
      </w:tblGrid>
      <w:tr w14:paraId="092E4E3A" w14:textId="77777777" w:rsidTr="003B739D">
        <w:tblPrEx>
          <w:tblW w:w="0" w:type="auto"/>
          <w:tblLayout w:type="fixed"/>
          <w:tblLook w:val="0000"/>
        </w:tblPrEx>
        <w:tc>
          <w:tcPr>
            <w:tcW w:w="4698" w:type="dxa"/>
          </w:tcPr>
          <w:p w:rsidR="00ED5746" w:rsidRPr="00D84548" w:rsidP="00CF6B78" w14:paraId="69708E7F" w14:textId="77777777">
            <w:pPr>
              <w:tabs>
                <w:tab w:val="center" w:pos="4680"/>
              </w:tabs>
              <w:suppressAutoHyphens/>
              <w:rPr>
                <w:spacing w:val="-2"/>
              </w:rPr>
            </w:pPr>
            <w:r w:rsidRPr="00ED5746">
              <w:rPr>
                <w:spacing w:val="-2"/>
              </w:rPr>
              <w:t>In the Matter of</w:t>
            </w:r>
          </w:p>
          <w:p w:rsidR="00ED5746" w:rsidRPr="00D23E19" w:rsidP="00CF6B78" w14:paraId="1E177E1F" w14:textId="77777777">
            <w:pPr>
              <w:tabs>
                <w:tab w:val="left" w:pos="360"/>
                <w:tab w:val="center" w:pos="4680"/>
                <w:tab w:val="right" w:leader="dot" w:pos="9360"/>
              </w:tabs>
              <w:suppressAutoHyphens/>
              <w:ind w:left="360" w:right="720" w:hanging="360"/>
              <w:rPr>
                <w:spacing w:val="-2"/>
              </w:rPr>
            </w:pPr>
          </w:p>
          <w:p w:rsidR="00ED5746" w:rsidP="00AA4B16" w14:paraId="2C0639D8" w14:textId="77777777">
            <w:pPr>
              <w:autoSpaceDE w:val="0"/>
              <w:autoSpaceDN w:val="0"/>
              <w:adjustRightInd w:val="0"/>
              <w:rPr>
                <w:szCs w:val="22"/>
              </w:rPr>
            </w:pPr>
            <w:r>
              <w:rPr>
                <w:szCs w:val="22"/>
              </w:rPr>
              <w:t>Atrium Hospitality LP</w:t>
            </w:r>
          </w:p>
          <w:p w:rsidR="00794B9D" w:rsidP="00AA4B16" w14:paraId="5E977AD9" w14:textId="77777777">
            <w:pPr>
              <w:autoSpaceDE w:val="0"/>
              <w:autoSpaceDN w:val="0"/>
              <w:adjustRightInd w:val="0"/>
              <w:rPr>
                <w:szCs w:val="22"/>
              </w:rPr>
            </w:pPr>
          </w:p>
          <w:p w:rsidR="00794B9D" w:rsidP="00AA4B16" w14:paraId="5773DE32" w14:textId="77777777">
            <w:pPr>
              <w:autoSpaceDE w:val="0"/>
              <w:autoSpaceDN w:val="0"/>
              <w:adjustRightInd w:val="0"/>
              <w:rPr>
                <w:szCs w:val="22"/>
              </w:rPr>
            </w:pPr>
          </w:p>
          <w:p w:rsidR="00794B9D" w:rsidRPr="00D84548" w:rsidP="00AA4B16" w14:paraId="055596A3" w14:textId="26AF6B7D">
            <w:pPr>
              <w:autoSpaceDE w:val="0"/>
              <w:autoSpaceDN w:val="0"/>
              <w:adjustRightInd w:val="0"/>
            </w:pPr>
            <w:r>
              <w:rPr>
                <w:szCs w:val="22"/>
              </w:rPr>
              <w:t>Holding Various Licenses in the Wireless Radio Service</w:t>
            </w:r>
          </w:p>
        </w:tc>
        <w:tc>
          <w:tcPr>
            <w:tcW w:w="630" w:type="dxa"/>
          </w:tcPr>
          <w:p w:rsidR="00ED5746" w:rsidRPr="00D84548" w:rsidP="00CF6B78" w14:paraId="4E626BFF" w14:textId="77777777">
            <w:pPr>
              <w:tabs>
                <w:tab w:val="center" w:pos="4680"/>
              </w:tabs>
              <w:suppressAutoHyphens/>
              <w:rPr>
                <w:b/>
                <w:spacing w:val="-2"/>
              </w:rPr>
            </w:pPr>
            <w:r w:rsidRPr="00D84548">
              <w:rPr>
                <w:b/>
                <w:spacing w:val="-2"/>
              </w:rPr>
              <w:t>)</w:t>
            </w:r>
          </w:p>
          <w:p w:rsidR="00ED5746" w:rsidRPr="00D23E19" w:rsidP="00CF6B78" w14:paraId="30D6019C" w14:textId="77777777">
            <w:pPr>
              <w:tabs>
                <w:tab w:val="center" w:pos="4680"/>
              </w:tabs>
              <w:suppressAutoHyphens/>
              <w:rPr>
                <w:b/>
                <w:spacing w:val="-2"/>
              </w:rPr>
            </w:pPr>
            <w:r w:rsidRPr="00D84548">
              <w:rPr>
                <w:b/>
                <w:spacing w:val="-2"/>
              </w:rPr>
              <w:t>)</w:t>
            </w:r>
          </w:p>
          <w:p w:rsidR="00ED5746" w:rsidRPr="00D23E19" w:rsidP="00CF6B78" w14:paraId="1D088DB3" w14:textId="77777777">
            <w:pPr>
              <w:tabs>
                <w:tab w:val="center" w:pos="4680"/>
              </w:tabs>
              <w:suppressAutoHyphens/>
              <w:rPr>
                <w:b/>
                <w:spacing w:val="-2"/>
              </w:rPr>
            </w:pPr>
            <w:r w:rsidRPr="00D84548">
              <w:rPr>
                <w:b/>
                <w:spacing w:val="-2"/>
              </w:rPr>
              <w:t>)</w:t>
            </w:r>
          </w:p>
          <w:p w:rsidR="00ED5746" w:rsidRPr="00D23E19" w:rsidP="00CF6B78" w14:paraId="6C30BF33" w14:textId="77777777">
            <w:pPr>
              <w:tabs>
                <w:tab w:val="center" w:pos="4680"/>
              </w:tabs>
              <w:suppressAutoHyphens/>
              <w:rPr>
                <w:b/>
                <w:spacing w:val="-2"/>
              </w:rPr>
            </w:pPr>
            <w:r w:rsidRPr="00D84548">
              <w:rPr>
                <w:b/>
                <w:spacing w:val="-2"/>
              </w:rPr>
              <w:t>)</w:t>
            </w:r>
          </w:p>
          <w:p w:rsidR="00ED5746" w:rsidRPr="00D23E19" w:rsidP="00CF6B78" w14:paraId="25240A0E" w14:textId="77777777">
            <w:pPr>
              <w:tabs>
                <w:tab w:val="center" w:pos="4680"/>
              </w:tabs>
              <w:suppressAutoHyphens/>
              <w:rPr>
                <w:b/>
                <w:spacing w:val="-2"/>
              </w:rPr>
            </w:pPr>
            <w:r w:rsidRPr="00D84548">
              <w:rPr>
                <w:b/>
                <w:spacing w:val="-2"/>
              </w:rPr>
              <w:t>)</w:t>
            </w:r>
          </w:p>
          <w:p w:rsidR="00ED5746" w:rsidRPr="00D23E19" w:rsidP="00CF6B78" w14:paraId="72A27E98" w14:textId="77777777">
            <w:pPr>
              <w:tabs>
                <w:tab w:val="center" w:pos="4680"/>
              </w:tabs>
              <w:suppressAutoHyphens/>
              <w:rPr>
                <w:b/>
                <w:spacing w:val="-2"/>
              </w:rPr>
            </w:pPr>
            <w:r w:rsidRPr="00D84548">
              <w:rPr>
                <w:b/>
                <w:spacing w:val="-2"/>
              </w:rPr>
              <w:t>)</w:t>
            </w:r>
          </w:p>
          <w:p w:rsidR="00ED5746" w:rsidP="00CF6B78" w14:paraId="5EDF804F" w14:textId="479358BC">
            <w:pPr>
              <w:tabs>
                <w:tab w:val="center" w:pos="4680"/>
              </w:tabs>
              <w:suppressAutoHyphens/>
              <w:rPr>
                <w:b/>
                <w:spacing w:val="-2"/>
              </w:rPr>
            </w:pPr>
            <w:r w:rsidRPr="00D84548">
              <w:rPr>
                <w:b/>
                <w:spacing w:val="-2"/>
              </w:rPr>
              <w:t>)</w:t>
            </w:r>
          </w:p>
          <w:p w:rsidR="00E47E09" w:rsidRPr="00D23E19" w:rsidP="00CF6B78" w14:paraId="7AC00E78" w14:textId="77777777">
            <w:pPr>
              <w:tabs>
                <w:tab w:val="center" w:pos="4680"/>
              </w:tabs>
              <w:suppressAutoHyphens/>
              <w:rPr>
                <w:b/>
                <w:spacing w:val="-2"/>
              </w:rPr>
            </w:pPr>
          </w:p>
          <w:p w:rsidR="00ED5746" w:rsidRPr="00D23E19" w:rsidP="003B739D" w14:paraId="693E72AD" w14:textId="0302AFE7">
            <w:pPr>
              <w:tabs>
                <w:tab w:val="center" w:pos="4680"/>
              </w:tabs>
              <w:suppressAutoHyphens/>
              <w:rPr>
                <w:b/>
                <w:spacing w:val="-2"/>
              </w:rPr>
            </w:pPr>
          </w:p>
        </w:tc>
        <w:tc>
          <w:tcPr>
            <w:tcW w:w="4248" w:type="dxa"/>
          </w:tcPr>
          <w:p w:rsidR="00E44AC6" w:rsidP="00CF6B78" w14:paraId="05719545" w14:textId="77777777">
            <w:pPr>
              <w:tabs>
                <w:tab w:val="center" w:pos="4680"/>
              </w:tabs>
              <w:suppressAutoHyphens/>
              <w:ind w:left="432"/>
              <w:rPr>
                <w:spacing w:val="-2"/>
                <w:szCs w:val="22"/>
              </w:rPr>
            </w:pPr>
          </w:p>
          <w:p w:rsidR="00E44AC6" w:rsidP="00CF6B78" w14:paraId="71783AD3" w14:textId="77777777">
            <w:pPr>
              <w:tabs>
                <w:tab w:val="center" w:pos="4680"/>
              </w:tabs>
              <w:suppressAutoHyphens/>
              <w:ind w:left="432"/>
              <w:rPr>
                <w:spacing w:val="-2"/>
                <w:szCs w:val="22"/>
              </w:rPr>
            </w:pPr>
          </w:p>
          <w:p w:rsidR="009C6413" w:rsidRPr="007C0B39" w:rsidP="009C6413" w14:paraId="29E57781" w14:textId="77777777">
            <w:pPr>
              <w:tabs>
                <w:tab w:val="center" w:pos="4680"/>
              </w:tabs>
              <w:suppressAutoHyphens/>
              <w:ind w:left="432"/>
              <w:rPr>
                <w:spacing w:val="-2"/>
                <w:szCs w:val="22"/>
              </w:rPr>
            </w:pPr>
            <w:r w:rsidRPr="007C0B39">
              <w:rPr>
                <w:spacing w:val="-2"/>
                <w:szCs w:val="22"/>
              </w:rPr>
              <w:t xml:space="preserve">File No.:  </w:t>
            </w:r>
            <w:bookmarkStart w:id="0" w:name="_Hlk92806324"/>
            <w:r w:rsidRPr="00702E54">
              <w:rPr>
                <w:spacing w:val="-2"/>
                <w:szCs w:val="22"/>
              </w:rPr>
              <w:t>EB-IHD-20-00031519</w:t>
            </w:r>
            <w:bookmarkEnd w:id="0"/>
          </w:p>
          <w:p w:rsidR="009C6413" w:rsidRPr="007C0B39" w:rsidP="009C6413" w14:paraId="63265E16" w14:textId="0CF5B92E">
            <w:pPr>
              <w:ind w:left="432"/>
              <w:rPr>
                <w:spacing w:val="-2"/>
                <w:szCs w:val="22"/>
              </w:rPr>
            </w:pPr>
            <w:r>
              <w:rPr>
                <w:spacing w:val="-2"/>
                <w:szCs w:val="22"/>
              </w:rPr>
              <w:t xml:space="preserve">CD </w:t>
            </w:r>
            <w:r w:rsidRPr="007C0B39">
              <w:rPr>
                <w:spacing w:val="-2"/>
                <w:szCs w:val="22"/>
              </w:rPr>
              <w:t xml:space="preserve">Acct. No.:  </w:t>
            </w:r>
            <w:r w:rsidR="0079678D">
              <w:rPr>
                <w:spacing w:val="-2"/>
                <w:szCs w:val="22"/>
              </w:rPr>
              <w:t>202232080003</w:t>
            </w:r>
          </w:p>
          <w:p w:rsidR="00ED5746" w:rsidRPr="00D84548" w:rsidP="009C6413" w14:paraId="1DACCC82" w14:textId="51F4641B">
            <w:pPr>
              <w:tabs>
                <w:tab w:val="center" w:pos="4680"/>
              </w:tabs>
              <w:suppressAutoHyphens/>
              <w:ind w:left="432"/>
              <w:rPr>
                <w:snapToGrid/>
                <w:spacing w:val="-2"/>
              </w:rPr>
            </w:pPr>
            <w:r w:rsidRPr="007C0B39">
              <w:rPr>
                <w:szCs w:val="22"/>
              </w:rPr>
              <w:t xml:space="preserve">FRN:  </w:t>
            </w:r>
            <w:r w:rsidRPr="00702E54">
              <w:rPr>
                <w:spacing w:val="-2"/>
                <w:szCs w:val="22"/>
              </w:rPr>
              <w:t>0028770592</w:t>
            </w:r>
          </w:p>
        </w:tc>
      </w:tr>
    </w:tbl>
    <w:p w:rsidR="00E47E09" w:rsidP="00AA4B16" w14:paraId="691AE36A" w14:textId="77777777">
      <w:pPr>
        <w:jc w:val="center"/>
        <w:outlineLvl w:val="0"/>
        <w:rPr>
          <w:b/>
          <w:szCs w:val="22"/>
        </w:rPr>
      </w:pPr>
    </w:p>
    <w:p w:rsidR="00F84BCA" w:rsidRPr="00D84548" w:rsidP="00AA4B16" w14:paraId="378D8910" w14:textId="68824841">
      <w:pPr>
        <w:jc w:val="center"/>
        <w:outlineLvl w:val="0"/>
        <w:rPr>
          <w:b/>
          <w:szCs w:val="22"/>
        </w:rPr>
      </w:pPr>
      <w:r w:rsidRPr="00D84548">
        <w:rPr>
          <w:b/>
          <w:szCs w:val="22"/>
        </w:rPr>
        <w:t>ORDER</w:t>
      </w:r>
    </w:p>
    <w:p w:rsidR="00F84BCA" w:rsidRPr="00D84548" w:rsidP="00AA4B16" w14:paraId="4BD00AA5" w14:textId="77777777">
      <w:pPr>
        <w:tabs>
          <w:tab w:val="left" w:pos="-720"/>
        </w:tabs>
        <w:suppressAutoHyphens/>
        <w:spacing w:line="227" w:lineRule="auto"/>
        <w:rPr>
          <w:spacing w:val="-2"/>
        </w:rPr>
      </w:pPr>
    </w:p>
    <w:p w:rsidR="00F84BCA" w:rsidRPr="00D84548" w:rsidP="00F84BCA" w14:paraId="073541FF" w14:textId="1F8FCC7F">
      <w:pPr>
        <w:tabs>
          <w:tab w:val="left" w:pos="720"/>
          <w:tab w:val="right" w:pos="9360"/>
        </w:tabs>
        <w:suppressAutoHyphens/>
        <w:spacing w:line="227" w:lineRule="auto"/>
        <w:rPr>
          <w:spacing w:val="-2"/>
        </w:rPr>
      </w:pPr>
      <w:r w:rsidRPr="00D84548">
        <w:rPr>
          <w:b/>
          <w:spacing w:val="-2"/>
        </w:rPr>
        <w:t xml:space="preserve">Adopted:  </w:t>
      </w:r>
      <w:r w:rsidR="00E47E09">
        <w:rPr>
          <w:b/>
          <w:spacing w:val="-2"/>
        </w:rPr>
        <w:t xml:space="preserve">March 10, </w:t>
      </w:r>
      <w:r w:rsidRPr="00D84548" w:rsidR="00CF77B7">
        <w:rPr>
          <w:b/>
          <w:spacing w:val="-2"/>
        </w:rPr>
        <w:t>20</w:t>
      </w:r>
      <w:r w:rsidR="009C6413">
        <w:rPr>
          <w:b/>
          <w:spacing w:val="-2"/>
        </w:rPr>
        <w:t>22</w:t>
      </w:r>
      <w:r w:rsidRPr="00D84548">
        <w:rPr>
          <w:b/>
          <w:spacing w:val="-2"/>
        </w:rPr>
        <w:tab/>
        <w:t xml:space="preserve">Released:  </w:t>
      </w:r>
      <w:r w:rsidR="00E47E09">
        <w:rPr>
          <w:b/>
          <w:spacing w:val="-2"/>
        </w:rPr>
        <w:t>March 10,</w:t>
      </w:r>
      <w:r w:rsidRPr="00D84548" w:rsidR="00CF77B7">
        <w:rPr>
          <w:b/>
          <w:spacing w:val="-2"/>
        </w:rPr>
        <w:t xml:space="preserve"> </w:t>
      </w:r>
      <w:r w:rsidRPr="00D84548">
        <w:rPr>
          <w:b/>
          <w:spacing w:val="-2"/>
        </w:rPr>
        <w:t>20</w:t>
      </w:r>
      <w:r w:rsidR="009C6413">
        <w:rPr>
          <w:b/>
          <w:spacing w:val="-2"/>
        </w:rPr>
        <w:t>22</w:t>
      </w:r>
    </w:p>
    <w:p w:rsidR="00F84BCA" w:rsidRPr="00D84548" w:rsidP="00F84BCA" w14:paraId="21319640" w14:textId="77777777"/>
    <w:p w:rsidR="00E47E09" w:rsidP="00F84BCA" w14:paraId="525D8348" w14:textId="77777777">
      <w:pPr>
        <w:rPr>
          <w:spacing w:val="-2"/>
          <w:szCs w:val="22"/>
        </w:rPr>
      </w:pPr>
    </w:p>
    <w:p w:rsidR="00F84BCA" w:rsidRPr="00D84548" w:rsidP="00F84BCA" w14:paraId="065DDB16" w14:textId="6AA4E120">
      <w:pPr>
        <w:rPr>
          <w:spacing w:val="-2"/>
        </w:rPr>
      </w:pPr>
      <w:r w:rsidRPr="00D84548">
        <w:rPr>
          <w:spacing w:val="-2"/>
          <w:szCs w:val="22"/>
        </w:rPr>
        <w:t>By the</w:t>
      </w:r>
      <w:r w:rsidR="00A760F1">
        <w:rPr>
          <w:spacing w:val="-2"/>
          <w:szCs w:val="22"/>
        </w:rPr>
        <w:t xml:space="preserve"> Acting</w:t>
      </w:r>
      <w:r w:rsidRPr="00D84548">
        <w:rPr>
          <w:spacing w:val="-2"/>
          <w:szCs w:val="22"/>
        </w:rPr>
        <w:t xml:space="preserve"> </w:t>
      </w:r>
      <w:r w:rsidRPr="00D84548">
        <w:rPr>
          <w:spacing w:val="-2"/>
          <w:szCs w:val="22"/>
        </w:rPr>
        <w:t>Chief, Enforcement Bureau:</w:t>
      </w:r>
    </w:p>
    <w:p w:rsidR="00F84BCA" w:rsidRPr="00D84548" w:rsidP="00F84BCA" w14:paraId="59AA998E" w14:textId="77777777"/>
    <w:p w:rsidR="00F84BCA" w:rsidRPr="005B73A3" w:rsidP="00C21BD9" w14:paraId="00D1D021" w14:textId="7E691D7D">
      <w:pPr>
        <w:pStyle w:val="ParaNum"/>
        <w:numPr>
          <w:ilvl w:val="0"/>
          <w:numId w:val="4"/>
        </w:numPr>
        <w:tabs>
          <w:tab w:val="clear" w:pos="1080"/>
        </w:tabs>
        <w:rPr>
          <w:color w:val="000000"/>
          <w:szCs w:val="22"/>
        </w:rPr>
      </w:pPr>
      <w:r w:rsidRPr="00D84548">
        <w:rPr>
          <w:szCs w:val="22"/>
        </w:rPr>
        <w:t>T</w:t>
      </w:r>
      <w:r w:rsidRPr="00D84548">
        <w:rPr>
          <w:szCs w:val="22"/>
        </w:rPr>
        <w:t xml:space="preserve">he Enforcement Bureau </w:t>
      </w:r>
      <w:r w:rsidRPr="007C0B39" w:rsidR="00983641">
        <w:t>of the Federal Communications Commission</w:t>
      </w:r>
      <w:r w:rsidR="005B73A3">
        <w:rPr>
          <w:szCs w:val="22"/>
        </w:rPr>
        <w:t xml:space="preserve"> and Atrium Hospitality LP (Atrium) </w:t>
      </w:r>
      <w:r w:rsidRPr="00D84548">
        <w:rPr>
          <w:szCs w:val="22"/>
        </w:rPr>
        <w:t>ha</w:t>
      </w:r>
      <w:r w:rsidR="005B73A3">
        <w:rPr>
          <w:szCs w:val="22"/>
        </w:rPr>
        <w:t>ve</w:t>
      </w:r>
      <w:r w:rsidRPr="00D84548">
        <w:rPr>
          <w:szCs w:val="22"/>
        </w:rPr>
        <w:t xml:space="preserve"> entered into a Consent Decree to resolve </w:t>
      </w:r>
      <w:r w:rsidRPr="007C0B39" w:rsidR="005B73A3">
        <w:t xml:space="preserve">the </w:t>
      </w:r>
      <w:r w:rsidR="00432F78">
        <w:t xml:space="preserve">Enforcement </w:t>
      </w:r>
      <w:r w:rsidRPr="007C0B39" w:rsidR="005B73A3">
        <w:t xml:space="preserve">Bureau’s investigation into whether </w:t>
      </w:r>
      <w:r w:rsidR="005B73A3">
        <w:t>Atrium</w:t>
      </w:r>
      <w:r w:rsidRPr="007C0B39" w:rsidR="005B73A3">
        <w:t xml:space="preserve"> violated </w:t>
      </w:r>
      <w:r w:rsidRPr="004A04C6" w:rsidR="005B73A3">
        <w:rPr>
          <w:szCs w:val="22"/>
        </w:rPr>
        <w:t>section 310(d) of the Communications Act of 1934, as amended (Act),</w:t>
      </w:r>
      <w:r>
        <w:rPr>
          <w:rStyle w:val="FootnoteReference"/>
        </w:rPr>
        <w:footnoteReference w:id="3"/>
      </w:r>
      <w:r w:rsidR="005B73A3">
        <w:rPr>
          <w:kern w:val="0"/>
          <w:sz w:val="24"/>
          <w:szCs w:val="24"/>
        </w:rPr>
        <w:t xml:space="preserve"> </w:t>
      </w:r>
      <w:r w:rsidRPr="004A04C6" w:rsidR="005B73A3">
        <w:rPr>
          <w:szCs w:val="22"/>
        </w:rPr>
        <w:t>and section 1.948 of the Commission’s rules</w:t>
      </w:r>
      <w:r w:rsidR="005B73A3">
        <w:rPr>
          <w:szCs w:val="22"/>
        </w:rPr>
        <w:t>.</w:t>
      </w:r>
      <w:r>
        <w:rPr>
          <w:rStyle w:val="FootnoteReference"/>
          <w:sz w:val="22"/>
        </w:rPr>
        <w:footnoteReference w:id="4"/>
      </w:r>
      <w:r w:rsidR="002C4850">
        <w:rPr>
          <w:szCs w:val="22"/>
        </w:rPr>
        <w:t xml:space="preserve">  The violations pertain to </w:t>
      </w:r>
      <w:r w:rsidRPr="00213F0D" w:rsidR="002C4850">
        <w:t>Atrium</w:t>
      </w:r>
      <w:r w:rsidR="002C4850">
        <w:t xml:space="preserve">’s </w:t>
      </w:r>
      <w:r w:rsidRPr="00213F0D" w:rsidR="002C4850">
        <w:t xml:space="preserve">failure to seek Commission approval prior to acquiring </w:t>
      </w:r>
      <w:r w:rsidR="002047F0">
        <w:t xml:space="preserve">25 wireless radio licenses </w:t>
      </w:r>
      <w:r w:rsidRPr="00213F0D" w:rsidR="002C4850">
        <w:t xml:space="preserve">from numerous </w:t>
      </w:r>
      <w:r w:rsidR="00F169A1">
        <w:t xml:space="preserve">entities controlled by </w:t>
      </w:r>
      <w:r w:rsidRPr="00213F0D" w:rsidR="002C4850">
        <w:t>John Q. Hammons in connection with their bankruptcy reorganization.</w:t>
      </w:r>
      <w:r w:rsidR="002C4850">
        <w:rPr>
          <w:szCs w:val="22"/>
        </w:rPr>
        <w:t xml:space="preserve">  T</w:t>
      </w:r>
      <w:r w:rsidR="002C4850">
        <w:t xml:space="preserve">o resolve this matter, Atrium agrees to </w:t>
      </w:r>
      <w:r w:rsidRPr="007E5DAB" w:rsidR="002C4850">
        <w:t xml:space="preserve">implement a compliance plan and to pay a </w:t>
      </w:r>
      <w:r w:rsidRPr="0030328D" w:rsidR="002C4850">
        <w:t>$35,000</w:t>
      </w:r>
      <w:r w:rsidRPr="00983641" w:rsidR="002C4850">
        <w:t xml:space="preserve"> civil</w:t>
      </w:r>
      <w:r w:rsidRPr="007E5DAB" w:rsidR="002C4850">
        <w:t xml:space="preserve"> penalty</w:t>
      </w:r>
      <w:r w:rsidR="002C4850">
        <w:t xml:space="preserve">.  </w:t>
      </w:r>
      <w:r w:rsidRPr="007E5DAB" w:rsidR="002C4850">
        <w:t>This action will reinforce the Commission’s commitment to ensuring that the transfer and assignment of wireless authorizations is limited to instances where the Commission has determined that such a transfer or assignment is in the public’s interest, convenience, and necessity.</w:t>
      </w:r>
      <w:r w:rsidRPr="00D84548">
        <w:rPr>
          <w:szCs w:val="22"/>
        </w:rPr>
        <w:t xml:space="preserve"> </w:t>
      </w:r>
    </w:p>
    <w:p w:rsidR="00B277A4" w:rsidRPr="00D84548" w:rsidP="00C21BD9" w14:paraId="0C2A38EA" w14:textId="6FEF13DD">
      <w:pPr>
        <w:pStyle w:val="ParaNum"/>
        <w:numPr>
          <w:ilvl w:val="0"/>
          <w:numId w:val="4"/>
        </w:numPr>
        <w:tabs>
          <w:tab w:val="clear" w:pos="1080"/>
          <w:tab w:val="left" w:pos="1440"/>
        </w:tabs>
        <w:rPr>
          <w:szCs w:val="22"/>
        </w:rPr>
      </w:pPr>
      <w:r w:rsidRPr="00D84548">
        <w:rPr>
          <w:szCs w:val="22"/>
        </w:rPr>
        <w:t>After reviewing the terms of the Consent Decree and evaluating the facts before us, we find that the public interest would be served by adopting the Consent Decree and terminating the referenced investigation</w:t>
      </w:r>
      <w:r w:rsidRPr="00D84548">
        <w:rPr>
          <w:szCs w:val="22"/>
        </w:rPr>
        <w:t xml:space="preserve"> regarding </w:t>
      </w:r>
      <w:r w:rsidR="002C4850">
        <w:rPr>
          <w:szCs w:val="22"/>
        </w:rPr>
        <w:t>Atrium’s</w:t>
      </w:r>
      <w:r w:rsidRPr="00D84548">
        <w:rPr>
          <w:szCs w:val="22"/>
        </w:rPr>
        <w:t xml:space="preserve"> compliance with </w:t>
      </w:r>
      <w:r w:rsidRPr="00BF0BDB" w:rsidR="002C4850">
        <w:rPr>
          <w:szCs w:val="22"/>
        </w:rPr>
        <w:t>the Act</w:t>
      </w:r>
      <w:r>
        <w:rPr>
          <w:rStyle w:val="FootnoteReference"/>
          <w:sz w:val="22"/>
          <w:szCs w:val="22"/>
        </w:rPr>
        <w:footnoteReference w:id="5"/>
      </w:r>
      <w:r w:rsidRPr="008C5719" w:rsidR="002C4850">
        <w:rPr>
          <w:szCs w:val="22"/>
        </w:rPr>
        <w:t xml:space="preserve"> and the </w:t>
      </w:r>
      <w:r w:rsidRPr="00BF0BDB" w:rsidR="002C4850">
        <w:rPr>
          <w:szCs w:val="22"/>
        </w:rPr>
        <w:t>Commission’s rules</w:t>
      </w:r>
      <w:r>
        <w:rPr>
          <w:rStyle w:val="FootnoteReference"/>
          <w:sz w:val="22"/>
          <w:szCs w:val="22"/>
        </w:rPr>
        <w:footnoteReference w:id="6"/>
      </w:r>
      <w:r w:rsidRPr="008C5719" w:rsidR="002C4850">
        <w:rPr>
          <w:szCs w:val="22"/>
        </w:rPr>
        <w:t xml:space="preserve"> pertain</w:t>
      </w:r>
      <w:r w:rsidRPr="00BF0BDB" w:rsidR="002C4850">
        <w:rPr>
          <w:szCs w:val="22"/>
        </w:rPr>
        <w:t>ing to unauthorized transfers of control and assignments of licenses.</w:t>
      </w:r>
      <w:r w:rsidRPr="00D84548" w:rsidR="002C4850">
        <w:rPr>
          <w:szCs w:val="22"/>
        </w:rPr>
        <w:t xml:space="preserve"> </w:t>
      </w:r>
    </w:p>
    <w:p w:rsidR="00F84BCA" w:rsidRPr="00D84548" w:rsidP="00C21BD9" w14:paraId="4AD621F4" w14:textId="19DFA328">
      <w:pPr>
        <w:pStyle w:val="ParaNum"/>
        <w:numPr>
          <w:ilvl w:val="0"/>
          <w:numId w:val="4"/>
        </w:numPr>
        <w:tabs>
          <w:tab w:val="clear" w:pos="1080"/>
          <w:tab w:val="left" w:pos="1440"/>
        </w:tabs>
        <w:rPr>
          <w:szCs w:val="22"/>
        </w:rPr>
      </w:pPr>
      <w:r>
        <w:rPr>
          <w:szCs w:val="22"/>
        </w:rPr>
        <w:t xml:space="preserve">In the absence of material new evidence relating to this matter, we do not set for hearing the question of </w:t>
      </w:r>
      <w:r w:rsidR="002C4850">
        <w:rPr>
          <w:szCs w:val="22"/>
        </w:rPr>
        <w:t>Atrium’s</w:t>
      </w:r>
      <w:r>
        <w:rPr>
          <w:szCs w:val="22"/>
        </w:rPr>
        <w:t xml:space="preserve"> basic qualifications to hold or obtain an</w:t>
      </w:r>
      <w:r w:rsidR="00F74D07">
        <w:rPr>
          <w:szCs w:val="22"/>
        </w:rPr>
        <w:t>y</w:t>
      </w:r>
      <w:r>
        <w:rPr>
          <w:szCs w:val="22"/>
        </w:rPr>
        <w:t xml:space="preserve"> Commission license or authorization.</w:t>
      </w:r>
      <w:r>
        <w:rPr>
          <w:rStyle w:val="FootnoteReference"/>
          <w:szCs w:val="22"/>
        </w:rPr>
        <w:footnoteReference w:id="7"/>
      </w:r>
    </w:p>
    <w:p w:rsidR="00F84BCA" w:rsidRPr="00D84548" w:rsidP="00C21BD9" w14:paraId="13E174C8" w14:textId="7DF233AF">
      <w:pPr>
        <w:pStyle w:val="ParaNum"/>
        <w:numPr>
          <w:ilvl w:val="0"/>
          <w:numId w:val="4"/>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w:t>
      </w:r>
      <w:r w:rsidRPr="00BF0BDB" w:rsidR="002C4850">
        <w:rPr>
          <w:szCs w:val="22"/>
        </w:rPr>
        <w:t>pursuant to section</w:t>
      </w:r>
      <w:r w:rsidRPr="00BF0BDB" w:rsidR="002C4850">
        <w:rPr>
          <w:b/>
          <w:szCs w:val="22"/>
        </w:rPr>
        <w:t xml:space="preserve"> </w:t>
      </w:r>
      <w:r w:rsidRPr="00BF0BDB" w:rsidR="002C4850">
        <w:rPr>
          <w:szCs w:val="22"/>
        </w:rPr>
        <w:t>4(</w:t>
      </w:r>
      <w:r w:rsidRPr="00BF0BDB" w:rsidR="002C4850">
        <w:rPr>
          <w:szCs w:val="22"/>
        </w:rPr>
        <w:t>i</w:t>
      </w:r>
      <w:r w:rsidRPr="00BF0BDB" w:rsidR="002C4850">
        <w:rPr>
          <w:szCs w:val="22"/>
        </w:rPr>
        <w:t>) of the Act</w:t>
      </w:r>
      <w:r>
        <w:rPr>
          <w:rStyle w:val="FootnoteReference"/>
          <w:sz w:val="22"/>
          <w:szCs w:val="22"/>
        </w:rPr>
        <w:footnoteReference w:id="8"/>
      </w:r>
      <w:r w:rsidRPr="00BF0BDB" w:rsidR="002C4850">
        <w:rPr>
          <w:szCs w:val="22"/>
        </w:rPr>
        <w:t xml:space="preserve"> and the authority delegated by sections 0.111 and 0.311 of the Commission’s rules,</w:t>
      </w:r>
      <w:r>
        <w:rPr>
          <w:rStyle w:val="FootnoteReference"/>
          <w:sz w:val="22"/>
          <w:szCs w:val="22"/>
        </w:rPr>
        <w:footnoteReference w:id="9"/>
      </w:r>
      <w:r w:rsidRPr="00D84548">
        <w:rPr>
          <w:szCs w:val="22"/>
        </w:rPr>
        <w:t xml:space="preserve"> the attached Consent Decree </w:t>
      </w:r>
      <w:r w:rsidRPr="00D84548">
        <w:rPr>
          <w:b/>
          <w:szCs w:val="22"/>
        </w:rPr>
        <w:t>IS ADOPTED</w:t>
      </w:r>
      <w:r w:rsidRPr="00D84548" w:rsidR="00B87679">
        <w:rPr>
          <w:b/>
          <w:szCs w:val="22"/>
        </w:rPr>
        <w:t xml:space="preserve"> </w:t>
      </w:r>
      <w:r w:rsidRPr="00D84548" w:rsidR="00B87679">
        <w:rPr>
          <w:szCs w:val="22"/>
        </w:rPr>
        <w:t xml:space="preserve">and </w:t>
      </w:r>
      <w:r w:rsidRPr="00D84548" w:rsidR="00433E5E">
        <w:rPr>
          <w:szCs w:val="22"/>
        </w:rPr>
        <w:t>its terms incorporated by</w:t>
      </w:r>
      <w:r w:rsidRPr="00D84548" w:rsidR="00B87679">
        <w:rPr>
          <w:szCs w:val="22"/>
        </w:rPr>
        <w:t xml:space="preserve"> reference</w:t>
      </w:r>
      <w:r w:rsidRPr="00D84548">
        <w:rPr>
          <w:szCs w:val="22"/>
        </w:rPr>
        <w:t>.</w:t>
      </w:r>
    </w:p>
    <w:p w:rsidR="00F84BCA" w:rsidRPr="00D84548" w:rsidP="00C21BD9" w14:paraId="4B49E470" w14:textId="3B9F2BD5">
      <w:pPr>
        <w:pStyle w:val="ParaNum"/>
        <w:numPr>
          <w:ilvl w:val="0"/>
          <w:numId w:val="4"/>
        </w:numPr>
        <w:tabs>
          <w:tab w:val="clear" w:pos="1080"/>
          <w:tab w:val="left" w:pos="1440"/>
        </w:tabs>
        <w:rPr>
          <w:b/>
        </w:rPr>
      </w:pPr>
      <w:r w:rsidRPr="00D84548">
        <w:rPr>
          <w:b/>
        </w:rPr>
        <w:t>IT IS FURTHER ORDERED</w:t>
      </w:r>
      <w:r w:rsidRPr="00D84548">
        <w:t xml:space="preserve"> that the above-captioned matter </w:t>
      </w:r>
      <w:r w:rsidRPr="00D84548">
        <w:rPr>
          <w:b/>
        </w:rPr>
        <w:t>IS</w:t>
      </w:r>
      <w:r w:rsidR="002C4850">
        <w:rPr>
          <w:b/>
        </w:rPr>
        <w:t xml:space="preserve"> TERMINATED</w:t>
      </w:r>
      <w:r w:rsidRPr="00D84548">
        <w:t>.</w:t>
      </w:r>
    </w:p>
    <w:p w:rsidR="00F84BCA" w:rsidRPr="00D84548" w:rsidP="00C21BD9" w14:paraId="215A29F1" w14:textId="55C5B6C9">
      <w:pPr>
        <w:pStyle w:val="ParaNum"/>
        <w:widowControl/>
        <w:numPr>
          <w:ilvl w:val="0"/>
          <w:numId w:val="4"/>
        </w:numPr>
        <w:tabs>
          <w:tab w:val="clear" w:pos="1080"/>
          <w:tab w:val="left" w:pos="1440"/>
        </w:tabs>
        <w:rPr>
          <w:szCs w:val="22"/>
        </w:rPr>
      </w:pPr>
      <w:r w:rsidRPr="00D84548">
        <w:rPr>
          <w:b/>
        </w:rPr>
        <w:t>IT IS FURTHER ORDERED</w:t>
      </w:r>
      <w:r w:rsidRPr="00D84548">
        <w:t xml:space="preserve"> that a copy of this Order and Consent Decree </w:t>
      </w:r>
      <w:r w:rsidRPr="00981F23" w:rsidR="00D84548">
        <w:rPr>
          <w:color w:val="000000" w:themeColor="text1"/>
          <w:szCs w:val="22"/>
        </w:rPr>
        <w:t xml:space="preserve">shall be </w:t>
      </w:r>
      <w:r w:rsidR="007763EE">
        <w:rPr>
          <w:color w:val="000000" w:themeColor="text1"/>
          <w:szCs w:val="22"/>
        </w:rPr>
        <w:t>served via e-mail</w:t>
      </w:r>
      <w:r w:rsidRPr="00981F23" w:rsidR="00D84548">
        <w:rPr>
          <w:color w:val="000000" w:themeColor="text1"/>
          <w:szCs w:val="22"/>
        </w:rPr>
        <w:t xml:space="preserve"> to </w:t>
      </w:r>
      <w:r w:rsidR="002C4850">
        <w:rPr>
          <w:color w:val="000000" w:themeColor="text1"/>
          <w:szCs w:val="22"/>
        </w:rPr>
        <w:t xml:space="preserve">Seth </w:t>
      </w:r>
      <w:r w:rsidR="002C4850">
        <w:rPr>
          <w:color w:val="000000" w:themeColor="text1"/>
          <w:szCs w:val="22"/>
        </w:rPr>
        <w:t>Ruzi</w:t>
      </w:r>
      <w:r w:rsidR="002C4850">
        <w:rPr>
          <w:color w:val="000000" w:themeColor="text1"/>
          <w:szCs w:val="22"/>
        </w:rPr>
        <w:t xml:space="preserve">, General Counsel, Atrium Hospitality LP, at </w:t>
      </w:r>
      <w:hyperlink r:id="rId5" w:history="1">
        <w:r w:rsidRPr="00A61950" w:rsidR="002C4850">
          <w:rPr>
            <w:rStyle w:val="Hyperlink"/>
            <w:szCs w:val="22"/>
          </w:rPr>
          <w:t>sruzi@atriumhospitality.com</w:t>
        </w:r>
      </w:hyperlink>
      <w:r w:rsidR="002C4850">
        <w:rPr>
          <w:color w:val="000000" w:themeColor="text1"/>
          <w:szCs w:val="22"/>
        </w:rPr>
        <w:t>, and to</w:t>
      </w:r>
      <w:r w:rsidRPr="00981F23" w:rsidR="00D84548">
        <w:rPr>
          <w:color w:val="000000" w:themeColor="text1"/>
          <w:szCs w:val="22"/>
        </w:rPr>
        <w:t xml:space="preserve"> </w:t>
      </w:r>
      <w:r w:rsidR="002C4850">
        <w:rPr>
          <w:color w:val="000000" w:themeColor="text1"/>
          <w:szCs w:val="22"/>
        </w:rPr>
        <w:t xml:space="preserve">Peter </w:t>
      </w:r>
      <w:r w:rsidR="002C4850">
        <w:rPr>
          <w:color w:val="000000" w:themeColor="text1"/>
          <w:szCs w:val="22"/>
        </w:rPr>
        <w:t>Schwingler</w:t>
      </w:r>
      <w:r w:rsidR="002C4850">
        <w:rPr>
          <w:color w:val="000000" w:themeColor="text1"/>
          <w:szCs w:val="22"/>
        </w:rPr>
        <w:t xml:space="preserve">, counsel for Atrium Hospitality LP, at </w:t>
      </w:r>
      <w:hyperlink r:id="rId6" w:history="1">
        <w:r w:rsidRPr="00A61950" w:rsidR="002C4850">
          <w:rPr>
            <w:rStyle w:val="Hyperlink"/>
            <w:szCs w:val="22"/>
          </w:rPr>
          <w:t>peter.schwingler@stinson.com</w:t>
        </w:r>
      </w:hyperlink>
      <w:r w:rsidRPr="00981F23" w:rsidR="00D84548">
        <w:rPr>
          <w:color w:val="000000" w:themeColor="text1"/>
          <w:szCs w:val="22"/>
        </w:rPr>
        <w:t>.</w:t>
      </w:r>
    </w:p>
    <w:p w:rsidR="00F84BCA" w:rsidP="00F84BCA" w14:paraId="1B07C337" w14:textId="77777777">
      <w:pPr>
        <w:pStyle w:val="ParaNum"/>
        <w:numPr>
          <w:ilvl w:val="0"/>
          <w:numId w:val="0"/>
        </w:numPr>
        <w:tabs>
          <w:tab w:val="left" w:pos="1440"/>
        </w:tabs>
        <w:spacing w:after="240"/>
        <w:ind w:left="720"/>
        <w:rPr>
          <w:b/>
        </w:rPr>
      </w:pPr>
    </w:p>
    <w:p w:rsidR="00F84BCA" w:rsidRPr="00EF505E" w:rsidP="00F84BCA" w14:paraId="13D8E575" w14:textId="0B02D3E4">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sidR="000A4143">
        <w:rPr>
          <w:szCs w:val="22"/>
          <w:lang w:val="fr-FR"/>
        </w:rPr>
        <w:tab/>
      </w:r>
      <w:r w:rsidRPr="00EF505E">
        <w:rPr>
          <w:szCs w:val="22"/>
          <w:lang w:val="fr-FR"/>
        </w:rPr>
        <w:t>FEDERAL COMMUNICATIONS COMMISSION</w:t>
      </w:r>
    </w:p>
    <w:p w:rsidR="00F84BCA" w:rsidRPr="00EF505E" w:rsidP="00F84BCA" w14:paraId="02E77021" w14:textId="77777777">
      <w:pPr>
        <w:rPr>
          <w:szCs w:val="22"/>
          <w:lang w:val="fr-FR"/>
        </w:rPr>
      </w:pPr>
    </w:p>
    <w:p w:rsidR="00F84BCA" w:rsidRPr="00EF505E" w:rsidP="00F84BCA" w14:paraId="03C5656E" w14:textId="77777777">
      <w:pPr>
        <w:rPr>
          <w:szCs w:val="22"/>
          <w:lang w:val="fr-FR"/>
        </w:rPr>
      </w:pPr>
    </w:p>
    <w:p w:rsidR="00F84BCA" w:rsidRPr="00EF505E" w:rsidP="00F84BCA" w14:paraId="46D0CC5C" w14:textId="5037E2C1">
      <w:pPr>
        <w:rPr>
          <w:szCs w:val="22"/>
          <w:lang w:val="fr-FR"/>
        </w:rPr>
      </w:pPr>
    </w:p>
    <w:p w:rsidR="00F84BCA" w:rsidRPr="00EF505E" w:rsidP="00F84BCA" w14:paraId="533CB404" w14:textId="77777777">
      <w:pPr>
        <w:outlineLvl w:val="0"/>
        <w:rPr>
          <w:szCs w:val="22"/>
          <w:lang w:val="fr-FR"/>
        </w:rPr>
      </w:pPr>
    </w:p>
    <w:p w:rsidR="00F84BCA" w:rsidP="00F84BCA" w14:paraId="5AD2E467" w14:textId="667221EE">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sidR="000A4143">
        <w:rPr>
          <w:szCs w:val="22"/>
          <w:lang w:val="fr-FR"/>
        </w:rPr>
        <w:tab/>
      </w:r>
      <w:r w:rsidR="00E36707">
        <w:rPr>
          <w:szCs w:val="22"/>
          <w:lang w:val="fr-FR"/>
        </w:rPr>
        <w:t xml:space="preserve">Loyaan </w:t>
      </w:r>
      <w:r w:rsidR="006F3BFC">
        <w:rPr>
          <w:szCs w:val="22"/>
          <w:lang w:val="fr-FR"/>
        </w:rPr>
        <w:t xml:space="preserve">A. </w:t>
      </w:r>
      <w:r w:rsidR="00E36707">
        <w:rPr>
          <w:szCs w:val="22"/>
          <w:lang w:val="fr-FR"/>
        </w:rPr>
        <w:t>Egal</w:t>
      </w:r>
      <w:r w:rsidR="00D84548">
        <w:rPr>
          <w:szCs w:val="22"/>
          <w:lang w:val="fr-FR"/>
        </w:rPr>
        <w:t xml:space="preserve"> </w:t>
      </w:r>
    </w:p>
    <w:p w:rsidR="00D84548" w:rsidP="00F84BCA" w14:paraId="24F40FCB" w14:textId="1FA6FC00">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sidR="000A4143">
        <w:rPr>
          <w:szCs w:val="22"/>
          <w:lang w:val="fr-FR"/>
        </w:rPr>
        <w:tab/>
      </w:r>
      <w:r w:rsidR="00E36707">
        <w:rPr>
          <w:szCs w:val="22"/>
          <w:lang w:val="fr-FR"/>
        </w:rPr>
        <w:t xml:space="preserve">Acting </w:t>
      </w:r>
      <w:r w:rsidRPr="00A15CBD" w:rsidR="00F84BCA">
        <w:rPr>
          <w:szCs w:val="22"/>
        </w:rPr>
        <w:t>C</w:t>
      </w:r>
      <w:r w:rsidR="00F84BCA">
        <w:rPr>
          <w:szCs w:val="22"/>
        </w:rPr>
        <w:t>hief</w:t>
      </w:r>
      <w:r w:rsidR="00EF1C44">
        <w:rPr>
          <w:szCs w:val="22"/>
        </w:rPr>
        <w:t xml:space="preserve"> </w:t>
      </w:r>
    </w:p>
    <w:p w:rsidR="00F84BCA" w:rsidP="000A4143" w14:paraId="67913349" w14:textId="7B992155">
      <w:pPr>
        <w:ind w:left="3600" w:firstLine="720"/>
        <w:outlineLvl w:val="0"/>
        <w:rPr>
          <w:szCs w:val="22"/>
        </w:rPr>
      </w:pPr>
      <w:r>
        <w:rPr>
          <w:szCs w:val="22"/>
        </w:rPr>
        <w:t>Enforcement Bureau</w:t>
      </w:r>
    </w:p>
    <w:p w:rsidR="00542F14" w:rsidP="00CF77B7" w14:paraId="499F6791" w14:textId="4E2A78EB">
      <w:pPr>
        <w:rPr>
          <w:szCs w:val="22"/>
        </w:rPr>
      </w:pPr>
    </w:p>
    <w:p w:rsidR="00542F14" w:rsidP="00CF77B7" w14:paraId="16067D65" w14:textId="77777777">
      <w:pPr>
        <w:rPr>
          <w:szCs w:val="22"/>
        </w:rPr>
        <w:sectPr w:rsidSect="00A36B4A">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095" w:right="1440" w:bottom="720" w:left="1440" w:header="720" w:footer="720" w:gutter="0"/>
          <w:pgNumType w:start="1"/>
          <w:cols w:space="720"/>
          <w:noEndnote/>
          <w:titlePg/>
          <w:docGrid w:linePitch="299"/>
        </w:sectPr>
      </w:pPr>
    </w:p>
    <w:p w:rsidR="00C21BD9" w:rsidRPr="00843A5F" w:rsidP="00C21BD9" w14:paraId="5F648E42" w14:textId="77777777">
      <w:pPr>
        <w:jc w:val="center"/>
        <w:rPr>
          <w:b/>
        </w:rPr>
      </w:pPr>
      <w:r w:rsidRPr="00843A5F">
        <w:rPr>
          <w:rFonts w:ascii="Times New Roman Bold" w:hAnsi="Times New Roman Bold"/>
          <w:b/>
          <w:kern w:val="0"/>
          <w:szCs w:val="22"/>
        </w:rPr>
        <w:t>Before</w:t>
      </w:r>
      <w:r w:rsidRPr="00843A5F">
        <w:rPr>
          <w:b/>
        </w:rPr>
        <w:t xml:space="preserve"> the</w:t>
      </w:r>
    </w:p>
    <w:p w:rsidR="00C21BD9" w:rsidRPr="00843A5F" w:rsidP="00C21BD9" w14:paraId="2FB257F0" w14:textId="77777777">
      <w:pPr>
        <w:pStyle w:val="StyleBoldCentered"/>
      </w:pPr>
      <w:r w:rsidRPr="00843A5F">
        <w:t>F</w:t>
      </w:r>
      <w:r w:rsidRPr="00843A5F">
        <w:rPr>
          <w:caps w:val="0"/>
        </w:rPr>
        <w:t>ederal Communications Commission</w:t>
      </w:r>
    </w:p>
    <w:p w:rsidR="00C21BD9" w:rsidRPr="00843A5F" w:rsidP="00C21BD9" w14:paraId="67E4637C" w14:textId="77777777">
      <w:pPr>
        <w:pStyle w:val="StyleBoldCentered"/>
      </w:pPr>
      <w:r w:rsidRPr="00843A5F">
        <w:rPr>
          <w:caps w:val="0"/>
        </w:rPr>
        <w:t>Washington, D</w:t>
      </w:r>
      <w:r>
        <w:rPr>
          <w:caps w:val="0"/>
        </w:rPr>
        <w:t>.</w:t>
      </w:r>
      <w:r w:rsidRPr="00843A5F">
        <w:rPr>
          <w:caps w:val="0"/>
        </w:rPr>
        <w:t>C</w:t>
      </w:r>
      <w:r>
        <w:rPr>
          <w:caps w:val="0"/>
        </w:rPr>
        <w:t>.</w:t>
      </w:r>
      <w:r w:rsidRPr="00843A5F">
        <w:rPr>
          <w:caps w:val="0"/>
        </w:rPr>
        <w:t xml:space="preserve"> 20554</w:t>
      </w:r>
    </w:p>
    <w:p w:rsidR="00C21BD9" w:rsidRPr="00843A5F" w:rsidP="00C21BD9" w14:paraId="3FC968F5" w14:textId="77777777"/>
    <w:tbl>
      <w:tblPr>
        <w:tblW w:w="9576" w:type="dxa"/>
        <w:tblLayout w:type="fixed"/>
        <w:tblLook w:val="0000"/>
      </w:tblPr>
      <w:tblGrid>
        <w:gridCol w:w="4698"/>
        <w:gridCol w:w="630"/>
        <w:gridCol w:w="4248"/>
      </w:tblGrid>
      <w:tr w14:paraId="451F3EFC" w14:textId="77777777" w:rsidTr="00FF171A">
        <w:tblPrEx>
          <w:tblW w:w="9576" w:type="dxa"/>
          <w:tblLayout w:type="fixed"/>
          <w:tblLook w:val="0000"/>
        </w:tblPrEx>
        <w:trPr>
          <w:trHeight w:val="2043"/>
        </w:trPr>
        <w:tc>
          <w:tcPr>
            <w:tcW w:w="4698" w:type="dxa"/>
          </w:tcPr>
          <w:p w:rsidR="00C21BD9" w:rsidRPr="00843A5F" w:rsidP="00FF171A" w14:paraId="2CCC61D6" w14:textId="77777777">
            <w:pPr>
              <w:tabs>
                <w:tab w:val="center" w:pos="4680"/>
              </w:tabs>
              <w:suppressAutoHyphens/>
              <w:rPr>
                <w:spacing w:val="-2"/>
              </w:rPr>
            </w:pPr>
            <w:r w:rsidRPr="00843A5F">
              <w:rPr>
                <w:spacing w:val="-2"/>
              </w:rPr>
              <w:t>In the Matter of</w:t>
            </w:r>
          </w:p>
          <w:p w:rsidR="00C21BD9" w:rsidRPr="00843A5F" w:rsidP="00FF171A" w14:paraId="37D2189F" w14:textId="77777777">
            <w:pPr>
              <w:tabs>
                <w:tab w:val="center" w:pos="4680"/>
              </w:tabs>
              <w:suppressAutoHyphens/>
              <w:rPr>
                <w:spacing w:val="-2"/>
              </w:rPr>
            </w:pPr>
          </w:p>
          <w:p w:rsidR="00C21BD9" w:rsidP="00FF171A" w14:paraId="1207695A" w14:textId="77777777">
            <w:pPr>
              <w:tabs>
                <w:tab w:val="center" w:pos="4680"/>
              </w:tabs>
              <w:suppressAutoHyphens/>
              <w:rPr>
                <w:szCs w:val="22"/>
              </w:rPr>
            </w:pPr>
            <w:r w:rsidRPr="00FC2E5F">
              <w:rPr>
                <w:szCs w:val="22"/>
              </w:rPr>
              <w:t>Atrium Hospitality LP</w:t>
            </w:r>
          </w:p>
          <w:p w:rsidR="00C21BD9" w:rsidP="00FF171A" w14:paraId="41615027" w14:textId="77777777">
            <w:pPr>
              <w:tabs>
                <w:tab w:val="center" w:pos="4680"/>
              </w:tabs>
              <w:suppressAutoHyphens/>
              <w:rPr>
                <w:szCs w:val="22"/>
              </w:rPr>
            </w:pPr>
          </w:p>
          <w:p w:rsidR="00C21BD9" w:rsidP="00FF171A" w14:paraId="4D4CB352" w14:textId="77777777">
            <w:pPr>
              <w:tabs>
                <w:tab w:val="center" w:pos="4680"/>
              </w:tabs>
              <w:suppressAutoHyphens/>
              <w:rPr>
                <w:szCs w:val="22"/>
              </w:rPr>
            </w:pPr>
          </w:p>
          <w:p w:rsidR="00C21BD9" w:rsidRPr="007C0B39" w:rsidP="00FF171A" w14:paraId="128831C0" w14:textId="77777777">
            <w:pPr>
              <w:tabs>
                <w:tab w:val="center" w:pos="4680"/>
              </w:tabs>
              <w:suppressAutoHyphens/>
              <w:rPr>
                <w:spacing w:val="-2"/>
              </w:rPr>
            </w:pPr>
            <w:r>
              <w:rPr>
                <w:szCs w:val="22"/>
              </w:rPr>
              <w:t>Holding Various Licenses in the Wireless Radio Service</w:t>
            </w:r>
          </w:p>
        </w:tc>
        <w:tc>
          <w:tcPr>
            <w:tcW w:w="630" w:type="dxa"/>
          </w:tcPr>
          <w:p w:rsidR="00C21BD9" w:rsidRPr="007C0B39" w:rsidP="00FF171A" w14:paraId="0DE947E1" w14:textId="77777777">
            <w:pPr>
              <w:tabs>
                <w:tab w:val="center" w:pos="4680"/>
              </w:tabs>
              <w:suppressAutoHyphens/>
              <w:rPr>
                <w:b/>
                <w:spacing w:val="-2"/>
              </w:rPr>
            </w:pPr>
            <w:r w:rsidRPr="007C0B39">
              <w:rPr>
                <w:b/>
                <w:spacing w:val="-2"/>
              </w:rPr>
              <w:t>)</w:t>
            </w:r>
          </w:p>
          <w:p w:rsidR="00C21BD9" w:rsidRPr="007C0B39" w:rsidP="00FF171A" w14:paraId="49772DE6" w14:textId="77777777">
            <w:pPr>
              <w:tabs>
                <w:tab w:val="center" w:pos="4680"/>
              </w:tabs>
              <w:suppressAutoHyphens/>
              <w:rPr>
                <w:b/>
                <w:spacing w:val="-2"/>
              </w:rPr>
            </w:pPr>
            <w:r w:rsidRPr="007C0B39">
              <w:rPr>
                <w:b/>
                <w:spacing w:val="-2"/>
              </w:rPr>
              <w:t>)</w:t>
            </w:r>
          </w:p>
          <w:p w:rsidR="00C21BD9" w:rsidRPr="007C0B39" w:rsidP="00FF171A" w14:paraId="7C289C01" w14:textId="77777777">
            <w:pPr>
              <w:tabs>
                <w:tab w:val="center" w:pos="4680"/>
              </w:tabs>
              <w:suppressAutoHyphens/>
              <w:rPr>
                <w:b/>
                <w:spacing w:val="-2"/>
              </w:rPr>
            </w:pPr>
            <w:r w:rsidRPr="007C0B39">
              <w:rPr>
                <w:b/>
                <w:spacing w:val="-2"/>
              </w:rPr>
              <w:t>)</w:t>
            </w:r>
          </w:p>
          <w:p w:rsidR="00C21BD9" w:rsidRPr="007C0B39" w:rsidP="00FF171A" w14:paraId="3CF5CF32" w14:textId="77777777">
            <w:pPr>
              <w:tabs>
                <w:tab w:val="center" w:pos="4680"/>
              </w:tabs>
              <w:suppressAutoHyphens/>
              <w:rPr>
                <w:b/>
                <w:spacing w:val="-2"/>
              </w:rPr>
            </w:pPr>
            <w:r w:rsidRPr="007C0B39">
              <w:rPr>
                <w:b/>
                <w:spacing w:val="-2"/>
              </w:rPr>
              <w:t>)</w:t>
            </w:r>
          </w:p>
          <w:p w:rsidR="00C21BD9" w:rsidRPr="007C0B39" w:rsidP="00FF171A" w14:paraId="3D1A7C51" w14:textId="77777777">
            <w:pPr>
              <w:tabs>
                <w:tab w:val="center" w:pos="4680"/>
              </w:tabs>
              <w:suppressAutoHyphens/>
              <w:rPr>
                <w:b/>
                <w:spacing w:val="-2"/>
              </w:rPr>
            </w:pPr>
            <w:r w:rsidRPr="007C0B39">
              <w:rPr>
                <w:b/>
                <w:spacing w:val="-2"/>
              </w:rPr>
              <w:t>)</w:t>
            </w:r>
          </w:p>
          <w:p w:rsidR="00C21BD9" w:rsidRPr="007C0B39" w:rsidP="00FF171A" w14:paraId="3C201062" w14:textId="77777777">
            <w:pPr>
              <w:tabs>
                <w:tab w:val="center" w:pos="4680"/>
              </w:tabs>
              <w:suppressAutoHyphens/>
              <w:rPr>
                <w:b/>
                <w:spacing w:val="-2"/>
              </w:rPr>
            </w:pPr>
            <w:r w:rsidRPr="007C0B39">
              <w:rPr>
                <w:b/>
                <w:spacing w:val="-2"/>
              </w:rPr>
              <w:t>)</w:t>
            </w:r>
          </w:p>
          <w:p w:rsidR="00C21BD9" w:rsidRPr="007C0B39" w:rsidP="00FF171A" w14:paraId="35215B17" w14:textId="77777777">
            <w:pPr>
              <w:tabs>
                <w:tab w:val="center" w:pos="4680"/>
              </w:tabs>
              <w:suppressAutoHyphens/>
              <w:rPr>
                <w:b/>
                <w:spacing w:val="-2"/>
              </w:rPr>
            </w:pPr>
            <w:r w:rsidRPr="007C0B39">
              <w:rPr>
                <w:b/>
                <w:spacing w:val="-2"/>
              </w:rPr>
              <w:t>)</w:t>
            </w:r>
          </w:p>
          <w:p w:rsidR="00C21BD9" w:rsidRPr="007C0B39" w:rsidP="00FF171A" w14:paraId="5BB052E0" w14:textId="77777777">
            <w:pPr>
              <w:tabs>
                <w:tab w:val="center" w:pos="4680"/>
              </w:tabs>
              <w:suppressAutoHyphens/>
              <w:rPr>
                <w:spacing w:val="-2"/>
              </w:rPr>
            </w:pPr>
          </w:p>
        </w:tc>
        <w:tc>
          <w:tcPr>
            <w:tcW w:w="4248" w:type="dxa"/>
          </w:tcPr>
          <w:p w:rsidR="00C21BD9" w:rsidP="00FF171A" w14:paraId="16684D32" w14:textId="77777777">
            <w:pPr>
              <w:tabs>
                <w:tab w:val="center" w:pos="4680"/>
              </w:tabs>
              <w:suppressAutoHyphens/>
              <w:ind w:left="432"/>
              <w:rPr>
                <w:spacing w:val="-2"/>
                <w:szCs w:val="22"/>
              </w:rPr>
            </w:pPr>
          </w:p>
          <w:p w:rsidR="00C21BD9" w:rsidP="00FF171A" w14:paraId="3A662745" w14:textId="77777777">
            <w:pPr>
              <w:tabs>
                <w:tab w:val="center" w:pos="4680"/>
              </w:tabs>
              <w:suppressAutoHyphens/>
              <w:ind w:left="432"/>
              <w:rPr>
                <w:spacing w:val="-2"/>
                <w:szCs w:val="22"/>
              </w:rPr>
            </w:pPr>
          </w:p>
          <w:p w:rsidR="00C21BD9" w:rsidRPr="007C0B39" w:rsidP="00FF171A" w14:paraId="7BFD4D11" w14:textId="77777777">
            <w:pPr>
              <w:tabs>
                <w:tab w:val="center" w:pos="4680"/>
              </w:tabs>
              <w:suppressAutoHyphens/>
              <w:ind w:left="432"/>
              <w:rPr>
                <w:spacing w:val="-2"/>
                <w:szCs w:val="22"/>
              </w:rPr>
            </w:pPr>
            <w:r w:rsidRPr="007C0B39">
              <w:rPr>
                <w:spacing w:val="-2"/>
                <w:szCs w:val="22"/>
              </w:rPr>
              <w:t xml:space="preserve">File No.:  </w:t>
            </w:r>
            <w:r w:rsidRPr="00702E54">
              <w:rPr>
                <w:spacing w:val="-2"/>
                <w:szCs w:val="22"/>
              </w:rPr>
              <w:t>EB-IHD-20-00031519</w:t>
            </w:r>
          </w:p>
          <w:p w:rsidR="00C21BD9" w:rsidRPr="007C0B39" w:rsidP="00FF171A" w14:paraId="3F827E8F" w14:textId="77777777">
            <w:pPr>
              <w:ind w:left="432"/>
              <w:rPr>
                <w:spacing w:val="-2"/>
                <w:szCs w:val="22"/>
              </w:rPr>
            </w:pPr>
            <w:r>
              <w:rPr>
                <w:spacing w:val="-2"/>
                <w:szCs w:val="22"/>
              </w:rPr>
              <w:t xml:space="preserve">CD </w:t>
            </w:r>
            <w:r w:rsidRPr="007C0B39">
              <w:rPr>
                <w:spacing w:val="-2"/>
                <w:szCs w:val="22"/>
              </w:rPr>
              <w:t xml:space="preserve">Acct. No.:  </w:t>
            </w:r>
            <w:r>
              <w:rPr>
                <w:spacing w:val="-2"/>
                <w:szCs w:val="22"/>
              </w:rPr>
              <w:t>202232080003</w:t>
            </w:r>
          </w:p>
          <w:p w:rsidR="00C21BD9" w:rsidRPr="007C0B39" w:rsidP="00FF171A" w14:paraId="0C3E17AF" w14:textId="77777777">
            <w:pPr>
              <w:tabs>
                <w:tab w:val="center" w:pos="4680"/>
              </w:tabs>
              <w:suppressAutoHyphens/>
              <w:ind w:left="432"/>
              <w:rPr>
                <w:spacing w:val="-2"/>
              </w:rPr>
            </w:pPr>
            <w:r w:rsidRPr="007C0B39">
              <w:rPr>
                <w:szCs w:val="22"/>
              </w:rPr>
              <w:t xml:space="preserve">FRN:  </w:t>
            </w:r>
            <w:r w:rsidRPr="00702E54">
              <w:rPr>
                <w:spacing w:val="-2"/>
                <w:szCs w:val="22"/>
              </w:rPr>
              <w:t>0028770592</w:t>
            </w:r>
          </w:p>
        </w:tc>
      </w:tr>
    </w:tbl>
    <w:p w:rsidR="00C21BD9" w:rsidRPr="007C0B39" w:rsidP="00C21BD9" w14:paraId="5AC01C0B" w14:textId="77777777">
      <w:pPr>
        <w:pStyle w:val="StyleBoldCentered"/>
      </w:pPr>
      <w:r w:rsidRPr="007C0B39">
        <w:t>CONSENT DECREE</w:t>
      </w:r>
    </w:p>
    <w:p w:rsidR="00C21BD9" w:rsidRPr="007C0B39" w:rsidP="00C21BD9" w14:paraId="1700AB50" w14:textId="77777777">
      <w:pPr>
        <w:pStyle w:val="StyleBoldCentered"/>
      </w:pPr>
    </w:p>
    <w:p w:rsidR="00C21BD9" w:rsidRPr="00862F4F" w:rsidP="00C21BD9" w14:paraId="0FB8E353" w14:textId="77777777">
      <w:pPr>
        <w:pStyle w:val="ParaNum"/>
        <w:rPr>
          <w:snapToGrid/>
          <w:kern w:val="0"/>
          <w:sz w:val="24"/>
          <w:szCs w:val="24"/>
        </w:rPr>
      </w:pPr>
      <w:bookmarkStart w:id="2" w:name="_Hlk93052647"/>
      <w:r w:rsidRPr="007C0B39">
        <w:t xml:space="preserve">The Enforcement Bureau of the Federal Communications Commission and </w:t>
      </w:r>
      <w:r w:rsidRPr="3CD37B23">
        <w:t>Atrium Hospitality LP</w:t>
      </w:r>
      <w:r w:rsidRPr="007C0B39">
        <w:t xml:space="preserve">, by their authorized representatives, hereby enter into this Consent Decree for the purpose of terminating the Enforcement Bureau’s investigation into whether </w:t>
      </w:r>
      <w:r>
        <w:t>Atrium</w:t>
      </w:r>
      <w:r w:rsidRPr="007C0B39">
        <w:t xml:space="preserve"> violated </w:t>
      </w:r>
      <w:r w:rsidRPr="3CD37B23">
        <w:t>section 310(d) of the Communications Act of 1934, as amended,</w:t>
      </w:r>
      <w:r>
        <w:rPr>
          <w:rStyle w:val="FootnoteReference"/>
        </w:rPr>
        <w:footnoteReference w:id="10"/>
      </w:r>
      <w:r>
        <w:rPr>
          <w:kern w:val="0"/>
          <w:sz w:val="24"/>
          <w:szCs w:val="24"/>
        </w:rPr>
        <w:t xml:space="preserve"> </w:t>
      </w:r>
      <w:r w:rsidRPr="3CD37B23">
        <w:t>and section 1.948 of the Commission’s rules</w:t>
      </w:r>
      <w:r>
        <w:rPr>
          <w:szCs w:val="22"/>
        </w:rPr>
        <w:t>.</w:t>
      </w:r>
      <w:r>
        <w:rPr>
          <w:rStyle w:val="FootnoteReference"/>
          <w:sz w:val="22"/>
          <w:szCs w:val="22"/>
        </w:rPr>
        <w:footnoteReference w:id="11"/>
      </w:r>
      <w:r w:rsidRPr="3CD37B23">
        <w:t xml:space="preserve">  The violations pertain to</w:t>
      </w:r>
      <w:r>
        <w:rPr>
          <w:szCs w:val="22"/>
        </w:rPr>
        <w:t xml:space="preserve"> </w:t>
      </w:r>
      <w:r w:rsidRPr="00213F0D">
        <w:t>Atrium</w:t>
      </w:r>
      <w:r>
        <w:t xml:space="preserve">’s </w:t>
      </w:r>
      <w:r w:rsidRPr="00213F0D">
        <w:t>failure to seek Commission approval prior to acquiring 2</w:t>
      </w:r>
      <w:r>
        <w:t>5</w:t>
      </w:r>
      <w:r w:rsidRPr="00213F0D">
        <w:t xml:space="preserve"> wireless radio licenses from numerous </w:t>
      </w:r>
      <w:r>
        <w:t xml:space="preserve">entities controlled by </w:t>
      </w:r>
      <w:r w:rsidRPr="00213F0D">
        <w:t>John Q. Hammons in connection with their bankruptcy reorganization.</w:t>
      </w:r>
      <w:r>
        <w:rPr>
          <w:szCs w:val="22"/>
        </w:rPr>
        <w:t xml:space="preserve">  </w:t>
      </w:r>
      <w:r>
        <w:t xml:space="preserve">As set forth herein, to resolve this matter, Atrium agrees to </w:t>
      </w:r>
      <w:r w:rsidRPr="007E5DAB">
        <w:t xml:space="preserve">implement a compliance plan and pay </w:t>
      </w:r>
      <w:r w:rsidRPr="006E3709">
        <w:t xml:space="preserve">a </w:t>
      </w:r>
      <w:r w:rsidRPr="0096111D">
        <w:t>$35,000</w:t>
      </w:r>
      <w:r w:rsidRPr="007E5DAB">
        <w:t xml:space="preserve"> civil penalty</w:t>
      </w:r>
      <w:r>
        <w:t xml:space="preserve">.  </w:t>
      </w:r>
      <w:r w:rsidRPr="007E5DAB">
        <w:t>This action will reinforce the Commission’s commitment to ensuring that the transfer and assignment of wireless authorizations is limited to instances where the Commission has determined that such a transfer or assignment is in the public’s interest, convenience, and necessity.</w:t>
      </w:r>
    </w:p>
    <w:bookmarkEnd w:id="2"/>
    <w:p w:rsidR="00C21BD9" w:rsidRPr="007C0B39" w:rsidP="00C21BD9" w14:paraId="42F590AA" w14:textId="77777777">
      <w:pPr>
        <w:pStyle w:val="Heading1"/>
        <w:widowControl/>
      </w:pPr>
      <w:r w:rsidRPr="007C0B39">
        <w:t>DEFINITIONS</w:t>
      </w:r>
    </w:p>
    <w:p w:rsidR="00C21BD9" w:rsidRPr="007C0B39" w:rsidP="00C21BD9" w14:paraId="61BB955C" w14:textId="77777777">
      <w:pPr>
        <w:pStyle w:val="ParaNum"/>
        <w:widowControl/>
      </w:pPr>
      <w:r w:rsidRPr="007C0B39">
        <w:t>For the purposes of this Consent Decree, the following definitions shall apply:</w:t>
      </w:r>
    </w:p>
    <w:p w:rsidR="00C21BD9" w:rsidRPr="007C0B39" w:rsidP="00C21BD9" w14:paraId="745DCED3" w14:textId="77777777">
      <w:pPr>
        <w:widowControl/>
        <w:numPr>
          <w:ilvl w:val="0"/>
          <w:numId w:val="5"/>
        </w:numPr>
        <w:tabs>
          <w:tab w:val="clear" w:pos="1224"/>
        </w:tabs>
        <w:spacing w:after="120"/>
        <w:ind w:left="1890"/>
        <w:rPr>
          <w:szCs w:val="22"/>
        </w:rPr>
      </w:pPr>
      <w:r w:rsidRPr="007C0B39">
        <w:rPr>
          <w:szCs w:val="22"/>
        </w:rPr>
        <w:t>“Act”</w:t>
      </w:r>
      <w:r w:rsidRPr="007C0B39">
        <w:rPr>
          <w:rStyle w:val="ParanumChar"/>
          <w:szCs w:val="22"/>
        </w:rPr>
        <w:t xml:space="preserve"> </w:t>
      </w:r>
      <w:r w:rsidRPr="007C0B39">
        <w:t>means</w:t>
      </w:r>
      <w:r w:rsidRPr="007C0B39">
        <w:rPr>
          <w:szCs w:val="22"/>
        </w:rPr>
        <w:t xml:space="preserve"> the Communications Act of 1934, as amended</w:t>
      </w:r>
      <w:r>
        <w:rPr>
          <w:szCs w:val="22"/>
        </w:rPr>
        <w:t>.</w:t>
      </w:r>
      <w:r>
        <w:rPr>
          <w:rStyle w:val="FootnoteReference"/>
          <w:szCs w:val="22"/>
        </w:rPr>
        <w:footnoteReference w:id="12"/>
      </w:r>
    </w:p>
    <w:p w:rsidR="00C21BD9" w:rsidRPr="007C0B39" w:rsidP="00C21BD9" w14:paraId="4DD45DC7" w14:textId="77777777">
      <w:pPr>
        <w:widowControl/>
        <w:numPr>
          <w:ilvl w:val="0"/>
          <w:numId w:val="5"/>
        </w:numPr>
        <w:tabs>
          <w:tab w:val="clear" w:pos="1224"/>
        </w:tabs>
        <w:spacing w:after="120"/>
        <w:ind w:left="1890"/>
        <w:rPr>
          <w:szCs w:val="22"/>
        </w:rPr>
      </w:pPr>
      <w:r w:rsidRPr="007C0B39">
        <w:rPr>
          <w:szCs w:val="22"/>
        </w:rPr>
        <w:t>“</w:t>
      </w:r>
      <w:r w:rsidRPr="007C0B39">
        <w:t>Adopting</w:t>
      </w:r>
      <w:r w:rsidRPr="007C0B39">
        <w:rPr>
          <w:szCs w:val="22"/>
        </w:rPr>
        <w:t xml:space="preserve"> Order” means an order of the Bureau adopting the terms of this Consent Decree without change, addition, deletion, or modification.</w:t>
      </w:r>
    </w:p>
    <w:p w:rsidR="00C21BD9" w:rsidP="00C21BD9" w14:paraId="671E6F23" w14:textId="77777777">
      <w:pPr>
        <w:widowControl/>
        <w:numPr>
          <w:ilvl w:val="0"/>
          <w:numId w:val="5"/>
        </w:numPr>
        <w:tabs>
          <w:tab w:val="clear" w:pos="1224"/>
        </w:tabs>
        <w:spacing w:after="120"/>
        <w:ind w:left="1890"/>
        <w:rPr>
          <w:szCs w:val="22"/>
        </w:rPr>
      </w:pPr>
      <w:r w:rsidRPr="007C0B39">
        <w:rPr>
          <w:szCs w:val="22"/>
        </w:rPr>
        <w:t>“</w:t>
      </w:r>
      <w:r>
        <w:rPr>
          <w:szCs w:val="22"/>
        </w:rPr>
        <w:t>Atrium</w:t>
      </w:r>
      <w:r w:rsidRPr="007C0B39">
        <w:rPr>
          <w:szCs w:val="22"/>
        </w:rPr>
        <w:t xml:space="preserve">” means </w:t>
      </w:r>
      <w:r>
        <w:rPr>
          <w:szCs w:val="22"/>
        </w:rPr>
        <w:t>Atrium Hospitality LP</w:t>
      </w:r>
      <w:r w:rsidRPr="007C0B39">
        <w:rPr>
          <w:szCs w:val="22"/>
        </w:rPr>
        <w:t xml:space="preserve"> and its affiliates, subsidiaries, predecessors-in-interest, and successors-in-interest.</w:t>
      </w:r>
    </w:p>
    <w:p w:rsidR="00C21BD9" w:rsidRPr="007C0B39" w:rsidP="00C21BD9" w14:paraId="159A755F" w14:textId="77777777">
      <w:pPr>
        <w:widowControl/>
        <w:numPr>
          <w:ilvl w:val="0"/>
          <w:numId w:val="5"/>
        </w:numPr>
        <w:tabs>
          <w:tab w:val="clear" w:pos="1224"/>
        </w:tabs>
        <w:spacing w:after="120"/>
        <w:ind w:left="1890"/>
        <w:rPr>
          <w:szCs w:val="22"/>
        </w:rPr>
      </w:pPr>
      <w:r w:rsidRPr="007C0B39">
        <w:rPr>
          <w:szCs w:val="22"/>
        </w:rPr>
        <w:t>“</w:t>
      </w:r>
      <w:r w:rsidRPr="007C0B39">
        <w:t>Bureau</w:t>
      </w:r>
      <w:r w:rsidRPr="007C0B39">
        <w:rPr>
          <w:szCs w:val="22"/>
        </w:rPr>
        <w:t>” means the Enforcement Bureau of the Federal Communications Commission.</w:t>
      </w:r>
    </w:p>
    <w:p w:rsidR="00C21BD9" w:rsidP="00C21BD9" w14:paraId="61958750" w14:textId="77777777">
      <w:pPr>
        <w:widowControl/>
        <w:numPr>
          <w:ilvl w:val="0"/>
          <w:numId w:val="5"/>
        </w:numPr>
        <w:tabs>
          <w:tab w:val="clear" w:pos="1224"/>
        </w:tabs>
        <w:spacing w:after="120"/>
        <w:ind w:left="1890"/>
        <w:rPr>
          <w:szCs w:val="22"/>
        </w:rPr>
      </w:pPr>
      <w:r w:rsidRPr="00887F97">
        <w:rPr>
          <w:szCs w:val="22"/>
        </w:rPr>
        <w:t>“</w:t>
      </w:r>
      <w:r>
        <w:rPr>
          <w:szCs w:val="22"/>
        </w:rPr>
        <w:t xml:space="preserve">CD </w:t>
      </w:r>
      <w:r w:rsidRPr="00887F97">
        <w:rPr>
          <w:szCs w:val="22"/>
        </w:rPr>
        <w:t xml:space="preserve">Acct No.” means account number </w:t>
      </w:r>
      <w:r>
        <w:rPr>
          <w:spacing w:val="-2"/>
          <w:szCs w:val="22"/>
        </w:rPr>
        <w:t>202232080003</w:t>
      </w:r>
      <w:r w:rsidRPr="00887F97">
        <w:rPr>
          <w:szCs w:val="22"/>
        </w:rPr>
        <w:t xml:space="preserve">, associated with payment obligations described in </w:t>
      </w:r>
      <w:r>
        <w:rPr>
          <w:szCs w:val="22"/>
        </w:rPr>
        <w:t>P</w:t>
      </w:r>
      <w:r w:rsidRPr="00887F97">
        <w:rPr>
          <w:szCs w:val="22"/>
        </w:rPr>
        <w:t xml:space="preserve">aragraph </w:t>
      </w:r>
      <w:r w:rsidRPr="006F453E">
        <w:rPr>
          <w:szCs w:val="22"/>
        </w:rPr>
        <w:t>21</w:t>
      </w:r>
      <w:r w:rsidRPr="00887F97">
        <w:rPr>
          <w:szCs w:val="22"/>
        </w:rPr>
        <w:t xml:space="preserve"> of this Consent Decree.</w:t>
      </w:r>
      <w:r>
        <w:rPr>
          <w:szCs w:val="22"/>
        </w:rPr>
        <w:t xml:space="preserve"> </w:t>
      </w:r>
    </w:p>
    <w:p w:rsidR="00C21BD9" w:rsidRPr="007C0B39" w:rsidP="00C21BD9" w14:paraId="4075050B" w14:textId="77777777">
      <w:pPr>
        <w:widowControl/>
        <w:numPr>
          <w:ilvl w:val="0"/>
          <w:numId w:val="5"/>
        </w:numPr>
        <w:tabs>
          <w:tab w:val="clear" w:pos="1224"/>
        </w:tabs>
        <w:spacing w:after="120"/>
        <w:ind w:left="1890"/>
        <w:rPr>
          <w:szCs w:val="22"/>
        </w:rPr>
      </w:pPr>
      <w:r w:rsidRPr="007C0B39">
        <w:rPr>
          <w:szCs w:val="22"/>
        </w:rPr>
        <w:t>“</w:t>
      </w:r>
      <w:r w:rsidRPr="007C0B39">
        <w:t>Commission</w:t>
      </w:r>
      <w:r w:rsidRPr="007C0B39">
        <w:rPr>
          <w:szCs w:val="22"/>
        </w:rPr>
        <w:t>” and “FCC” mean the Federal Communications Commission and all of its bureaus and offices.</w:t>
      </w:r>
    </w:p>
    <w:p w:rsidR="00C21BD9" w:rsidRPr="007C0B39" w:rsidP="00C21BD9" w14:paraId="644F4FEF" w14:textId="77777777">
      <w:pPr>
        <w:widowControl/>
        <w:numPr>
          <w:ilvl w:val="0"/>
          <w:numId w:val="5"/>
        </w:numPr>
        <w:tabs>
          <w:tab w:val="clear" w:pos="1224"/>
        </w:tabs>
        <w:spacing w:after="120"/>
        <w:ind w:left="1890"/>
        <w:rPr>
          <w:szCs w:val="22"/>
        </w:rPr>
      </w:pPr>
      <w:r w:rsidRPr="007C0B39">
        <w:rPr>
          <w:szCs w:val="22"/>
        </w:rPr>
        <w:t>“</w:t>
      </w:r>
      <w:r w:rsidRPr="007C0B39">
        <w:t>Communications</w:t>
      </w:r>
      <w:r w:rsidRPr="007C0B39">
        <w:rPr>
          <w:szCs w:val="22"/>
        </w:rPr>
        <w:t xml:space="preserve"> Laws” means collectively, the Act, the Rules, and the published and promulgated orders and decisions of the Commission to which </w:t>
      </w:r>
      <w:r>
        <w:rPr>
          <w:szCs w:val="22"/>
        </w:rPr>
        <w:t>Atrium</w:t>
      </w:r>
      <w:r w:rsidRPr="007C0B39">
        <w:rPr>
          <w:szCs w:val="22"/>
        </w:rPr>
        <w:t xml:space="preserve"> is subject by virtue of its business activities, including but not limited to the </w:t>
      </w:r>
      <w:r>
        <w:rPr>
          <w:szCs w:val="22"/>
        </w:rPr>
        <w:t>Unauthorized Transfer Laws</w:t>
      </w:r>
      <w:r w:rsidRPr="007C0B39">
        <w:rPr>
          <w:szCs w:val="22"/>
        </w:rPr>
        <w:t>.</w:t>
      </w:r>
    </w:p>
    <w:p w:rsidR="00C21BD9" w:rsidRPr="007E5DAB" w:rsidP="00C21BD9" w14:paraId="51BA74F7" w14:textId="77777777">
      <w:pPr>
        <w:widowControl/>
        <w:numPr>
          <w:ilvl w:val="0"/>
          <w:numId w:val="5"/>
        </w:numPr>
        <w:tabs>
          <w:tab w:val="clear" w:pos="1224"/>
        </w:tabs>
        <w:spacing w:after="240"/>
        <w:ind w:left="1886"/>
      </w:pPr>
      <w:r w:rsidRPr="007E5DAB">
        <w:t xml:space="preserve">“Compliance Officer” means the individual designated at </w:t>
      </w:r>
      <w:r w:rsidRPr="004B3733">
        <w:t xml:space="preserve">Paragraph </w:t>
      </w:r>
      <w:r w:rsidRPr="006F453E">
        <w:t>16</w:t>
      </w:r>
      <w:r w:rsidRPr="007E5DAB">
        <w:t xml:space="preserve"> of this Consent Decree as the person responsible for administration of the Compliance Plan.</w:t>
      </w:r>
    </w:p>
    <w:p w:rsidR="00C21BD9" w:rsidRPr="007C0B39" w:rsidP="00C21BD9" w14:paraId="79260C35" w14:textId="77777777">
      <w:pPr>
        <w:widowControl/>
        <w:numPr>
          <w:ilvl w:val="0"/>
          <w:numId w:val="5"/>
        </w:numPr>
        <w:tabs>
          <w:tab w:val="clear" w:pos="1224"/>
        </w:tabs>
        <w:spacing w:after="120"/>
        <w:ind w:left="1890"/>
        <w:rPr>
          <w:szCs w:val="22"/>
        </w:rPr>
      </w:pPr>
      <w:r w:rsidRPr="007C0B39">
        <w:rPr>
          <w:szCs w:val="22"/>
        </w:rPr>
        <w:t>“</w:t>
      </w:r>
      <w:r w:rsidRPr="007C0B39">
        <w:t>Compliance</w:t>
      </w:r>
      <w:r w:rsidRPr="007C0B39">
        <w:rPr>
          <w:szCs w:val="22"/>
        </w:rPr>
        <w:t xml:space="preserve"> Plan” means the compliance obligations, program, and procedures described in this Consent Decree at </w:t>
      </w:r>
      <w:r>
        <w:rPr>
          <w:szCs w:val="22"/>
        </w:rPr>
        <w:t>P</w:t>
      </w:r>
      <w:r w:rsidRPr="007C0B39">
        <w:rPr>
          <w:szCs w:val="22"/>
        </w:rPr>
        <w:t xml:space="preserve">aragraph </w:t>
      </w:r>
      <w:r w:rsidRPr="006F453E">
        <w:rPr>
          <w:szCs w:val="22"/>
        </w:rPr>
        <w:t>17</w:t>
      </w:r>
      <w:r w:rsidRPr="007C0B39">
        <w:rPr>
          <w:szCs w:val="22"/>
        </w:rPr>
        <w:t>.</w:t>
      </w:r>
    </w:p>
    <w:p w:rsidR="00C21BD9" w:rsidRPr="007C0B39" w:rsidP="00C21BD9" w14:paraId="43AF3D59" w14:textId="77777777">
      <w:pPr>
        <w:widowControl/>
        <w:numPr>
          <w:ilvl w:val="0"/>
          <w:numId w:val="5"/>
        </w:numPr>
        <w:tabs>
          <w:tab w:val="clear" w:pos="1224"/>
        </w:tabs>
        <w:spacing w:after="120"/>
        <w:ind w:left="1890"/>
        <w:rPr>
          <w:szCs w:val="22"/>
        </w:rPr>
      </w:pPr>
      <w:r w:rsidRPr="007C0B39">
        <w:rPr>
          <w:szCs w:val="22"/>
        </w:rPr>
        <w:t>“</w:t>
      </w:r>
      <w:r w:rsidRPr="007C0B39">
        <w:t>Covered</w:t>
      </w:r>
      <w:r w:rsidRPr="007C0B39">
        <w:rPr>
          <w:szCs w:val="22"/>
        </w:rPr>
        <w:t xml:space="preserve"> </w:t>
      </w:r>
      <w:r w:rsidRPr="007C0B39">
        <w:t>Employees</w:t>
      </w:r>
      <w:r w:rsidRPr="007C0B39">
        <w:rPr>
          <w:szCs w:val="22"/>
        </w:rPr>
        <w:t xml:space="preserve">” means all employees and agents of </w:t>
      </w:r>
      <w:r>
        <w:rPr>
          <w:szCs w:val="22"/>
        </w:rPr>
        <w:t>Atrium</w:t>
      </w:r>
      <w:r w:rsidRPr="007C0B39">
        <w:rPr>
          <w:szCs w:val="22"/>
        </w:rPr>
        <w:t xml:space="preserve"> who perform, supervise, oversee, or manage the performance of, duties that relate to </w:t>
      </w:r>
      <w:r>
        <w:rPr>
          <w:szCs w:val="22"/>
        </w:rPr>
        <w:t>Atrium’s</w:t>
      </w:r>
      <w:r w:rsidRPr="007C0B39">
        <w:rPr>
          <w:szCs w:val="22"/>
        </w:rPr>
        <w:t xml:space="preserve"> responsibilities under the Communications Laws, including the </w:t>
      </w:r>
      <w:r>
        <w:rPr>
          <w:szCs w:val="22"/>
        </w:rPr>
        <w:t>Unauthorized Transfer Laws</w:t>
      </w:r>
      <w:r w:rsidRPr="007C0B39">
        <w:rPr>
          <w:szCs w:val="22"/>
        </w:rPr>
        <w:t>.</w:t>
      </w:r>
    </w:p>
    <w:p w:rsidR="00C21BD9" w:rsidRPr="007C0B39" w:rsidP="00C21BD9" w14:paraId="34D14EFB" w14:textId="77777777">
      <w:pPr>
        <w:widowControl/>
        <w:numPr>
          <w:ilvl w:val="0"/>
          <w:numId w:val="5"/>
        </w:numPr>
        <w:tabs>
          <w:tab w:val="clear" w:pos="1224"/>
        </w:tabs>
        <w:spacing w:after="120"/>
        <w:ind w:left="1890"/>
        <w:rPr>
          <w:szCs w:val="22"/>
        </w:rPr>
      </w:pPr>
      <w:r w:rsidRPr="007C0B39">
        <w:rPr>
          <w:szCs w:val="22"/>
        </w:rPr>
        <w:t>“</w:t>
      </w:r>
      <w:r w:rsidRPr="007C0B39">
        <w:t>Effective</w:t>
      </w:r>
      <w:r w:rsidRPr="007C0B39">
        <w:rPr>
          <w:szCs w:val="22"/>
        </w:rPr>
        <w:t xml:space="preserve"> Date” means the date by which both the Bureau and </w:t>
      </w:r>
      <w:r>
        <w:rPr>
          <w:szCs w:val="22"/>
        </w:rPr>
        <w:t>Atrium</w:t>
      </w:r>
      <w:r w:rsidRPr="007C0B39">
        <w:rPr>
          <w:szCs w:val="22"/>
        </w:rPr>
        <w:t xml:space="preserve"> have signed the Consent Decree</w:t>
      </w:r>
      <w:r>
        <w:rPr>
          <w:szCs w:val="22"/>
        </w:rPr>
        <w:t xml:space="preserve"> and the Bureau has released an Adopting Order</w:t>
      </w:r>
      <w:r w:rsidRPr="007C0B39">
        <w:rPr>
          <w:szCs w:val="22"/>
        </w:rPr>
        <w:t>.</w:t>
      </w:r>
    </w:p>
    <w:p w:rsidR="00C21BD9" w:rsidRPr="008E044A" w:rsidP="00C21BD9" w14:paraId="5CCFD03E" w14:textId="77777777">
      <w:pPr>
        <w:widowControl/>
        <w:numPr>
          <w:ilvl w:val="0"/>
          <w:numId w:val="5"/>
        </w:numPr>
        <w:tabs>
          <w:tab w:val="clear" w:pos="1224"/>
        </w:tabs>
        <w:spacing w:after="120"/>
        <w:ind w:left="1890"/>
        <w:rPr>
          <w:iCs/>
          <w:szCs w:val="22"/>
        </w:rPr>
      </w:pPr>
      <w:r w:rsidRPr="007C0B39">
        <w:rPr>
          <w:szCs w:val="22"/>
        </w:rPr>
        <w:t>“</w:t>
      </w:r>
      <w:r w:rsidRPr="007C0B39">
        <w:t>Investigation</w:t>
      </w:r>
      <w:r w:rsidRPr="007C0B39">
        <w:rPr>
          <w:szCs w:val="22"/>
        </w:rPr>
        <w:t xml:space="preserve">” means the investigation commenced by the Bureau in </w:t>
      </w:r>
      <w:r w:rsidRPr="00F269D7">
        <w:rPr>
          <w:szCs w:val="22"/>
        </w:rPr>
        <w:t>EB-IHD-20-00031519</w:t>
      </w:r>
      <w:r w:rsidRPr="007C0B39">
        <w:rPr>
          <w:szCs w:val="22"/>
        </w:rPr>
        <w:t xml:space="preserve"> regarding whether </w:t>
      </w:r>
      <w:r>
        <w:rPr>
          <w:szCs w:val="22"/>
        </w:rPr>
        <w:t>Atrium</w:t>
      </w:r>
      <w:r w:rsidRPr="007C0B39">
        <w:rPr>
          <w:szCs w:val="22"/>
        </w:rPr>
        <w:t xml:space="preserve"> violated the</w:t>
      </w:r>
      <w:r>
        <w:rPr>
          <w:szCs w:val="22"/>
        </w:rPr>
        <w:t xml:space="preserve"> Unauthorized Transfer Laws</w:t>
      </w:r>
      <w:r w:rsidRPr="007C0B39">
        <w:rPr>
          <w:szCs w:val="22"/>
        </w:rPr>
        <w:t>.</w:t>
      </w:r>
    </w:p>
    <w:p w:rsidR="00C21BD9" w:rsidP="00C21BD9" w14:paraId="2B74CB4B" w14:textId="77777777">
      <w:pPr>
        <w:widowControl/>
        <w:numPr>
          <w:ilvl w:val="0"/>
          <w:numId w:val="5"/>
        </w:numPr>
        <w:tabs>
          <w:tab w:val="clear" w:pos="1224"/>
        </w:tabs>
        <w:spacing w:after="120"/>
        <w:ind w:left="1890"/>
        <w:rPr>
          <w:iCs/>
          <w:szCs w:val="22"/>
        </w:rPr>
      </w:pPr>
      <w:r>
        <w:rPr>
          <w:iCs/>
          <w:szCs w:val="22"/>
        </w:rPr>
        <w:t xml:space="preserve">“JQH Entities” means </w:t>
      </w:r>
      <w:r w:rsidRPr="00213F0D">
        <w:t xml:space="preserve">John Q. Hammons Hotels, Inc. and its </w:t>
      </w:r>
      <w:r w:rsidRPr="007C0B39">
        <w:rPr>
          <w:szCs w:val="22"/>
        </w:rPr>
        <w:t>affiliates, subsidiaries, predecessors-in-interest, and successors-in-interest</w:t>
      </w:r>
      <w:r>
        <w:rPr>
          <w:szCs w:val="22"/>
        </w:rPr>
        <w:t>.</w:t>
      </w:r>
    </w:p>
    <w:p w:rsidR="00C21BD9" w:rsidRPr="007C0B39" w:rsidP="00C21BD9" w14:paraId="3AA7BDE2" w14:textId="77777777">
      <w:pPr>
        <w:widowControl/>
        <w:numPr>
          <w:ilvl w:val="0"/>
          <w:numId w:val="5"/>
        </w:numPr>
        <w:tabs>
          <w:tab w:val="clear" w:pos="1224"/>
        </w:tabs>
        <w:spacing w:after="120"/>
        <w:ind w:left="1890"/>
        <w:rPr>
          <w:szCs w:val="22"/>
        </w:rPr>
      </w:pPr>
      <w:r w:rsidRPr="007C0B39">
        <w:rPr>
          <w:szCs w:val="22"/>
        </w:rPr>
        <w:t>“</w:t>
      </w:r>
      <w:r w:rsidRPr="007C0B39">
        <w:t>Operating</w:t>
      </w:r>
      <w:r w:rsidRPr="007C0B39">
        <w:rPr>
          <w:szCs w:val="22"/>
        </w:rPr>
        <w:t xml:space="preserve"> Procedures” means the standard internal operating procedures and compliance policies established by </w:t>
      </w:r>
      <w:r>
        <w:rPr>
          <w:szCs w:val="22"/>
        </w:rPr>
        <w:t>Atrium</w:t>
      </w:r>
      <w:r w:rsidRPr="007C0B39">
        <w:rPr>
          <w:szCs w:val="22"/>
        </w:rPr>
        <w:t xml:space="preserve"> to implement the Compliance Plan.</w:t>
      </w:r>
    </w:p>
    <w:p w:rsidR="00C21BD9" w:rsidRPr="007C0B39" w:rsidP="00C21BD9" w14:paraId="502C6570" w14:textId="77777777">
      <w:pPr>
        <w:widowControl/>
        <w:numPr>
          <w:ilvl w:val="0"/>
          <w:numId w:val="5"/>
        </w:numPr>
        <w:tabs>
          <w:tab w:val="clear" w:pos="1224"/>
        </w:tabs>
        <w:spacing w:after="120"/>
        <w:ind w:left="1890"/>
        <w:rPr>
          <w:szCs w:val="22"/>
        </w:rPr>
      </w:pPr>
      <w:r w:rsidRPr="007C0B39">
        <w:rPr>
          <w:szCs w:val="22"/>
        </w:rPr>
        <w:t>“</w:t>
      </w:r>
      <w:r w:rsidRPr="007C0B39">
        <w:t>Parties</w:t>
      </w:r>
      <w:r w:rsidRPr="007C0B39">
        <w:rPr>
          <w:szCs w:val="22"/>
        </w:rPr>
        <w:t xml:space="preserve">” means </w:t>
      </w:r>
      <w:r>
        <w:rPr>
          <w:szCs w:val="22"/>
        </w:rPr>
        <w:t>Atrium</w:t>
      </w:r>
      <w:r w:rsidRPr="007C0B39">
        <w:rPr>
          <w:szCs w:val="22"/>
        </w:rPr>
        <w:t xml:space="preserve"> and the Bureau, each of which is a “Party.”</w:t>
      </w:r>
    </w:p>
    <w:p w:rsidR="00C21BD9" w:rsidP="00C21BD9" w14:paraId="523C4776" w14:textId="77777777">
      <w:pPr>
        <w:widowControl/>
        <w:numPr>
          <w:ilvl w:val="0"/>
          <w:numId w:val="5"/>
        </w:numPr>
        <w:tabs>
          <w:tab w:val="clear" w:pos="1224"/>
        </w:tabs>
        <w:spacing w:after="120"/>
        <w:ind w:left="1890"/>
        <w:rPr>
          <w:szCs w:val="22"/>
        </w:rPr>
      </w:pPr>
      <w:r w:rsidRPr="007E5DAB">
        <w:t>“Remedial Applications and Waiver Requests” means Applications for Transfer of Control, ULS File Nos.</w:t>
      </w:r>
      <w:r>
        <w:t xml:space="preserve"> </w:t>
      </w:r>
      <w:r w:rsidRPr="003F1641">
        <w:t xml:space="preserve">0008829733; </w:t>
      </w:r>
      <w:r>
        <w:t>0</w:t>
      </w:r>
      <w:r w:rsidRPr="003F1641">
        <w:t>008829226; 0008830202; 0008830227;</w:t>
      </w:r>
      <w:r>
        <w:t xml:space="preserve"> </w:t>
      </w:r>
      <w:r w:rsidRPr="003F1641">
        <w:t>0008830256; 0008830255; 0008830192; 0008829243; 0008829248; 0008829747; 0008830199; 0008830250; 0008829240; 0008828649; 0008829774; 0008829263; 0008822201; 0008829232; 0008822466; 0008829743; 0008830196; 0008829783; 0008830196</w:t>
      </w:r>
      <w:r w:rsidRPr="007E5DAB">
        <w:t>.</w:t>
      </w:r>
    </w:p>
    <w:p w:rsidR="00C21BD9" w:rsidP="00C21BD9" w14:paraId="6D8E6889" w14:textId="77777777">
      <w:pPr>
        <w:widowControl/>
        <w:numPr>
          <w:ilvl w:val="0"/>
          <w:numId w:val="5"/>
        </w:numPr>
        <w:tabs>
          <w:tab w:val="clear" w:pos="1224"/>
        </w:tabs>
        <w:spacing w:after="120"/>
        <w:ind w:left="1890"/>
        <w:rPr>
          <w:szCs w:val="22"/>
        </w:rPr>
      </w:pPr>
      <w:r w:rsidRPr="007C0B39">
        <w:rPr>
          <w:szCs w:val="22"/>
        </w:rPr>
        <w:t>“</w:t>
      </w:r>
      <w:r w:rsidRPr="007C0B39">
        <w:t>Rules</w:t>
      </w:r>
      <w:r w:rsidRPr="007C0B39">
        <w:rPr>
          <w:szCs w:val="22"/>
        </w:rPr>
        <w:t xml:space="preserve">” </w:t>
      </w:r>
      <w:r w:rsidRPr="007C0B39">
        <w:t>means</w:t>
      </w:r>
      <w:r w:rsidRPr="007C0B39">
        <w:rPr>
          <w:szCs w:val="22"/>
        </w:rPr>
        <w:t xml:space="preserve"> the Commission’s regulations found in Title 47 of the Code of Federal Regulations.</w:t>
      </w:r>
    </w:p>
    <w:p w:rsidR="00C21BD9" w:rsidRPr="007E5DAB" w:rsidP="00C21BD9" w14:paraId="0B4D347A" w14:textId="77777777">
      <w:pPr>
        <w:widowControl/>
        <w:numPr>
          <w:ilvl w:val="0"/>
          <w:numId w:val="5"/>
        </w:numPr>
        <w:tabs>
          <w:tab w:val="clear" w:pos="1224"/>
        </w:tabs>
        <w:spacing w:after="120"/>
        <w:ind w:left="1886"/>
        <w:rPr>
          <w:color w:val="000000"/>
        </w:rPr>
      </w:pPr>
      <w:r w:rsidRPr="007E5DAB">
        <w:rPr>
          <w:color w:val="000000"/>
        </w:rPr>
        <w:t>“</w:t>
      </w:r>
      <w:r w:rsidRPr="007E5DAB">
        <w:t>Unauthorized</w:t>
      </w:r>
      <w:r w:rsidRPr="007E5DAB">
        <w:rPr>
          <w:color w:val="000000"/>
        </w:rPr>
        <w:t xml:space="preserve"> Transfer Laws” means </w:t>
      </w:r>
      <w:r w:rsidRPr="007E5DAB">
        <w:t>section 310(d) of the Act</w:t>
      </w:r>
      <w:r>
        <w:rPr>
          <w:rStyle w:val="FootnoteReference"/>
          <w:sz w:val="22"/>
        </w:rPr>
        <w:footnoteReference w:id="13"/>
      </w:r>
      <w:r>
        <w:t xml:space="preserve"> and</w:t>
      </w:r>
      <w:r w:rsidRPr="007E5DAB">
        <w:t xml:space="preserve"> section 1.948 of the Rules,</w:t>
      </w:r>
      <w:r>
        <w:rPr>
          <w:rStyle w:val="FootnoteReference"/>
          <w:sz w:val="22"/>
        </w:rPr>
        <w:footnoteReference w:id="14"/>
      </w:r>
      <w:r w:rsidRPr="007E5DAB">
        <w:t xml:space="preserve"> pertaining to the unauthorized transfers of control and assignments of licenses.</w:t>
      </w:r>
    </w:p>
    <w:p w:rsidR="00C21BD9" w:rsidRPr="007C0B39" w:rsidP="00C21BD9" w14:paraId="2BE2E498" w14:textId="77777777">
      <w:pPr>
        <w:pStyle w:val="Heading1"/>
        <w:widowControl/>
        <w:rPr>
          <w:szCs w:val="22"/>
        </w:rPr>
      </w:pPr>
      <w:r w:rsidRPr="007C0B39">
        <w:t>BACKGROUND</w:t>
      </w:r>
    </w:p>
    <w:p w:rsidR="00C21BD9" w:rsidRPr="007E5DAB" w:rsidP="00C21BD9" w14:paraId="3A685E81" w14:textId="77777777">
      <w:pPr>
        <w:pStyle w:val="ParaNum"/>
        <w:tabs>
          <w:tab w:val="clear" w:pos="1440"/>
        </w:tabs>
      </w:pPr>
      <w:r w:rsidRPr="00D76927">
        <w:rPr>
          <w:i/>
          <w:iCs/>
        </w:rPr>
        <w:t xml:space="preserve">Legal Framework.  </w:t>
      </w:r>
      <w:r w:rsidRPr="007E5DAB">
        <w:t>The consent of the Commission is required prior to any transfer of control of a Commission permit or license.  In this regard, section 310(d) of the Act provides that:</w:t>
      </w:r>
    </w:p>
    <w:p w:rsidR="00C21BD9" w:rsidRPr="007E5DAB" w:rsidP="00C21BD9" w14:paraId="50FE590C" w14:textId="77777777">
      <w:pPr>
        <w:pStyle w:val="BlockText"/>
      </w:pPr>
      <w:r w:rsidRPr="007E5DAB">
        <w:t>No construction permit or station license, or any rights thereunder, shall be transferred, assigned, or disposed of in any manner, voluntarily or involuntarily, directly or indirectly, or by transfer of control of any corporation holding such permit or license, to any person except upon application to the Commission and upon finding by the Commission that the public interest, convenience, and necessity will be served thereby.</w:t>
      </w:r>
      <w:r>
        <w:rPr>
          <w:rStyle w:val="FootnoteReference"/>
          <w:sz w:val="22"/>
        </w:rPr>
        <w:footnoteReference w:id="15"/>
      </w:r>
      <w:r w:rsidRPr="007E5DAB">
        <w:t xml:space="preserve"> </w:t>
      </w:r>
    </w:p>
    <w:p w:rsidR="00C21BD9" w:rsidRPr="007E5DAB" w:rsidP="00C21BD9" w14:paraId="48AB0790" w14:textId="77777777">
      <w:pPr>
        <w:pStyle w:val="ParaNum"/>
        <w:widowControl/>
      </w:pPr>
      <w:r w:rsidRPr="007E5DAB">
        <w:t>Section 1.948 of the Rules similarly requires that applicants seek and receive Commission consent prior to the transfer of a licensee’s control or assignment of a Commission license.</w:t>
      </w:r>
      <w:r>
        <w:rPr>
          <w:rStyle w:val="FootnoteReference"/>
          <w:sz w:val="22"/>
          <w:szCs w:val="22"/>
        </w:rPr>
        <w:footnoteReference w:id="16"/>
      </w:r>
      <w:r w:rsidRPr="007E5DAB">
        <w:t xml:space="preserve">  Section 1.948 of the Rules also provides that in the case of a transfer of control of a wireless license, the licensee must file FCC Form 603 </w:t>
      </w:r>
      <w:r>
        <w:t>when seeking</w:t>
      </w:r>
      <w:r w:rsidRPr="007E5DAB">
        <w:t xml:space="preserve"> prior approval of the transfer.</w:t>
      </w:r>
      <w:r>
        <w:rPr>
          <w:vertAlign w:val="superscript"/>
        </w:rPr>
        <w:footnoteReference w:id="17"/>
      </w:r>
    </w:p>
    <w:p w:rsidR="00C21BD9" w:rsidRPr="00213F0D" w:rsidP="00C21BD9" w14:paraId="644DEFDC" w14:textId="77777777">
      <w:pPr>
        <w:pStyle w:val="ParaNum"/>
      </w:pPr>
      <w:r w:rsidRPr="00D343EF">
        <w:rPr>
          <w:i/>
          <w:iCs/>
        </w:rPr>
        <w:t>Factual Background</w:t>
      </w:r>
      <w:r>
        <w:t xml:space="preserve">.  </w:t>
      </w:r>
      <w:r w:rsidRPr="00D343EF">
        <w:t>Atrium</w:t>
      </w:r>
      <w:r w:rsidRPr="00213F0D">
        <w:t xml:space="preserve"> is a hotel and asset management company headquartered at Deerfield Point in Alpharetta, GA, that oversees a portfolio of hotels licensed primarily through the Marriott, Hilton</w:t>
      </w:r>
      <w:r>
        <w:t>,</w:t>
      </w:r>
      <w:r w:rsidRPr="00213F0D">
        <w:t xml:space="preserve"> and Intercontinental brand families.</w:t>
      </w:r>
      <w:r>
        <w:rPr>
          <w:rStyle w:val="FootnoteReference"/>
        </w:rPr>
        <w:footnoteReference w:id="18"/>
      </w:r>
      <w:r w:rsidRPr="00213F0D">
        <w:t xml:space="preserve">  In addition, Atrium provides asset management and accounting services to a number of other hotel debt and equity investments held by their ownership groups.</w:t>
      </w:r>
      <w:r>
        <w:rPr>
          <w:rStyle w:val="FootnoteReference"/>
        </w:rPr>
        <w:footnoteReference w:id="19"/>
      </w:r>
    </w:p>
    <w:p w:rsidR="00C21BD9" w:rsidP="00C21BD9" w14:paraId="1CF7AEE1" w14:textId="77777777">
      <w:pPr>
        <w:pStyle w:val="ParaNum"/>
      </w:pPr>
      <w:r w:rsidRPr="00213F0D">
        <w:t>On June 26, 2016, several JQH Entities filed voluntary petitions for Chapter 11 bankruptcy.</w:t>
      </w:r>
      <w:r>
        <w:rPr>
          <w:rStyle w:val="FootnoteReference"/>
        </w:rPr>
        <w:footnoteReference w:id="20"/>
      </w:r>
      <w:r w:rsidRPr="00213F0D">
        <w:t xml:space="preserve">  Prior to their bankruptcy reorganization, the JQH Entities owned or leased certain hotel properties located in Alabama, Arizona, Arkansas, Colorado, Illinois, Kansas, Missouri, Nebraska, New Mexico, North Carolina, Oklahoma, South Carolina, South Dakota, Tennessee, Texas, and Virginia.</w:t>
      </w:r>
      <w:r>
        <w:rPr>
          <w:rStyle w:val="FootnoteReference"/>
        </w:rPr>
        <w:footnoteReference w:id="21"/>
      </w:r>
      <w:r w:rsidRPr="00213F0D">
        <w:t xml:space="preserve">  One or more of the JQH Entities held a total of 2</w:t>
      </w:r>
      <w:r>
        <w:t>5</w:t>
      </w:r>
      <w:r w:rsidRPr="00213F0D">
        <w:t xml:space="preserve"> private land mobile licenses for internal operations.</w:t>
      </w:r>
      <w:r>
        <w:rPr>
          <w:rStyle w:val="FootnoteReference"/>
        </w:rPr>
        <w:footnoteReference w:id="22"/>
      </w:r>
    </w:p>
    <w:p w:rsidR="00C21BD9" w:rsidRPr="006F453E" w:rsidP="00C21BD9" w14:paraId="64FCAD0D" w14:textId="77777777">
      <w:pPr>
        <w:pStyle w:val="ParaNum"/>
        <w:rPr>
          <w:szCs w:val="22"/>
        </w:rPr>
      </w:pPr>
      <w:r w:rsidRPr="00213F0D">
        <w:t>JD Holdings L.L.C. (JD Holdings), an affiliate of Atrium, filed claims in the jointly administered bankruptcy cases and was determined to be the largest creditor because of</w:t>
      </w:r>
      <w:r>
        <w:t xml:space="preserve"> a substantial judgment it won in a contractual dispute with the JQH Entities.</w:t>
      </w:r>
      <w:r>
        <w:rPr>
          <w:rStyle w:val="FootnoteReference"/>
        </w:rPr>
        <w:footnoteReference w:id="23"/>
      </w:r>
      <w:r w:rsidRPr="00213F0D">
        <w:t xml:space="preserve">  On May 11, 2018, the Bankruptcy Court approved JD Holdings’ plan of reorganization and granted</w:t>
      </w:r>
      <w:r>
        <w:t xml:space="preserve"> </w:t>
      </w:r>
      <w:r w:rsidRPr="00213F0D">
        <w:t xml:space="preserve">JD Holdings the right to acquire </w:t>
      </w:r>
      <w:r>
        <w:t>certain</w:t>
      </w:r>
      <w:r w:rsidRPr="00213F0D">
        <w:t xml:space="preserve"> </w:t>
      </w:r>
      <w:r>
        <w:t>hotel assets</w:t>
      </w:r>
      <w:r w:rsidRPr="00213F0D">
        <w:t xml:space="preserve"> </w:t>
      </w:r>
      <w:r>
        <w:t xml:space="preserve">from both </w:t>
      </w:r>
      <w:r w:rsidRPr="00213F0D">
        <w:t>debtor and non-debtor JQH Entities</w:t>
      </w:r>
      <w:r>
        <w:t xml:space="preserve"> </w:t>
      </w:r>
      <w:r w:rsidRPr="00213F0D">
        <w:t>through a series of transactions.</w:t>
      </w:r>
      <w:r>
        <w:rPr>
          <w:rStyle w:val="FootnoteReference"/>
        </w:rPr>
        <w:footnoteReference w:id="24"/>
      </w:r>
      <w:r w:rsidRPr="00213F0D">
        <w:t xml:space="preserve">  </w:t>
      </w:r>
      <w:r>
        <w:t>U</w:t>
      </w:r>
      <w:r w:rsidRPr="00213F0D">
        <w:t xml:space="preserve">pon acquisition of the </w:t>
      </w:r>
      <w:r>
        <w:t>h</w:t>
      </w:r>
      <w:r w:rsidRPr="00213F0D">
        <w:t xml:space="preserve">otel </w:t>
      </w:r>
      <w:r>
        <w:t>a</w:t>
      </w:r>
      <w:r w:rsidRPr="00213F0D">
        <w:t xml:space="preserve">ssets, Atrium assumed the management of the hotels and, consequently, control of </w:t>
      </w:r>
      <w:r>
        <w:t>the 25 wireless licenses</w:t>
      </w:r>
      <w:r w:rsidRPr="00213F0D">
        <w:t>.</w:t>
      </w:r>
      <w:r>
        <w:rPr>
          <w:rStyle w:val="FootnoteReference"/>
        </w:rPr>
        <w:footnoteReference w:id="25"/>
      </w:r>
    </w:p>
    <w:p w:rsidR="00C21BD9" w:rsidP="00C21BD9" w14:paraId="4C87B838" w14:textId="77777777">
      <w:pPr>
        <w:pStyle w:val="ParaNum"/>
        <w:widowControl/>
        <w:rPr>
          <w:snapToGrid/>
        </w:rPr>
      </w:pPr>
      <w:r w:rsidRPr="3CD37B23">
        <w:t xml:space="preserve">On October 10, 2019, Atrium filed several wireless license assignment applications notifying the Wireless Telecommunications Bureau that it had acquired wireless licenses without the necessary prior Commission approval for the transactions transferring ownership of the licenses from the </w:t>
      </w:r>
      <w:r w:rsidRPr="3CD37B23">
        <w:t>JQH Entities.</w:t>
      </w:r>
      <w:r>
        <w:rPr>
          <w:rStyle w:val="FootnoteReference"/>
        </w:rPr>
        <w:footnoteReference w:id="26"/>
      </w:r>
      <w:r w:rsidRPr="004A04C6">
        <w:rPr>
          <w:szCs w:val="22"/>
        </w:rPr>
        <w:t xml:space="preserve">  </w:t>
      </w:r>
      <w:r w:rsidRPr="3CD37B23">
        <w:t>On November 13, 2019</w:t>
      </w:r>
      <w:r>
        <w:rPr>
          <w:szCs w:val="22"/>
        </w:rPr>
        <w:t xml:space="preserve">, the </w:t>
      </w:r>
      <w:r w:rsidRPr="3CD37B23">
        <w:t>W</w:t>
      </w:r>
      <w:r>
        <w:t xml:space="preserve">ireless </w:t>
      </w:r>
      <w:r w:rsidRPr="3CD37B23">
        <w:t>T</w:t>
      </w:r>
      <w:r>
        <w:t xml:space="preserve">elecommunications </w:t>
      </w:r>
      <w:r w:rsidRPr="3CD37B23">
        <w:t>B</w:t>
      </w:r>
      <w:r>
        <w:t>ureau</w:t>
      </w:r>
      <w:r w:rsidRPr="3CD37B23">
        <w:t xml:space="preserve"> referred this matter to the Bureau for investigation</w:t>
      </w:r>
      <w:r>
        <w:t>.</w:t>
      </w:r>
    </w:p>
    <w:p w:rsidR="00C21BD9" w:rsidP="00C21BD9" w14:paraId="0DB316C9" w14:textId="77777777">
      <w:pPr>
        <w:pStyle w:val="ParaNum"/>
      </w:pPr>
      <w:r>
        <w:t>The Investigation revealed that Atrium a</w:t>
      </w:r>
      <w:r w:rsidRPr="3CD37B23">
        <w:t>cquired control and/or ownership of 25 wireless licenses from various JQH Entities, without prior Commission approval, through a series of closings that occurred between May 2018 and June 2020.</w:t>
      </w:r>
      <w:r>
        <w:rPr>
          <w:rStyle w:val="FootnoteReference"/>
        </w:rPr>
        <w:footnoteReference w:id="27"/>
      </w:r>
      <w:r>
        <w:t xml:space="preserve"> </w:t>
      </w:r>
    </w:p>
    <w:p w:rsidR="00C21BD9" w:rsidRPr="007E5DAB" w:rsidP="00C21BD9" w14:paraId="2A7DD9B7" w14:textId="77777777">
      <w:pPr>
        <w:pStyle w:val="ParaNum"/>
      </w:pPr>
      <w:r w:rsidRPr="007E5DAB">
        <w:t xml:space="preserve">To resolve the Bureau’s Investigation, the Parties now enter into this Consent Decree pursuant to which </w:t>
      </w:r>
      <w:r>
        <w:t>Atrium</w:t>
      </w:r>
      <w:r w:rsidRPr="007E5DAB">
        <w:t xml:space="preserve"> shall develop and implement a compliance plan to ensure its future compliance with the Unauthorized Transfer Laws,</w:t>
      </w:r>
      <w:r>
        <w:t xml:space="preserve"> </w:t>
      </w:r>
      <w:r w:rsidRPr="007E5DAB">
        <w:t>and shall pay a civil monetary penalty.</w:t>
      </w:r>
    </w:p>
    <w:p w:rsidR="00C21BD9" w:rsidRPr="007C0B39" w:rsidP="00C21BD9" w14:paraId="3915F9E7" w14:textId="77777777">
      <w:pPr>
        <w:pStyle w:val="Heading1"/>
        <w:widowControl/>
      </w:pPr>
      <w:bookmarkStart w:id="3" w:name="FN[FN18]"/>
      <w:bookmarkEnd w:id="3"/>
      <w:r w:rsidRPr="007C0B39">
        <w:t>TERMS OF AGREEMENT</w:t>
      </w:r>
    </w:p>
    <w:p w:rsidR="00C21BD9" w:rsidRPr="007C0B39" w:rsidP="00C21BD9" w14:paraId="1B20E425" w14:textId="77777777">
      <w:pPr>
        <w:pStyle w:val="ParaNum"/>
        <w:widowControl/>
      </w:pPr>
      <w:r w:rsidRPr="3CD37B23">
        <w:rPr>
          <w:b/>
          <w:u w:val="single"/>
        </w:rPr>
        <w:t>Adopting Order</w:t>
      </w:r>
      <w:r>
        <w:t>.  The provisions of this Consent Decree shall be incorporated by the Bureau in an Adopting Order.</w:t>
      </w:r>
    </w:p>
    <w:p w:rsidR="00C21BD9" w:rsidRPr="007C0B39" w:rsidP="00C21BD9" w14:paraId="57DD0F05" w14:textId="77777777">
      <w:pPr>
        <w:pStyle w:val="ParaNum"/>
        <w:widowControl/>
      </w:pPr>
      <w:r w:rsidRPr="3CD37B23">
        <w:rPr>
          <w:b/>
          <w:u w:val="single"/>
        </w:rPr>
        <w:t>Jurisdiction</w:t>
      </w:r>
      <w:r>
        <w:t xml:space="preserve">.  Atrium agrees that the Bureau has jurisdiction over it and the matters contained in this Consent Decree and has the </w:t>
      </w:r>
      <w:r w:rsidRPr="00ED419F">
        <w:t>authority</w:t>
      </w:r>
      <w:r>
        <w:t xml:space="preserve"> to enter into and adopt this Consent Decree.</w:t>
      </w:r>
    </w:p>
    <w:p w:rsidR="00C21BD9" w:rsidRPr="007C0B39" w:rsidP="00C21BD9" w14:paraId="569619C4" w14:textId="77777777">
      <w:pPr>
        <w:pStyle w:val="ParaNum"/>
        <w:widowControl/>
      </w:pPr>
      <w:r w:rsidRPr="3CD37B23">
        <w:rPr>
          <w:b/>
          <w:u w:val="single"/>
        </w:rPr>
        <w:t>Effective Date</w:t>
      </w:r>
      <w:r>
        <w:t xml:space="preserve">.  The </w:t>
      </w:r>
      <w:r w:rsidRPr="00ED419F">
        <w:t>Parties</w:t>
      </w:r>
      <w:r>
        <w:t xml:space="preserve"> agree that this Consent Decree shall become effective on the Effective Date as defined herein.  As of the Effective Date, the Parties agree that this Consent Decree shall have the same force and effect as any other order of the Commission.  </w:t>
      </w:r>
    </w:p>
    <w:p w:rsidR="00C21BD9" w:rsidRPr="00C566EC" w:rsidP="00C21BD9" w14:paraId="57676412" w14:textId="77777777">
      <w:pPr>
        <w:pStyle w:val="ParaNum"/>
        <w:widowControl/>
      </w:pPr>
      <w:r w:rsidRPr="3CD37B23">
        <w:rPr>
          <w:b/>
          <w:u w:val="single"/>
        </w:rPr>
        <w:t>Termination of Investigation</w:t>
      </w:r>
      <w:r w:rsidRPr="3CD37B23">
        <w:t xml:space="preserve">.  In express reliance </w:t>
      </w:r>
      <w:r w:rsidRPr="007C0B39">
        <w:t>on</w:t>
      </w:r>
      <w:r w:rsidRPr="3CD37B23">
        <w:t xml:space="preserve"> the covenants and representations in this Consent Decree and to avoid further expenditure of public resources, the Bureau agrees to terminate the Investigation.  In consideration for the termination of the Investigation, Atrium</w:t>
      </w:r>
      <w:r w:rsidRPr="007C0B39">
        <w:rPr>
          <w:szCs w:val="22"/>
        </w:rPr>
        <w:t xml:space="preserve"> </w:t>
      </w:r>
      <w:r w:rsidRPr="3CD37B23">
        <w:t>agrees to the terms, conditions, and procedures contained herein.  The Bureau further agrees that, in the absence of new material evidence, it will not use the facts developed in the Investigation through the Effective Date, or the existence of this Consent Decree, to institute any new proceeding on its own motion against Atrium</w:t>
      </w:r>
      <w:r w:rsidRPr="007C0B39">
        <w:rPr>
          <w:szCs w:val="22"/>
        </w:rPr>
        <w:t xml:space="preserve"> </w:t>
      </w:r>
      <w:r w:rsidRPr="3CD37B23">
        <w:t>concerning the matters that were the subject of the Investigation</w:t>
      </w:r>
      <w:r>
        <w:rPr>
          <w:szCs w:val="22"/>
        </w:rPr>
        <w:t>,</w:t>
      </w:r>
      <w:r>
        <w:t xml:space="preserve"> or to set for hearing the question of Atrium’s basic qualifications to be a Commission licensee or hold Commission licenses or authorizations based on the matters that were the subject of the Investigation.</w:t>
      </w:r>
      <w:r>
        <w:rPr>
          <w:rStyle w:val="FootnoteReference"/>
        </w:rPr>
        <w:footnoteReference w:id="28"/>
      </w:r>
    </w:p>
    <w:p w:rsidR="00C21BD9" w:rsidRPr="007C0B39" w:rsidP="00C21BD9" w14:paraId="3476E7A6" w14:textId="77777777">
      <w:pPr>
        <w:pStyle w:val="ParaNum"/>
        <w:widowControl/>
      </w:pPr>
      <w:r w:rsidRPr="007C0B39">
        <w:rPr>
          <w:b/>
          <w:u w:val="single"/>
        </w:rPr>
        <w:t>Admission of Liability</w:t>
      </w:r>
      <w:r w:rsidRPr="007C0B39">
        <w:t xml:space="preserve">.  </w:t>
      </w:r>
      <w:r>
        <w:t>Atrium</w:t>
      </w:r>
      <w:r w:rsidRPr="007C0B39">
        <w:t xml:space="preserve"> admits for the purpose of this Consent Decree and for Commission civil enforcement purposes, and in express reliance on the provisions of </w:t>
      </w:r>
      <w:r w:rsidRPr="00126719">
        <w:t>P</w:t>
      </w:r>
      <w:r w:rsidRPr="006F453E">
        <w:t>aragraph 14</w:t>
      </w:r>
      <w:r w:rsidRPr="007C0B39">
        <w:t xml:space="preserve"> herein,</w:t>
      </w:r>
      <w:r w:rsidRPr="00570C5A">
        <w:t xml:space="preserve"> </w:t>
      </w:r>
      <w:r w:rsidRPr="007E5DAB">
        <w:t xml:space="preserve">that its actions described in </w:t>
      </w:r>
      <w:r w:rsidRPr="00152BB0">
        <w:t>P</w:t>
      </w:r>
      <w:r w:rsidRPr="00F44D1D">
        <w:t xml:space="preserve">aragraphs </w:t>
      </w:r>
      <w:r w:rsidRPr="006F453E">
        <w:t>7 through 9</w:t>
      </w:r>
      <w:r w:rsidRPr="007E5DAB">
        <w:t xml:space="preserve"> of this Consent Decree violated the Unauthorized Transfer Laws</w:t>
      </w:r>
      <w:r w:rsidRPr="007E5DAB">
        <w:rPr>
          <w:i/>
        </w:rPr>
        <w:t>.</w:t>
      </w:r>
    </w:p>
    <w:p w:rsidR="00C21BD9" w:rsidRPr="007C0B39" w:rsidP="00C21BD9" w14:paraId="50A18E5D" w14:textId="77777777">
      <w:pPr>
        <w:pStyle w:val="ParaNum"/>
        <w:widowControl/>
      </w:pPr>
      <w:bookmarkStart w:id="4" w:name="_Ref379202869"/>
      <w:r w:rsidRPr="3CD37B23">
        <w:rPr>
          <w:b/>
          <w:u w:val="single"/>
        </w:rPr>
        <w:t>Compliance Officer</w:t>
      </w:r>
      <w:r>
        <w:t xml:space="preserve">.  Within thirty (30) </w:t>
      </w:r>
      <w:r w:rsidRPr="007C0B39">
        <w:t>calendar</w:t>
      </w:r>
      <w:r>
        <w:t xml:space="preserve"> days after the Effective Date, Atrium shall designate a senior corporate manager with the requisite corporate and organizational authority to serve as a Compliance Officer and to discharge the duties set forth below.  The person designated as the Compliance Officer shall be responsible for developing, implementing, and administering the Compliance Plan and ensuring that Atrium</w:t>
      </w:r>
      <w:r w:rsidRPr="007C0B39">
        <w:t xml:space="preserve"> </w:t>
      </w:r>
      <w:r>
        <w:t xml:space="preserve">complies with the terms and conditions of the Compliance Plan and this Consent Decree.  In </w:t>
      </w:r>
      <w:r w:rsidRPr="00ED419F">
        <w:t>addition</w:t>
      </w:r>
      <w:r>
        <w:t xml:space="preserve"> to the general knowledge of the Communications Laws necessary to discharge his or her duties under this Consent Decree, the Compliance Officer shall have specific knowledge of the Unauthorized Transfer Laws prior to assuming his/her duties.</w:t>
      </w:r>
      <w:bookmarkEnd w:id="4"/>
    </w:p>
    <w:p w:rsidR="00C21BD9" w:rsidRPr="007C0B39" w:rsidP="00C21BD9" w14:paraId="60DF756D" w14:textId="77777777">
      <w:pPr>
        <w:pStyle w:val="ParaNum"/>
        <w:widowControl/>
      </w:pPr>
      <w:bookmarkStart w:id="5" w:name="_Ref357521857"/>
      <w:r w:rsidRPr="3CD37B23">
        <w:rPr>
          <w:b/>
          <w:u w:val="single"/>
        </w:rPr>
        <w:t>Compliance Plan</w:t>
      </w:r>
      <w:r>
        <w:t>.  For purposes of settling the matters set forth herein, Atrium agrees that it shall, within sixty (60) calendar days after the Effective Date, develop and implement a Compliance Plan designed to ensure future compliance with the Communications Laws and with the terms and conditions of this Consent Decree.  With respect to the Unauthorized Transfer Laws, Atrium will implement, at a minimum, the following procedures:</w:t>
      </w:r>
      <w:bookmarkEnd w:id="5"/>
    </w:p>
    <w:p w:rsidR="00C21BD9" w:rsidRPr="007C0B39" w:rsidP="00C21BD9" w14:paraId="77A8C929" w14:textId="77777777">
      <w:pPr>
        <w:widowControl/>
        <w:numPr>
          <w:ilvl w:val="0"/>
          <w:numId w:val="6"/>
        </w:numPr>
        <w:tabs>
          <w:tab w:val="clear" w:pos="1656"/>
        </w:tabs>
        <w:spacing w:after="120"/>
        <w:ind w:left="1886"/>
        <w:rPr>
          <w:szCs w:val="22"/>
        </w:rPr>
      </w:pPr>
      <w:r w:rsidRPr="007C0B39">
        <w:rPr>
          <w:b/>
          <w:szCs w:val="22"/>
          <w:u w:val="single"/>
        </w:rPr>
        <w:t>Operating Procedures</w:t>
      </w:r>
      <w:r>
        <w:rPr>
          <w:szCs w:val="22"/>
        </w:rPr>
        <w:t>.  Within thirty (3</w:t>
      </w:r>
      <w:r w:rsidRPr="007C0B39">
        <w:rPr>
          <w:szCs w:val="22"/>
        </w:rPr>
        <w:t xml:space="preserve">0) calendar days after the Effective Date, </w:t>
      </w:r>
      <w:r>
        <w:rPr>
          <w:szCs w:val="22"/>
        </w:rPr>
        <w:t>Atrium</w:t>
      </w:r>
      <w:r w:rsidRPr="007C0B39">
        <w:rPr>
          <w:szCs w:val="22"/>
        </w:rPr>
        <w:t xml:space="preserve"> shall establish Operating Procedures that all Covered Employees must follow to help ensure </w:t>
      </w:r>
      <w:r>
        <w:rPr>
          <w:szCs w:val="22"/>
        </w:rPr>
        <w:t>Atrium</w:t>
      </w:r>
      <w:r w:rsidRPr="007C0B39">
        <w:rPr>
          <w:szCs w:val="22"/>
        </w:rPr>
        <w:t xml:space="preserve">’s compliance with the </w:t>
      </w:r>
      <w:r>
        <w:rPr>
          <w:szCs w:val="22"/>
        </w:rPr>
        <w:t>Unauthorized Transfer Laws</w:t>
      </w:r>
      <w:r w:rsidRPr="007C0B39">
        <w:rPr>
          <w:szCs w:val="22"/>
        </w:rPr>
        <w:t xml:space="preserve">.  </w:t>
      </w:r>
      <w:r>
        <w:rPr>
          <w:szCs w:val="22"/>
        </w:rPr>
        <w:t>Atrium</w:t>
      </w:r>
      <w:r w:rsidRPr="007C0B39">
        <w:rPr>
          <w:szCs w:val="22"/>
        </w:rPr>
        <w:t xml:space="preserve">’s Operating Procedures shall include internal procedures and policies specifically designed to ensure that </w:t>
      </w:r>
      <w:r>
        <w:rPr>
          <w:szCs w:val="22"/>
        </w:rPr>
        <w:t xml:space="preserve">Atrium </w:t>
      </w:r>
      <w:r w:rsidRPr="007E5DAB">
        <w:t>complies with the Unauthorized Transfer Laws</w:t>
      </w:r>
      <w:r w:rsidRPr="007C0B39">
        <w:rPr>
          <w:szCs w:val="22"/>
        </w:rPr>
        <w:t xml:space="preserve">.  </w:t>
      </w:r>
      <w:r>
        <w:rPr>
          <w:szCs w:val="22"/>
        </w:rPr>
        <w:t>Atrium</w:t>
      </w:r>
      <w:r w:rsidRPr="007C0B39">
        <w:t xml:space="preserve"> </w:t>
      </w:r>
      <w:r w:rsidRPr="007C0B39">
        <w:rPr>
          <w:szCs w:val="22"/>
        </w:rPr>
        <w:t xml:space="preserve">shall also develop a Compliance Checklist that describes the steps that a Covered Employee must follow to ensure compliance with the </w:t>
      </w:r>
      <w:r w:rsidRPr="007E5DAB">
        <w:t>Unauthorized Transfer Laws</w:t>
      </w:r>
      <w:r w:rsidRPr="007C0B39">
        <w:rPr>
          <w:szCs w:val="22"/>
        </w:rPr>
        <w:t>.</w:t>
      </w:r>
    </w:p>
    <w:p w:rsidR="00C21BD9" w:rsidRPr="007C0B39" w:rsidP="00C21BD9" w14:paraId="213A1FAF" w14:textId="77777777">
      <w:pPr>
        <w:widowControl/>
        <w:numPr>
          <w:ilvl w:val="0"/>
          <w:numId w:val="6"/>
        </w:numPr>
        <w:tabs>
          <w:tab w:val="clear" w:pos="1656"/>
        </w:tabs>
        <w:spacing w:after="120"/>
        <w:ind w:left="1886"/>
        <w:rPr>
          <w:szCs w:val="22"/>
        </w:rPr>
      </w:pPr>
      <w:r w:rsidRPr="007C0B39">
        <w:rPr>
          <w:b/>
          <w:szCs w:val="22"/>
          <w:u w:val="single"/>
        </w:rPr>
        <w:t>Compliance Manual</w:t>
      </w:r>
      <w:r w:rsidRPr="007C0B39">
        <w:rPr>
          <w:szCs w:val="22"/>
        </w:rPr>
        <w:t xml:space="preserve">.  Within sixty (60) calendar days after the Effective Date, the Compliance Officer shall develop and distribute a Compliance Manual to all Covered Employees.  The Compliance Manual shall explain the </w:t>
      </w:r>
      <w:r>
        <w:rPr>
          <w:szCs w:val="22"/>
        </w:rPr>
        <w:t>Unauthorized Transfer Laws</w:t>
      </w:r>
      <w:r w:rsidRPr="007C0B39">
        <w:rPr>
          <w:szCs w:val="22"/>
        </w:rPr>
        <w:t xml:space="preserve"> and set forth the Operating Procedures that Covered Employees shall follow to help ensure </w:t>
      </w:r>
      <w:r>
        <w:rPr>
          <w:szCs w:val="22"/>
        </w:rPr>
        <w:t>Atrium’s</w:t>
      </w:r>
      <w:r w:rsidRPr="007C0B39">
        <w:rPr>
          <w:szCs w:val="22"/>
        </w:rPr>
        <w:t xml:space="preserve"> compliance with the </w:t>
      </w:r>
      <w:r>
        <w:rPr>
          <w:szCs w:val="22"/>
        </w:rPr>
        <w:t>Unauthorized Transfer Laws</w:t>
      </w:r>
      <w:r w:rsidRPr="007C0B39">
        <w:rPr>
          <w:szCs w:val="22"/>
        </w:rPr>
        <w:t xml:space="preserve">.  </w:t>
      </w:r>
      <w:r>
        <w:rPr>
          <w:szCs w:val="22"/>
        </w:rPr>
        <w:t>Atrium</w:t>
      </w:r>
      <w:r w:rsidRPr="007C0B39">
        <w:rPr>
          <w:szCs w:val="22"/>
        </w:rPr>
        <w:t xml:space="preserve"> shall periodically review and revise the Compliance Manual as necessary to ensure that the information set forth therein remains current and accurate.  </w:t>
      </w:r>
      <w:r>
        <w:t>Atrium</w:t>
      </w:r>
      <w:r w:rsidRPr="007C0B39">
        <w:rPr>
          <w:szCs w:val="22"/>
        </w:rPr>
        <w:t xml:space="preserve"> shall distribute any revisions to the Compliance Manual promptly to all Covered Employees.</w:t>
      </w:r>
    </w:p>
    <w:p w:rsidR="00C21BD9" w:rsidRPr="007C0B39" w:rsidP="00C21BD9" w14:paraId="4DDE44BB" w14:textId="77777777">
      <w:pPr>
        <w:widowControl/>
        <w:numPr>
          <w:ilvl w:val="0"/>
          <w:numId w:val="6"/>
        </w:numPr>
        <w:tabs>
          <w:tab w:val="clear" w:pos="1656"/>
        </w:tabs>
        <w:spacing w:after="120"/>
        <w:ind w:left="1886"/>
      </w:pPr>
      <w:r w:rsidRPr="007C0B39">
        <w:rPr>
          <w:b/>
          <w:szCs w:val="22"/>
          <w:u w:val="single"/>
        </w:rPr>
        <w:t>Compliance Training Program</w:t>
      </w:r>
      <w:r w:rsidRPr="007C0B39">
        <w:rPr>
          <w:szCs w:val="22"/>
        </w:rPr>
        <w:t xml:space="preserve">.  </w:t>
      </w:r>
      <w:r>
        <w:rPr>
          <w:szCs w:val="22"/>
        </w:rPr>
        <w:t>Atrium</w:t>
      </w:r>
      <w:r w:rsidRPr="007C0B39">
        <w:rPr>
          <w:szCs w:val="22"/>
        </w:rPr>
        <w:t xml:space="preserve"> shall establish and implement a Compliance Training Program on compliance with the </w:t>
      </w:r>
      <w:r w:rsidRPr="007E5DAB">
        <w:t>Unauthorized Transfer Laws</w:t>
      </w:r>
      <w:r w:rsidRPr="007C0B39">
        <w:rPr>
          <w:szCs w:val="22"/>
        </w:rPr>
        <w:t xml:space="preserve"> and the Operating Procedures.  As part of the Compliance Training Program, Covered Employees shall be advised of </w:t>
      </w:r>
      <w:r>
        <w:t>Atrium</w:t>
      </w:r>
      <w:r w:rsidRPr="007C0B39">
        <w:rPr>
          <w:szCs w:val="22"/>
        </w:rPr>
        <w:t xml:space="preserve">’s obligation to report any noncompliance with the </w:t>
      </w:r>
      <w:r w:rsidRPr="007E5DAB">
        <w:t>Unauthorized Transfer Laws</w:t>
      </w:r>
      <w:r w:rsidRPr="007C0B39">
        <w:rPr>
          <w:szCs w:val="22"/>
        </w:rPr>
        <w:t xml:space="preserve"> under </w:t>
      </w:r>
      <w:r>
        <w:rPr>
          <w:szCs w:val="22"/>
        </w:rPr>
        <w:t>P</w:t>
      </w:r>
      <w:r w:rsidRPr="007C0B39">
        <w:rPr>
          <w:szCs w:val="22"/>
        </w:rPr>
        <w:t xml:space="preserve">aragraph </w:t>
      </w:r>
      <w:r w:rsidRPr="006F453E">
        <w:rPr>
          <w:szCs w:val="22"/>
        </w:rPr>
        <w:t>18</w:t>
      </w:r>
      <w:r w:rsidRPr="007C0B39">
        <w:rPr>
          <w:szCs w:val="22"/>
        </w:rPr>
        <w:t xml:space="preserve"> of this Consent Decree and shall be instructed on how to disclose noncompliance to the Compliance Officer.  All Covered Employees shall be trained pursuant to the Compliance Training Program within sixty (60) calendar days after the Effective Date, except that any person who becomes a Covered Employee at any time after the initial Compliance Training Program shall be trained within thirty (30) calendar days after the date such person becomes a Covered Employee.  </w:t>
      </w:r>
      <w:r>
        <w:rPr>
          <w:szCs w:val="22"/>
        </w:rPr>
        <w:t>Atrium</w:t>
      </w:r>
      <w:r w:rsidRPr="007C0B39">
        <w:rPr>
          <w:szCs w:val="22"/>
        </w:rPr>
        <w:t xml:space="preserve"> shall repeat compliance training on an annual basis, and shall periodically review and revise the Compliance Training Program as necessary to ensure that it remains current and complete and to enhance its effectiveness.</w:t>
      </w:r>
    </w:p>
    <w:p w:rsidR="00C21BD9" w:rsidRPr="007C0B39" w:rsidP="00C21BD9" w14:paraId="62FF90B3" w14:textId="4FB719ED">
      <w:pPr>
        <w:pStyle w:val="ParaNum"/>
        <w:widowControl/>
      </w:pPr>
      <w:bookmarkStart w:id="6" w:name="_Ref321323028"/>
      <w:r w:rsidRPr="007C0B39">
        <w:rPr>
          <w:b/>
          <w:u w:val="single"/>
        </w:rPr>
        <w:t>Reporting Noncompliance</w:t>
      </w:r>
      <w:r w:rsidRPr="007C0B39">
        <w:t xml:space="preserve">.  </w:t>
      </w:r>
      <w:r>
        <w:t>Atrium</w:t>
      </w:r>
      <w:r w:rsidRPr="007C0B39">
        <w:t xml:space="preserve"> shall report any noncompliance with the </w:t>
      </w:r>
      <w:r>
        <w:t>Unauthorized Transfer Laws</w:t>
      </w:r>
      <w:r w:rsidRPr="007C0B39">
        <w:t xml:space="preserve"> and with the terms and conditions of this Consent Decree within fifteen (15) calendar days after discovery of such noncompliance.  Such reports shall include a detailed explanation of:  (</w:t>
      </w:r>
      <w:r w:rsidRPr="007C0B39">
        <w:t>i</w:t>
      </w:r>
      <w:r w:rsidRPr="007C0B39">
        <w:t xml:space="preserve">) each instance of noncompliance; (ii) the steps that </w:t>
      </w:r>
      <w:r>
        <w:t>Atrium</w:t>
      </w:r>
      <w:r w:rsidRPr="007C0B39">
        <w:t xml:space="preserve"> has taken or will take to remedy such noncompliance; (iii) the schedule on which such remedial actions will be taken; and (iv) the steps that</w:t>
      </w:r>
      <w:r>
        <w:t xml:space="preserve"> Atrium</w:t>
      </w:r>
      <w:r w:rsidRPr="007C0B39">
        <w:t xml:space="preserve"> has taken or will take to prevent the recurrence of any such noncompliance.  </w:t>
      </w:r>
      <w:bookmarkEnd w:id="6"/>
      <w:r w:rsidRPr="007E5DAB">
        <w:t>All reports of noncompliance shall be submitted to the Chief, Investigations &amp; Hearings Division, Enforcement Bureau, Federal Communications Commission, 45 L Street, NE, Washington, D</w:t>
      </w:r>
      <w:r>
        <w:t>.</w:t>
      </w:r>
      <w:r w:rsidRPr="007E5DAB">
        <w:t>C</w:t>
      </w:r>
      <w:r>
        <w:t>.</w:t>
      </w:r>
      <w:r w:rsidRPr="007E5DAB">
        <w:t xml:space="preserve"> 20554, with a copy submitted electronically to Jeffrey J. Gee at </w:t>
      </w:r>
      <w:hyperlink r:id="rId13" w:history="1">
        <w:r w:rsidRPr="3CD37B23">
          <w:rPr>
            <w:rStyle w:val="Hyperlink"/>
          </w:rPr>
          <w:t>Jeffrey.Gee@fcc.gov</w:t>
        </w:r>
      </w:hyperlink>
      <w:r>
        <w:t xml:space="preserve">, Christopher J. Sova at </w:t>
      </w:r>
      <w:hyperlink r:id="rId14" w:history="1">
        <w:r w:rsidRPr="3CD37B23">
          <w:rPr>
            <w:rStyle w:val="Hyperlink"/>
          </w:rPr>
          <w:t>Christopher.Sova@fcc.gov</w:t>
        </w:r>
      </w:hyperlink>
      <w:r>
        <w:t xml:space="preserve">, Kenneth M. </w:t>
      </w:r>
      <w:r w:rsidRPr="007E5DAB">
        <w:t xml:space="preserve">Scheibel, Jr. </w:t>
      </w:r>
      <w:r>
        <w:t xml:space="preserve">at </w:t>
      </w:r>
      <w:hyperlink r:id="rId15" w:history="1">
        <w:r w:rsidRPr="3CD37B23">
          <w:rPr>
            <w:rStyle w:val="Hyperlink"/>
          </w:rPr>
          <w:t>Kenneth.Scheibel@fcc.gov</w:t>
        </w:r>
      </w:hyperlink>
      <w:r>
        <w:t xml:space="preserve">, and Kathryn Hinton at </w:t>
      </w:r>
      <w:hyperlink r:id="rId16" w:history="1">
        <w:r w:rsidRPr="3CD37B23">
          <w:rPr>
            <w:rStyle w:val="Hyperlink"/>
          </w:rPr>
          <w:t>Kathryn.Hinton@fcc.gov</w:t>
        </w:r>
      </w:hyperlink>
      <w:r>
        <w:t>.</w:t>
      </w:r>
    </w:p>
    <w:p w:rsidR="00C21BD9" w:rsidRPr="007C0B39" w:rsidP="00C21BD9" w14:paraId="015F09E8" w14:textId="77777777">
      <w:pPr>
        <w:pStyle w:val="ParaNum"/>
        <w:widowControl/>
        <w:rPr>
          <w:caps/>
        </w:rPr>
      </w:pPr>
      <w:bookmarkStart w:id="7" w:name="_Ref379202892"/>
      <w:r w:rsidRPr="007C0B39">
        <w:rPr>
          <w:b/>
          <w:u w:val="single"/>
        </w:rPr>
        <w:t>Compliance Reports</w:t>
      </w:r>
      <w:r w:rsidRPr="007C0B39">
        <w:t xml:space="preserve">.  </w:t>
      </w:r>
      <w:r>
        <w:t>Atrium</w:t>
      </w:r>
      <w:r w:rsidRPr="007C0B39">
        <w:t xml:space="preserve"> shall file compliance reports with the Commission ninety (90) calendar days after the Effective Date, twelve (12) months after the Effective Date, twenty-four (24) months after the Effective Date, and thirty-six (36) months after the Effective Date.</w:t>
      </w:r>
      <w:bookmarkEnd w:id="7"/>
      <w:r w:rsidRPr="007C0B39">
        <w:t xml:space="preserve">  </w:t>
      </w:r>
    </w:p>
    <w:p w:rsidR="00C21BD9" w:rsidRPr="007C0B39" w:rsidP="00C21BD9" w14:paraId="360BCBD2" w14:textId="77777777">
      <w:pPr>
        <w:widowControl/>
        <w:numPr>
          <w:ilvl w:val="0"/>
          <w:numId w:val="7"/>
        </w:numPr>
        <w:tabs>
          <w:tab w:val="clear" w:pos="1782"/>
        </w:tabs>
        <w:spacing w:after="120"/>
        <w:ind w:left="1886"/>
        <w:rPr>
          <w:szCs w:val="22"/>
        </w:rPr>
      </w:pPr>
      <w:r w:rsidRPr="007C0B39">
        <w:rPr>
          <w:szCs w:val="22"/>
        </w:rPr>
        <w:t xml:space="preserve">Each Compliance Report shall include a detailed description of </w:t>
      </w:r>
      <w:r>
        <w:t>Atrium</w:t>
      </w:r>
      <w:r w:rsidRPr="007C0B39">
        <w:rPr>
          <w:szCs w:val="22"/>
        </w:rPr>
        <w:t xml:space="preserve">’s efforts during the relevant period to comply with the terms and conditions of this Consent Decree and the </w:t>
      </w:r>
      <w:r>
        <w:rPr>
          <w:szCs w:val="22"/>
        </w:rPr>
        <w:t>Unauthorized Transfer Laws</w:t>
      </w:r>
      <w:r w:rsidRPr="007C0B39">
        <w:rPr>
          <w:szCs w:val="22"/>
        </w:rPr>
        <w:t xml:space="preserve">.  In addition, each Compliance Report shall include a certification by the Compliance Officer, as an agent of and on behalf of </w:t>
      </w:r>
      <w:r>
        <w:t>Atrium</w:t>
      </w:r>
      <w:r w:rsidRPr="007C0B39">
        <w:rPr>
          <w:szCs w:val="22"/>
        </w:rPr>
        <w:t xml:space="preserve">, stating that the Compliance Officer has personal knowledge that </w:t>
      </w:r>
      <w:r>
        <w:t>Atrium</w:t>
      </w:r>
      <w:r w:rsidRPr="007C0B39">
        <w:t>:</w:t>
      </w:r>
      <w:r w:rsidRPr="007C0B39">
        <w:rPr>
          <w:szCs w:val="22"/>
        </w:rPr>
        <w:t xml:space="preserve">  (</w:t>
      </w:r>
      <w:r w:rsidRPr="007C0B39">
        <w:rPr>
          <w:szCs w:val="22"/>
        </w:rPr>
        <w:t>i</w:t>
      </w:r>
      <w:r w:rsidRPr="007C0B39">
        <w:rPr>
          <w:szCs w:val="22"/>
        </w:rPr>
        <w:t xml:space="preserve">) has established and implemented the Compliance Plan; (ii) has utilized the </w:t>
      </w:r>
      <w:r w:rsidRPr="007C0B39">
        <w:rPr>
          <w:szCs w:val="22"/>
        </w:rPr>
        <w:t xml:space="preserve">Operating Procedures since the implementation of the Compliance Plan; and (iii) is not aware of any instances of noncompliance with the terms and conditions of this Consent Decree, including the reporting obligations set forth in </w:t>
      </w:r>
      <w:r>
        <w:rPr>
          <w:szCs w:val="22"/>
        </w:rPr>
        <w:t>P</w:t>
      </w:r>
      <w:r w:rsidRPr="007C0B39">
        <w:rPr>
          <w:szCs w:val="22"/>
        </w:rPr>
        <w:t xml:space="preserve">aragraph </w:t>
      </w:r>
      <w:r w:rsidRPr="006F453E">
        <w:rPr>
          <w:szCs w:val="22"/>
        </w:rPr>
        <w:t>18</w:t>
      </w:r>
      <w:r w:rsidRPr="007C0B39">
        <w:rPr>
          <w:b/>
          <w:szCs w:val="22"/>
        </w:rPr>
        <w:t xml:space="preserve"> </w:t>
      </w:r>
      <w:r w:rsidRPr="007C0B39">
        <w:rPr>
          <w:szCs w:val="22"/>
        </w:rPr>
        <w:t>of this Consent Decree.</w:t>
      </w:r>
    </w:p>
    <w:p w:rsidR="00C21BD9" w:rsidRPr="007C0B39" w:rsidP="00C21BD9" w14:paraId="7D96F627" w14:textId="77777777">
      <w:pPr>
        <w:widowControl/>
        <w:numPr>
          <w:ilvl w:val="0"/>
          <w:numId w:val="7"/>
        </w:numPr>
        <w:tabs>
          <w:tab w:val="clear" w:pos="1782"/>
        </w:tabs>
        <w:spacing w:after="120"/>
        <w:ind w:left="1886"/>
        <w:rPr>
          <w:szCs w:val="22"/>
        </w:rPr>
      </w:pPr>
      <w:r w:rsidRPr="007C0B39">
        <w:rPr>
          <w:szCs w:val="22"/>
        </w:rPr>
        <w:t xml:space="preserve">The Compliance Officer’s certification shall be accompanied by a statement explaining the basis for such certification and shall comply with </w:t>
      </w:r>
      <w:r>
        <w:rPr>
          <w:szCs w:val="22"/>
        </w:rPr>
        <w:t>s</w:t>
      </w:r>
      <w:r w:rsidRPr="007C0B39">
        <w:rPr>
          <w:szCs w:val="22"/>
        </w:rPr>
        <w:t>ection 1.16 of the Rules and be subscribed to as true under penalty of perjury in substantially the form set forth therein.</w:t>
      </w:r>
      <w:r>
        <w:rPr>
          <w:rStyle w:val="FootnoteReference"/>
          <w:szCs w:val="22"/>
        </w:rPr>
        <w:footnoteReference w:id="29"/>
      </w:r>
    </w:p>
    <w:p w:rsidR="00C21BD9" w:rsidRPr="007C0B39" w:rsidP="00C21BD9" w14:paraId="236E2AAF" w14:textId="77777777">
      <w:pPr>
        <w:widowControl/>
        <w:numPr>
          <w:ilvl w:val="0"/>
          <w:numId w:val="7"/>
        </w:numPr>
        <w:tabs>
          <w:tab w:val="clear" w:pos="1782"/>
        </w:tabs>
        <w:spacing w:after="120"/>
        <w:ind w:left="1886"/>
        <w:rPr>
          <w:szCs w:val="22"/>
        </w:rPr>
      </w:pPr>
      <w:r w:rsidRPr="007C0B39">
        <w:rPr>
          <w:szCs w:val="22"/>
        </w:rPr>
        <w:t xml:space="preserve">If the Compliance Officer cannot provide the requisite certification, the Compliance Officer, as an agent of and on behalf of </w:t>
      </w:r>
      <w:r>
        <w:t>Atrium</w:t>
      </w:r>
      <w:r w:rsidRPr="007C0B39">
        <w:rPr>
          <w:szCs w:val="22"/>
        </w:rPr>
        <w:t>, shall provide the Commission with a detailed explanation of the reason(s) why and describe fully:  (</w:t>
      </w:r>
      <w:r w:rsidRPr="007C0B39">
        <w:rPr>
          <w:szCs w:val="22"/>
        </w:rPr>
        <w:t>i</w:t>
      </w:r>
      <w:r w:rsidRPr="007C0B39">
        <w:rPr>
          <w:szCs w:val="22"/>
        </w:rPr>
        <w:t xml:space="preserve">) each instance of noncompliance; (ii) the steps that </w:t>
      </w:r>
      <w:r>
        <w:t>Atrium</w:t>
      </w:r>
      <w:r w:rsidRPr="007C0B39">
        <w:rPr>
          <w:szCs w:val="22"/>
        </w:rPr>
        <w:t xml:space="preserve"> has taken or will take to remedy such noncompliance, including the schedule on which proposed remedial actions will be taken; and (iii) the steps that </w:t>
      </w:r>
      <w:r>
        <w:t>Atrium</w:t>
      </w:r>
      <w:r w:rsidRPr="007C0B39">
        <w:rPr>
          <w:szCs w:val="22"/>
        </w:rPr>
        <w:t xml:space="preserve"> has taken or will take to prevent the recurrence of any such noncompliance, including the schedule on which such preventive action will be taken.</w:t>
      </w:r>
    </w:p>
    <w:p w:rsidR="00C21BD9" w:rsidRPr="007C0B39" w:rsidP="00C21BD9" w14:paraId="5468406F" w14:textId="44163B4D">
      <w:pPr>
        <w:widowControl/>
        <w:numPr>
          <w:ilvl w:val="0"/>
          <w:numId w:val="7"/>
        </w:numPr>
        <w:tabs>
          <w:tab w:val="clear" w:pos="1782"/>
        </w:tabs>
        <w:spacing w:after="120"/>
        <w:ind w:left="1886" w:hanging="450"/>
        <w:rPr>
          <w:szCs w:val="22"/>
        </w:rPr>
      </w:pPr>
      <w:r w:rsidRPr="007C0B39">
        <w:rPr>
          <w:szCs w:val="22"/>
        </w:rPr>
        <w:t xml:space="preserve">All Compliance Reports shall be submitted </w:t>
      </w:r>
      <w:r w:rsidRPr="007E5DAB">
        <w:t>to the Chief, Investigations &amp; Hearings Division, Enforcement Bureau, Federal Communications Commission, 45 L Street, NE, Washington, D</w:t>
      </w:r>
      <w:r>
        <w:t>.</w:t>
      </w:r>
      <w:r w:rsidRPr="007E5DAB">
        <w:t>C</w:t>
      </w:r>
      <w:r>
        <w:t>.</w:t>
      </w:r>
      <w:r w:rsidRPr="007E5DAB">
        <w:t xml:space="preserve"> 20554, with a copy submitted electronically to Jeffrey J. Gee at </w:t>
      </w:r>
      <w:hyperlink r:id="rId13" w:history="1">
        <w:r w:rsidRPr="007E5DAB">
          <w:rPr>
            <w:rStyle w:val="Hyperlink"/>
          </w:rPr>
          <w:t>Jeffrey.Gee@fcc.gov</w:t>
        </w:r>
      </w:hyperlink>
      <w:r w:rsidRPr="007E5DAB">
        <w:t xml:space="preserve">, Christopher J. Sova at </w:t>
      </w:r>
      <w:hyperlink r:id="rId14" w:history="1">
        <w:r w:rsidRPr="007E5DAB">
          <w:rPr>
            <w:rStyle w:val="Hyperlink"/>
          </w:rPr>
          <w:t>Christopher.Sova@fcc.gov</w:t>
        </w:r>
      </w:hyperlink>
      <w:r w:rsidRPr="007E5DAB">
        <w:t xml:space="preserve">, Kenneth M. Scheibel, Jr. at </w:t>
      </w:r>
      <w:hyperlink r:id="rId15" w:history="1">
        <w:r w:rsidRPr="007E5DAB">
          <w:rPr>
            <w:rStyle w:val="Hyperlink"/>
          </w:rPr>
          <w:t>Kenneth.Scheibel@fcc.gov</w:t>
        </w:r>
      </w:hyperlink>
      <w:r w:rsidRPr="007E5DAB">
        <w:t xml:space="preserve">, and </w:t>
      </w:r>
      <w:r>
        <w:t>Kathryn Hinton</w:t>
      </w:r>
      <w:r w:rsidRPr="007E5DAB">
        <w:t xml:space="preserve"> at </w:t>
      </w:r>
      <w:r>
        <w:rPr>
          <w:rStyle w:val="Hyperlink"/>
        </w:rPr>
        <w:t>Kathryn.Hinton@fcc.gov</w:t>
      </w:r>
      <w:r w:rsidRPr="007C0B39">
        <w:rPr>
          <w:szCs w:val="22"/>
        </w:rPr>
        <w:t>.</w:t>
      </w:r>
    </w:p>
    <w:p w:rsidR="00C21BD9" w:rsidRPr="007C0B39" w:rsidP="00C21BD9" w14:paraId="3E7CB964" w14:textId="77777777">
      <w:pPr>
        <w:pStyle w:val="ParaNum"/>
        <w:widowControl/>
      </w:pPr>
      <w:r w:rsidRPr="3CD37B23">
        <w:rPr>
          <w:b/>
          <w:u w:val="single"/>
        </w:rPr>
        <w:t>Termination Date</w:t>
      </w:r>
      <w:r>
        <w:t xml:space="preserve">. </w:t>
      </w:r>
      <w:r w:rsidRPr="3CD37B23">
        <w:rPr>
          <w:b/>
        </w:rPr>
        <w:t xml:space="preserve"> </w:t>
      </w:r>
      <w:r>
        <w:t xml:space="preserve">Unless stated otherwise, the </w:t>
      </w:r>
      <w:r w:rsidRPr="007C0B39">
        <w:t>requirements</w:t>
      </w:r>
      <w:r>
        <w:t xml:space="preserve"> set forth in Paragraphs </w:t>
      </w:r>
      <w:r w:rsidRPr="006F453E">
        <w:t>16</w:t>
      </w:r>
      <w:r>
        <w:t xml:space="preserve"> </w:t>
      </w:r>
      <w:r w:rsidRPr="00126719">
        <w:t xml:space="preserve">through </w:t>
      </w:r>
      <w:r w:rsidRPr="006F453E">
        <w:t>19</w:t>
      </w:r>
      <w:r w:rsidRPr="00126719">
        <w:t xml:space="preserve"> of</w:t>
      </w:r>
      <w:r>
        <w:t xml:space="preserve"> this Consent Decree shall expire thirty-six (36) months after the Effective Date.</w:t>
      </w:r>
    </w:p>
    <w:p w:rsidR="00C21BD9" w:rsidP="00C21BD9" w14:paraId="51E10DB7" w14:textId="6425CBED">
      <w:pPr>
        <w:pStyle w:val="ParaNum"/>
        <w:rPr>
          <w:snapToGrid/>
        </w:rPr>
      </w:pPr>
      <w:bookmarkStart w:id="8" w:name="_Ref357521957"/>
      <w:r w:rsidRPr="009D56CE">
        <w:rPr>
          <w:b/>
          <w:iCs/>
          <w:u w:val="single"/>
        </w:rPr>
        <w:t>Civil Penalty</w:t>
      </w:r>
      <w:r w:rsidRPr="009D56CE">
        <w:rPr>
          <w:iCs/>
        </w:rPr>
        <w:t>.</w:t>
      </w:r>
      <w:r w:rsidRPr="007C0B39">
        <w:t xml:space="preserve">  </w:t>
      </w:r>
      <w:r>
        <w:t>Atrium</w:t>
      </w:r>
      <w:r w:rsidRPr="007C0B39">
        <w:t xml:space="preserve"> will pay a civil penalty to the United States Treasury in the amount of </w:t>
      </w:r>
      <w:r>
        <w:t xml:space="preserve">thirty-five thousand dollars </w:t>
      </w:r>
      <w:r w:rsidRPr="002755D1">
        <w:t>($</w:t>
      </w:r>
      <w:r>
        <w:t xml:space="preserve">35,000) </w:t>
      </w:r>
      <w:r w:rsidRPr="00C918AC">
        <w:t>within thirty (30) calendar days of the Effective Date</w:t>
      </w:r>
      <w:r>
        <w:t xml:space="preserve">.  </w:t>
      </w:r>
      <w:r w:rsidRPr="3CD37B23">
        <w:t>Atrium acknowledges and agrees that upon execution of this Consent Decree, the Civil Penalty shall become a “Claim” or “Debt” as defined in 31 U.S.C. § 3701(b)(1).</w:t>
      </w:r>
      <w:r>
        <w:rPr>
          <w:rStyle w:val="ParaNumChar0"/>
          <w:vertAlign w:val="superscript"/>
        </w:rPr>
        <w:footnoteReference w:id="30"/>
      </w:r>
      <w:r w:rsidRPr="3CD37B23">
        <w:t xml:space="preserve">  Upon an Event of Default, all procedures for collection as permitted by law may, at the Commission’s discretion, be initiated.</w:t>
      </w:r>
      <w:r w:rsidRPr="00031593">
        <w:rPr>
          <w:szCs w:val="22"/>
        </w:rPr>
        <w:t xml:space="preserve">  </w:t>
      </w:r>
      <w:r>
        <w:t>Atrium</w:t>
      </w:r>
      <w:r w:rsidRPr="00031593">
        <w:rPr>
          <w:szCs w:val="22"/>
        </w:rPr>
        <w:t xml:space="preserve"> </w:t>
      </w:r>
      <w:r w:rsidRPr="007C0B39">
        <w:t xml:space="preserve">shall send electronic notification of payment to </w:t>
      </w:r>
      <w:r w:rsidRPr="007E5DAB">
        <w:t xml:space="preserve">Jeffrey J. Gee at </w:t>
      </w:r>
      <w:hyperlink r:id="rId13" w:history="1">
        <w:r w:rsidRPr="007E5DAB">
          <w:rPr>
            <w:rStyle w:val="Hyperlink"/>
          </w:rPr>
          <w:t>Jeffrey.Gee@fcc.gov</w:t>
        </w:r>
      </w:hyperlink>
      <w:r w:rsidRPr="007E5DAB">
        <w:t xml:space="preserve">, Christopher J. Sova at </w:t>
      </w:r>
      <w:hyperlink r:id="rId14" w:history="1">
        <w:r w:rsidRPr="007E5DAB">
          <w:rPr>
            <w:rStyle w:val="Hyperlink"/>
          </w:rPr>
          <w:t>Christopher.Sova@fcc.gov</w:t>
        </w:r>
      </w:hyperlink>
      <w:r w:rsidRPr="007E5DAB">
        <w:t xml:space="preserve">, Kenneth M. Scheibel, Jr. at </w:t>
      </w:r>
      <w:hyperlink r:id="rId15" w:history="1">
        <w:r w:rsidRPr="007E5DAB">
          <w:rPr>
            <w:rStyle w:val="Hyperlink"/>
          </w:rPr>
          <w:t>Kenneth.Scheibel@fcc.gov</w:t>
        </w:r>
      </w:hyperlink>
      <w:r w:rsidRPr="007E5DAB">
        <w:t xml:space="preserve">, and </w:t>
      </w:r>
      <w:r>
        <w:t>Kathryn Hinton</w:t>
      </w:r>
      <w:r w:rsidRPr="007E5DAB">
        <w:t xml:space="preserve"> at </w:t>
      </w:r>
      <w:hyperlink r:id="rId16" w:history="1">
        <w:r w:rsidRPr="00220802">
          <w:rPr>
            <w:rStyle w:val="Hyperlink"/>
          </w:rPr>
          <w:t>Kathryn.Hinton@fcc.gov</w:t>
        </w:r>
      </w:hyperlink>
      <w:r w:rsidRPr="00031593">
        <w:rPr>
          <w:rStyle w:val="Hyperlink"/>
          <w:u w:val="none"/>
        </w:rPr>
        <w:t xml:space="preserve"> </w:t>
      </w:r>
      <w:r w:rsidRPr="007C0B39">
        <w:t xml:space="preserve">on the date said payment is made.  </w:t>
      </w:r>
    </w:p>
    <w:p w:rsidR="00C21BD9" w:rsidRPr="00745C0B" w:rsidP="00C21BD9" w14:paraId="41D7FDE5" w14:textId="77777777">
      <w:pPr>
        <w:pStyle w:val="ParaNum"/>
        <w:rPr>
          <w:rFonts w:eastAsia="MS Mincho"/>
        </w:rPr>
      </w:pPr>
      <w:r w:rsidRPr="00745C0B">
        <w:t>Payment of the forfeiture must be made by credit card, ACH (Automated Clearing House) debit from a bank account, or by wire transfer using the Commission’s FRN Management and Financial system.</w:t>
      </w:r>
      <w:r>
        <w:rPr>
          <w:sz w:val="20"/>
          <w:vertAlign w:val="superscript"/>
        </w:rPr>
        <w:footnoteReference w:id="31"/>
      </w:r>
      <w:r w:rsidRPr="00745C0B">
        <w:t xml:space="preserve">  The Commission no longer accepts Civil Penalty payments by check or money order.  Below are instructions that payors should follow based on the form of payment selected:</w:t>
      </w:r>
      <w:r>
        <w:rPr>
          <w:sz w:val="20"/>
          <w:vertAlign w:val="superscript"/>
        </w:rPr>
        <w:footnoteReference w:id="32"/>
      </w:r>
    </w:p>
    <w:p w:rsidR="00C21BD9" w:rsidRPr="00745C0B" w:rsidP="00C21BD9" w14:paraId="163420EC" w14:textId="5BF49CD5">
      <w:pPr>
        <w:numPr>
          <w:ilvl w:val="0"/>
          <w:numId w:val="8"/>
        </w:numPr>
        <w:snapToGrid w:val="0"/>
        <w:rPr>
          <w:rFonts w:eastAsia="MS Mincho"/>
          <w:szCs w:val="22"/>
        </w:rPr>
      </w:pPr>
      <w:r w:rsidRPr="00745C0B">
        <w:rPr>
          <w:rFonts w:eastAsia="MS Mincho"/>
          <w:szCs w:val="22"/>
        </w:rPr>
        <w:t xml:space="preserve">Payment by wire transfer must be made to ABA Number 021030004, receiving bank TREAS/NYC, and Account Number 27000001.  A completed Form 159 must be faxed to the Federal Communications Commission at 202-418-2843 or e-mailed to </w:t>
      </w:r>
      <w:hyperlink r:id="rId17" w:history="1">
        <w:r w:rsidRPr="00745C0B">
          <w:rPr>
            <w:rStyle w:val="Hyperlink"/>
            <w:rFonts w:eastAsia="MS Mincho"/>
            <w:szCs w:val="22"/>
          </w:rPr>
          <w:t>RROGWireFaxes@fcc.gov</w:t>
        </w:r>
      </w:hyperlink>
      <w:r w:rsidRPr="00745C0B">
        <w:rPr>
          <w:rFonts w:eastAsia="MS Mincho"/>
          <w:szCs w:val="22"/>
        </w:rPr>
        <w:t xml:space="preserve"> on the same business day the wire transfer is initiated.</w:t>
      </w:r>
      <w:r>
        <w:rPr>
          <w:rStyle w:val="FootnoteReference"/>
          <w:rFonts w:eastAsia="MS Mincho"/>
          <w:szCs w:val="22"/>
        </w:rPr>
        <w:footnoteReference w:id="33"/>
      </w:r>
      <w:r w:rsidRPr="00745C0B">
        <w:rPr>
          <w:rFonts w:eastAsia="MS Mincho"/>
          <w:szCs w:val="22"/>
        </w:rPr>
        <w:t xml:space="preserve">  Failure to provide all required information in Form 159 may result in payment not being recognized </w:t>
      </w:r>
      <w:r w:rsidRPr="00745C0B">
        <w:rPr>
          <w:rFonts w:eastAsia="MS Mincho"/>
          <w:szCs w:val="22"/>
        </w:rPr>
        <w:t xml:space="preserve">as having been received.  When completing FCC Form 159, enter the Account Number in block number 23A (call sign/other ID), enter the letters “FORF” in block number 24A (payment type code), and enter in block number 11 the FRN(s) captioned above (Payor FRN).  For additional detail and wire transfer instructions, go to </w:t>
      </w:r>
      <w:hyperlink r:id="rId18" w:history="1">
        <w:r w:rsidRPr="00745C0B">
          <w:rPr>
            <w:rStyle w:val="Hyperlink"/>
            <w:rFonts w:eastAsia="MS Mincho"/>
            <w:szCs w:val="22"/>
          </w:rPr>
          <w:t>https://www.fcc.gov/licensing-databases/fees/wire-transfer</w:t>
        </w:r>
      </w:hyperlink>
      <w:r w:rsidRPr="00745C0B">
        <w:rPr>
          <w:rFonts w:eastAsia="MS Mincho"/>
          <w:szCs w:val="22"/>
        </w:rPr>
        <w:t>.</w:t>
      </w:r>
    </w:p>
    <w:p w:rsidR="00C21BD9" w:rsidRPr="00745C0B" w:rsidP="00C21BD9" w14:paraId="68DFB255" w14:textId="77777777">
      <w:pPr>
        <w:ind w:left="1080"/>
        <w:rPr>
          <w:rFonts w:eastAsia="MS Mincho"/>
          <w:szCs w:val="22"/>
        </w:rPr>
      </w:pPr>
    </w:p>
    <w:p w:rsidR="00C21BD9" w:rsidRPr="00745C0B" w:rsidP="00C21BD9" w14:paraId="68C95459" w14:textId="72C3DAC3">
      <w:pPr>
        <w:numPr>
          <w:ilvl w:val="0"/>
          <w:numId w:val="8"/>
        </w:numPr>
        <w:autoSpaceDE w:val="0"/>
        <w:autoSpaceDN w:val="0"/>
        <w:adjustRightInd w:val="0"/>
        <w:snapToGrid w:val="0"/>
        <w:rPr>
          <w:rFonts w:eastAsia="MS Mincho"/>
          <w:szCs w:val="22"/>
        </w:rPr>
      </w:pPr>
      <w:r w:rsidRPr="00745C0B">
        <w:rPr>
          <w:rFonts w:eastAsia="Calibri"/>
          <w:kern w:val="0"/>
          <w:szCs w:val="22"/>
        </w:rPr>
        <w:t xml:space="preserve">Payment by credit card must be made by using the Commission’s Registration System (CORES) at </w:t>
      </w:r>
      <w:hyperlink r:id="rId19" w:history="1">
        <w:r w:rsidRPr="00745C0B">
          <w:rPr>
            <w:rStyle w:val="Hyperlink"/>
            <w:color w:val="0052CC"/>
            <w:shd w:val="clear" w:color="auto" w:fill="FFFFFF"/>
          </w:rPr>
          <w:t>h</w:t>
        </w:r>
        <w:r w:rsidRPr="00745C0B">
          <w:rPr>
            <w:rStyle w:val="Hyperlink"/>
          </w:rPr>
          <w:t>ttps://apps.fcc.gov/cores/userLogin.do</w:t>
        </w:r>
      </w:hyperlink>
      <w:r w:rsidRPr="00745C0B">
        <w:rPr>
          <w:rFonts w:eastAsia="Calibri"/>
          <w:kern w:val="0"/>
          <w:szCs w:val="22"/>
        </w:rPr>
        <w:t xml:space="preserve">.  To pay by credit card, log-in using the FRN captioned above.  If payment must be split across FRNs, complete this process for each FRN.  </w:t>
      </w:r>
      <w:r w:rsidRPr="00745C0B">
        <w:t xml:space="preserve">Next, select “Manage Existing FRNs | FRN Financial | Bills &amp; Fees” from the CORES Menu, then select FRN Financial and the view/make payments option next to the FRN.  Select the “Open Bills” tab and find the bill number associated with the </w:t>
      </w:r>
      <w:r>
        <w:t>CD</w:t>
      </w:r>
      <w:r w:rsidRPr="00745C0B">
        <w:t xml:space="preserve"> Acct. No.  The bill number is the </w:t>
      </w:r>
      <w:r>
        <w:t>CD</w:t>
      </w:r>
      <w:r w:rsidRPr="00745C0B">
        <w:t xml:space="preserve"> Acct. No. with the first two digits excluded (e.g., </w:t>
      </w:r>
      <w:r>
        <w:t>CD</w:t>
      </w:r>
      <w:r w:rsidRPr="00745C0B">
        <w:t xml:space="preserve"> 1912345678 would be associated with FCC Bill Number 12345678).  After selecting the bill for payment, choose the “Pay by Credit Card” option.  </w:t>
      </w:r>
      <w:r w:rsidRPr="00745C0B">
        <w:rPr>
          <w:rFonts w:eastAsia="Calibri"/>
          <w:kern w:val="0"/>
          <w:szCs w:val="22"/>
        </w:rPr>
        <w:t>Please note that there is a $24,999.99-dollar limitation on credit card transactions</w:t>
      </w:r>
      <w:r w:rsidRPr="00745C0B">
        <w:rPr>
          <w:rFonts w:eastAsia="MS Mincho"/>
          <w:szCs w:val="22"/>
        </w:rPr>
        <w:t xml:space="preserve">.  </w:t>
      </w:r>
    </w:p>
    <w:p w:rsidR="00C21BD9" w:rsidRPr="00745C0B" w:rsidP="00C21BD9" w14:paraId="0EB5C2A3" w14:textId="77777777">
      <w:pPr>
        <w:autoSpaceDE w:val="0"/>
        <w:autoSpaceDN w:val="0"/>
        <w:adjustRightInd w:val="0"/>
        <w:ind w:left="1080"/>
        <w:rPr>
          <w:rFonts w:eastAsia="MS Mincho"/>
          <w:szCs w:val="22"/>
        </w:rPr>
      </w:pPr>
    </w:p>
    <w:p w:rsidR="00C21BD9" w:rsidRPr="00745C0B" w:rsidP="00C21BD9" w14:paraId="6DF894B2" w14:textId="757DD05C">
      <w:pPr>
        <w:numPr>
          <w:ilvl w:val="0"/>
          <w:numId w:val="8"/>
        </w:numPr>
        <w:autoSpaceDE w:val="0"/>
        <w:autoSpaceDN w:val="0"/>
        <w:adjustRightInd w:val="0"/>
        <w:snapToGrid w:val="0"/>
        <w:spacing w:after="120"/>
        <w:rPr>
          <w:color w:val="000000"/>
          <w:szCs w:val="22"/>
        </w:rPr>
      </w:pPr>
      <w:r w:rsidRPr="00745C0B">
        <w:t xml:space="preserve">Payment by ACH must be made by using the Commission’s Registration System (CORES) at </w:t>
      </w:r>
      <w:hyperlink r:id="rId20" w:history="1">
        <w:r w:rsidRPr="00745C0B">
          <w:rPr>
            <w:rStyle w:val="Hyperlink"/>
          </w:rPr>
          <w:t>https://apps.fcc.gov/cores/paymentFrnLogin.do</w:t>
        </w:r>
      </w:hyperlink>
      <w:r w:rsidRPr="00745C0B">
        <w:t xml:space="preserve">.  To pay by ACH, log in using the FCC Username associated to the FRN captioned above.  If payment must be split across FRNs, complete this process for each FRN.  Next, select “Manage Existing FRNs | FRN Financial | Bills &amp; Fees” on the CORES Menu, then select FRN Financial and the view/make payments option next to the FRN. </w:t>
      </w:r>
      <w:r>
        <w:t xml:space="preserve"> </w:t>
      </w:r>
      <w:r w:rsidRPr="00745C0B">
        <w:t xml:space="preserve">Select the “Open Bills” tab and find the bill number associated with the </w:t>
      </w:r>
      <w:r>
        <w:t>CD</w:t>
      </w:r>
      <w:r w:rsidRPr="00745C0B">
        <w:t xml:space="preserve"> Acct. No.  The bill number is the </w:t>
      </w:r>
      <w:r>
        <w:t>CD</w:t>
      </w:r>
      <w:r w:rsidRPr="00745C0B">
        <w:t xml:space="preserve"> Acct. No. with the first two digits excluded (e.g., </w:t>
      </w:r>
      <w:r>
        <w:t>CD</w:t>
      </w:r>
      <w:r w:rsidRPr="00745C0B">
        <w:t xml:space="preserve"> 1912345678 would be associated with FCC Bill Number 12345678).  Finally,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r w:rsidRPr="00745C0B">
        <w:rPr>
          <w:rFonts w:eastAsia="MS Mincho"/>
          <w:szCs w:val="22"/>
        </w:rPr>
        <w:t xml:space="preserve">.  </w:t>
      </w:r>
    </w:p>
    <w:p w:rsidR="00C21BD9" w:rsidRPr="00F810F3" w:rsidP="00C21BD9" w14:paraId="746D5451" w14:textId="77777777">
      <w:pPr>
        <w:pStyle w:val="ParaNum"/>
        <w:widowControl/>
        <w:rPr>
          <w:rStyle w:val="ParaNumChar0"/>
        </w:rPr>
      </w:pPr>
      <w:r w:rsidRPr="004227E6">
        <w:rPr>
          <w:b/>
          <w:u w:val="single"/>
        </w:rPr>
        <w:t>Event of Default</w:t>
      </w:r>
      <w:r w:rsidRPr="004227E6">
        <w:t xml:space="preserve">.  </w:t>
      </w:r>
      <w:r>
        <w:t>Atrium</w:t>
      </w:r>
      <w:r w:rsidRPr="004227E6">
        <w:t xml:space="preserve"> agrees that an Event of Default shall occur upon the failure by </w:t>
      </w:r>
      <w:r>
        <w:t xml:space="preserve">Atrium </w:t>
      </w:r>
      <w:r w:rsidRPr="004227E6">
        <w:t xml:space="preserve">to pay the </w:t>
      </w:r>
      <w:r>
        <w:t xml:space="preserve">full amount of the </w:t>
      </w:r>
      <w:r w:rsidRPr="004227E6">
        <w:t>Civil Penal</w:t>
      </w:r>
      <w:r>
        <w:t>t</w:t>
      </w:r>
      <w:r w:rsidRPr="004227E6">
        <w:t>y on or before the due date specified in this Consent Decree.</w:t>
      </w:r>
    </w:p>
    <w:p w:rsidR="00C21BD9" w:rsidRPr="007C0B39" w:rsidP="00C21BD9" w14:paraId="214897BF" w14:textId="77777777">
      <w:pPr>
        <w:pStyle w:val="ParaNum"/>
        <w:widowControl/>
      </w:pPr>
      <w:r w:rsidRPr="3CD37B23">
        <w:rPr>
          <w:b/>
          <w:u w:val="single"/>
        </w:rPr>
        <w:t>Interest, Charges for Collection, and Acceleration of Maturity Date</w:t>
      </w:r>
      <w:r>
        <w:t>.  After an Event of Default has occurred under this Consent Decree, the then unpaid amount of the Civil Penalty shall accrue interest, computed using the U.S. Prime Rate in effect on the date of the Event of Default plus 4.75%, from the date of the Event of Default until payment in full.  Upon an Event of Default, the then unpaid amount of the Civil Penalty, together with interest, any penalties permitted and/or required by the law, including but not limited to 31 U.S.C. § 3717 and administrative charges, plus the costs of collection, litigation, and attorneys’ fees, shall become immediately due and payable, without notice, presentment, demand, protest, or notice of protest of any kind, all of which are waived by Atrium.</w:t>
      </w:r>
    </w:p>
    <w:bookmarkEnd w:id="8"/>
    <w:p w:rsidR="00C21BD9" w:rsidRPr="007C0B39" w:rsidP="00C21BD9" w14:paraId="78F238A6" w14:textId="77777777">
      <w:pPr>
        <w:pStyle w:val="ParaNum"/>
        <w:widowControl/>
      </w:pPr>
      <w:r w:rsidRPr="007C0B39">
        <w:rPr>
          <w:b/>
          <w:u w:val="single"/>
        </w:rPr>
        <w:t>Waivers</w:t>
      </w:r>
      <w:r w:rsidRPr="007C0B39">
        <w:t xml:space="preserve">.  As of the Effective Date, </w:t>
      </w:r>
      <w:r>
        <w:t>Atrium</w:t>
      </w:r>
      <w:r w:rsidRPr="007C0B39">
        <w:t xml:space="preserve"> waives any and all rights it may have to seek administrative or judicial reconsideration, review, appeal or stay, or to otherwise challenge or contest the validity of this Consent Decree and the Adopting Order.  </w:t>
      </w:r>
      <w:r>
        <w:t>Atrium</w:t>
      </w:r>
      <w:r w:rsidRPr="007C0B39">
        <w:t xml:space="preserve"> shall retain the right to challenge Commission interpretation of the Consent Decree or any terms contained herein.  If either Party (or the United States on behalf of the Commission) brings a judicial action to enforce the terms of the Consent Decree or the Adopting Order, neither </w:t>
      </w:r>
      <w:r>
        <w:t>Atrium</w:t>
      </w:r>
      <w:r w:rsidRPr="007C0B39">
        <w:t xml:space="preserve"> nor the Commission shall contest the validity of the Consent Decree or the Adopting Order, and </w:t>
      </w:r>
      <w:r>
        <w:t>Atrium</w:t>
      </w:r>
      <w:r w:rsidRPr="007C0B39">
        <w:t xml:space="preserve"> shall waive any statutory right to a trial </w:t>
      </w:r>
      <w:r w:rsidRPr="007C0B39">
        <w:rPr>
          <w:i/>
        </w:rPr>
        <w:t>de novo</w:t>
      </w:r>
      <w:r w:rsidRPr="007C0B39">
        <w:t xml:space="preserve">.  </w:t>
      </w:r>
      <w:r>
        <w:t>Atrium</w:t>
      </w:r>
      <w:r w:rsidRPr="007C0B39">
        <w:t xml:space="preserve"> hereby agrees to waive any claims it may otherwise have under the Equal Access to Justice Act</w:t>
      </w:r>
      <w:r>
        <w:rPr>
          <w:rStyle w:val="FootnoteReference"/>
        </w:rPr>
        <w:footnoteReference w:id="34"/>
      </w:r>
      <w:r w:rsidRPr="007C0B39">
        <w:t xml:space="preserve"> relating to the matters addressed in this Consent Decree.</w:t>
      </w:r>
    </w:p>
    <w:p w:rsidR="00C21BD9" w:rsidRPr="007C0B39" w:rsidP="00C21BD9" w14:paraId="7F743655" w14:textId="77777777">
      <w:pPr>
        <w:pStyle w:val="ParaNum"/>
        <w:widowControl/>
      </w:pPr>
      <w:r w:rsidRPr="3CD37B23">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C21BD9" w:rsidRPr="007C0B39" w:rsidP="00C21BD9" w14:paraId="285548CD" w14:textId="77777777">
      <w:pPr>
        <w:pStyle w:val="ParaNum"/>
        <w:widowControl/>
      </w:pPr>
      <w:r w:rsidRPr="3CD37B23">
        <w:rPr>
          <w:b/>
          <w:u w:val="single"/>
        </w:rPr>
        <w:t>Invalidity</w:t>
      </w:r>
      <w:r>
        <w:t>.  In the event that this Consent Decree in its entirety is rendered invalid by any court of competent jurisdiction, it shall become null and void and may not be used in any manner in any legal proceeding.</w:t>
      </w:r>
    </w:p>
    <w:p w:rsidR="00C21BD9" w:rsidRPr="007C0B39" w:rsidP="00C21BD9" w14:paraId="6AD6A5EE" w14:textId="77777777">
      <w:pPr>
        <w:pStyle w:val="ParaNum"/>
        <w:widowControl/>
      </w:pPr>
      <w:r w:rsidRPr="007C0B39">
        <w:rPr>
          <w:b/>
          <w:u w:val="single"/>
        </w:rPr>
        <w:t>Subsequent Rule or Order</w:t>
      </w:r>
      <w:r w:rsidRPr="007C0B39">
        <w:t xml:space="preserve">.  The Parties agree that if any provision of the Consent Decree conflicts with any subsequent Rule or </w:t>
      </w:r>
      <w:r>
        <w:t>o</w:t>
      </w:r>
      <w:r w:rsidRPr="007C0B39">
        <w:t xml:space="preserve">rder adopted by the Commission (except an </w:t>
      </w:r>
      <w:r>
        <w:t>o</w:t>
      </w:r>
      <w:r w:rsidRPr="007C0B39">
        <w:t xml:space="preserve">rder specifically intended to revise the terms of this Consent Decree to which </w:t>
      </w:r>
      <w:r>
        <w:t xml:space="preserve">Atrium </w:t>
      </w:r>
      <w:r w:rsidRPr="007C0B39">
        <w:t xml:space="preserve">does not expressly consent) that provision will be superseded by such Rule or </w:t>
      </w:r>
      <w:r>
        <w:t>o</w:t>
      </w:r>
      <w:r w:rsidRPr="007C0B39">
        <w:t>rder.</w:t>
      </w:r>
    </w:p>
    <w:p w:rsidR="00C21BD9" w:rsidRPr="007C0B39" w:rsidP="00C21BD9" w14:paraId="47A883E9" w14:textId="77777777">
      <w:pPr>
        <w:pStyle w:val="ParaNum"/>
        <w:widowControl/>
      </w:pPr>
      <w:r w:rsidRPr="007C0B39">
        <w:rPr>
          <w:b/>
          <w:u w:val="single"/>
        </w:rPr>
        <w:t>Successors and Assigns</w:t>
      </w:r>
      <w:r w:rsidRPr="007C0B39">
        <w:t xml:space="preserve">.  </w:t>
      </w:r>
      <w:r>
        <w:t xml:space="preserve">Atrium </w:t>
      </w:r>
      <w:r w:rsidRPr="007C0B39">
        <w:t>agrees that the provisions of this Consent Decree shall be binding on its successors, assigns, and transferees.</w:t>
      </w:r>
    </w:p>
    <w:p w:rsidR="00C21BD9" w:rsidRPr="007C0B39" w:rsidP="00C21BD9" w14:paraId="26D96394" w14:textId="77777777">
      <w:pPr>
        <w:pStyle w:val="ParaNum"/>
        <w:widowControl/>
      </w:pPr>
      <w:r w:rsidRPr="3CD37B23">
        <w:rPr>
          <w:b/>
          <w:u w:val="single"/>
        </w:rPr>
        <w:t>Final Settlement</w:t>
      </w:r>
      <w:r>
        <w:t xml:space="preserve">.  The Parties agree and acknowledge that this Consent Decree shall constitute a final settlement between the Parties with respect to the Investigation.  </w:t>
      </w:r>
    </w:p>
    <w:p w:rsidR="00C21BD9" w:rsidRPr="007C0B39" w:rsidP="00C21BD9" w14:paraId="7CCDE7C0" w14:textId="77777777">
      <w:pPr>
        <w:pStyle w:val="ParaNum"/>
        <w:widowControl/>
      </w:pPr>
      <w:r w:rsidRPr="3CD37B23">
        <w:rPr>
          <w:b/>
          <w:u w:val="single"/>
        </w:rPr>
        <w:t>Modifications</w:t>
      </w:r>
      <w:r>
        <w:t xml:space="preserve">.  This Consent Decree cannot </w:t>
      </w:r>
      <w:r w:rsidRPr="007C0B39">
        <w:t>be</w:t>
      </w:r>
      <w:r>
        <w:t xml:space="preserve"> modified without the advance written consent of both Parties.</w:t>
      </w:r>
    </w:p>
    <w:p w:rsidR="00C21BD9" w:rsidRPr="007C0B39" w:rsidP="00C21BD9" w14:paraId="0240996E" w14:textId="77777777">
      <w:pPr>
        <w:pStyle w:val="ParaNum"/>
        <w:widowControl/>
      </w:pPr>
      <w:r w:rsidRPr="3CD37B23">
        <w:rPr>
          <w:b/>
          <w:u w:val="single"/>
        </w:rPr>
        <w:t>Paragraph Headings</w:t>
      </w:r>
      <w:r>
        <w:t xml:space="preserve">.  The headings of the </w:t>
      </w:r>
      <w:r w:rsidRPr="007C0B39">
        <w:t>paragraphs</w:t>
      </w:r>
      <w:r>
        <w:t xml:space="preserve"> in this Consent Decree are inserted for convenience only and are not intended to affect the meaning or interpretation of this Consent Decree.</w:t>
      </w:r>
    </w:p>
    <w:p w:rsidR="00C21BD9" w:rsidRPr="007C0B39" w:rsidP="00C21BD9" w14:paraId="034ABB00" w14:textId="77777777">
      <w:pPr>
        <w:pStyle w:val="ParaNum"/>
        <w:widowControl/>
      </w:pPr>
      <w:r w:rsidRPr="3CD37B23">
        <w:rPr>
          <w:b/>
          <w:u w:val="single"/>
        </w:rPr>
        <w:t>Authorized Representative</w:t>
      </w:r>
      <w:r>
        <w:t xml:space="preserve">.  Each Party </w:t>
      </w:r>
      <w:r w:rsidRPr="007C0B39">
        <w:t>represents</w:t>
      </w:r>
      <w:r>
        <w:t xml:space="preserve">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C21BD9" w:rsidRPr="007C0B39" w:rsidP="00C21BD9" w14:paraId="64F49EA8" w14:textId="77777777">
      <w:pPr>
        <w:pStyle w:val="ParaNum"/>
        <w:keepNext/>
        <w:keepLines/>
        <w:widowControl/>
      </w:pPr>
      <w:r w:rsidRPr="007C0B39">
        <w:rPr>
          <w:b/>
          <w:u w:val="single"/>
        </w:rPr>
        <w:t>Counterparts</w:t>
      </w:r>
      <w:r>
        <w:t xml:space="preserve">.  This Consent Decree may be </w:t>
      </w:r>
      <w:r w:rsidRPr="007C0B39">
        <w:t>signed</w:t>
      </w:r>
      <w:r>
        <w:t xml:space="preserve"> in counterpart (including electronically or by facsimile).  Each counterpart, when executed and delivered, shall be an original, and all of the counterparts together shall constitute one and the same fully executed instrument.</w:t>
      </w:r>
    </w:p>
    <w:p w:rsidR="00C21BD9" w:rsidRPr="007C0B39" w:rsidP="00C21BD9" w14:paraId="17777197" w14:textId="77777777">
      <w:pPr>
        <w:keepNext/>
        <w:keepLines/>
        <w:widowControl/>
      </w:pPr>
    </w:p>
    <w:p w:rsidR="00C21BD9" w:rsidRPr="007C0B39" w:rsidP="00C21BD9" w14:paraId="5C4D6287" w14:textId="77777777">
      <w:pPr>
        <w:keepNext/>
        <w:keepLines/>
        <w:widowControl/>
      </w:pPr>
    </w:p>
    <w:p w:rsidR="00C21BD9" w:rsidRPr="007C0B39" w:rsidP="00C21BD9" w14:paraId="1FC9C97C" w14:textId="77777777">
      <w:pPr>
        <w:keepNext/>
        <w:keepLines/>
        <w:widowControl/>
      </w:pPr>
      <w:r w:rsidRPr="007C0B39">
        <w:t>________________________________</w:t>
      </w:r>
    </w:p>
    <w:p w:rsidR="00C21BD9" w:rsidRPr="007E5DAB" w:rsidP="00C21BD9" w14:paraId="1B4357DE" w14:textId="77777777">
      <w:pPr>
        <w:keepNext/>
        <w:keepLines/>
        <w:widowControl/>
      </w:pPr>
      <w:r>
        <w:t>Loyaan A. Egal</w:t>
      </w:r>
    </w:p>
    <w:p w:rsidR="00C21BD9" w:rsidRPr="007E5DAB" w:rsidP="00C21BD9" w14:paraId="018E8D82" w14:textId="77777777">
      <w:pPr>
        <w:keepNext/>
        <w:keepLines/>
        <w:widowControl/>
      </w:pPr>
      <w:r>
        <w:t xml:space="preserve">Acting </w:t>
      </w:r>
      <w:r w:rsidRPr="007E5DAB">
        <w:t>Chief</w:t>
      </w:r>
    </w:p>
    <w:p w:rsidR="00C21BD9" w:rsidP="00C21BD9" w14:paraId="54D76DFF" w14:textId="77777777">
      <w:pPr>
        <w:keepNext/>
        <w:keepLines/>
        <w:widowControl/>
      </w:pPr>
      <w:r w:rsidRPr="007E5DAB">
        <w:t>Enforcement Bureau</w:t>
      </w:r>
    </w:p>
    <w:p w:rsidR="00C21BD9" w:rsidRPr="007C0B39" w:rsidP="00C21BD9" w14:paraId="67A3AB33" w14:textId="77777777">
      <w:pPr>
        <w:keepNext/>
        <w:keepLines/>
        <w:widowControl/>
      </w:pPr>
    </w:p>
    <w:p w:rsidR="00C21BD9" w:rsidRPr="007C0B39" w:rsidP="00C21BD9" w14:paraId="0CEBA77C" w14:textId="77777777">
      <w:pPr>
        <w:keepNext/>
        <w:keepLines/>
        <w:widowControl/>
      </w:pPr>
      <w:r w:rsidRPr="007C0B39">
        <w:t>________________________________</w:t>
      </w:r>
    </w:p>
    <w:p w:rsidR="00C21BD9" w:rsidRPr="007C0B39" w:rsidP="00C21BD9" w14:paraId="4784FF5C" w14:textId="77777777">
      <w:pPr>
        <w:keepNext/>
        <w:keepLines/>
        <w:widowControl/>
      </w:pPr>
      <w:r w:rsidRPr="007C0B39">
        <w:t>Date</w:t>
      </w:r>
    </w:p>
    <w:p w:rsidR="00C21BD9" w:rsidRPr="007C0B39" w:rsidP="00C21BD9" w14:paraId="544558EB" w14:textId="77777777">
      <w:pPr>
        <w:keepNext/>
        <w:keepLines/>
        <w:widowControl/>
      </w:pPr>
    </w:p>
    <w:p w:rsidR="00C21BD9" w:rsidRPr="007C0B39" w:rsidP="00C21BD9" w14:paraId="037109D0" w14:textId="77777777">
      <w:pPr>
        <w:keepNext/>
        <w:keepLines/>
        <w:widowControl/>
      </w:pPr>
    </w:p>
    <w:p w:rsidR="00C21BD9" w:rsidRPr="007C0B39" w:rsidP="00C21BD9" w14:paraId="22922D42" w14:textId="77777777">
      <w:pPr>
        <w:keepNext/>
        <w:keepLines/>
        <w:widowControl/>
      </w:pPr>
    </w:p>
    <w:p w:rsidR="00C21BD9" w:rsidRPr="007C0B39" w:rsidP="00C21BD9" w14:paraId="5CDEF565" w14:textId="77777777">
      <w:pPr>
        <w:keepNext/>
        <w:keepLines/>
        <w:widowControl/>
      </w:pPr>
      <w:r w:rsidRPr="007C0B39">
        <w:t>________________________________</w:t>
      </w:r>
    </w:p>
    <w:p w:rsidR="00C21BD9" w:rsidRPr="007C0B39" w:rsidP="00C21BD9" w14:paraId="70791B46" w14:textId="77777777">
      <w:pPr>
        <w:keepNext/>
        <w:keepLines/>
        <w:widowControl/>
      </w:pPr>
      <w:r>
        <w:t xml:space="preserve">Robert </w:t>
      </w:r>
      <w:r>
        <w:t>Mangiarelli</w:t>
      </w:r>
    </w:p>
    <w:p w:rsidR="00C21BD9" w:rsidRPr="007C0B39" w:rsidP="00C21BD9" w14:paraId="711848BC" w14:textId="77777777">
      <w:pPr>
        <w:keepNext/>
        <w:keepLines/>
        <w:widowControl/>
      </w:pPr>
      <w:r>
        <w:t>Chief Operating Officer</w:t>
      </w:r>
    </w:p>
    <w:p w:rsidR="00C21BD9" w:rsidRPr="007C0B39" w:rsidP="00C21BD9" w14:paraId="4BAB3B53" w14:textId="77777777">
      <w:pPr>
        <w:keepNext/>
        <w:keepLines/>
        <w:widowControl/>
      </w:pPr>
      <w:r>
        <w:t>Atrium Hospitality LP</w:t>
      </w:r>
    </w:p>
    <w:p w:rsidR="00C21BD9" w:rsidRPr="007C0B39" w:rsidP="00C21BD9" w14:paraId="030FAFB4" w14:textId="77777777">
      <w:pPr>
        <w:keepNext/>
        <w:keepLines/>
        <w:widowControl/>
      </w:pPr>
    </w:p>
    <w:p w:rsidR="00C21BD9" w:rsidRPr="007C0B39" w:rsidP="00C21BD9" w14:paraId="0BD449FC" w14:textId="77777777">
      <w:pPr>
        <w:keepNext/>
        <w:keepLines/>
        <w:widowControl/>
      </w:pPr>
      <w:r w:rsidRPr="007C0B39">
        <w:t>________________________________</w:t>
      </w:r>
    </w:p>
    <w:p w:rsidR="00C21BD9" w:rsidP="00C21BD9" w14:paraId="6A2707DD" w14:textId="77777777">
      <w:pPr>
        <w:keepNext/>
        <w:keepLines/>
        <w:widowControl/>
      </w:pPr>
      <w:r w:rsidRPr="007C0B39">
        <w:t>Date</w:t>
      </w:r>
    </w:p>
    <w:p w:rsidR="00C21BD9" w:rsidP="00C21BD9" w14:paraId="76658669" w14:textId="77777777">
      <w:pPr>
        <w:keepNext/>
        <w:keepLines/>
        <w:widowControl/>
        <w:sectPr w:rsidSect="00302835">
          <w:headerReference w:type="default" r:id="rId21"/>
          <w:headerReference w:type="first" r:id="rId22"/>
          <w:footerReference w:type="first" r:id="rId23"/>
          <w:footnotePr>
            <w:numRestart w:val="eachSect"/>
          </w:footnotePr>
          <w:endnotePr>
            <w:numFmt w:val="decimal"/>
          </w:endnotePr>
          <w:pgSz w:w="12240" w:h="15840"/>
          <w:pgMar w:top="1260" w:right="1440" w:bottom="720" w:left="1440" w:header="720" w:footer="720" w:gutter="0"/>
          <w:pgNumType w:start="1"/>
          <w:cols w:space="720"/>
          <w:noEndnote/>
          <w:titlePg/>
          <w:docGrid w:linePitch="299"/>
        </w:sectPr>
      </w:pPr>
    </w:p>
    <w:p w:rsidR="00C21BD9" w:rsidRPr="002C00E8" w:rsidP="00C21BD9" w14:paraId="2FE25299" w14:textId="77777777">
      <w:pPr>
        <w:keepNext/>
        <w:keepLines/>
        <w:widowControl/>
      </w:pPr>
    </w:p>
    <w:p w:rsidR="00542F14" w:rsidRPr="008C4282" w:rsidP="00CF77B7" w14:paraId="4E6DBC04" w14:textId="248178DD">
      <w:pPr>
        <w:rPr>
          <w:szCs w:val="22"/>
        </w:rPr>
      </w:pPr>
    </w:p>
    <w:sectPr w:rsidSect="00024197">
      <w:footnotePr>
        <w:numRestart w:val="eachSect"/>
      </w:footnotePr>
      <w:endnotePr>
        <w:numFmt w:val="decimal"/>
      </w:endnotePr>
      <w:type w:val="continuous"/>
      <w:pgSz w:w="12240" w:h="15840"/>
      <w:pgMar w:top="1260" w:right="1440" w:bottom="720" w:left="1440" w:header="720" w:footer="720" w:gutter="0"/>
      <w:pgNumType w:start="1"/>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6723" w:rsidP="0055614C" w14:paraId="281628B7" w14:textId="77777777">
    <w:pPr>
      <w:pStyle w:val="Footer"/>
      <w:framePr w:wrap="around" w:vAnchor="text" w:hAnchor="margin" w:xAlign="center" w:y="1"/>
    </w:pPr>
    <w:r>
      <w:fldChar w:fldCharType="begin"/>
    </w:r>
    <w:r>
      <w:instrText xml:space="preserve">PAGE  </w:instrText>
    </w:r>
    <w:r>
      <w:fldChar w:fldCharType="separate"/>
    </w:r>
    <w:r>
      <w:fldChar w:fldCharType="end"/>
    </w:r>
  </w:p>
  <w:p w:rsidR="00676723" w14:paraId="7524B73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6723" w:rsidRPr="007B3BDA" w:rsidP="0055614C" w14:paraId="5883AEEE" w14:textId="77777777">
    <w:pPr>
      <w:pStyle w:val="Footer"/>
      <w:framePr w:wrap="around" w:vAnchor="text" w:hAnchor="margin" w:xAlign="center" w:y="1"/>
    </w:pPr>
    <w:r w:rsidRPr="007B3BDA">
      <w:fldChar w:fldCharType="begin"/>
    </w:r>
    <w:r w:rsidRPr="007B3BDA">
      <w:instrText xml:space="preserve">PAGE  </w:instrText>
    </w:r>
    <w:r w:rsidRPr="007B3BDA">
      <w:fldChar w:fldCharType="separate"/>
    </w:r>
    <w:r w:rsidR="005E4B8D">
      <w:rPr>
        <w:noProof/>
      </w:rPr>
      <w:t>1</w:t>
    </w:r>
    <w:r w:rsidRPr="007B3BDA">
      <w:fldChar w:fldCharType="end"/>
    </w:r>
  </w:p>
  <w:p w:rsidR="00676723" w:rsidRPr="007B3BDA" w14:paraId="4EDAD4C0"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6723" w14:paraId="4D7CAA94"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1BD9" w14:paraId="1ECA04C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76EB5" w14:paraId="6B3460C5" w14:textId="77777777">
      <w:pPr>
        <w:rPr>
          <w:noProof/>
        </w:rPr>
      </w:pPr>
      <w:r>
        <w:rPr>
          <w:noProof/>
        </w:rPr>
        <w:separator/>
      </w:r>
    </w:p>
  </w:footnote>
  <w:footnote w:type="continuationSeparator" w:id="1">
    <w:p w:rsidR="00376EB5" w14:paraId="3DCAA5CD" w14:textId="77777777">
      <w:pPr>
        <w:rPr>
          <w:sz w:val="20"/>
        </w:rPr>
      </w:pPr>
      <w:r>
        <w:rPr>
          <w:sz w:val="20"/>
        </w:rPr>
        <w:t xml:space="preserve">(Continued from previous page)  </w:t>
      </w:r>
      <w:r>
        <w:rPr>
          <w:sz w:val="20"/>
        </w:rPr>
        <w:separator/>
      </w:r>
    </w:p>
  </w:footnote>
  <w:footnote w:type="continuationNotice" w:id="2">
    <w:p w:rsidR="00376EB5" w14:paraId="2A941C1C" w14:textId="77777777">
      <w:pPr>
        <w:rPr>
          <w:sz w:val="20"/>
        </w:rPr>
      </w:pPr>
      <w:r>
        <w:rPr>
          <w:sz w:val="20"/>
        </w:rPr>
        <w:t>(continued….)</w:t>
      </w:r>
    </w:p>
  </w:footnote>
  <w:footnote w:id="3">
    <w:p w:rsidR="005B73A3" w:rsidP="005B73A3" w14:paraId="7E6334AD" w14:textId="77777777">
      <w:pPr>
        <w:pStyle w:val="FootnoteText"/>
      </w:pPr>
      <w:r>
        <w:rPr>
          <w:rStyle w:val="FootnoteReference"/>
        </w:rPr>
        <w:footnoteRef/>
      </w:r>
      <w:r>
        <w:t xml:space="preserve"> 47 U.S.C. § 310(d).</w:t>
      </w:r>
    </w:p>
  </w:footnote>
  <w:footnote w:id="4">
    <w:p w:rsidR="005B73A3" w:rsidP="005B73A3" w14:paraId="3EE8DC4A" w14:textId="77777777">
      <w:pPr>
        <w:pStyle w:val="FootnoteText"/>
      </w:pPr>
      <w:r>
        <w:rPr>
          <w:rStyle w:val="FootnoteReference"/>
        </w:rPr>
        <w:footnoteRef/>
      </w:r>
      <w:r>
        <w:t xml:space="preserve"> </w:t>
      </w:r>
      <w:r>
        <w:t>47 CFR § 1.948.</w:t>
      </w:r>
    </w:p>
  </w:footnote>
  <w:footnote w:id="5">
    <w:p w:rsidR="002C4850" w:rsidP="002C4850" w14:paraId="7A4372AB" w14:textId="219D32DB">
      <w:pPr>
        <w:pStyle w:val="FootnoteText"/>
      </w:pPr>
      <w:r>
        <w:rPr>
          <w:rStyle w:val="FootnoteReference"/>
        </w:rPr>
        <w:footnoteRef/>
      </w:r>
      <w:r>
        <w:t xml:space="preserve"> </w:t>
      </w:r>
      <w:bookmarkStart w:id="1" w:name="_Hlk534054654"/>
      <w:r w:rsidRPr="00843D0C">
        <w:t>47 U.S.C. §</w:t>
      </w:r>
      <w:r>
        <w:t xml:space="preserve"> </w:t>
      </w:r>
      <w:bookmarkEnd w:id="1"/>
      <w:r>
        <w:t>310(</w:t>
      </w:r>
      <w:r w:rsidR="00C038F7">
        <w:t>d</w:t>
      </w:r>
      <w:r>
        <w:t>).</w:t>
      </w:r>
    </w:p>
  </w:footnote>
  <w:footnote w:id="6">
    <w:p w:rsidR="002C4850" w:rsidP="002C4850" w14:paraId="08930D2D" w14:textId="77777777">
      <w:pPr>
        <w:pStyle w:val="FootnoteText"/>
      </w:pPr>
      <w:r>
        <w:rPr>
          <w:rStyle w:val="FootnoteReference"/>
        </w:rPr>
        <w:footnoteRef/>
      </w:r>
      <w:r>
        <w:t xml:space="preserve"> </w:t>
      </w:r>
      <w:r>
        <w:rPr>
          <w:shd w:val="clear" w:color="auto" w:fill="FFFFFF"/>
        </w:rPr>
        <w:t>47 CFR § 1.948</w:t>
      </w:r>
      <w:r w:rsidRPr="00AD3D92">
        <w:t xml:space="preserve">.  </w:t>
      </w:r>
    </w:p>
  </w:footnote>
  <w:footnote w:id="7">
    <w:p w:rsidR="00357044" w:rsidRPr="00F74D07" w14:paraId="3BDD7136" w14:textId="34F68ED1">
      <w:pPr>
        <w:pStyle w:val="FootnoteText"/>
      </w:pPr>
      <w:r>
        <w:rPr>
          <w:rStyle w:val="FootnoteReference"/>
        </w:rPr>
        <w:footnoteRef/>
      </w:r>
      <w:r>
        <w:t xml:space="preserve"> </w:t>
      </w:r>
      <w:r>
        <w:rPr>
          <w:i/>
        </w:rPr>
        <w:t xml:space="preserve">See </w:t>
      </w:r>
      <w:r w:rsidR="005E4B8D">
        <w:t>47 CFR</w:t>
      </w:r>
      <w:r>
        <w:t xml:space="preserve"> </w:t>
      </w:r>
      <w:r w:rsidR="00F74D07">
        <w:t>§ 1.93(b).</w:t>
      </w:r>
    </w:p>
  </w:footnote>
  <w:footnote w:id="8">
    <w:p w:rsidR="002C4850" w:rsidP="002C4850" w14:paraId="4FB5CE7D" w14:textId="77777777">
      <w:pPr>
        <w:pStyle w:val="FootnoteText"/>
      </w:pPr>
      <w:r>
        <w:rPr>
          <w:rStyle w:val="FootnoteReference"/>
        </w:rPr>
        <w:footnoteRef/>
      </w:r>
      <w:r>
        <w:t xml:space="preserve"> </w:t>
      </w:r>
      <w:r>
        <w:t>47 U.S.C. § 154(</w:t>
      </w:r>
      <w:r>
        <w:t>i</w:t>
      </w:r>
      <w:r>
        <w:t xml:space="preserve">).  </w:t>
      </w:r>
    </w:p>
  </w:footnote>
  <w:footnote w:id="9">
    <w:p w:rsidR="002C4850" w:rsidP="002C4850" w14:paraId="0CBF6C74" w14:textId="77777777">
      <w:pPr>
        <w:pStyle w:val="FootnoteText"/>
      </w:pPr>
      <w:r>
        <w:rPr>
          <w:rStyle w:val="FootnoteReference"/>
        </w:rPr>
        <w:footnoteRef/>
      </w:r>
      <w:r>
        <w:t xml:space="preserve"> </w:t>
      </w:r>
      <w:r>
        <w:t>47 CFR §§ 0.111, 0.311.</w:t>
      </w:r>
    </w:p>
  </w:footnote>
  <w:footnote w:id="10">
    <w:p w:rsidR="00C21BD9" w:rsidP="00C21BD9" w14:paraId="18877327" w14:textId="77777777">
      <w:pPr>
        <w:pStyle w:val="FootnoteText"/>
      </w:pPr>
      <w:r>
        <w:rPr>
          <w:rStyle w:val="FootnoteReference"/>
        </w:rPr>
        <w:footnoteRef/>
      </w:r>
      <w:r>
        <w:t xml:space="preserve"> </w:t>
      </w:r>
      <w:r>
        <w:t>47 U.S.C. § 310(d).</w:t>
      </w:r>
    </w:p>
  </w:footnote>
  <w:footnote w:id="11">
    <w:p w:rsidR="00C21BD9" w:rsidP="00C21BD9" w14:paraId="1F596228" w14:textId="77777777">
      <w:pPr>
        <w:pStyle w:val="FootnoteText"/>
      </w:pPr>
      <w:r>
        <w:rPr>
          <w:rStyle w:val="FootnoteReference"/>
        </w:rPr>
        <w:footnoteRef/>
      </w:r>
      <w:r>
        <w:t xml:space="preserve"> </w:t>
      </w:r>
      <w:r>
        <w:t>47 CFR § 1.948.</w:t>
      </w:r>
    </w:p>
  </w:footnote>
  <w:footnote w:id="12">
    <w:p w:rsidR="00C21BD9" w:rsidP="00C21BD9" w14:paraId="43175AD8" w14:textId="77777777">
      <w:pPr>
        <w:pStyle w:val="FootnoteText"/>
      </w:pPr>
      <w:r>
        <w:rPr>
          <w:rStyle w:val="FootnoteReference"/>
        </w:rPr>
        <w:footnoteRef/>
      </w:r>
      <w:r>
        <w:t xml:space="preserve"> </w:t>
      </w:r>
      <w:r w:rsidRPr="001B63BB">
        <w:rPr>
          <w:szCs w:val="22"/>
        </w:rPr>
        <w:t xml:space="preserve">47 U.S.C. § 151 </w:t>
      </w:r>
      <w:r w:rsidRPr="001B63BB">
        <w:rPr>
          <w:i/>
          <w:szCs w:val="22"/>
        </w:rPr>
        <w:t>et seq.</w:t>
      </w:r>
    </w:p>
  </w:footnote>
  <w:footnote w:id="13">
    <w:p w:rsidR="00C21BD9" w:rsidRPr="00843D0C" w:rsidP="00C21BD9" w14:paraId="7204E0CA" w14:textId="77777777">
      <w:pPr>
        <w:pStyle w:val="FootnoteText"/>
        <w:widowControl w:val="0"/>
      </w:pPr>
      <w:r w:rsidRPr="00843D0C">
        <w:rPr>
          <w:rStyle w:val="FootnoteReference"/>
        </w:rPr>
        <w:footnoteRef/>
      </w:r>
      <w:r w:rsidRPr="00843D0C">
        <w:t xml:space="preserve"> </w:t>
      </w:r>
      <w:r w:rsidRPr="00843D0C">
        <w:t>47 U.S.C. § 310(d).</w:t>
      </w:r>
    </w:p>
  </w:footnote>
  <w:footnote w:id="14">
    <w:p w:rsidR="00C21BD9" w:rsidRPr="00843D0C" w:rsidP="00C21BD9" w14:paraId="40309ACC" w14:textId="77777777">
      <w:pPr>
        <w:pStyle w:val="FootnoteText"/>
        <w:widowControl w:val="0"/>
      </w:pPr>
      <w:r w:rsidRPr="00843D0C">
        <w:rPr>
          <w:rStyle w:val="FootnoteReference"/>
        </w:rPr>
        <w:footnoteRef/>
      </w:r>
      <w:r>
        <w:t xml:space="preserve"> </w:t>
      </w:r>
      <w:r>
        <w:t>47 CFR § 1.948</w:t>
      </w:r>
      <w:r w:rsidRPr="00843D0C">
        <w:t>.</w:t>
      </w:r>
    </w:p>
  </w:footnote>
  <w:footnote w:id="15">
    <w:p w:rsidR="00C21BD9" w:rsidP="00C21BD9" w14:paraId="23AF4FDD" w14:textId="77777777">
      <w:pPr>
        <w:pStyle w:val="FootnoteText"/>
      </w:pPr>
      <w:r>
        <w:rPr>
          <w:rStyle w:val="FootnoteReference"/>
        </w:rPr>
        <w:footnoteRef/>
      </w:r>
      <w:r>
        <w:t xml:space="preserve"> </w:t>
      </w:r>
      <w:r>
        <w:t>47 U.S.C. § 310(d).</w:t>
      </w:r>
    </w:p>
  </w:footnote>
  <w:footnote w:id="16">
    <w:p w:rsidR="00C21BD9" w:rsidP="00C21BD9" w14:paraId="17979D44" w14:textId="77777777">
      <w:pPr>
        <w:pStyle w:val="FootnoteText"/>
      </w:pPr>
      <w:r>
        <w:rPr>
          <w:rStyle w:val="FootnoteReference"/>
        </w:rPr>
        <w:footnoteRef/>
      </w:r>
      <w:r>
        <w:t xml:space="preserve"> </w:t>
      </w:r>
      <w:r>
        <w:t>47 CFR § 1.948.</w:t>
      </w:r>
    </w:p>
  </w:footnote>
  <w:footnote w:id="17">
    <w:p w:rsidR="00C21BD9" w:rsidP="00C21BD9" w14:paraId="2E78F439" w14:textId="77777777">
      <w:pPr>
        <w:pStyle w:val="FootnoteText"/>
      </w:pPr>
      <w:r>
        <w:rPr>
          <w:rStyle w:val="FootnoteReference"/>
        </w:rPr>
        <w:footnoteRef/>
      </w:r>
      <w:r>
        <w:t xml:space="preserve"> </w:t>
      </w:r>
      <w:r w:rsidRPr="000F089C">
        <w:rPr>
          <w:i/>
          <w:iCs/>
        </w:rPr>
        <w:t xml:space="preserve">FCC Application for Assignments of Authorization or Transfer of Control: Wireless Telecommunications </w:t>
      </w:r>
      <w:r>
        <w:rPr>
          <w:i/>
          <w:iCs/>
        </w:rPr>
        <w:t>Bureau,</w:t>
      </w:r>
      <w:r w:rsidRPr="000F089C">
        <w:rPr>
          <w:i/>
          <w:iCs/>
        </w:rPr>
        <w:t xml:space="preserve"> Public Safety </w:t>
      </w:r>
      <w:r>
        <w:rPr>
          <w:i/>
          <w:iCs/>
        </w:rPr>
        <w:t xml:space="preserve">and </w:t>
      </w:r>
      <w:r w:rsidRPr="000F089C">
        <w:rPr>
          <w:i/>
          <w:iCs/>
        </w:rPr>
        <w:t>Homeland Security</w:t>
      </w:r>
      <w:r>
        <w:rPr>
          <w:i/>
          <w:iCs/>
        </w:rPr>
        <w:t xml:space="preserve"> Bureau</w:t>
      </w:r>
      <w:r w:rsidRPr="000F089C">
        <w:t>, FCC Form 603 (2016)</w:t>
      </w:r>
      <w:r>
        <w:t xml:space="preserve"> (</w:t>
      </w:r>
      <w:r w:rsidRPr="00E16856">
        <w:t>Form 603</w:t>
      </w:r>
      <w:r>
        <w:t>)</w:t>
      </w:r>
      <w:r w:rsidRPr="000F089C">
        <w:t>.</w:t>
      </w:r>
    </w:p>
  </w:footnote>
  <w:footnote w:id="18">
    <w:p w:rsidR="00C21BD9" w:rsidRPr="003F1641" w:rsidP="00C21BD9" w14:paraId="713E0339" w14:textId="6F3EF4A3">
      <w:pPr>
        <w:pStyle w:val="FootnoteText"/>
      </w:pPr>
      <w:r w:rsidRPr="003F1641">
        <w:rPr>
          <w:rStyle w:val="FootnoteReference"/>
        </w:rPr>
        <w:footnoteRef/>
      </w:r>
      <w:r w:rsidRPr="003F1641">
        <w:t xml:space="preserve"> </w:t>
      </w:r>
      <w:r w:rsidRPr="003F1641">
        <w:t xml:space="preserve">Atrium Hospitality, </w:t>
      </w:r>
      <w:r w:rsidRPr="003F1641">
        <w:rPr>
          <w:i/>
          <w:iCs/>
        </w:rPr>
        <w:t>About Atrium Hospitality</w:t>
      </w:r>
      <w:r w:rsidRPr="003F1641">
        <w:t xml:space="preserve">, </w:t>
      </w:r>
      <w:hyperlink r:id="rId1" w:history="1">
        <w:r w:rsidRPr="003F1641">
          <w:rPr>
            <w:rStyle w:val="Hyperlink"/>
          </w:rPr>
          <w:t>https://atriumhospitality.com/our-story/</w:t>
        </w:r>
      </w:hyperlink>
      <w:r w:rsidRPr="003F1641">
        <w:t xml:space="preserve"> (last visited </w:t>
      </w:r>
      <w:r>
        <w:t>Feb. 8</w:t>
      </w:r>
      <w:r w:rsidRPr="003F1641">
        <w:t>, 202</w:t>
      </w:r>
      <w:r>
        <w:t>2</w:t>
      </w:r>
      <w:r w:rsidRPr="003F1641">
        <w:t>).</w:t>
      </w:r>
    </w:p>
  </w:footnote>
  <w:footnote w:id="19">
    <w:p w:rsidR="00C21BD9" w:rsidRPr="003F1641" w:rsidP="00C21BD9" w14:paraId="730E9DB6" w14:textId="77777777">
      <w:pPr>
        <w:pStyle w:val="FootnoteText"/>
      </w:pPr>
      <w:r w:rsidRPr="003F1641">
        <w:rPr>
          <w:rStyle w:val="FootnoteReference"/>
        </w:rPr>
        <w:footnoteRef/>
      </w:r>
      <w:r w:rsidRPr="003F1641">
        <w:t xml:space="preserve"> </w:t>
      </w:r>
      <w:r w:rsidRPr="003F1641">
        <w:rPr>
          <w:i/>
          <w:iCs/>
        </w:rPr>
        <w:t>Id.</w:t>
      </w:r>
    </w:p>
  </w:footnote>
  <w:footnote w:id="20">
    <w:p w:rsidR="00C21BD9" w:rsidRPr="0061001F" w:rsidP="00C21BD9" w14:paraId="12C540A3" w14:textId="77777777">
      <w:pPr>
        <w:pStyle w:val="Default"/>
        <w:spacing w:after="120"/>
        <w:rPr>
          <w:sz w:val="20"/>
          <w:szCs w:val="20"/>
        </w:rPr>
      </w:pPr>
      <w:r w:rsidRPr="003F1641">
        <w:rPr>
          <w:rStyle w:val="FootnoteReference"/>
          <w:szCs w:val="20"/>
        </w:rPr>
        <w:footnoteRef/>
      </w:r>
      <w:r w:rsidRPr="003F1641">
        <w:rPr>
          <w:sz w:val="20"/>
          <w:szCs w:val="20"/>
        </w:rPr>
        <w:t xml:space="preserve"> </w:t>
      </w:r>
      <w:r w:rsidRPr="0061001F">
        <w:rPr>
          <w:sz w:val="20"/>
          <w:szCs w:val="20"/>
        </w:rPr>
        <w:t xml:space="preserve">Letter from Alan S. </w:t>
      </w:r>
      <w:r w:rsidRPr="0061001F">
        <w:rPr>
          <w:sz w:val="20"/>
          <w:szCs w:val="20"/>
        </w:rPr>
        <w:t>Tilles</w:t>
      </w:r>
      <w:r w:rsidRPr="0061001F">
        <w:rPr>
          <w:sz w:val="20"/>
          <w:szCs w:val="20"/>
        </w:rPr>
        <w:t>, Counsel for Atrium Hospitality, Shulman Rogers, to Christopher Sova, Esq., Enforcement Bureau, FCC, et al. (Dec. 21, 2020) (on file in EB-IHD-20-00031519).</w:t>
      </w:r>
    </w:p>
  </w:footnote>
  <w:footnote w:id="21">
    <w:p w:rsidR="00C21BD9" w:rsidRPr="003F1641" w:rsidP="00C21BD9" w14:paraId="344D67E2" w14:textId="77777777">
      <w:pPr>
        <w:pStyle w:val="FootnoteText"/>
      </w:pPr>
      <w:r w:rsidRPr="003F1641">
        <w:rPr>
          <w:rStyle w:val="FootnoteReference"/>
        </w:rPr>
        <w:footnoteRef/>
      </w:r>
      <w:r w:rsidRPr="003F1641">
        <w:t xml:space="preserve"> </w:t>
      </w:r>
      <w:r w:rsidRPr="003F1641">
        <w:rPr>
          <w:i/>
          <w:iCs/>
        </w:rPr>
        <w:t>See</w:t>
      </w:r>
      <w:r>
        <w:rPr>
          <w:i/>
          <w:iCs/>
        </w:rPr>
        <w:t xml:space="preserve"> </w:t>
      </w:r>
      <w:r>
        <w:t>Remedial Applications and Waiver Requests.</w:t>
      </w:r>
    </w:p>
  </w:footnote>
  <w:footnote w:id="22">
    <w:p w:rsidR="00C21BD9" w:rsidRPr="003F1641" w:rsidP="00C21BD9" w14:paraId="18972B8F" w14:textId="77777777">
      <w:pPr>
        <w:pStyle w:val="FootnoteText"/>
      </w:pPr>
      <w:r w:rsidRPr="003F1641">
        <w:rPr>
          <w:rStyle w:val="FootnoteReference"/>
        </w:rPr>
        <w:footnoteRef/>
      </w:r>
      <w:r w:rsidRPr="003F1641">
        <w:t xml:space="preserve"> </w:t>
      </w:r>
      <w:r w:rsidRPr="003F1641">
        <w:rPr>
          <w:i/>
          <w:iCs/>
        </w:rPr>
        <w:t>See</w:t>
      </w:r>
      <w:r w:rsidRPr="003F1641">
        <w:t xml:space="preserve"> </w:t>
      </w:r>
      <w:r>
        <w:t xml:space="preserve">Remedial Applications and Waiver Requests; </w:t>
      </w:r>
      <w:r w:rsidRPr="007C6D92">
        <w:t xml:space="preserve">Response to Letter of Inquiry, from Peter </w:t>
      </w:r>
      <w:r w:rsidRPr="007C6D92">
        <w:t>Schwingler</w:t>
      </w:r>
      <w:r w:rsidRPr="007C6D92">
        <w:t>, Counsel to Atrium Hospitality LP, Stinson LLP, to Christopher J. Sova, Deputy Chief, Investigations and Hearings Division, FCC Enforcement Bureau (Sept. 10, 2021) (on file in EB-IHD-20-00031519) (Atrium Cover Letter); Responses to Inquiries 1, 9, 10, 11 and 12, Attach. to Atrium Cover Letter (LOI Response).</w:t>
      </w:r>
    </w:p>
  </w:footnote>
  <w:footnote w:id="23">
    <w:p w:rsidR="00C21BD9" w:rsidRPr="003F1641" w:rsidP="00C21BD9" w14:paraId="7A6EDA59" w14:textId="77777777">
      <w:pPr>
        <w:pStyle w:val="FootnoteText"/>
      </w:pPr>
      <w:r w:rsidRPr="003F1641">
        <w:rPr>
          <w:rStyle w:val="FootnoteReference"/>
        </w:rPr>
        <w:footnoteRef/>
      </w:r>
      <w:r w:rsidRPr="003F1641">
        <w:t xml:space="preserve"> </w:t>
      </w:r>
      <w:r w:rsidRPr="003F1641">
        <w:rPr>
          <w:i/>
          <w:iCs/>
        </w:rPr>
        <w:t>See</w:t>
      </w:r>
      <w:r w:rsidRPr="003F1641">
        <w:t xml:space="preserve"> E-mail from Alan S. </w:t>
      </w:r>
      <w:r w:rsidRPr="003F1641">
        <w:t>Tilles</w:t>
      </w:r>
      <w:r w:rsidRPr="003F1641">
        <w:t>, Counsel for Atrium Hospitality, LP, Shulman Rogers, to Gary Oshinsky, Attorney Advisor, Investigations and Hearings Division, FCC Enforcement Bureau (Oct. 7, 2020, 13:02 EDT)</w:t>
      </w:r>
      <w:r w:rsidRPr="003F1641">
        <w:rPr>
          <w:rStyle w:val="author-timestamp"/>
        </w:rPr>
        <w:t xml:space="preserve"> </w:t>
      </w:r>
      <w:r w:rsidRPr="003F1641">
        <w:t>(on file in EB-IHD-20-00031519).</w:t>
      </w:r>
    </w:p>
  </w:footnote>
  <w:footnote w:id="24">
    <w:p w:rsidR="00C21BD9" w:rsidRPr="003F1641" w:rsidP="00C21BD9" w14:paraId="09BB7A87" w14:textId="77777777">
      <w:pPr>
        <w:pStyle w:val="FootnoteText"/>
      </w:pPr>
      <w:r w:rsidRPr="003F1641">
        <w:rPr>
          <w:rStyle w:val="FootnoteReference"/>
        </w:rPr>
        <w:footnoteRef/>
      </w:r>
      <w:r w:rsidRPr="003F1641">
        <w:t xml:space="preserve"> </w:t>
      </w:r>
      <w:r w:rsidRPr="003F1641">
        <w:rPr>
          <w:i/>
          <w:iCs/>
        </w:rPr>
        <w:t>John Q. Hammons Fall 2006, LLC</w:t>
      </w:r>
      <w:r w:rsidRPr="003F1641">
        <w:t>, Corrected Order Confirming Modified Amended Joint and Consolidated Chapter 11 Plans of Reorganization For All Debtors Filed by Creditor JD Holdings, L.L.C., Case No. 16-21142 (</w:t>
      </w:r>
      <w:r w:rsidRPr="003F1641">
        <w:t>Bankr</w:t>
      </w:r>
      <w:r w:rsidRPr="003F1641">
        <w:t xml:space="preserve">. D. Kan. May 11, 2018) (on file in EB-IHD-20- 00031519) (Confirmation Order); </w:t>
      </w:r>
      <w:r w:rsidRPr="003F1641">
        <w:rPr>
          <w:i/>
          <w:iCs/>
        </w:rPr>
        <w:t xml:space="preserve">see also </w:t>
      </w:r>
      <w:r>
        <w:t>Remedial Applications and Waiver Requests</w:t>
      </w:r>
      <w:r w:rsidRPr="003F1641">
        <w:t>.</w:t>
      </w:r>
    </w:p>
  </w:footnote>
  <w:footnote w:id="25">
    <w:p w:rsidR="00C21BD9" w:rsidRPr="003F1641" w:rsidP="00C21BD9" w14:paraId="7858399F" w14:textId="77777777">
      <w:pPr>
        <w:pStyle w:val="FootnoteText"/>
      </w:pPr>
      <w:r w:rsidRPr="003F1641">
        <w:rPr>
          <w:rStyle w:val="FootnoteReference"/>
        </w:rPr>
        <w:footnoteRef/>
      </w:r>
      <w:r w:rsidRPr="003F1641">
        <w:t xml:space="preserve"> </w:t>
      </w:r>
      <w:r>
        <w:rPr>
          <w:i/>
          <w:iCs/>
        </w:rPr>
        <w:t xml:space="preserve">See </w:t>
      </w:r>
      <w:r>
        <w:t xml:space="preserve">Remedial Applications and Waiver Requests; LOI Response at 4.  The 25 licenses include call signs </w:t>
      </w:r>
      <w:r w:rsidRPr="007C6D92">
        <w:t>WPQB731; WPTA265; WPTF935; WPUY428; WPVB807; WPWX784; WPXR819; WPYS812; WQBG333; WQBG367; WQCF921; WQCS480; WQDJ365; WQFR705; WQGB768; WQIZ261; WQKS526; WQPV235; WQSF928; WQVK756; WQWE310; WQYK361; WQZU901</w:t>
      </w:r>
      <w:r>
        <w:t>; WQJP351; and WPMJ632</w:t>
      </w:r>
      <w:r w:rsidRPr="007C6D92">
        <w:t>.</w:t>
      </w:r>
    </w:p>
  </w:footnote>
  <w:footnote w:id="26">
    <w:p w:rsidR="00C21BD9" w:rsidRPr="007C6D92" w:rsidP="00C21BD9" w14:paraId="6BA78BE2" w14:textId="77777777">
      <w:pPr>
        <w:pStyle w:val="FootnoteText"/>
      </w:pPr>
      <w:r w:rsidRPr="007C6D92">
        <w:rPr>
          <w:rStyle w:val="FootnoteReference"/>
        </w:rPr>
        <w:footnoteRef/>
      </w:r>
      <w:r w:rsidRPr="007C6D92">
        <w:rPr>
          <w:i/>
        </w:rPr>
        <w:t xml:space="preserve"> </w:t>
      </w:r>
      <w:r w:rsidRPr="007C6D92">
        <w:rPr>
          <w:i/>
        </w:rPr>
        <w:t>See</w:t>
      </w:r>
      <w:r>
        <w:rPr>
          <w:i/>
        </w:rPr>
        <w:t xml:space="preserve"> </w:t>
      </w:r>
      <w:r w:rsidRPr="007E5DAB">
        <w:t>Remedial Applications and Waiver Requests</w:t>
      </w:r>
      <w:r>
        <w:t>.</w:t>
      </w:r>
      <w:r w:rsidRPr="007C6D92">
        <w:t xml:space="preserve"> </w:t>
      </w:r>
    </w:p>
  </w:footnote>
  <w:footnote w:id="27">
    <w:p w:rsidR="00C21BD9" w:rsidRPr="00A67164" w:rsidP="00C21BD9" w14:paraId="15AE5883" w14:textId="77777777">
      <w:pPr>
        <w:pStyle w:val="FootnoteText"/>
      </w:pPr>
      <w:r>
        <w:rPr>
          <w:rStyle w:val="FootnoteReference"/>
        </w:rPr>
        <w:footnoteRef/>
      </w:r>
      <w:r>
        <w:t xml:space="preserve"> </w:t>
      </w:r>
      <w:r>
        <w:rPr>
          <w:i/>
          <w:iCs/>
        </w:rPr>
        <w:t xml:space="preserve">See generally </w:t>
      </w:r>
      <w:r>
        <w:t>LOI Response.</w:t>
      </w:r>
    </w:p>
  </w:footnote>
  <w:footnote w:id="28">
    <w:p w:rsidR="00C21BD9" w:rsidP="00C21BD9" w14:paraId="5C86535C" w14:textId="77777777">
      <w:pPr>
        <w:pStyle w:val="FootnoteText"/>
      </w:pPr>
      <w:r>
        <w:rPr>
          <w:rStyle w:val="FootnoteReference"/>
        </w:rPr>
        <w:footnoteRef/>
      </w:r>
      <w:r>
        <w:t xml:space="preserve"> </w:t>
      </w:r>
      <w:r w:rsidRPr="00C566EC">
        <w:rPr>
          <w:i/>
        </w:rPr>
        <w:t>See</w:t>
      </w:r>
      <w:r>
        <w:t xml:space="preserve"> 47 CFR </w:t>
      </w:r>
      <w:r w:rsidRPr="001B63BB">
        <w:rPr>
          <w:szCs w:val="22"/>
        </w:rPr>
        <w:t>§</w:t>
      </w:r>
      <w:r>
        <w:rPr>
          <w:szCs w:val="22"/>
        </w:rPr>
        <w:t xml:space="preserve"> </w:t>
      </w:r>
      <w:r>
        <w:t>1.93(b).</w:t>
      </w:r>
    </w:p>
  </w:footnote>
  <w:footnote w:id="29">
    <w:p w:rsidR="00C21BD9" w:rsidP="00C21BD9" w14:paraId="2838CBFC" w14:textId="77777777">
      <w:pPr>
        <w:pStyle w:val="FootnoteText"/>
      </w:pPr>
      <w:r w:rsidRPr="00A07FCB">
        <w:rPr>
          <w:rStyle w:val="FootnoteReference"/>
        </w:rPr>
        <w:footnoteRef/>
      </w:r>
      <w:r w:rsidRPr="00A07FCB">
        <w:t xml:space="preserve"> </w:t>
      </w:r>
      <w:r w:rsidRPr="00A07FCB">
        <w:t>47 CFR § 1.16.</w:t>
      </w:r>
    </w:p>
  </w:footnote>
  <w:footnote w:id="30">
    <w:p w:rsidR="00C21BD9" w:rsidP="00C21BD9" w14:paraId="25F65B0A" w14:textId="77777777">
      <w:pPr>
        <w:pStyle w:val="FootnoteText"/>
      </w:pPr>
      <w:r>
        <w:rPr>
          <w:rStyle w:val="FootnoteReference"/>
        </w:rPr>
        <w:footnoteRef/>
      </w:r>
      <w:r>
        <w:t xml:space="preserve"> </w:t>
      </w:r>
      <w:r>
        <w:t>Debt Collection Improvement Act of 1996, Pub. L. No. 104-134, 110 Stat. 1321, 1358 (Apr. 26, 1996).</w:t>
      </w:r>
    </w:p>
  </w:footnote>
  <w:footnote w:id="31">
    <w:p w:rsidR="00C21BD9" w:rsidP="00C21BD9" w14:paraId="770F55F6" w14:textId="77777777">
      <w:pPr>
        <w:pStyle w:val="FootnoteText"/>
      </w:pPr>
      <w:r>
        <w:rPr>
          <w:rStyle w:val="FootnoteReference"/>
        </w:rPr>
        <w:footnoteRef/>
      </w:r>
      <w:r>
        <w:t xml:space="preserve"> </w:t>
      </w:r>
      <w:r>
        <w:t>Payments made using CORES do not require the submission of an FCC Form 159.</w:t>
      </w:r>
    </w:p>
  </w:footnote>
  <w:footnote w:id="32">
    <w:p w:rsidR="00C21BD9" w:rsidP="00C21BD9" w14:paraId="2261BB93" w14:textId="595DE6EE">
      <w:pPr>
        <w:pStyle w:val="FootnoteText"/>
        <w:rPr>
          <w:sz w:val="22"/>
          <w:szCs w:val="22"/>
        </w:rPr>
      </w:pPr>
      <w:r>
        <w:rPr>
          <w:rStyle w:val="FootnoteReference"/>
        </w:rPr>
        <w:footnoteRef/>
      </w:r>
      <w:r>
        <w:t xml:space="preserve"> </w:t>
      </w:r>
      <w:r>
        <w:t xml:space="preserve">For questions regarding payment procedures, please contact the Financial Operations Group Help Desk by phone at 1-877-480-3201 (option #6), or by e-mail at </w:t>
      </w:r>
      <w:hyperlink r:id="rId2" w:history="1">
        <w:r>
          <w:rPr>
            <w:rStyle w:val="Hyperlink"/>
          </w:rPr>
          <w:t>ARINQUIRIES@fcc.gov</w:t>
        </w:r>
      </w:hyperlink>
      <w:r>
        <w:t>.</w:t>
      </w:r>
    </w:p>
  </w:footnote>
  <w:footnote w:id="33">
    <w:p w:rsidR="00C21BD9" w:rsidP="00C21BD9" w14:paraId="1A65BDF6" w14:textId="6815783A">
      <w:pPr>
        <w:pStyle w:val="FootnoteText"/>
      </w:pPr>
      <w:r>
        <w:rPr>
          <w:rStyle w:val="FootnoteReference"/>
        </w:rPr>
        <w:footnoteRef/>
      </w:r>
      <w:r>
        <w:t xml:space="preserve"> </w:t>
      </w:r>
      <w:r>
        <w:t xml:space="preserve">FCC Form 159 is accessible at </w:t>
      </w:r>
      <w:hyperlink r:id="rId3" w:history="1">
        <w:r>
          <w:rPr>
            <w:rStyle w:val="Hyperlink"/>
          </w:rPr>
          <w:t>https://www.fcc.gov/licensing-databases/fees/fcc-remittance-advice-form-159</w:t>
        </w:r>
      </w:hyperlink>
      <w:r>
        <w:rPr>
          <w:rStyle w:val="Hyperlink"/>
        </w:rPr>
        <w:t>.</w:t>
      </w:r>
    </w:p>
  </w:footnote>
  <w:footnote w:id="34">
    <w:p w:rsidR="00C21BD9" w:rsidP="00C21BD9" w14:paraId="4C354BC0" w14:textId="77777777">
      <w:pPr>
        <w:pStyle w:val="FootnoteText"/>
      </w:pPr>
      <w:r w:rsidRPr="003F6349">
        <w:rPr>
          <w:rStyle w:val="FootnoteReference"/>
        </w:rPr>
        <w:footnoteRef/>
      </w:r>
      <w:r w:rsidRPr="003F6349">
        <w:t xml:space="preserve"> </w:t>
      </w:r>
      <w:r>
        <w:rPr>
          <w:i/>
        </w:rPr>
        <w:t xml:space="preserve">See </w:t>
      </w:r>
      <w:r w:rsidRPr="003F6349">
        <w:t>5 U.S.C. § 504; 47 CFR</w:t>
      </w:r>
      <w:r>
        <w:t xml:space="preserve"> §§ 1.1501–1.1530</w:t>
      </w:r>
      <w:r w:rsidRPr="003F634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1810" w14:paraId="3E3ADED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38ED" w:rsidP="00C438ED" w14:paraId="7C72DC13" w14:textId="33400F37">
    <w:pPr>
      <w:tabs>
        <w:tab w:val="center" w:pos="4680"/>
        <w:tab w:val="right" w:pos="9360"/>
      </w:tabs>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19050" b="26035"/>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w="635">
                        <a:solidFill>
                          <a:srgbClr val="000000"/>
                        </a:solidFill>
                        <a:miter lim="800000"/>
                        <a:headEnd/>
                        <a:tailEnd/>
                      </a:ln>
                      <a:effectLst/>
                      <a:extLs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weight="0.05pt">
              <w10:wrap anchorx="margin"/>
            </v:rect>
          </w:pict>
        </mc:Fallback>
      </mc:AlternateContent>
    </w:r>
    <w:r>
      <w:rPr>
        <w:b/>
      </w:rPr>
      <w:tab/>
    </w:r>
    <w:r>
      <w:rPr>
        <w:b/>
      </w:rPr>
      <w:t>Federal Communications Commission</w:t>
    </w:r>
    <w:r>
      <w:rPr>
        <w:b/>
      </w:rPr>
      <w:tab/>
    </w:r>
    <w:r>
      <w:rPr>
        <w:b/>
        <w:spacing w:val="-2"/>
      </w:rPr>
      <w:t xml:space="preserve">DA </w:t>
    </w:r>
    <w:r w:rsidR="002C4850">
      <w:rPr>
        <w:b/>
        <w:spacing w:val="-2"/>
      </w:rPr>
      <w:t>22</w:t>
    </w:r>
    <w:r>
      <w:rPr>
        <w:b/>
        <w:spacing w:val="-2"/>
      </w:rPr>
      <w:t>-</w:t>
    </w:r>
    <w:r w:rsidR="00F11810">
      <w:rPr>
        <w:b/>
        <w:spacing w:val="-2"/>
      </w:rPr>
      <w:t>217</w:t>
    </w:r>
  </w:p>
  <w:p w:rsidR="00676723" w:rsidRPr="00C438ED" w:rsidP="00C438ED" w14:paraId="259FC37F" w14:textId="2BC773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318D0" w:rsidP="00B318D0" w14:paraId="7665726C" w14:textId="1FE2B1C1">
    <w:pPr>
      <w:pStyle w:val="Header"/>
      <w:rPr>
        <w:b w:val="0"/>
      </w:rPr>
    </w:pPr>
    <w:r w:rsidRPr="00843A5F">
      <w:rPr>
        <w:noProof/>
        <w:snapToGrid/>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2"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Pr="00843A5F">
      <w:tab/>
    </w:r>
    <w:r w:rsidRPr="00843A5F">
      <w:t>Federal Communications Commission</w:t>
    </w:r>
    <w:r w:rsidRPr="00843A5F">
      <w:tab/>
    </w:r>
    <w:r w:rsidRPr="002755D1">
      <w:rPr>
        <w:spacing w:val="-2"/>
      </w:rPr>
      <w:t xml:space="preserve">DA </w:t>
    </w:r>
    <w:r w:rsidR="00C21BD9">
      <w:rPr>
        <w:spacing w:val="-2"/>
      </w:rPr>
      <w:t>22</w:t>
    </w:r>
    <w:r w:rsidRPr="002755D1" w:rsidR="00C21BD9">
      <w:rPr>
        <w:spacing w:val="-2"/>
      </w:rPr>
      <w:t>-</w:t>
    </w:r>
    <w:r w:rsidRPr="00430C60" w:rsidR="00C21BD9">
      <w:rPr>
        <w:spacing w:val="-2"/>
      </w:rPr>
      <w:t>217</w:t>
    </w:r>
  </w:p>
  <w:p w:rsidR="002E4C64" w:rsidP="007A247C" w14:paraId="01033C44"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1BD9" w:rsidP="00153AAA" w14:paraId="719C9340" w14:textId="77777777">
    <w:pPr>
      <w:pStyle w:val="Header"/>
      <w:rPr>
        <w:b w:val="0"/>
      </w:rPr>
    </w:pPr>
    <w:r w:rsidRPr="00843A5F">
      <w:rPr>
        <w:noProof/>
        <w:snapToGrid/>
      </w:rPr>
      <mc:AlternateContent>
        <mc:Choice Requires="wps">
          <w:drawing>
            <wp:anchor distT="0" distB="0" distL="114300" distR="114300" simplePos="0" relativeHeight="251664384"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4" name="Rectangle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 o:spid="_x0000_s2051"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strokeweight="0.05pt">
              <w10:wrap anchorx="margin"/>
            </v:rect>
          </w:pict>
        </mc:Fallback>
      </mc:AlternateContent>
    </w:r>
    <w:r w:rsidRPr="00843A5F">
      <w:tab/>
    </w:r>
    <w:r w:rsidRPr="00843A5F">
      <w:t>Federal Communications Commission</w:t>
    </w:r>
    <w:r w:rsidRPr="00843A5F">
      <w:tab/>
    </w:r>
    <w:r w:rsidRPr="002755D1">
      <w:rPr>
        <w:spacing w:val="-2"/>
      </w:rPr>
      <w:t xml:space="preserve">DA </w:t>
    </w:r>
    <w:r>
      <w:rPr>
        <w:spacing w:val="-2"/>
      </w:rPr>
      <w:t>22</w:t>
    </w:r>
    <w:r w:rsidRPr="002755D1">
      <w:rPr>
        <w:spacing w:val="-2"/>
      </w:rPr>
      <w:t>-</w:t>
    </w:r>
    <w:r>
      <w:rPr>
        <w:spacing w:val="-2"/>
      </w:rPr>
      <w:t>217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1BD9" w:rsidP="008E15FA" w14:paraId="1355DBCE" w14:textId="77777777">
    <w:pPr>
      <w:pStyle w:val="Header"/>
      <w:spacing w:after="120"/>
      <w:rPr>
        <w:b w:val="0"/>
      </w:rPr>
    </w:pPr>
    <w:r w:rsidRPr="00843A5F">
      <w:rPr>
        <w:noProof/>
        <w:snapToGrid/>
      </w:rPr>
      <mc:AlternateContent>
        <mc:Choice Requires="wps">
          <w:drawing>
            <wp:anchor distT="0" distB="0" distL="114300" distR="114300" simplePos="0" relativeHeight="251662336"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5"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strokeweight="0.05pt">
              <w10:wrap anchorx="margin"/>
            </v:rect>
          </w:pict>
        </mc:Fallback>
      </mc:AlternateContent>
    </w:r>
    <w:r w:rsidRPr="00843A5F">
      <w:tab/>
    </w:r>
    <w:r w:rsidRPr="00843A5F">
      <w:t>Federal Communications Commission</w:t>
    </w:r>
    <w:r w:rsidRPr="00843A5F">
      <w:tab/>
    </w:r>
    <w:r w:rsidRPr="002755D1">
      <w:rPr>
        <w:spacing w:val="-2"/>
      </w:rPr>
      <w:t xml:space="preserve">DA </w:t>
    </w:r>
    <w:r>
      <w:rPr>
        <w:spacing w:val="-2"/>
      </w:rPr>
      <w:t>22</w:t>
    </w:r>
    <w:r w:rsidRPr="002755D1">
      <w:rPr>
        <w:spacing w:val="-2"/>
      </w:rPr>
      <w:t>-</w:t>
    </w:r>
    <w:r w:rsidRPr="00430C60">
      <w:rPr>
        <w:spacing w:val="-2"/>
      </w:rPr>
      <w:t>217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1">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nsid w:val="135561F9"/>
    <w:multiLevelType w:val="hybridMultilevel"/>
    <w:tmpl w:val="EDD0E9C6"/>
    <w:lvl w:ilvl="0">
      <w:start w:val="0"/>
      <w:numFmt w:val="decimal"/>
      <w:lvlText w:val=""/>
      <w:lvlJc w:val="left"/>
      <w:pPr>
        <w:tabs>
          <w:tab w:val="num" w:pos="1080"/>
        </w:tabs>
        <w:ind w:left="1080" w:hanging="360"/>
      </w:pPr>
      <w:rPr>
        <w:rFonts w:ascii="Wingdings" w:hAnsi="Wingdings" w:hint="default"/>
        <w:color w:val="auto"/>
        <w:sz w:val="16"/>
      </w:rPr>
    </w:lvl>
    <w:lvl w:ilvl="1">
      <w:start w:val="1"/>
      <w:numFmt w:val="lowerLetter"/>
      <w:lvlText w:val="%2."/>
      <w:lvlJc w:val="left"/>
      <w:pPr>
        <w:tabs>
          <w:tab w:val="num" w:pos="0"/>
        </w:tabs>
        <w:ind w:left="0" w:hanging="360"/>
      </w:pPr>
    </w:lvl>
    <w:lvl w:ilvl="2">
      <w:start w:val="1"/>
      <w:numFmt w:val="lowerRoman"/>
      <w:lvlText w:val="%3."/>
      <w:lvlJc w:val="right"/>
      <w:pPr>
        <w:tabs>
          <w:tab w:val="num" w:pos="720"/>
        </w:tabs>
        <w:ind w:left="720"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2160"/>
        </w:tabs>
        <w:ind w:left="2160" w:hanging="360"/>
      </w:pPr>
    </w:lvl>
    <w:lvl w:ilvl="5">
      <w:start w:val="1"/>
      <w:numFmt w:val="lowerRoman"/>
      <w:lvlText w:val="%6."/>
      <w:lvlJc w:val="right"/>
      <w:pPr>
        <w:tabs>
          <w:tab w:val="num" w:pos="2880"/>
        </w:tabs>
        <w:ind w:left="2880" w:hanging="180"/>
      </w:pPr>
    </w:lvl>
    <w:lvl w:ilvl="6">
      <w:start w:val="1"/>
      <w:numFmt w:val="decimal"/>
      <w:lvlText w:val="%7."/>
      <w:lvlJc w:val="left"/>
      <w:pPr>
        <w:tabs>
          <w:tab w:val="num" w:pos="3600"/>
        </w:tabs>
        <w:ind w:left="3600" w:hanging="360"/>
      </w:pPr>
    </w:lvl>
    <w:lvl w:ilvl="7">
      <w:start w:val="1"/>
      <w:numFmt w:val="lowerLetter"/>
      <w:lvlText w:val="%8."/>
      <w:lvlJc w:val="left"/>
      <w:pPr>
        <w:tabs>
          <w:tab w:val="num" w:pos="4320"/>
        </w:tabs>
        <w:ind w:left="4320" w:hanging="360"/>
      </w:pPr>
    </w:lvl>
    <w:lvl w:ilvl="8">
      <w:start w:val="1"/>
      <w:numFmt w:val="lowerRoman"/>
      <w:lvlText w:val="%9."/>
      <w:lvlJc w:val="right"/>
      <w:pPr>
        <w:tabs>
          <w:tab w:val="num" w:pos="5040"/>
        </w:tabs>
        <w:ind w:left="5040" w:hanging="18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5">
    <w:nsid w:val="5E66411F"/>
    <w:multiLevelType w:val="hybridMultilevel"/>
    <w:tmpl w:val="B2CA8AA8"/>
    <w:lvl w:ilvl="0">
      <w:start w:val="1"/>
      <w:numFmt w:val="lowerLetter"/>
      <w:pStyle w:val="Paranum0"/>
      <w:lvlText w:val="%1)"/>
      <w:lvlJc w:val="left"/>
      <w:pPr>
        <w:ind w:left="1800" w:hanging="360"/>
      </w:pPr>
      <w:rPr>
        <w:rFonts w:hint="default"/>
        <w:b w:val="0"/>
      </w:rPr>
    </w:lvl>
    <w:lvl w:ilvl="1">
      <w:start w:val="1"/>
      <w:numFmt w:val="lowerRoman"/>
      <w:lvlText w:val="%2."/>
      <w:lvlJc w:val="left"/>
      <w:pPr>
        <w:ind w:left="2520" w:hanging="360"/>
      </w:pPr>
      <w:rPr>
        <w:rFonts w:ascii="Times New Roman" w:eastAsia="ヒラギノ角ゴ Pro W3" w:hAnsi="Times New Roman" w:cs="Times New Roman"/>
        <w:b w:val="0"/>
      </w:rPr>
    </w:lvl>
    <w:lvl w:ilvl="2">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3"/>
  </w:num>
  <w:num w:numId="3">
    <w:abstractNumId w:val="5"/>
  </w:num>
  <w:num w:numId="4">
    <w:abstractNumId w:val="4"/>
  </w:num>
  <w:num w:numId="5">
    <w:abstractNumId w:val="1"/>
  </w:num>
  <w:num w:numId="6">
    <w:abstractNumId w:val="7"/>
  </w:num>
  <w:num w:numId="7">
    <w:abstractNumId w:val="0"/>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110"/>
  <w:drawingGridVerticalSpacing w:val="0"/>
  <w:displayHorizontalDrawingGridEvery w:val="0"/>
  <w:displayVerticalDrawingGridEvery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A3B"/>
    <w:rsid w:val="00000BFF"/>
    <w:rsid w:val="000046D1"/>
    <w:rsid w:val="00010E77"/>
    <w:rsid w:val="0001137C"/>
    <w:rsid w:val="00012135"/>
    <w:rsid w:val="00013878"/>
    <w:rsid w:val="000156B8"/>
    <w:rsid w:val="00020F52"/>
    <w:rsid w:val="000239E2"/>
    <w:rsid w:val="00023B3E"/>
    <w:rsid w:val="00023CBD"/>
    <w:rsid w:val="00031593"/>
    <w:rsid w:val="00032EB3"/>
    <w:rsid w:val="00034A4C"/>
    <w:rsid w:val="00036039"/>
    <w:rsid w:val="00036EBB"/>
    <w:rsid w:val="00037506"/>
    <w:rsid w:val="00037F90"/>
    <w:rsid w:val="000409A7"/>
    <w:rsid w:val="00041FA4"/>
    <w:rsid w:val="00043776"/>
    <w:rsid w:val="00044329"/>
    <w:rsid w:val="000474B4"/>
    <w:rsid w:val="000510A7"/>
    <w:rsid w:val="00051D08"/>
    <w:rsid w:val="000546E3"/>
    <w:rsid w:val="00060B19"/>
    <w:rsid w:val="00060E3B"/>
    <w:rsid w:val="00064FCE"/>
    <w:rsid w:val="00077556"/>
    <w:rsid w:val="00080528"/>
    <w:rsid w:val="000812CD"/>
    <w:rsid w:val="00084844"/>
    <w:rsid w:val="000875BF"/>
    <w:rsid w:val="00093012"/>
    <w:rsid w:val="00094FF2"/>
    <w:rsid w:val="00096D8C"/>
    <w:rsid w:val="000A1DBA"/>
    <w:rsid w:val="000A4143"/>
    <w:rsid w:val="000A69D0"/>
    <w:rsid w:val="000A747B"/>
    <w:rsid w:val="000A78D2"/>
    <w:rsid w:val="000B076B"/>
    <w:rsid w:val="000B4C5A"/>
    <w:rsid w:val="000C0B65"/>
    <w:rsid w:val="000C3C46"/>
    <w:rsid w:val="000C4982"/>
    <w:rsid w:val="000C53CB"/>
    <w:rsid w:val="000C5E7E"/>
    <w:rsid w:val="000D2CE7"/>
    <w:rsid w:val="000D2FF2"/>
    <w:rsid w:val="000D4423"/>
    <w:rsid w:val="000E156D"/>
    <w:rsid w:val="000E1A32"/>
    <w:rsid w:val="000E3D42"/>
    <w:rsid w:val="000E57DB"/>
    <w:rsid w:val="000E5FE3"/>
    <w:rsid w:val="000F089C"/>
    <w:rsid w:val="000F1739"/>
    <w:rsid w:val="000F2290"/>
    <w:rsid w:val="000F5AE0"/>
    <w:rsid w:val="000F71E7"/>
    <w:rsid w:val="00104AE7"/>
    <w:rsid w:val="00107438"/>
    <w:rsid w:val="00111B57"/>
    <w:rsid w:val="001130D9"/>
    <w:rsid w:val="001163D2"/>
    <w:rsid w:val="00122BD5"/>
    <w:rsid w:val="00122F40"/>
    <w:rsid w:val="00123544"/>
    <w:rsid w:val="00123DC5"/>
    <w:rsid w:val="001251A4"/>
    <w:rsid w:val="0012535E"/>
    <w:rsid w:val="00126719"/>
    <w:rsid w:val="00130E75"/>
    <w:rsid w:val="00131135"/>
    <w:rsid w:val="0013481A"/>
    <w:rsid w:val="0013545C"/>
    <w:rsid w:val="00150039"/>
    <w:rsid w:val="00151AF8"/>
    <w:rsid w:val="00152144"/>
    <w:rsid w:val="0015292D"/>
    <w:rsid w:val="00152BB0"/>
    <w:rsid w:val="00152E7C"/>
    <w:rsid w:val="00153AAA"/>
    <w:rsid w:val="001569B9"/>
    <w:rsid w:val="00160788"/>
    <w:rsid w:val="001609C7"/>
    <w:rsid w:val="00161F7D"/>
    <w:rsid w:val="00161FD5"/>
    <w:rsid w:val="00163419"/>
    <w:rsid w:val="00164854"/>
    <w:rsid w:val="001659BF"/>
    <w:rsid w:val="001664A0"/>
    <w:rsid w:val="0017171A"/>
    <w:rsid w:val="00172BF5"/>
    <w:rsid w:val="00174F9E"/>
    <w:rsid w:val="00176197"/>
    <w:rsid w:val="0017677C"/>
    <w:rsid w:val="00180D54"/>
    <w:rsid w:val="00182E46"/>
    <w:rsid w:val="001850F1"/>
    <w:rsid w:val="001877EB"/>
    <w:rsid w:val="00193512"/>
    <w:rsid w:val="001955C8"/>
    <w:rsid w:val="00196CFD"/>
    <w:rsid w:val="001A5074"/>
    <w:rsid w:val="001A6AEF"/>
    <w:rsid w:val="001A7A02"/>
    <w:rsid w:val="001B4BAE"/>
    <w:rsid w:val="001B63BB"/>
    <w:rsid w:val="001C50A9"/>
    <w:rsid w:val="001C7762"/>
    <w:rsid w:val="001D10CF"/>
    <w:rsid w:val="001D63ED"/>
    <w:rsid w:val="001D6BCF"/>
    <w:rsid w:val="001E01CA"/>
    <w:rsid w:val="001E7454"/>
    <w:rsid w:val="001F0CA8"/>
    <w:rsid w:val="001F11C8"/>
    <w:rsid w:val="001F1433"/>
    <w:rsid w:val="001F278E"/>
    <w:rsid w:val="001F2BAB"/>
    <w:rsid w:val="001F660E"/>
    <w:rsid w:val="00202B90"/>
    <w:rsid w:val="002047F0"/>
    <w:rsid w:val="0020707F"/>
    <w:rsid w:val="0021043C"/>
    <w:rsid w:val="0021060B"/>
    <w:rsid w:val="00211D92"/>
    <w:rsid w:val="00211EE2"/>
    <w:rsid w:val="00213F0D"/>
    <w:rsid w:val="00220802"/>
    <w:rsid w:val="00221D7C"/>
    <w:rsid w:val="00223374"/>
    <w:rsid w:val="00231522"/>
    <w:rsid w:val="002352DC"/>
    <w:rsid w:val="00237F53"/>
    <w:rsid w:val="00240F56"/>
    <w:rsid w:val="00243018"/>
    <w:rsid w:val="002551FD"/>
    <w:rsid w:val="002626EB"/>
    <w:rsid w:val="002645F4"/>
    <w:rsid w:val="00273B9A"/>
    <w:rsid w:val="002755D1"/>
    <w:rsid w:val="00276796"/>
    <w:rsid w:val="00276DAE"/>
    <w:rsid w:val="00277598"/>
    <w:rsid w:val="00277F32"/>
    <w:rsid w:val="00284E12"/>
    <w:rsid w:val="00285017"/>
    <w:rsid w:val="00287BA4"/>
    <w:rsid w:val="00291DFD"/>
    <w:rsid w:val="0029201C"/>
    <w:rsid w:val="00295C0F"/>
    <w:rsid w:val="00297A0E"/>
    <w:rsid w:val="002A1D20"/>
    <w:rsid w:val="002A2D2E"/>
    <w:rsid w:val="002B22CB"/>
    <w:rsid w:val="002B2AA5"/>
    <w:rsid w:val="002B3194"/>
    <w:rsid w:val="002B4338"/>
    <w:rsid w:val="002B518C"/>
    <w:rsid w:val="002C00E8"/>
    <w:rsid w:val="002C0646"/>
    <w:rsid w:val="002C30EE"/>
    <w:rsid w:val="002C4850"/>
    <w:rsid w:val="002C67F6"/>
    <w:rsid w:val="002D2357"/>
    <w:rsid w:val="002E4C64"/>
    <w:rsid w:val="002E5543"/>
    <w:rsid w:val="002F0F20"/>
    <w:rsid w:val="002F7BE9"/>
    <w:rsid w:val="0030082F"/>
    <w:rsid w:val="003016ED"/>
    <w:rsid w:val="00302BBF"/>
    <w:rsid w:val="0030328D"/>
    <w:rsid w:val="00320448"/>
    <w:rsid w:val="00320BE0"/>
    <w:rsid w:val="00327A56"/>
    <w:rsid w:val="00331532"/>
    <w:rsid w:val="003317A6"/>
    <w:rsid w:val="00333DAF"/>
    <w:rsid w:val="00334F59"/>
    <w:rsid w:val="00340703"/>
    <w:rsid w:val="00340918"/>
    <w:rsid w:val="00343749"/>
    <w:rsid w:val="00343B8B"/>
    <w:rsid w:val="003447A3"/>
    <w:rsid w:val="003504B7"/>
    <w:rsid w:val="00351188"/>
    <w:rsid w:val="00351C94"/>
    <w:rsid w:val="00352167"/>
    <w:rsid w:val="00355126"/>
    <w:rsid w:val="00357044"/>
    <w:rsid w:val="00357963"/>
    <w:rsid w:val="00357FDE"/>
    <w:rsid w:val="00361141"/>
    <w:rsid w:val="003628A3"/>
    <w:rsid w:val="00367050"/>
    <w:rsid w:val="00367F93"/>
    <w:rsid w:val="00376EB5"/>
    <w:rsid w:val="0038137F"/>
    <w:rsid w:val="003820CD"/>
    <w:rsid w:val="00383733"/>
    <w:rsid w:val="003869A9"/>
    <w:rsid w:val="00386C09"/>
    <w:rsid w:val="00387DC6"/>
    <w:rsid w:val="00393892"/>
    <w:rsid w:val="00395BCD"/>
    <w:rsid w:val="00397DF7"/>
    <w:rsid w:val="003A0A67"/>
    <w:rsid w:val="003A0CEB"/>
    <w:rsid w:val="003A10AC"/>
    <w:rsid w:val="003A1CBF"/>
    <w:rsid w:val="003A24DA"/>
    <w:rsid w:val="003A2932"/>
    <w:rsid w:val="003A398D"/>
    <w:rsid w:val="003A45E5"/>
    <w:rsid w:val="003A4AB4"/>
    <w:rsid w:val="003A764B"/>
    <w:rsid w:val="003B0550"/>
    <w:rsid w:val="003B1CF4"/>
    <w:rsid w:val="003B5217"/>
    <w:rsid w:val="003B694F"/>
    <w:rsid w:val="003B6F58"/>
    <w:rsid w:val="003B739D"/>
    <w:rsid w:val="003C6DEB"/>
    <w:rsid w:val="003D49D5"/>
    <w:rsid w:val="003F1126"/>
    <w:rsid w:val="003F1641"/>
    <w:rsid w:val="003F171C"/>
    <w:rsid w:val="003F6349"/>
    <w:rsid w:val="004008FF"/>
    <w:rsid w:val="00400BCE"/>
    <w:rsid w:val="00404B01"/>
    <w:rsid w:val="0041095B"/>
    <w:rsid w:val="00412FC5"/>
    <w:rsid w:val="00414A07"/>
    <w:rsid w:val="00414BD8"/>
    <w:rsid w:val="00414F00"/>
    <w:rsid w:val="004172DB"/>
    <w:rsid w:val="00422276"/>
    <w:rsid w:val="004227E6"/>
    <w:rsid w:val="004242F1"/>
    <w:rsid w:val="00430C60"/>
    <w:rsid w:val="00432F78"/>
    <w:rsid w:val="00433E5E"/>
    <w:rsid w:val="00434575"/>
    <w:rsid w:val="004348F7"/>
    <w:rsid w:val="004359DD"/>
    <w:rsid w:val="00435FB8"/>
    <w:rsid w:val="004409D9"/>
    <w:rsid w:val="00445A00"/>
    <w:rsid w:val="004479E5"/>
    <w:rsid w:val="00450242"/>
    <w:rsid w:val="00451B0F"/>
    <w:rsid w:val="00452FFD"/>
    <w:rsid w:val="00463506"/>
    <w:rsid w:val="0046402A"/>
    <w:rsid w:val="004655CB"/>
    <w:rsid w:val="00465FD1"/>
    <w:rsid w:val="00471DDB"/>
    <w:rsid w:val="004737E2"/>
    <w:rsid w:val="00484691"/>
    <w:rsid w:val="00486ADC"/>
    <w:rsid w:val="00490FA1"/>
    <w:rsid w:val="00491CAC"/>
    <w:rsid w:val="00492284"/>
    <w:rsid w:val="0049610C"/>
    <w:rsid w:val="004A04C6"/>
    <w:rsid w:val="004A1DD7"/>
    <w:rsid w:val="004A25AB"/>
    <w:rsid w:val="004A296D"/>
    <w:rsid w:val="004A4478"/>
    <w:rsid w:val="004A55DF"/>
    <w:rsid w:val="004B3733"/>
    <w:rsid w:val="004B441D"/>
    <w:rsid w:val="004B5795"/>
    <w:rsid w:val="004B5871"/>
    <w:rsid w:val="004C2EE3"/>
    <w:rsid w:val="004C693C"/>
    <w:rsid w:val="004C6AC5"/>
    <w:rsid w:val="004C7120"/>
    <w:rsid w:val="004C7963"/>
    <w:rsid w:val="004D14D2"/>
    <w:rsid w:val="004D1DB2"/>
    <w:rsid w:val="004E2022"/>
    <w:rsid w:val="004E347E"/>
    <w:rsid w:val="004E4A22"/>
    <w:rsid w:val="004E5936"/>
    <w:rsid w:val="004F3A1A"/>
    <w:rsid w:val="004F4B62"/>
    <w:rsid w:val="004F5449"/>
    <w:rsid w:val="004F5E64"/>
    <w:rsid w:val="004F5E89"/>
    <w:rsid w:val="0050346A"/>
    <w:rsid w:val="0050401D"/>
    <w:rsid w:val="005050D6"/>
    <w:rsid w:val="0051080A"/>
    <w:rsid w:val="00511968"/>
    <w:rsid w:val="0051245D"/>
    <w:rsid w:val="005124D9"/>
    <w:rsid w:val="005145CB"/>
    <w:rsid w:val="00522A30"/>
    <w:rsid w:val="00525103"/>
    <w:rsid w:val="00526103"/>
    <w:rsid w:val="0052710C"/>
    <w:rsid w:val="005278FD"/>
    <w:rsid w:val="005404E4"/>
    <w:rsid w:val="00540959"/>
    <w:rsid w:val="00541786"/>
    <w:rsid w:val="005419E0"/>
    <w:rsid w:val="00541F03"/>
    <w:rsid w:val="00542F14"/>
    <w:rsid w:val="005508BF"/>
    <w:rsid w:val="00551532"/>
    <w:rsid w:val="0055614C"/>
    <w:rsid w:val="0055639D"/>
    <w:rsid w:val="005579D5"/>
    <w:rsid w:val="00561D23"/>
    <w:rsid w:val="005626D4"/>
    <w:rsid w:val="005645B1"/>
    <w:rsid w:val="00566077"/>
    <w:rsid w:val="00567FCE"/>
    <w:rsid w:val="00570C5A"/>
    <w:rsid w:val="00572218"/>
    <w:rsid w:val="00572A65"/>
    <w:rsid w:val="005742F2"/>
    <w:rsid w:val="005776BD"/>
    <w:rsid w:val="00582969"/>
    <w:rsid w:val="00586385"/>
    <w:rsid w:val="00592C4C"/>
    <w:rsid w:val="00597DF3"/>
    <w:rsid w:val="005A2A94"/>
    <w:rsid w:val="005B3200"/>
    <w:rsid w:val="005B364E"/>
    <w:rsid w:val="005B431A"/>
    <w:rsid w:val="005B4565"/>
    <w:rsid w:val="005B73A3"/>
    <w:rsid w:val="005B76E1"/>
    <w:rsid w:val="005B77EC"/>
    <w:rsid w:val="005C11B2"/>
    <w:rsid w:val="005C3D6F"/>
    <w:rsid w:val="005C7E8A"/>
    <w:rsid w:val="005D0017"/>
    <w:rsid w:val="005D3EF6"/>
    <w:rsid w:val="005E221D"/>
    <w:rsid w:val="005E2EA3"/>
    <w:rsid w:val="005E31E1"/>
    <w:rsid w:val="005E4B8D"/>
    <w:rsid w:val="005E7899"/>
    <w:rsid w:val="005F3A0D"/>
    <w:rsid w:val="005F54A4"/>
    <w:rsid w:val="005F558B"/>
    <w:rsid w:val="005F615D"/>
    <w:rsid w:val="00602329"/>
    <w:rsid w:val="00603931"/>
    <w:rsid w:val="00605A3F"/>
    <w:rsid w:val="00606FF6"/>
    <w:rsid w:val="00607BA5"/>
    <w:rsid w:val="00607BF9"/>
    <w:rsid w:val="0061001F"/>
    <w:rsid w:val="006100EB"/>
    <w:rsid w:val="006108AD"/>
    <w:rsid w:val="00611BC3"/>
    <w:rsid w:val="00611E7C"/>
    <w:rsid w:val="00612B4D"/>
    <w:rsid w:val="006225BE"/>
    <w:rsid w:val="00624FD7"/>
    <w:rsid w:val="00626EB6"/>
    <w:rsid w:val="0063094A"/>
    <w:rsid w:val="006313E2"/>
    <w:rsid w:val="006358B7"/>
    <w:rsid w:val="006520A5"/>
    <w:rsid w:val="006554F4"/>
    <w:rsid w:val="00655D03"/>
    <w:rsid w:val="006561B9"/>
    <w:rsid w:val="00661747"/>
    <w:rsid w:val="006663EC"/>
    <w:rsid w:val="00671673"/>
    <w:rsid w:val="0067516C"/>
    <w:rsid w:val="00675F97"/>
    <w:rsid w:val="00676723"/>
    <w:rsid w:val="006776B4"/>
    <w:rsid w:val="006811E0"/>
    <w:rsid w:val="006811F1"/>
    <w:rsid w:val="00683EA2"/>
    <w:rsid w:val="00683F84"/>
    <w:rsid w:val="00686A51"/>
    <w:rsid w:val="00696E22"/>
    <w:rsid w:val="006A05CA"/>
    <w:rsid w:val="006A1C87"/>
    <w:rsid w:val="006A2A50"/>
    <w:rsid w:val="006A3260"/>
    <w:rsid w:val="006A331D"/>
    <w:rsid w:val="006A581E"/>
    <w:rsid w:val="006A6A81"/>
    <w:rsid w:val="006B6017"/>
    <w:rsid w:val="006C1944"/>
    <w:rsid w:val="006D015E"/>
    <w:rsid w:val="006D2DF3"/>
    <w:rsid w:val="006D6923"/>
    <w:rsid w:val="006E2904"/>
    <w:rsid w:val="006E3709"/>
    <w:rsid w:val="006E4326"/>
    <w:rsid w:val="006E4A96"/>
    <w:rsid w:val="006E6CFC"/>
    <w:rsid w:val="006F35AB"/>
    <w:rsid w:val="006F3BFC"/>
    <w:rsid w:val="006F453E"/>
    <w:rsid w:val="006F6AE9"/>
    <w:rsid w:val="006F7393"/>
    <w:rsid w:val="0070224F"/>
    <w:rsid w:val="0070289F"/>
    <w:rsid w:val="00702E54"/>
    <w:rsid w:val="0070589D"/>
    <w:rsid w:val="00706C83"/>
    <w:rsid w:val="007115F7"/>
    <w:rsid w:val="00714014"/>
    <w:rsid w:val="0071473B"/>
    <w:rsid w:val="00722CD3"/>
    <w:rsid w:val="00725C20"/>
    <w:rsid w:val="0072645F"/>
    <w:rsid w:val="007279D7"/>
    <w:rsid w:val="00733B04"/>
    <w:rsid w:val="00736852"/>
    <w:rsid w:val="007447A7"/>
    <w:rsid w:val="00745C0B"/>
    <w:rsid w:val="0074605C"/>
    <w:rsid w:val="007511CA"/>
    <w:rsid w:val="0075516F"/>
    <w:rsid w:val="007570F2"/>
    <w:rsid w:val="00763ED6"/>
    <w:rsid w:val="00764026"/>
    <w:rsid w:val="007661E4"/>
    <w:rsid w:val="00775907"/>
    <w:rsid w:val="0077592C"/>
    <w:rsid w:val="007763EE"/>
    <w:rsid w:val="00782791"/>
    <w:rsid w:val="00785675"/>
    <w:rsid w:val="00785689"/>
    <w:rsid w:val="00785DDD"/>
    <w:rsid w:val="00785EA8"/>
    <w:rsid w:val="007875C0"/>
    <w:rsid w:val="007916AE"/>
    <w:rsid w:val="00792CB1"/>
    <w:rsid w:val="00793ABE"/>
    <w:rsid w:val="00794B9D"/>
    <w:rsid w:val="0079527C"/>
    <w:rsid w:val="00795338"/>
    <w:rsid w:val="007953B5"/>
    <w:rsid w:val="0079587C"/>
    <w:rsid w:val="0079678D"/>
    <w:rsid w:val="0079754B"/>
    <w:rsid w:val="007A1E6D"/>
    <w:rsid w:val="007A247C"/>
    <w:rsid w:val="007A7BA1"/>
    <w:rsid w:val="007B0C25"/>
    <w:rsid w:val="007B37B7"/>
    <w:rsid w:val="007B3BDA"/>
    <w:rsid w:val="007B4F15"/>
    <w:rsid w:val="007B4F9B"/>
    <w:rsid w:val="007C0B39"/>
    <w:rsid w:val="007C4B67"/>
    <w:rsid w:val="007C6255"/>
    <w:rsid w:val="007C6D92"/>
    <w:rsid w:val="007D3344"/>
    <w:rsid w:val="007D3BC9"/>
    <w:rsid w:val="007E10BA"/>
    <w:rsid w:val="007E1B57"/>
    <w:rsid w:val="007E2BD7"/>
    <w:rsid w:val="007E2D92"/>
    <w:rsid w:val="007E460A"/>
    <w:rsid w:val="007E5DAB"/>
    <w:rsid w:val="007F25D2"/>
    <w:rsid w:val="008044E4"/>
    <w:rsid w:val="00805856"/>
    <w:rsid w:val="008067EA"/>
    <w:rsid w:val="00811D58"/>
    <w:rsid w:val="008128B3"/>
    <w:rsid w:val="00815E84"/>
    <w:rsid w:val="008217DF"/>
    <w:rsid w:val="00822CE0"/>
    <w:rsid w:val="00823DB9"/>
    <w:rsid w:val="00824015"/>
    <w:rsid w:val="0082410C"/>
    <w:rsid w:val="0082670C"/>
    <w:rsid w:val="0082735A"/>
    <w:rsid w:val="00831C59"/>
    <w:rsid w:val="008346E7"/>
    <w:rsid w:val="00841AB1"/>
    <w:rsid w:val="00843A5F"/>
    <w:rsid w:val="00843D0C"/>
    <w:rsid w:val="00844998"/>
    <w:rsid w:val="008472AC"/>
    <w:rsid w:val="00850DBC"/>
    <w:rsid w:val="008511B9"/>
    <w:rsid w:val="00852F69"/>
    <w:rsid w:val="00860B3E"/>
    <w:rsid w:val="00862F4F"/>
    <w:rsid w:val="008644A6"/>
    <w:rsid w:val="0086518D"/>
    <w:rsid w:val="00867B1A"/>
    <w:rsid w:val="00880BA8"/>
    <w:rsid w:val="00881DA6"/>
    <w:rsid w:val="00883302"/>
    <w:rsid w:val="00887F97"/>
    <w:rsid w:val="00890101"/>
    <w:rsid w:val="008947F4"/>
    <w:rsid w:val="00897120"/>
    <w:rsid w:val="008A0994"/>
    <w:rsid w:val="008A1228"/>
    <w:rsid w:val="008A267C"/>
    <w:rsid w:val="008A37FE"/>
    <w:rsid w:val="008A5341"/>
    <w:rsid w:val="008A7EA5"/>
    <w:rsid w:val="008C14DE"/>
    <w:rsid w:val="008C2D54"/>
    <w:rsid w:val="008C4282"/>
    <w:rsid w:val="008C5719"/>
    <w:rsid w:val="008D046F"/>
    <w:rsid w:val="008D579C"/>
    <w:rsid w:val="008D66A7"/>
    <w:rsid w:val="008E044A"/>
    <w:rsid w:val="008E08DB"/>
    <w:rsid w:val="008E15FA"/>
    <w:rsid w:val="008F546F"/>
    <w:rsid w:val="008F5609"/>
    <w:rsid w:val="008F6354"/>
    <w:rsid w:val="009000B2"/>
    <w:rsid w:val="00903487"/>
    <w:rsid w:val="00903E19"/>
    <w:rsid w:val="009052A4"/>
    <w:rsid w:val="009102C4"/>
    <w:rsid w:val="00910F04"/>
    <w:rsid w:val="00911882"/>
    <w:rsid w:val="00912507"/>
    <w:rsid w:val="00912A4B"/>
    <w:rsid w:val="00917CD4"/>
    <w:rsid w:val="00921803"/>
    <w:rsid w:val="0092218F"/>
    <w:rsid w:val="00922F5C"/>
    <w:rsid w:val="00925EC6"/>
    <w:rsid w:val="00926503"/>
    <w:rsid w:val="0092745B"/>
    <w:rsid w:val="00931485"/>
    <w:rsid w:val="009317FB"/>
    <w:rsid w:val="009319F8"/>
    <w:rsid w:val="009332A1"/>
    <w:rsid w:val="0093490E"/>
    <w:rsid w:val="00935E3A"/>
    <w:rsid w:val="0094240B"/>
    <w:rsid w:val="00943560"/>
    <w:rsid w:val="00950EB7"/>
    <w:rsid w:val="00956027"/>
    <w:rsid w:val="00956337"/>
    <w:rsid w:val="0096111D"/>
    <w:rsid w:val="00962945"/>
    <w:rsid w:val="009632A6"/>
    <w:rsid w:val="00964237"/>
    <w:rsid w:val="00966371"/>
    <w:rsid w:val="00966537"/>
    <w:rsid w:val="009676BC"/>
    <w:rsid w:val="00970C6B"/>
    <w:rsid w:val="009711A2"/>
    <w:rsid w:val="0097256B"/>
    <w:rsid w:val="009741B1"/>
    <w:rsid w:val="00975449"/>
    <w:rsid w:val="00976233"/>
    <w:rsid w:val="0097651C"/>
    <w:rsid w:val="00981C93"/>
    <w:rsid w:val="00981F23"/>
    <w:rsid w:val="00983641"/>
    <w:rsid w:val="0098449D"/>
    <w:rsid w:val="00987FB6"/>
    <w:rsid w:val="0099140B"/>
    <w:rsid w:val="00992F4D"/>
    <w:rsid w:val="009942A1"/>
    <w:rsid w:val="009A40C2"/>
    <w:rsid w:val="009A4C16"/>
    <w:rsid w:val="009A7EE4"/>
    <w:rsid w:val="009B5A50"/>
    <w:rsid w:val="009C57A2"/>
    <w:rsid w:val="009C6413"/>
    <w:rsid w:val="009D332B"/>
    <w:rsid w:val="009D490F"/>
    <w:rsid w:val="009D56CE"/>
    <w:rsid w:val="009D66D5"/>
    <w:rsid w:val="009E2677"/>
    <w:rsid w:val="009E3939"/>
    <w:rsid w:val="009E4E15"/>
    <w:rsid w:val="009E58C9"/>
    <w:rsid w:val="009E5BD6"/>
    <w:rsid w:val="009F04D5"/>
    <w:rsid w:val="009F286B"/>
    <w:rsid w:val="009F3A92"/>
    <w:rsid w:val="009F77E2"/>
    <w:rsid w:val="009F7C04"/>
    <w:rsid w:val="00A00B66"/>
    <w:rsid w:val="00A027EA"/>
    <w:rsid w:val="00A03DB3"/>
    <w:rsid w:val="00A05473"/>
    <w:rsid w:val="00A06315"/>
    <w:rsid w:val="00A0704F"/>
    <w:rsid w:val="00A07FCB"/>
    <w:rsid w:val="00A12F28"/>
    <w:rsid w:val="00A15CBD"/>
    <w:rsid w:val="00A16466"/>
    <w:rsid w:val="00A17A3B"/>
    <w:rsid w:val="00A20FF3"/>
    <w:rsid w:val="00A214C3"/>
    <w:rsid w:val="00A23AF4"/>
    <w:rsid w:val="00A27ACB"/>
    <w:rsid w:val="00A35CE8"/>
    <w:rsid w:val="00A36B4A"/>
    <w:rsid w:val="00A3732E"/>
    <w:rsid w:val="00A453E0"/>
    <w:rsid w:val="00A45F4F"/>
    <w:rsid w:val="00A4658E"/>
    <w:rsid w:val="00A5227B"/>
    <w:rsid w:val="00A5729D"/>
    <w:rsid w:val="00A57B31"/>
    <w:rsid w:val="00A600A9"/>
    <w:rsid w:val="00A60258"/>
    <w:rsid w:val="00A606BF"/>
    <w:rsid w:val="00A6117C"/>
    <w:rsid w:val="00A61950"/>
    <w:rsid w:val="00A61ED7"/>
    <w:rsid w:val="00A66336"/>
    <w:rsid w:val="00A669A9"/>
    <w:rsid w:val="00A67164"/>
    <w:rsid w:val="00A74DB8"/>
    <w:rsid w:val="00A760F1"/>
    <w:rsid w:val="00A77D25"/>
    <w:rsid w:val="00A81E40"/>
    <w:rsid w:val="00A82494"/>
    <w:rsid w:val="00A87C06"/>
    <w:rsid w:val="00A936BB"/>
    <w:rsid w:val="00A95282"/>
    <w:rsid w:val="00A96A5E"/>
    <w:rsid w:val="00AA2600"/>
    <w:rsid w:val="00AA4B16"/>
    <w:rsid w:val="00AA55B7"/>
    <w:rsid w:val="00AA5B9E"/>
    <w:rsid w:val="00AA7463"/>
    <w:rsid w:val="00AA7622"/>
    <w:rsid w:val="00AB2407"/>
    <w:rsid w:val="00AB2C10"/>
    <w:rsid w:val="00AB39F3"/>
    <w:rsid w:val="00AB4688"/>
    <w:rsid w:val="00AB4CF8"/>
    <w:rsid w:val="00AB53DF"/>
    <w:rsid w:val="00AC12AD"/>
    <w:rsid w:val="00AC2247"/>
    <w:rsid w:val="00AC3D20"/>
    <w:rsid w:val="00AC5A7C"/>
    <w:rsid w:val="00AD010D"/>
    <w:rsid w:val="00AD0ADA"/>
    <w:rsid w:val="00AD3587"/>
    <w:rsid w:val="00AD3D92"/>
    <w:rsid w:val="00AD6C34"/>
    <w:rsid w:val="00AE1D47"/>
    <w:rsid w:val="00AE27F8"/>
    <w:rsid w:val="00AE43B7"/>
    <w:rsid w:val="00AE4DB3"/>
    <w:rsid w:val="00AE4E54"/>
    <w:rsid w:val="00AF03D6"/>
    <w:rsid w:val="00AF6522"/>
    <w:rsid w:val="00AF7DAD"/>
    <w:rsid w:val="00B00166"/>
    <w:rsid w:val="00B02DC2"/>
    <w:rsid w:val="00B02FB8"/>
    <w:rsid w:val="00B05AB8"/>
    <w:rsid w:val="00B07321"/>
    <w:rsid w:val="00B07E5C"/>
    <w:rsid w:val="00B10576"/>
    <w:rsid w:val="00B13350"/>
    <w:rsid w:val="00B141B4"/>
    <w:rsid w:val="00B14FAF"/>
    <w:rsid w:val="00B15877"/>
    <w:rsid w:val="00B1792B"/>
    <w:rsid w:val="00B211FD"/>
    <w:rsid w:val="00B239D9"/>
    <w:rsid w:val="00B277A4"/>
    <w:rsid w:val="00B302CB"/>
    <w:rsid w:val="00B318D0"/>
    <w:rsid w:val="00B32157"/>
    <w:rsid w:val="00B44A4F"/>
    <w:rsid w:val="00B47311"/>
    <w:rsid w:val="00B508D0"/>
    <w:rsid w:val="00B517BE"/>
    <w:rsid w:val="00B5414A"/>
    <w:rsid w:val="00B64EC5"/>
    <w:rsid w:val="00B65EF8"/>
    <w:rsid w:val="00B66445"/>
    <w:rsid w:val="00B66F5A"/>
    <w:rsid w:val="00B67077"/>
    <w:rsid w:val="00B75912"/>
    <w:rsid w:val="00B761CF"/>
    <w:rsid w:val="00B80DF6"/>
    <w:rsid w:val="00B811F7"/>
    <w:rsid w:val="00B816A7"/>
    <w:rsid w:val="00B84E6C"/>
    <w:rsid w:val="00B860D7"/>
    <w:rsid w:val="00B87679"/>
    <w:rsid w:val="00BA3B91"/>
    <w:rsid w:val="00BA5DC6"/>
    <w:rsid w:val="00BA6196"/>
    <w:rsid w:val="00BA7F12"/>
    <w:rsid w:val="00BB0606"/>
    <w:rsid w:val="00BB0C03"/>
    <w:rsid w:val="00BB365A"/>
    <w:rsid w:val="00BB5512"/>
    <w:rsid w:val="00BC2CFF"/>
    <w:rsid w:val="00BC5D56"/>
    <w:rsid w:val="00BC68DF"/>
    <w:rsid w:val="00BC6D8C"/>
    <w:rsid w:val="00BC76F9"/>
    <w:rsid w:val="00BD129C"/>
    <w:rsid w:val="00BD24F4"/>
    <w:rsid w:val="00BE2581"/>
    <w:rsid w:val="00BE2B2B"/>
    <w:rsid w:val="00BE56B5"/>
    <w:rsid w:val="00BE73DC"/>
    <w:rsid w:val="00BE7722"/>
    <w:rsid w:val="00BF0234"/>
    <w:rsid w:val="00BF0BDB"/>
    <w:rsid w:val="00BF1EEC"/>
    <w:rsid w:val="00C02FA9"/>
    <w:rsid w:val="00C038F7"/>
    <w:rsid w:val="00C04D36"/>
    <w:rsid w:val="00C06E84"/>
    <w:rsid w:val="00C10ADD"/>
    <w:rsid w:val="00C218DC"/>
    <w:rsid w:val="00C21BD9"/>
    <w:rsid w:val="00C26F5F"/>
    <w:rsid w:val="00C34006"/>
    <w:rsid w:val="00C4174C"/>
    <w:rsid w:val="00C426B1"/>
    <w:rsid w:val="00C438ED"/>
    <w:rsid w:val="00C447D2"/>
    <w:rsid w:val="00C473A8"/>
    <w:rsid w:val="00C47A0C"/>
    <w:rsid w:val="00C518D0"/>
    <w:rsid w:val="00C523B9"/>
    <w:rsid w:val="00C52CF8"/>
    <w:rsid w:val="00C566EC"/>
    <w:rsid w:val="00C6071D"/>
    <w:rsid w:val="00C612AC"/>
    <w:rsid w:val="00C67932"/>
    <w:rsid w:val="00C700F9"/>
    <w:rsid w:val="00C713BD"/>
    <w:rsid w:val="00C7579F"/>
    <w:rsid w:val="00C76BB9"/>
    <w:rsid w:val="00C85DCF"/>
    <w:rsid w:val="00C90D6A"/>
    <w:rsid w:val="00C918AC"/>
    <w:rsid w:val="00C9246B"/>
    <w:rsid w:val="00C92F97"/>
    <w:rsid w:val="00C93A14"/>
    <w:rsid w:val="00C95D80"/>
    <w:rsid w:val="00CA21C0"/>
    <w:rsid w:val="00CA247E"/>
    <w:rsid w:val="00CA7078"/>
    <w:rsid w:val="00CB260B"/>
    <w:rsid w:val="00CB51FE"/>
    <w:rsid w:val="00CC2691"/>
    <w:rsid w:val="00CC28B3"/>
    <w:rsid w:val="00CC4A43"/>
    <w:rsid w:val="00CC532C"/>
    <w:rsid w:val="00CC596B"/>
    <w:rsid w:val="00CC72B6"/>
    <w:rsid w:val="00CC746A"/>
    <w:rsid w:val="00CD0180"/>
    <w:rsid w:val="00CD2C9B"/>
    <w:rsid w:val="00CD45F8"/>
    <w:rsid w:val="00CE1849"/>
    <w:rsid w:val="00CE1A0C"/>
    <w:rsid w:val="00CE428F"/>
    <w:rsid w:val="00CE632C"/>
    <w:rsid w:val="00CE76C6"/>
    <w:rsid w:val="00CF1C0F"/>
    <w:rsid w:val="00CF2F47"/>
    <w:rsid w:val="00CF6B78"/>
    <w:rsid w:val="00CF77B7"/>
    <w:rsid w:val="00D00695"/>
    <w:rsid w:val="00D0218D"/>
    <w:rsid w:val="00D03AD8"/>
    <w:rsid w:val="00D046D2"/>
    <w:rsid w:val="00D05A77"/>
    <w:rsid w:val="00D1069B"/>
    <w:rsid w:val="00D10745"/>
    <w:rsid w:val="00D15C14"/>
    <w:rsid w:val="00D23E19"/>
    <w:rsid w:val="00D257FE"/>
    <w:rsid w:val="00D25C5E"/>
    <w:rsid w:val="00D25ED7"/>
    <w:rsid w:val="00D26289"/>
    <w:rsid w:val="00D3032A"/>
    <w:rsid w:val="00D31663"/>
    <w:rsid w:val="00D343EF"/>
    <w:rsid w:val="00D34498"/>
    <w:rsid w:val="00D34844"/>
    <w:rsid w:val="00D3490E"/>
    <w:rsid w:val="00D35731"/>
    <w:rsid w:val="00D377A5"/>
    <w:rsid w:val="00D42D5D"/>
    <w:rsid w:val="00D44790"/>
    <w:rsid w:val="00D52151"/>
    <w:rsid w:val="00D52555"/>
    <w:rsid w:val="00D53BE9"/>
    <w:rsid w:val="00D55448"/>
    <w:rsid w:val="00D5619D"/>
    <w:rsid w:val="00D56630"/>
    <w:rsid w:val="00D630D3"/>
    <w:rsid w:val="00D66A62"/>
    <w:rsid w:val="00D67F84"/>
    <w:rsid w:val="00D704AA"/>
    <w:rsid w:val="00D70822"/>
    <w:rsid w:val="00D71CDA"/>
    <w:rsid w:val="00D76927"/>
    <w:rsid w:val="00D81FA0"/>
    <w:rsid w:val="00D82EB7"/>
    <w:rsid w:val="00D83129"/>
    <w:rsid w:val="00D84548"/>
    <w:rsid w:val="00D86532"/>
    <w:rsid w:val="00D87B00"/>
    <w:rsid w:val="00D91240"/>
    <w:rsid w:val="00D943A2"/>
    <w:rsid w:val="00D95AC5"/>
    <w:rsid w:val="00D95C94"/>
    <w:rsid w:val="00D9774A"/>
    <w:rsid w:val="00D978A8"/>
    <w:rsid w:val="00D97B34"/>
    <w:rsid w:val="00DA0927"/>
    <w:rsid w:val="00DA2529"/>
    <w:rsid w:val="00DA2BA0"/>
    <w:rsid w:val="00DA2CFF"/>
    <w:rsid w:val="00DA2DB9"/>
    <w:rsid w:val="00DA7E2A"/>
    <w:rsid w:val="00DB0422"/>
    <w:rsid w:val="00DB130A"/>
    <w:rsid w:val="00DB4B14"/>
    <w:rsid w:val="00DB5B28"/>
    <w:rsid w:val="00DC10A1"/>
    <w:rsid w:val="00DC1BFB"/>
    <w:rsid w:val="00DC5271"/>
    <w:rsid w:val="00DC5DD8"/>
    <w:rsid w:val="00DC655F"/>
    <w:rsid w:val="00DC6E68"/>
    <w:rsid w:val="00DC6EB4"/>
    <w:rsid w:val="00DD0B59"/>
    <w:rsid w:val="00DD1CEE"/>
    <w:rsid w:val="00DD6824"/>
    <w:rsid w:val="00DD7967"/>
    <w:rsid w:val="00DD7DE0"/>
    <w:rsid w:val="00DD7EBD"/>
    <w:rsid w:val="00DE0C2F"/>
    <w:rsid w:val="00DE31E5"/>
    <w:rsid w:val="00DE704A"/>
    <w:rsid w:val="00DE7126"/>
    <w:rsid w:val="00DF05A3"/>
    <w:rsid w:val="00DF1C0C"/>
    <w:rsid w:val="00DF4504"/>
    <w:rsid w:val="00DF465C"/>
    <w:rsid w:val="00DF47DF"/>
    <w:rsid w:val="00DF5AF8"/>
    <w:rsid w:val="00DF5C09"/>
    <w:rsid w:val="00DF62B6"/>
    <w:rsid w:val="00DF7138"/>
    <w:rsid w:val="00E03633"/>
    <w:rsid w:val="00E037E1"/>
    <w:rsid w:val="00E069F9"/>
    <w:rsid w:val="00E07225"/>
    <w:rsid w:val="00E141AE"/>
    <w:rsid w:val="00E16856"/>
    <w:rsid w:val="00E211FE"/>
    <w:rsid w:val="00E32005"/>
    <w:rsid w:val="00E3204A"/>
    <w:rsid w:val="00E3378C"/>
    <w:rsid w:val="00E35272"/>
    <w:rsid w:val="00E36707"/>
    <w:rsid w:val="00E41B30"/>
    <w:rsid w:val="00E421F8"/>
    <w:rsid w:val="00E440DF"/>
    <w:rsid w:val="00E44AC6"/>
    <w:rsid w:val="00E465A8"/>
    <w:rsid w:val="00E47E09"/>
    <w:rsid w:val="00E52DC7"/>
    <w:rsid w:val="00E5409F"/>
    <w:rsid w:val="00E54C87"/>
    <w:rsid w:val="00E63070"/>
    <w:rsid w:val="00E70486"/>
    <w:rsid w:val="00E73616"/>
    <w:rsid w:val="00E76A80"/>
    <w:rsid w:val="00E76AE5"/>
    <w:rsid w:val="00E828C5"/>
    <w:rsid w:val="00E843BC"/>
    <w:rsid w:val="00E87831"/>
    <w:rsid w:val="00E93679"/>
    <w:rsid w:val="00E94865"/>
    <w:rsid w:val="00E95C94"/>
    <w:rsid w:val="00EA1A3D"/>
    <w:rsid w:val="00EA21F8"/>
    <w:rsid w:val="00EA296C"/>
    <w:rsid w:val="00EA367A"/>
    <w:rsid w:val="00EB0F91"/>
    <w:rsid w:val="00EB1673"/>
    <w:rsid w:val="00EB2E40"/>
    <w:rsid w:val="00EB356C"/>
    <w:rsid w:val="00EB6225"/>
    <w:rsid w:val="00EB752D"/>
    <w:rsid w:val="00EC5684"/>
    <w:rsid w:val="00EC58BD"/>
    <w:rsid w:val="00EC663A"/>
    <w:rsid w:val="00EC767E"/>
    <w:rsid w:val="00ED1A85"/>
    <w:rsid w:val="00ED419F"/>
    <w:rsid w:val="00ED48FF"/>
    <w:rsid w:val="00ED5746"/>
    <w:rsid w:val="00ED64B0"/>
    <w:rsid w:val="00EE0C8E"/>
    <w:rsid w:val="00EE6488"/>
    <w:rsid w:val="00EF1C44"/>
    <w:rsid w:val="00EF28F5"/>
    <w:rsid w:val="00EF3095"/>
    <w:rsid w:val="00EF4CF7"/>
    <w:rsid w:val="00EF505E"/>
    <w:rsid w:val="00EF7F44"/>
    <w:rsid w:val="00F021FA"/>
    <w:rsid w:val="00F038E2"/>
    <w:rsid w:val="00F11810"/>
    <w:rsid w:val="00F125D4"/>
    <w:rsid w:val="00F162E3"/>
    <w:rsid w:val="00F169A1"/>
    <w:rsid w:val="00F240C3"/>
    <w:rsid w:val="00F24FF8"/>
    <w:rsid w:val="00F269D7"/>
    <w:rsid w:val="00F360F9"/>
    <w:rsid w:val="00F361E6"/>
    <w:rsid w:val="00F3638F"/>
    <w:rsid w:val="00F3676D"/>
    <w:rsid w:val="00F442BB"/>
    <w:rsid w:val="00F44D1D"/>
    <w:rsid w:val="00F44F3A"/>
    <w:rsid w:val="00F62E97"/>
    <w:rsid w:val="00F64209"/>
    <w:rsid w:val="00F6525C"/>
    <w:rsid w:val="00F65CE9"/>
    <w:rsid w:val="00F70E6D"/>
    <w:rsid w:val="00F71F68"/>
    <w:rsid w:val="00F723E4"/>
    <w:rsid w:val="00F74D07"/>
    <w:rsid w:val="00F76761"/>
    <w:rsid w:val="00F80663"/>
    <w:rsid w:val="00F810BC"/>
    <w:rsid w:val="00F810F3"/>
    <w:rsid w:val="00F82C43"/>
    <w:rsid w:val="00F84126"/>
    <w:rsid w:val="00F84BCA"/>
    <w:rsid w:val="00F85EA2"/>
    <w:rsid w:val="00F87A23"/>
    <w:rsid w:val="00F90847"/>
    <w:rsid w:val="00F92977"/>
    <w:rsid w:val="00F9306A"/>
    <w:rsid w:val="00F931E1"/>
    <w:rsid w:val="00F93BF5"/>
    <w:rsid w:val="00F95B76"/>
    <w:rsid w:val="00F9709E"/>
    <w:rsid w:val="00FA17D3"/>
    <w:rsid w:val="00FA2727"/>
    <w:rsid w:val="00FA3550"/>
    <w:rsid w:val="00FB0DE7"/>
    <w:rsid w:val="00FB0E8A"/>
    <w:rsid w:val="00FB2F25"/>
    <w:rsid w:val="00FB57F6"/>
    <w:rsid w:val="00FB627B"/>
    <w:rsid w:val="00FB7136"/>
    <w:rsid w:val="00FB79FD"/>
    <w:rsid w:val="00FC1B2D"/>
    <w:rsid w:val="00FC2E5F"/>
    <w:rsid w:val="00FC2E88"/>
    <w:rsid w:val="00FC521A"/>
    <w:rsid w:val="00FC6D19"/>
    <w:rsid w:val="00FD2F8B"/>
    <w:rsid w:val="00FD32B6"/>
    <w:rsid w:val="00FD5FA7"/>
    <w:rsid w:val="00FE0139"/>
    <w:rsid w:val="00FE1E94"/>
    <w:rsid w:val="00FE44B4"/>
    <w:rsid w:val="00FE6A5A"/>
    <w:rsid w:val="00FE7172"/>
    <w:rsid w:val="00FF001A"/>
    <w:rsid w:val="00FF0162"/>
    <w:rsid w:val="00FF171A"/>
    <w:rsid w:val="00FF605D"/>
    <w:rsid w:val="3CD37B2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AC0474D"/>
  <w15:docId w15:val="{861D32BD-985E-47D3-AC68-AEF42BC44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9E58C9"/>
    <w:pPr>
      <w:widowControl w:val="0"/>
    </w:pPr>
    <w:rPr>
      <w:snapToGrid w:val="0"/>
      <w:kern w:val="28"/>
      <w:sz w:val="22"/>
    </w:rPr>
  </w:style>
  <w:style w:type="paragraph" w:styleId="Heading1">
    <w:name w:val="heading 1"/>
    <w:basedOn w:val="Normal"/>
    <w:next w:val="ParaNum"/>
    <w:link w:val="Heading1Char"/>
    <w:qFormat/>
    <w:rsid w:val="009E58C9"/>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9E58C9"/>
    <w:pPr>
      <w:keepNext/>
      <w:numPr>
        <w:ilvl w:val="1"/>
        <w:numId w:val="2"/>
      </w:numPr>
      <w:spacing w:after="120"/>
      <w:outlineLvl w:val="1"/>
    </w:pPr>
    <w:rPr>
      <w:b/>
    </w:rPr>
  </w:style>
  <w:style w:type="paragraph" w:styleId="Heading3">
    <w:name w:val="heading 3"/>
    <w:basedOn w:val="Normal"/>
    <w:next w:val="ParaNum"/>
    <w:qFormat/>
    <w:rsid w:val="009E58C9"/>
    <w:pPr>
      <w:keepNext/>
      <w:numPr>
        <w:ilvl w:val="2"/>
        <w:numId w:val="2"/>
      </w:numPr>
      <w:tabs>
        <w:tab w:val="left" w:pos="2160"/>
      </w:tabs>
      <w:spacing w:after="120"/>
      <w:outlineLvl w:val="2"/>
    </w:pPr>
    <w:rPr>
      <w:b/>
    </w:rPr>
  </w:style>
  <w:style w:type="paragraph" w:styleId="Heading4">
    <w:name w:val="heading 4"/>
    <w:basedOn w:val="Normal"/>
    <w:next w:val="ParaNum"/>
    <w:qFormat/>
    <w:rsid w:val="009E58C9"/>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9E58C9"/>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9E58C9"/>
    <w:pPr>
      <w:numPr>
        <w:ilvl w:val="5"/>
        <w:numId w:val="2"/>
      </w:numPr>
      <w:tabs>
        <w:tab w:val="left" w:pos="4320"/>
      </w:tabs>
      <w:spacing w:after="120"/>
      <w:outlineLvl w:val="5"/>
    </w:pPr>
    <w:rPr>
      <w:b/>
    </w:rPr>
  </w:style>
  <w:style w:type="paragraph" w:styleId="Heading7">
    <w:name w:val="heading 7"/>
    <w:basedOn w:val="Normal"/>
    <w:next w:val="ParaNum"/>
    <w:qFormat/>
    <w:rsid w:val="009E58C9"/>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9E58C9"/>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9E58C9"/>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0"/>
    <w:rsid w:val="009E58C9"/>
    <w:pPr>
      <w:numPr>
        <w:numId w:val="1"/>
      </w:numPr>
      <w:tabs>
        <w:tab w:val="clear" w:pos="1080"/>
        <w:tab w:val="num" w:pos="1440"/>
      </w:tabs>
      <w:spacing w:after="120"/>
    </w:pPr>
  </w:style>
  <w:style w:type="paragraph" w:styleId="EndnoteText">
    <w:name w:val="endnote text"/>
    <w:basedOn w:val="Normal"/>
    <w:semiHidden/>
    <w:rsid w:val="009E58C9"/>
    <w:rPr>
      <w:sz w:val="20"/>
    </w:rPr>
  </w:style>
  <w:style w:type="character" w:styleId="EndnoteReference">
    <w:name w:val="endnote reference"/>
    <w:semiHidden/>
    <w:rsid w:val="009E58C9"/>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9E58C9"/>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9E58C9"/>
    <w:rPr>
      <w:rFonts w:ascii="Times New Roman" w:hAnsi="Times New Roman"/>
      <w:dstrike w:val="0"/>
      <w:color w:val="auto"/>
      <w:sz w:val="20"/>
      <w:vertAlign w:val="superscript"/>
    </w:rPr>
  </w:style>
  <w:style w:type="paragraph" w:styleId="TOC1">
    <w:name w:val="toc 1"/>
    <w:basedOn w:val="Normal"/>
    <w:next w:val="Normal"/>
    <w:semiHidden/>
    <w:rsid w:val="009E58C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E58C9"/>
    <w:pPr>
      <w:tabs>
        <w:tab w:val="left" w:pos="720"/>
        <w:tab w:val="right" w:leader="dot" w:pos="9360"/>
      </w:tabs>
      <w:suppressAutoHyphens/>
      <w:ind w:left="720" w:right="720" w:hanging="360"/>
    </w:pPr>
    <w:rPr>
      <w:noProof/>
    </w:rPr>
  </w:style>
  <w:style w:type="paragraph" w:styleId="TOC3">
    <w:name w:val="toc 3"/>
    <w:basedOn w:val="Normal"/>
    <w:next w:val="Normal"/>
    <w:semiHidden/>
    <w:rsid w:val="009E58C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E58C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E58C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E58C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E58C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E58C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E58C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E58C9"/>
    <w:pPr>
      <w:tabs>
        <w:tab w:val="right" w:pos="9360"/>
      </w:tabs>
      <w:suppressAutoHyphens/>
    </w:pPr>
  </w:style>
  <w:style w:type="character" w:customStyle="1" w:styleId="EquationCaption">
    <w:name w:val="_Equation Caption"/>
    <w:rsid w:val="009E58C9"/>
  </w:style>
  <w:style w:type="paragraph" w:styleId="Header">
    <w:name w:val="header"/>
    <w:basedOn w:val="Normal"/>
    <w:link w:val="HeaderChar"/>
    <w:autoRedefine/>
    <w:rsid w:val="009E58C9"/>
    <w:pPr>
      <w:tabs>
        <w:tab w:val="center" w:pos="4680"/>
        <w:tab w:val="right" w:pos="9360"/>
      </w:tabs>
    </w:pPr>
    <w:rPr>
      <w:b/>
    </w:rPr>
  </w:style>
  <w:style w:type="paragraph" w:styleId="Footer">
    <w:name w:val="footer"/>
    <w:basedOn w:val="Normal"/>
    <w:link w:val="FooterChar"/>
    <w:uiPriority w:val="99"/>
    <w:rsid w:val="009E58C9"/>
    <w:pPr>
      <w:tabs>
        <w:tab w:val="center" w:pos="4320"/>
        <w:tab w:val="right" w:pos="8640"/>
      </w:tabs>
    </w:pPr>
  </w:style>
  <w:style w:type="character" w:styleId="PageNumber">
    <w:name w:val="page number"/>
    <w:basedOn w:val="DefaultParagraphFont"/>
    <w:rsid w:val="009E58C9"/>
  </w:style>
  <w:style w:type="paragraph" w:styleId="BlockText">
    <w:name w:val="Block Text"/>
    <w:basedOn w:val="Normal"/>
    <w:rsid w:val="009E58C9"/>
    <w:pPr>
      <w:spacing w:after="240"/>
      <w:ind w:left="1440" w:right="1440"/>
    </w:pPr>
  </w:style>
  <w:style w:type="paragraph" w:customStyle="1" w:styleId="Paratitle">
    <w:name w:val="Para title"/>
    <w:basedOn w:val="Normal"/>
    <w:rsid w:val="009E58C9"/>
    <w:pPr>
      <w:tabs>
        <w:tab w:val="center" w:pos="9270"/>
      </w:tabs>
      <w:spacing w:after="240"/>
    </w:pPr>
    <w:rPr>
      <w:spacing w:val="-2"/>
    </w:rPr>
  </w:style>
  <w:style w:type="paragraph" w:customStyle="1" w:styleId="Bullet">
    <w:name w:val="Bullet"/>
    <w:basedOn w:val="Normal"/>
    <w:rsid w:val="009E58C9"/>
    <w:pPr>
      <w:tabs>
        <w:tab w:val="left" w:pos="2160"/>
      </w:tabs>
      <w:spacing w:after="220"/>
      <w:ind w:left="2160" w:hanging="720"/>
    </w:pPr>
  </w:style>
  <w:style w:type="paragraph" w:customStyle="1" w:styleId="TableFormat">
    <w:name w:val="TableFormat"/>
    <w:basedOn w:val="Bullet"/>
    <w:rsid w:val="009E58C9"/>
    <w:pPr>
      <w:tabs>
        <w:tab w:val="clear" w:pos="2160"/>
        <w:tab w:val="left" w:pos="5040"/>
      </w:tabs>
      <w:ind w:left="5040" w:hanging="3600"/>
    </w:pPr>
  </w:style>
  <w:style w:type="paragraph" w:customStyle="1" w:styleId="TOCTitle">
    <w:name w:val="TOC Title"/>
    <w:basedOn w:val="Normal"/>
    <w:rsid w:val="009E58C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E58C9"/>
    <w:pPr>
      <w:jc w:val="center"/>
    </w:pPr>
    <w:rPr>
      <w:rFonts w:ascii="Times New Roman Bold" w:hAnsi="Times New Roman Bold"/>
      <w:b/>
      <w:bCs/>
      <w:caps/>
      <w:szCs w:val="22"/>
    </w:rPr>
  </w:style>
  <w:style w:type="character" w:styleId="Hyperlink">
    <w:name w:val="Hyperlink"/>
    <w:rsid w:val="009E58C9"/>
    <w:rPr>
      <w:color w:val="0000FF"/>
      <w:u w:val="single"/>
    </w:rPr>
  </w:style>
  <w:style w:type="paragraph" w:customStyle="1" w:styleId="FreeFormA">
    <w:name w:val="Free Form A"/>
    <w:rsid w:val="00A17A3B"/>
    <w:rPr>
      <w:rFonts w:eastAsia="ヒラギノ角ゴ Pro W3"/>
      <w:color w:val="000000"/>
    </w:rPr>
  </w:style>
  <w:style w:type="paragraph" w:customStyle="1" w:styleId="par1">
    <w:name w:val="par1"/>
    <w:link w:val="par1Char"/>
    <w:uiPriority w:val="99"/>
    <w:rsid w:val="00A17A3B"/>
    <w:pPr>
      <w:tabs>
        <w:tab w:val="left" w:pos="1080"/>
      </w:tabs>
      <w:ind w:firstLine="720"/>
    </w:pPr>
    <w:rPr>
      <w:rFonts w:eastAsia="ヒラギノ角ゴ Pro W3"/>
      <w:color w:val="000000"/>
      <w:sz w:val="22"/>
    </w:rPr>
  </w:style>
  <w:style w:type="character" w:customStyle="1" w:styleId="ParanumChar">
    <w:name w:val="Paranum Char"/>
    <w:uiPriority w:val="99"/>
    <w:rsid w:val="00A17A3B"/>
    <w:rPr>
      <w:color w:val="000000"/>
      <w:sz w:val="22"/>
      <w:lang w:val="en-US"/>
    </w:rPr>
  </w:style>
  <w:style w:type="paragraph" w:customStyle="1" w:styleId="Paranum0">
    <w:name w:val="Paranum"/>
    <w:autoRedefine/>
    <w:uiPriority w:val="99"/>
    <w:rsid w:val="00A81E40"/>
    <w:pPr>
      <w:numPr>
        <w:numId w:val="3"/>
      </w:numPr>
      <w:spacing w:after="240"/>
    </w:pPr>
    <w:rPr>
      <w:rFonts w:eastAsia="ヒラギノ角ゴ Pro W3"/>
      <w:b/>
      <w:color w:val="000000"/>
      <w:sz w:val="22"/>
      <w:szCs w:val="22"/>
      <w:u w:val="single"/>
    </w:rPr>
  </w:style>
  <w:style w:type="paragraph" w:customStyle="1" w:styleId="OutlineL4">
    <w:name w:val="Outline_L4"/>
    <w:next w:val="BodyText1"/>
    <w:rsid w:val="00A17A3B"/>
    <w:pPr>
      <w:tabs>
        <w:tab w:val="left" w:pos="2880"/>
      </w:tabs>
      <w:spacing w:after="240"/>
      <w:ind w:firstLine="2160"/>
      <w:outlineLvl w:val="3"/>
    </w:pPr>
    <w:rPr>
      <w:rFonts w:eastAsia="ヒラギノ角ゴ Pro W3"/>
      <w:color w:val="000000"/>
      <w:sz w:val="24"/>
    </w:rPr>
  </w:style>
  <w:style w:type="paragraph" w:customStyle="1" w:styleId="BodyText1">
    <w:name w:val="Body Text1"/>
    <w:rsid w:val="00A17A3B"/>
    <w:rPr>
      <w:rFonts w:ascii="Times New Roman Bold" w:eastAsia="ヒラギノ角ゴ Pro W3" w:hAnsi="Times New Roman Bold"/>
      <w:color w:val="000000"/>
      <w:sz w:val="24"/>
      <w:u w:val="single"/>
    </w:rPr>
  </w:style>
  <w:style w:type="paragraph" w:customStyle="1" w:styleId="OutlineL1">
    <w:name w:val="Outline_L1"/>
    <w:next w:val="BodyText1"/>
    <w:rsid w:val="00A17A3B"/>
    <w:pPr>
      <w:tabs>
        <w:tab w:val="left" w:pos="720"/>
      </w:tabs>
      <w:spacing w:after="240"/>
      <w:outlineLvl w:val="0"/>
    </w:pPr>
    <w:rPr>
      <w:rFonts w:eastAsia="ヒラギノ角ゴ Pro W3"/>
      <w:color w:val="000000"/>
      <w:sz w:val="24"/>
    </w:rPr>
  </w:style>
  <w:style w:type="character" w:customStyle="1" w:styleId="FootnoteTextChar1">
    <w:name w:val="Footnote Text Char1"/>
    <w:aliases w:val="Footnote Text Char Char Char Char,Footnote Text Char Char Char Char Char Char,Footnote Text Char1 Char Char,Footnote Text Char1 Char Char Char Char,Style 5 Char Char Char,Style Char,fn Char,rrfootnote Char Char Char"/>
    <w:link w:val="FootnoteText"/>
    <w:rsid w:val="00A17A3B"/>
  </w:style>
  <w:style w:type="character" w:customStyle="1" w:styleId="Heading5Char">
    <w:name w:val="Heading 5 Char"/>
    <w:link w:val="Heading5"/>
    <w:rsid w:val="007F25D2"/>
    <w:rPr>
      <w:b/>
      <w:snapToGrid w:val="0"/>
      <w:kern w:val="28"/>
      <w:sz w:val="22"/>
    </w:rPr>
  </w:style>
  <w:style w:type="paragraph" w:styleId="BalloonText">
    <w:name w:val="Balloon Text"/>
    <w:basedOn w:val="Normal"/>
    <w:semiHidden/>
    <w:rsid w:val="00064FCE"/>
    <w:rPr>
      <w:rFonts w:ascii="Tahoma" w:hAnsi="Tahoma" w:cs="Tahoma"/>
      <w:sz w:val="16"/>
      <w:szCs w:val="16"/>
    </w:rPr>
  </w:style>
  <w:style w:type="character" w:styleId="CommentReference">
    <w:name w:val="annotation reference"/>
    <w:semiHidden/>
    <w:rsid w:val="00164854"/>
    <w:rPr>
      <w:sz w:val="16"/>
      <w:szCs w:val="16"/>
    </w:rPr>
  </w:style>
  <w:style w:type="paragraph" w:styleId="CommentText">
    <w:name w:val="annotation text"/>
    <w:basedOn w:val="Normal"/>
    <w:semiHidden/>
    <w:rsid w:val="00164854"/>
    <w:rPr>
      <w:sz w:val="20"/>
    </w:rPr>
  </w:style>
  <w:style w:type="paragraph" w:styleId="CommentSubject">
    <w:name w:val="annotation subject"/>
    <w:basedOn w:val="CommentText"/>
    <w:next w:val="CommentText"/>
    <w:semiHidden/>
    <w:rsid w:val="00164854"/>
    <w:rPr>
      <w:b/>
      <w:bCs/>
    </w:rPr>
  </w:style>
  <w:style w:type="paragraph" w:styleId="ListParagraph">
    <w:name w:val="List Paragraph"/>
    <w:basedOn w:val="Normal"/>
    <w:uiPriority w:val="34"/>
    <w:qFormat/>
    <w:rsid w:val="00B65EF8"/>
    <w:pPr>
      <w:ind w:left="720"/>
    </w:pPr>
  </w:style>
  <w:style w:type="character" w:customStyle="1" w:styleId="ALTSFOOTNOTECharChar">
    <w:name w:val="ALTS FOOTNOTE Char Char"/>
    <w:aliases w:val="fn Char Char,fn Char Char1,rrfootnote Char,rrfootnote Char Char Char Char Char,rrfootnote Char1 Char"/>
    <w:semiHidden/>
    <w:locked/>
    <w:rsid w:val="00A4658E"/>
    <w:rPr>
      <w:lang w:val="en-US" w:eastAsia="en-US" w:bidi="ar-SA"/>
    </w:rPr>
  </w:style>
  <w:style w:type="character" w:customStyle="1" w:styleId="par1Char">
    <w:name w:val="par1 Char"/>
    <w:link w:val="par1"/>
    <w:uiPriority w:val="99"/>
    <w:locked/>
    <w:rsid w:val="006C1944"/>
    <w:rPr>
      <w:rFonts w:eastAsia="ヒラギノ角ゴ Pro W3"/>
      <w:color w:val="000000"/>
      <w:sz w:val="22"/>
      <w:lang w:bidi="ar-SA"/>
    </w:rPr>
  </w:style>
  <w:style w:type="character" w:customStyle="1" w:styleId="FootnoteTextChar3">
    <w:name w:val="Footnote Text Char3"/>
    <w:aliases w:val="ALTS FOOTNOTE Char1,FOOTNOTE Char1,Footnote Text 2 Char1,Footnote Text Char Char1,Footnote Text Char Char5 Char Char Char1,Footnote Text Char1 Char1 Char Char1,Footnote Text Char2 Char1 Char1,Footnote text Char1,fn Char1,ft Char2"/>
    <w:uiPriority w:val="99"/>
    <w:locked/>
    <w:rsid w:val="004A4478"/>
    <w:rPr>
      <w:sz w:val="24"/>
      <w:lang w:val="en-US" w:eastAsia="en-US"/>
    </w:rPr>
  </w:style>
  <w:style w:type="character" w:customStyle="1" w:styleId="ParaNumChar0">
    <w:name w:val="ParaNum Char"/>
    <w:link w:val="ParaNum"/>
    <w:rsid w:val="00F84BCA"/>
    <w:rPr>
      <w:snapToGrid w:val="0"/>
      <w:kern w:val="28"/>
      <w:sz w:val="22"/>
    </w:rPr>
  </w:style>
  <w:style w:type="character" w:customStyle="1" w:styleId="HeaderChar">
    <w:name w:val="Header Char"/>
    <w:link w:val="Header"/>
    <w:rsid w:val="00B277A4"/>
    <w:rPr>
      <w:b/>
      <w:snapToGrid w:val="0"/>
      <w:kern w:val="28"/>
      <w:sz w:val="22"/>
    </w:rPr>
  </w:style>
  <w:style w:type="character" w:customStyle="1" w:styleId="UnresolvedMention">
    <w:name w:val="Unresolved Mention"/>
    <w:basedOn w:val="DefaultParagraphFont"/>
    <w:uiPriority w:val="99"/>
    <w:semiHidden/>
    <w:unhideWhenUsed/>
    <w:rsid w:val="002C4850"/>
    <w:rPr>
      <w:color w:val="605E5C"/>
      <w:shd w:val="clear" w:color="auto" w:fill="E1DFDD"/>
    </w:rPr>
  </w:style>
  <w:style w:type="character" w:customStyle="1" w:styleId="Heading1Char">
    <w:name w:val="Heading 1 Char"/>
    <w:basedOn w:val="DefaultParagraphFont"/>
    <w:link w:val="Heading1"/>
    <w:locked/>
    <w:rsid w:val="00C21BD9"/>
    <w:rPr>
      <w:rFonts w:ascii="Times New Roman Bold" w:hAnsi="Times New Roman Bold"/>
      <w:b/>
      <w:caps/>
      <w:snapToGrid w:val="0"/>
      <w:kern w:val="28"/>
      <w:sz w:val="22"/>
    </w:rPr>
  </w:style>
  <w:style w:type="character" w:customStyle="1" w:styleId="FooterChar">
    <w:name w:val="Footer Char"/>
    <w:link w:val="Footer"/>
    <w:uiPriority w:val="99"/>
    <w:rsid w:val="00C21BD9"/>
    <w:rPr>
      <w:snapToGrid w:val="0"/>
      <w:kern w:val="28"/>
      <w:sz w:val="22"/>
    </w:rPr>
  </w:style>
  <w:style w:type="character" w:customStyle="1" w:styleId="author-timestamp">
    <w:name w:val="author-timestamp"/>
    <w:rsid w:val="00C21BD9"/>
  </w:style>
  <w:style w:type="paragraph" w:customStyle="1" w:styleId="Default">
    <w:name w:val="Default"/>
    <w:rsid w:val="00C21BD9"/>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hyperlink" Target="mailto:Jeffrey.Gee@fcc.gov" TargetMode="External" /><Relationship Id="rId14" Type="http://schemas.openxmlformats.org/officeDocument/2006/relationships/hyperlink" Target="mailto:Christopher.Sova@fcc.gov" TargetMode="External" /><Relationship Id="rId15" Type="http://schemas.openxmlformats.org/officeDocument/2006/relationships/hyperlink" Target="mailto:Kenneth.Scheibel@fcc.gov" TargetMode="External" /><Relationship Id="rId16" Type="http://schemas.openxmlformats.org/officeDocument/2006/relationships/hyperlink" Target="mailto:Kathryn.Hinton@fcc.gov" TargetMode="External" /><Relationship Id="rId17" Type="http://schemas.openxmlformats.org/officeDocument/2006/relationships/hyperlink" Target="mailto:RROGWireFaxes@fcc.gov" TargetMode="External" /><Relationship Id="rId18" Type="http://schemas.openxmlformats.org/officeDocument/2006/relationships/hyperlink" Target="https://www.fcc.gov/licensing-databases/fees/wire-transfer" TargetMode="External" /><Relationship Id="rId19" Type="http://schemas.openxmlformats.org/officeDocument/2006/relationships/hyperlink" Target="https://appsint.fcc.gov/cores/userLogin.do" TargetMode="External" /><Relationship Id="rId2" Type="http://schemas.openxmlformats.org/officeDocument/2006/relationships/settings" Target="settings.xml" /><Relationship Id="rId20" Type="http://schemas.openxmlformats.org/officeDocument/2006/relationships/hyperlink" Target="https://apps.fcc.gov/cores/paymentFrnLogin.do" TargetMode="External" /><Relationship Id="rId21" Type="http://schemas.openxmlformats.org/officeDocument/2006/relationships/header" Target="header4.xml" /><Relationship Id="rId22" Type="http://schemas.openxmlformats.org/officeDocument/2006/relationships/header" Target="header5.xml" /><Relationship Id="rId23" Type="http://schemas.openxmlformats.org/officeDocument/2006/relationships/footer" Target="footer4.xml" /><Relationship Id="rId24" Type="http://schemas.openxmlformats.org/officeDocument/2006/relationships/theme" Target="theme/theme1.xml" /><Relationship Id="rId25" Type="http://schemas.openxmlformats.org/officeDocument/2006/relationships/numbering" Target="numbering.xml" /><Relationship Id="rId26"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sruzi@atriumhospitality.com" TargetMode="External" /><Relationship Id="rId6" Type="http://schemas.openxmlformats.org/officeDocument/2006/relationships/hyperlink" Target="mailto:peter.schwingler@stinson.com"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atriumhospitality.com/our-story/" TargetMode="External" /><Relationship Id="rId2" Type="http://schemas.openxmlformats.org/officeDocument/2006/relationships/hyperlink" Target="mailto:ARINQUIRIES@fcc.gov" TargetMode="External" /><Relationship Id="rId3" Type="http://schemas.openxmlformats.org/officeDocument/2006/relationships/hyperlink" Target="https://www.fcc.gov/licensing-databases/fees/fcc-remittance-advice-form-159"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D:\Users\Dana.Leavitt\AppData\Local\Microsoft\Windows\Temporary%20Internet%20Files\Content.MSO\FBE16265.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FBE16265</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