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260" w14:paraId="576EF97C" w14:textId="77777777">
      <w:pPr>
        <w:jc w:val="right"/>
        <w:rPr>
          <w:sz w:val="24"/>
        </w:rPr>
      </w:pPr>
    </w:p>
    <w:p w:rsidR="003474AA" w:rsidRPr="00B02A93" w:rsidP="003474AA" w14:paraId="5765DE57" w14:textId="77777777">
      <w:pPr>
        <w:jc w:val="right"/>
        <w:rPr>
          <w:sz w:val="24"/>
          <w:szCs w:val="24"/>
        </w:rPr>
      </w:pPr>
    </w:p>
    <w:p w:rsidR="003474AA" w:rsidRPr="00B02A93" w:rsidP="003474AA" w14:paraId="7A0F96B4" w14:textId="072FC802">
      <w:pPr>
        <w:widowControl/>
        <w:suppressAutoHyphens/>
        <w:jc w:val="right"/>
        <w:rPr>
          <w:b/>
        </w:rPr>
      </w:pPr>
      <w:r w:rsidRPr="00B02A93">
        <w:rPr>
          <w:b/>
        </w:rPr>
        <w:t xml:space="preserve">DA </w:t>
      </w:r>
      <w:r>
        <w:rPr>
          <w:b/>
        </w:rPr>
        <w:t>2</w:t>
      </w:r>
      <w:r w:rsidR="00446101">
        <w:rPr>
          <w:b/>
        </w:rPr>
        <w:t>2</w:t>
      </w:r>
      <w:r>
        <w:rPr>
          <w:b/>
        </w:rPr>
        <w:t>-</w:t>
      </w:r>
      <w:r w:rsidR="0055547C">
        <w:rPr>
          <w:b/>
        </w:rPr>
        <w:t>243</w:t>
      </w:r>
    </w:p>
    <w:p w:rsidR="003474AA" w:rsidRPr="00B02A93" w:rsidP="003474AA" w14:paraId="43157532" w14:textId="77777777">
      <w:pPr>
        <w:widowControl/>
        <w:suppressAutoHyphens/>
        <w:spacing w:after="240"/>
        <w:jc w:val="right"/>
        <w:rPr>
          <w:b/>
        </w:rPr>
      </w:pPr>
      <w:r w:rsidRPr="00B02A93">
        <w:rPr>
          <w:b/>
        </w:rPr>
        <w:t xml:space="preserve">Released:  </w:t>
      </w:r>
      <w:r w:rsidR="00B96BA1">
        <w:rPr>
          <w:b/>
        </w:rPr>
        <w:t>March</w:t>
      </w:r>
      <w:r w:rsidR="005A029F">
        <w:rPr>
          <w:b/>
        </w:rPr>
        <w:t xml:space="preserve"> </w:t>
      </w:r>
      <w:r w:rsidR="00796904">
        <w:rPr>
          <w:b/>
        </w:rPr>
        <w:t>9</w:t>
      </w:r>
      <w:r>
        <w:rPr>
          <w:b/>
        </w:rPr>
        <w:t>, 202</w:t>
      </w:r>
      <w:r w:rsidR="001D13D1">
        <w:rPr>
          <w:b/>
        </w:rPr>
        <w:t>2</w:t>
      </w:r>
    </w:p>
    <w:p w:rsidR="00F42D59" w:rsidP="00F42D59" w14:paraId="293DD81B" w14:textId="77777777">
      <w:pPr>
        <w:jc w:val="center"/>
        <w:rPr>
          <w:b/>
          <w:bCs/>
          <w:caps/>
          <w:snapToGrid/>
          <w:kern w:val="0"/>
          <w:szCs w:val="22"/>
        </w:rPr>
      </w:pPr>
      <w:r w:rsidRPr="00477B03">
        <w:rPr>
          <w:b/>
          <w:bCs/>
          <w:szCs w:val="22"/>
        </w:rPr>
        <w:t xml:space="preserve">DOMESTIC SECTION 214 APPLICATION FILED FOR THE </w:t>
      </w:r>
      <w:r w:rsidRPr="00F42D59">
        <w:rPr>
          <w:b/>
          <w:bCs/>
          <w:caps/>
          <w:snapToGrid/>
          <w:kern w:val="0"/>
          <w:szCs w:val="22"/>
        </w:rPr>
        <w:t xml:space="preserve">TRANSFER OF CONTROL </w:t>
      </w:r>
    </w:p>
    <w:p w:rsidR="00F42D59" w:rsidP="00F42D59" w14:paraId="44984E96" w14:textId="77777777">
      <w:pPr>
        <w:jc w:val="center"/>
        <w:rPr>
          <w:b/>
          <w:bCs/>
          <w:caps/>
          <w:snapToGrid/>
          <w:kern w:val="0"/>
          <w:szCs w:val="22"/>
        </w:rPr>
      </w:pPr>
      <w:r w:rsidRPr="00F42D59">
        <w:rPr>
          <w:b/>
          <w:bCs/>
          <w:caps/>
          <w:snapToGrid/>
          <w:kern w:val="0"/>
          <w:szCs w:val="22"/>
        </w:rPr>
        <w:t>OF</w:t>
      </w:r>
      <w:r w:rsidRPr="00E11CB2" w:rsidR="00E11CB2">
        <w:rPr>
          <w:b/>
          <w:bCs/>
          <w:caps/>
          <w:snapToGrid/>
          <w:kern w:val="0"/>
          <w:szCs w:val="22"/>
        </w:rPr>
        <w:t xml:space="preserve"> </w:t>
      </w:r>
      <w:r w:rsidRPr="00F42D59">
        <w:rPr>
          <w:b/>
          <w:bCs/>
          <w:caps/>
          <w:snapToGrid/>
          <w:kern w:val="0"/>
          <w:szCs w:val="22"/>
        </w:rPr>
        <w:t>Pennsylvania Telephone</w:t>
      </w:r>
      <w:r>
        <w:rPr>
          <w:b/>
          <w:bCs/>
          <w:caps/>
          <w:snapToGrid/>
          <w:kern w:val="0"/>
          <w:szCs w:val="22"/>
        </w:rPr>
        <w:t xml:space="preserve"> </w:t>
      </w:r>
      <w:r w:rsidRPr="00F42D59">
        <w:rPr>
          <w:b/>
          <w:bCs/>
          <w:caps/>
          <w:snapToGrid/>
          <w:kern w:val="0"/>
          <w:szCs w:val="22"/>
        </w:rPr>
        <w:t>Company, Inc.</w:t>
      </w:r>
    </w:p>
    <w:p w:rsidR="00E11CB2" w:rsidRPr="00E11CB2" w:rsidP="00F42D59" w14:paraId="220BB4F9" w14:textId="77777777">
      <w:pPr>
        <w:jc w:val="center"/>
        <w:rPr>
          <w:b/>
          <w:bCs/>
          <w:caps/>
          <w:snapToGrid/>
          <w:kern w:val="0"/>
          <w:szCs w:val="22"/>
        </w:rPr>
      </w:pPr>
      <w:r>
        <w:rPr>
          <w:b/>
          <w:bCs/>
          <w:caps/>
          <w:snapToGrid/>
          <w:kern w:val="0"/>
          <w:szCs w:val="22"/>
        </w:rPr>
        <w:t>TO</w:t>
      </w:r>
      <w:r w:rsidRPr="00E11CB2">
        <w:rPr>
          <w:b/>
          <w:bCs/>
          <w:caps/>
          <w:snapToGrid/>
          <w:kern w:val="0"/>
          <w:szCs w:val="22"/>
        </w:rPr>
        <w:t xml:space="preserve"> </w:t>
      </w:r>
      <w:r w:rsidRPr="00F42D59" w:rsidR="00F42D59">
        <w:rPr>
          <w:b/>
          <w:bCs/>
          <w:caps/>
          <w:snapToGrid/>
          <w:kern w:val="0"/>
          <w:szCs w:val="22"/>
        </w:rPr>
        <w:t>New Lisbon Holdings, Inc</w:t>
      </w:r>
      <w:r w:rsidR="00F42D59">
        <w:rPr>
          <w:b/>
          <w:bCs/>
          <w:caps/>
          <w:snapToGrid/>
          <w:kern w:val="0"/>
          <w:szCs w:val="22"/>
        </w:rPr>
        <w:t>.</w:t>
      </w:r>
    </w:p>
    <w:p w:rsidR="003474AA" w:rsidRPr="00B02A93" w:rsidP="003474AA" w14:paraId="362A7E30" w14:textId="77777777">
      <w:pPr>
        <w:autoSpaceDE w:val="0"/>
        <w:autoSpaceDN w:val="0"/>
        <w:adjustRightInd w:val="0"/>
        <w:rPr>
          <w:b/>
          <w:szCs w:val="22"/>
        </w:rPr>
      </w:pPr>
    </w:p>
    <w:p w:rsidR="003474AA" w:rsidRPr="00477B03" w:rsidP="003474AA" w14:paraId="1737C717" w14:textId="77777777">
      <w:pPr>
        <w:autoSpaceDE w:val="0"/>
        <w:autoSpaceDN w:val="0"/>
        <w:adjustRightInd w:val="0"/>
        <w:jc w:val="center"/>
        <w:rPr>
          <w:b/>
          <w:szCs w:val="22"/>
        </w:rPr>
      </w:pPr>
      <w:r>
        <w:rPr>
          <w:b/>
          <w:szCs w:val="22"/>
        </w:rPr>
        <w:t>NON-</w:t>
      </w:r>
      <w:r w:rsidRPr="00477B03" w:rsidR="002351E7">
        <w:rPr>
          <w:b/>
          <w:szCs w:val="22"/>
        </w:rPr>
        <w:t>STREAMLINED PLEADING CYCLE ESTABLISHED</w:t>
      </w:r>
    </w:p>
    <w:p w:rsidR="003474AA" w:rsidP="003474AA" w14:paraId="51DD740D" w14:textId="77777777">
      <w:pPr>
        <w:autoSpaceDE w:val="0"/>
        <w:autoSpaceDN w:val="0"/>
        <w:adjustRightInd w:val="0"/>
        <w:jc w:val="center"/>
        <w:rPr>
          <w:b/>
          <w:szCs w:val="22"/>
        </w:rPr>
      </w:pPr>
    </w:p>
    <w:p w:rsidR="003474AA" w:rsidP="003474AA" w14:paraId="37BA077E" w14:textId="77777777">
      <w:pPr>
        <w:autoSpaceDE w:val="0"/>
        <w:autoSpaceDN w:val="0"/>
        <w:adjustRightInd w:val="0"/>
        <w:jc w:val="center"/>
        <w:rPr>
          <w:b/>
          <w:szCs w:val="22"/>
        </w:rPr>
      </w:pPr>
      <w:r w:rsidRPr="00B02A93">
        <w:rPr>
          <w:b/>
          <w:szCs w:val="22"/>
        </w:rPr>
        <w:t>WC Docket No. 2</w:t>
      </w:r>
      <w:r w:rsidR="005A029F">
        <w:rPr>
          <w:b/>
          <w:szCs w:val="22"/>
        </w:rPr>
        <w:t>2-</w:t>
      </w:r>
      <w:r w:rsidR="00B96BA1">
        <w:rPr>
          <w:b/>
          <w:szCs w:val="22"/>
        </w:rPr>
        <w:t>99</w:t>
      </w:r>
    </w:p>
    <w:p w:rsidR="003474AA" w:rsidP="003474AA" w14:paraId="76BE2E68" w14:textId="77777777">
      <w:pPr>
        <w:autoSpaceDE w:val="0"/>
        <w:autoSpaceDN w:val="0"/>
        <w:adjustRightInd w:val="0"/>
        <w:jc w:val="center"/>
        <w:rPr>
          <w:b/>
          <w:szCs w:val="22"/>
        </w:rPr>
      </w:pPr>
    </w:p>
    <w:p w:rsidR="003474AA" w:rsidP="003474AA" w14:paraId="7907507A" w14:textId="77777777">
      <w:pPr>
        <w:pStyle w:val="NoSpacing"/>
        <w:rPr>
          <w:b/>
          <w:szCs w:val="22"/>
        </w:rPr>
      </w:pPr>
      <w:r w:rsidRPr="005B2105">
        <w:rPr>
          <w:b/>
          <w:szCs w:val="22"/>
        </w:rPr>
        <w:t xml:space="preserve">Comments Due:  </w:t>
      </w:r>
      <w:r w:rsidR="00B96BA1">
        <w:rPr>
          <w:b/>
          <w:szCs w:val="22"/>
        </w:rPr>
        <w:t>March</w:t>
      </w:r>
      <w:r w:rsidR="005A029F">
        <w:rPr>
          <w:b/>
          <w:szCs w:val="22"/>
        </w:rPr>
        <w:t xml:space="preserve"> </w:t>
      </w:r>
      <w:r w:rsidR="00796904">
        <w:rPr>
          <w:b/>
          <w:szCs w:val="22"/>
        </w:rPr>
        <w:t>23</w:t>
      </w:r>
      <w:r>
        <w:rPr>
          <w:b/>
          <w:szCs w:val="22"/>
        </w:rPr>
        <w:t>,</w:t>
      </w:r>
      <w:r w:rsidRPr="005B2105">
        <w:rPr>
          <w:b/>
          <w:szCs w:val="22"/>
        </w:rPr>
        <w:t xml:space="preserve"> 202</w:t>
      </w:r>
      <w:r>
        <w:rPr>
          <w:b/>
          <w:szCs w:val="22"/>
        </w:rPr>
        <w:t xml:space="preserve">2 </w:t>
      </w:r>
    </w:p>
    <w:p w:rsidR="003474AA" w:rsidRPr="005B2105" w:rsidP="003474AA" w14:paraId="28A74C89" w14:textId="77777777">
      <w:pPr>
        <w:pStyle w:val="NoSpacing"/>
        <w:rPr>
          <w:b/>
          <w:szCs w:val="22"/>
        </w:rPr>
      </w:pPr>
      <w:r>
        <w:rPr>
          <w:b/>
          <w:szCs w:val="22"/>
        </w:rPr>
        <w:t xml:space="preserve">Reply Comment Due:  </w:t>
      </w:r>
      <w:r w:rsidR="00B96BA1">
        <w:rPr>
          <w:b/>
          <w:szCs w:val="22"/>
        </w:rPr>
        <w:t>March</w:t>
      </w:r>
      <w:r w:rsidR="005A029F">
        <w:rPr>
          <w:b/>
          <w:szCs w:val="22"/>
        </w:rPr>
        <w:t xml:space="preserve"> </w:t>
      </w:r>
      <w:r w:rsidR="00796904">
        <w:rPr>
          <w:b/>
          <w:szCs w:val="22"/>
        </w:rPr>
        <w:t>30</w:t>
      </w:r>
      <w:r>
        <w:rPr>
          <w:b/>
          <w:szCs w:val="22"/>
        </w:rPr>
        <w:t xml:space="preserve">, 2022 </w:t>
      </w:r>
    </w:p>
    <w:p w:rsidR="003474AA" w:rsidRPr="00B02A93" w:rsidP="003474AA" w14:paraId="352FF31F" w14:textId="77777777">
      <w:pPr>
        <w:autoSpaceDE w:val="0"/>
        <w:autoSpaceDN w:val="0"/>
        <w:adjustRightInd w:val="0"/>
        <w:jc w:val="center"/>
        <w:rPr>
          <w:b/>
          <w:szCs w:val="22"/>
        </w:rPr>
      </w:pPr>
    </w:p>
    <w:p w:rsidR="00D504AF" w:rsidP="007F3852" w14:paraId="0B8EAD74" w14:textId="77777777">
      <w:pPr>
        <w:widowControl/>
        <w:autoSpaceDE w:val="0"/>
        <w:autoSpaceDN w:val="0"/>
        <w:adjustRightInd w:val="0"/>
        <w:spacing w:after="120"/>
        <w:ind w:firstLine="720"/>
        <w:rPr>
          <w:snapToGrid/>
          <w:kern w:val="0"/>
          <w:szCs w:val="22"/>
        </w:rPr>
      </w:pPr>
      <w:r w:rsidRPr="00477B03">
        <w:rPr>
          <w:snapToGrid/>
          <w:kern w:val="0"/>
          <w:szCs w:val="22"/>
        </w:rPr>
        <w:t xml:space="preserve">By this Public Notice, the Wireline Competition Bureau </w:t>
      </w:r>
      <w:r w:rsidR="00A81B30">
        <w:rPr>
          <w:snapToGrid/>
          <w:kern w:val="0"/>
          <w:szCs w:val="22"/>
        </w:rPr>
        <w:t xml:space="preserve">(Bureau) </w:t>
      </w:r>
      <w:r w:rsidRPr="00477B03">
        <w:rPr>
          <w:snapToGrid/>
          <w:kern w:val="0"/>
          <w:szCs w:val="22"/>
        </w:rPr>
        <w:t xml:space="preserve">seeks comment from interested parties on an application filed by </w:t>
      </w:r>
      <w:r w:rsidR="00D21348">
        <w:rPr>
          <w:snapToGrid/>
          <w:kern w:val="0"/>
          <w:szCs w:val="22"/>
        </w:rPr>
        <w:t>t</w:t>
      </w:r>
      <w:r w:rsidRPr="00F42D59" w:rsidR="00F42D59">
        <w:rPr>
          <w:snapToGrid/>
          <w:kern w:val="0"/>
          <w:szCs w:val="22"/>
        </w:rPr>
        <w:t>he former shareholders of the Pennsylvania Telephone Company, Inc. (PTC) and New Lisbon Holdings, Inc. (NLHI) and its now wholly</w:t>
      </w:r>
      <w:r w:rsidR="009A63A8">
        <w:rPr>
          <w:snapToGrid/>
          <w:kern w:val="0"/>
          <w:szCs w:val="22"/>
        </w:rPr>
        <w:t xml:space="preserve"> </w:t>
      </w:r>
      <w:r w:rsidRPr="00F42D59" w:rsidR="00F42D59">
        <w:rPr>
          <w:snapToGrid/>
          <w:kern w:val="0"/>
          <w:szCs w:val="22"/>
        </w:rPr>
        <w:t>owned subsidiaries</w:t>
      </w:r>
      <w:r w:rsidR="00D513AE">
        <w:rPr>
          <w:snapToGrid/>
          <w:kern w:val="0"/>
          <w:szCs w:val="22"/>
        </w:rPr>
        <w:t>,</w:t>
      </w:r>
      <w:r w:rsidRPr="00F42D59" w:rsidR="00F42D59">
        <w:rPr>
          <w:snapToGrid/>
          <w:kern w:val="0"/>
          <w:szCs w:val="22"/>
        </w:rPr>
        <w:t xml:space="preserve"> New Lisbon Telephone Company, Inc. (NLTC) and PTC</w:t>
      </w:r>
      <w:r w:rsidRPr="008D4CD1" w:rsidR="008D4CD1">
        <w:rPr>
          <w:snapToGrid/>
          <w:kern w:val="0"/>
          <w:szCs w:val="22"/>
        </w:rPr>
        <w:t xml:space="preserve"> </w:t>
      </w:r>
      <w:r w:rsidRPr="00477B03">
        <w:rPr>
          <w:snapToGrid/>
          <w:kern w:val="0"/>
          <w:szCs w:val="22"/>
        </w:rPr>
        <w:t>(</w:t>
      </w:r>
      <w:r w:rsidRPr="00F42D59" w:rsidR="00F42D59">
        <w:rPr>
          <w:snapToGrid/>
          <w:kern w:val="0"/>
          <w:szCs w:val="22"/>
        </w:rPr>
        <w:t>collectively</w:t>
      </w:r>
      <w:r w:rsidRPr="00477B03">
        <w:rPr>
          <w:snapToGrid/>
          <w:kern w:val="0"/>
          <w:szCs w:val="22"/>
        </w:rPr>
        <w:t xml:space="preserve">, Applicants), pursuant to section 214 of the Communications Act of 1934, as amended, and sections 63.03-04 of the Commission’s rules, </w:t>
      </w:r>
      <w:r w:rsidRPr="0041725C" w:rsidR="0041725C">
        <w:rPr>
          <w:snapToGrid/>
          <w:kern w:val="0"/>
          <w:szCs w:val="22"/>
        </w:rPr>
        <w:t xml:space="preserve">requesting consent </w:t>
      </w:r>
      <w:r w:rsidRPr="0043537A" w:rsidR="0043537A">
        <w:rPr>
          <w:snapToGrid/>
          <w:kern w:val="0"/>
          <w:szCs w:val="22"/>
        </w:rPr>
        <w:t xml:space="preserve">to transfer control of </w:t>
      </w:r>
      <w:r w:rsidRPr="00E16955" w:rsidR="00327BDD">
        <w:rPr>
          <w:snapToGrid/>
          <w:kern w:val="0"/>
          <w:szCs w:val="22"/>
        </w:rPr>
        <w:t>PTC</w:t>
      </w:r>
      <w:r w:rsidRPr="007F3852" w:rsidR="007F3852">
        <w:rPr>
          <w:snapToGrid/>
          <w:color w:val="1F1F1F"/>
          <w:w w:val="105"/>
          <w:kern w:val="0"/>
          <w:szCs w:val="22"/>
        </w:rPr>
        <w:t xml:space="preserve"> to NLTC</w:t>
      </w:r>
      <w:r w:rsidR="009A63A8">
        <w:rPr>
          <w:snapToGrid/>
          <w:color w:val="1F1F1F"/>
          <w:w w:val="105"/>
          <w:kern w:val="0"/>
          <w:szCs w:val="22"/>
        </w:rPr>
        <w:t xml:space="preserve"> (</w:t>
      </w:r>
      <w:r w:rsidR="00727A0D">
        <w:rPr>
          <w:snapToGrid/>
          <w:color w:val="1F1F1F"/>
          <w:w w:val="105"/>
          <w:kern w:val="0"/>
          <w:szCs w:val="22"/>
        </w:rPr>
        <w:t xml:space="preserve">which subsequently became </w:t>
      </w:r>
      <w:r w:rsidRPr="007F3852" w:rsidR="007F3852">
        <w:rPr>
          <w:snapToGrid/>
          <w:color w:val="1F1F1F"/>
          <w:w w:val="105"/>
          <w:kern w:val="0"/>
          <w:szCs w:val="22"/>
        </w:rPr>
        <w:t xml:space="preserve">a </w:t>
      </w:r>
      <w:r w:rsidRPr="007F3852" w:rsidR="0065676E">
        <w:rPr>
          <w:snapToGrid/>
          <w:color w:val="1F1F1F"/>
          <w:w w:val="105"/>
          <w:kern w:val="0"/>
          <w:szCs w:val="22"/>
        </w:rPr>
        <w:t>wholly owned</w:t>
      </w:r>
      <w:r w:rsidRPr="007F3852" w:rsidR="007F3852">
        <w:rPr>
          <w:snapToGrid/>
          <w:color w:val="1F1F1F"/>
          <w:w w:val="105"/>
          <w:kern w:val="0"/>
          <w:szCs w:val="22"/>
        </w:rPr>
        <w:t xml:space="preserve"> subsidiary</w:t>
      </w:r>
      <w:r w:rsidRPr="007F3852" w:rsidR="007F3852">
        <w:rPr>
          <w:snapToGrid/>
          <w:color w:val="1F1F1F"/>
          <w:spacing w:val="-55"/>
          <w:w w:val="105"/>
          <w:kern w:val="0"/>
          <w:szCs w:val="22"/>
        </w:rPr>
        <w:t xml:space="preserve"> </w:t>
      </w:r>
      <w:r w:rsidR="00021C15">
        <w:rPr>
          <w:snapToGrid/>
          <w:color w:val="1F1F1F"/>
          <w:spacing w:val="-55"/>
          <w:w w:val="105"/>
          <w:kern w:val="0"/>
          <w:szCs w:val="22"/>
        </w:rPr>
        <w:t xml:space="preserve"> </w:t>
      </w:r>
      <w:r w:rsidRPr="007F3852" w:rsidR="007F3852">
        <w:rPr>
          <w:snapToGrid/>
          <w:color w:val="1F1F1F"/>
          <w:w w:val="105"/>
          <w:kern w:val="0"/>
          <w:szCs w:val="22"/>
        </w:rPr>
        <w:t>of NLHI</w:t>
      </w:r>
      <w:r w:rsidR="009A63A8">
        <w:rPr>
          <w:snapToGrid/>
          <w:color w:val="1F1F1F"/>
          <w:w w:val="105"/>
          <w:kern w:val="0"/>
          <w:szCs w:val="22"/>
        </w:rPr>
        <w:t>)</w:t>
      </w:r>
      <w:r w:rsidRPr="007F3852" w:rsidR="007F3852">
        <w:rPr>
          <w:snapToGrid/>
          <w:color w:val="1F1F1F"/>
          <w:w w:val="105"/>
          <w:kern w:val="0"/>
          <w:szCs w:val="22"/>
        </w:rPr>
        <w:t>.</w:t>
      </w:r>
      <w:r>
        <w:rPr>
          <w:snapToGrid/>
          <w:kern w:val="0"/>
          <w:szCs w:val="22"/>
          <w:vertAlign w:val="superscript"/>
        </w:rPr>
        <w:footnoteReference w:id="3"/>
      </w:r>
      <w:r w:rsidRPr="00477B03">
        <w:rPr>
          <w:snapToGrid/>
          <w:kern w:val="0"/>
          <w:szCs w:val="22"/>
        </w:rPr>
        <w:t xml:space="preserve"> </w:t>
      </w:r>
      <w:r w:rsidR="00A77227">
        <w:rPr>
          <w:snapToGrid/>
          <w:kern w:val="0"/>
          <w:szCs w:val="22"/>
        </w:rPr>
        <w:t xml:space="preserve"> Applicants consummated the transaction without prior authorization from the Commission on July </w:t>
      </w:r>
      <w:r w:rsidR="009A63A8">
        <w:rPr>
          <w:snapToGrid/>
          <w:kern w:val="0"/>
          <w:szCs w:val="22"/>
        </w:rPr>
        <w:t>3</w:t>
      </w:r>
      <w:r w:rsidR="00A77227">
        <w:rPr>
          <w:snapToGrid/>
          <w:kern w:val="0"/>
          <w:szCs w:val="22"/>
        </w:rPr>
        <w:t>1, 2020.</w:t>
      </w:r>
      <w:r>
        <w:rPr>
          <w:rStyle w:val="FootnoteReference"/>
          <w:snapToGrid/>
          <w:kern w:val="0"/>
          <w:szCs w:val="22"/>
        </w:rPr>
        <w:footnoteReference w:id="4"/>
      </w:r>
    </w:p>
    <w:p w:rsidR="00DA0A78" w:rsidRPr="00E34701" w:rsidP="00381C66" w14:paraId="7BA0EFA9" w14:textId="77777777">
      <w:pPr>
        <w:widowControl/>
        <w:autoSpaceDE w:val="0"/>
        <w:autoSpaceDN w:val="0"/>
        <w:adjustRightInd w:val="0"/>
        <w:spacing w:after="120"/>
        <w:ind w:firstLine="720"/>
        <w:rPr>
          <w:snapToGrid/>
          <w:kern w:val="0"/>
          <w:szCs w:val="22"/>
        </w:rPr>
      </w:pPr>
      <w:r>
        <w:rPr>
          <w:snapToGrid/>
          <w:kern w:val="0"/>
          <w:szCs w:val="22"/>
        </w:rPr>
        <w:t>PTC</w:t>
      </w:r>
      <w:r w:rsidR="00D21348">
        <w:rPr>
          <w:snapToGrid/>
          <w:kern w:val="0"/>
          <w:szCs w:val="22"/>
        </w:rPr>
        <w:t>,</w:t>
      </w:r>
      <w:r>
        <w:rPr>
          <w:snapToGrid/>
          <w:kern w:val="0"/>
          <w:szCs w:val="22"/>
        </w:rPr>
        <w:t xml:space="preserve"> a </w:t>
      </w:r>
      <w:r w:rsidRPr="002D66B2">
        <w:rPr>
          <w:snapToGrid/>
          <w:kern w:val="0"/>
          <w:szCs w:val="22"/>
        </w:rPr>
        <w:t>Pennsylvania corporation</w:t>
      </w:r>
      <w:r>
        <w:rPr>
          <w:snapToGrid/>
          <w:kern w:val="0"/>
          <w:szCs w:val="22"/>
        </w:rPr>
        <w:t>, c</w:t>
      </w:r>
      <w:r w:rsidRPr="002D66B2">
        <w:rPr>
          <w:snapToGrid/>
          <w:kern w:val="0"/>
          <w:szCs w:val="22"/>
        </w:rPr>
        <w:t xml:space="preserve">urrently </w:t>
      </w:r>
      <w:r w:rsidR="00384B00">
        <w:rPr>
          <w:snapToGrid/>
          <w:kern w:val="0"/>
          <w:szCs w:val="22"/>
        </w:rPr>
        <w:t>provides service to</w:t>
      </w:r>
      <w:r w:rsidRPr="002D66B2">
        <w:rPr>
          <w:snapToGrid/>
          <w:kern w:val="0"/>
          <w:szCs w:val="22"/>
        </w:rPr>
        <w:t xml:space="preserve"> </w:t>
      </w:r>
      <w:r w:rsidR="00D513AE">
        <w:rPr>
          <w:snapToGrid/>
          <w:kern w:val="0"/>
          <w:szCs w:val="22"/>
        </w:rPr>
        <w:t xml:space="preserve">approximately </w:t>
      </w:r>
      <w:r w:rsidRPr="002D66B2">
        <w:rPr>
          <w:snapToGrid/>
          <w:kern w:val="0"/>
          <w:szCs w:val="22"/>
        </w:rPr>
        <w:t xml:space="preserve">840 access lines </w:t>
      </w:r>
      <w:r w:rsidR="002B2AB5">
        <w:rPr>
          <w:snapToGrid/>
          <w:kern w:val="0"/>
          <w:szCs w:val="22"/>
        </w:rPr>
        <w:t xml:space="preserve">as </w:t>
      </w:r>
      <w:r w:rsidR="00B95D59">
        <w:rPr>
          <w:snapToGrid/>
          <w:kern w:val="0"/>
          <w:szCs w:val="22"/>
        </w:rPr>
        <w:t xml:space="preserve">a </w:t>
      </w:r>
      <w:r w:rsidRPr="007F3852" w:rsidR="002B2AB5">
        <w:rPr>
          <w:snapToGrid/>
          <w:kern w:val="0"/>
          <w:szCs w:val="22"/>
        </w:rPr>
        <w:t>rural incumbent local exchange carrier (LEC)</w:t>
      </w:r>
      <w:r w:rsidR="002B2AB5">
        <w:rPr>
          <w:snapToGrid/>
          <w:kern w:val="0"/>
          <w:szCs w:val="22"/>
        </w:rPr>
        <w:t xml:space="preserve"> </w:t>
      </w:r>
      <w:r w:rsidRPr="002D66B2">
        <w:rPr>
          <w:snapToGrid/>
          <w:kern w:val="0"/>
          <w:szCs w:val="22"/>
        </w:rPr>
        <w:t>in the southern portions of Clinton and Lycoming Counties in south central Pennsylvania.</w:t>
      </w:r>
      <w:r>
        <w:rPr>
          <w:rStyle w:val="FootnoteReference"/>
          <w:snapToGrid/>
          <w:kern w:val="0"/>
          <w:szCs w:val="22"/>
        </w:rPr>
        <w:footnoteReference w:id="5"/>
      </w:r>
      <w:r w:rsidRPr="002D66B2">
        <w:rPr>
          <w:snapToGrid/>
          <w:kern w:val="0"/>
          <w:szCs w:val="22"/>
        </w:rPr>
        <w:t xml:space="preserve"> </w:t>
      </w:r>
      <w:r w:rsidR="002B2AB5">
        <w:rPr>
          <w:snapToGrid/>
          <w:kern w:val="0"/>
          <w:szCs w:val="22"/>
        </w:rPr>
        <w:t xml:space="preserve"> </w:t>
      </w:r>
      <w:r w:rsidRPr="002D66B2">
        <w:rPr>
          <w:snapToGrid/>
          <w:kern w:val="0"/>
          <w:szCs w:val="22"/>
        </w:rPr>
        <w:t>NLTC, a</w:t>
      </w:r>
      <w:r w:rsidR="00384B00">
        <w:rPr>
          <w:snapToGrid/>
          <w:kern w:val="0"/>
          <w:szCs w:val="22"/>
        </w:rPr>
        <w:t>n Indiana corporation</w:t>
      </w:r>
      <w:r w:rsidRPr="002D66B2">
        <w:rPr>
          <w:snapToGrid/>
          <w:kern w:val="0"/>
          <w:szCs w:val="22"/>
        </w:rPr>
        <w:t xml:space="preserve">, provides </w:t>
      </w:r>
      <w:r w:rsidR="00384B00">
        <w:rPr>
          <w:snapToGrid/>
          <w:kern w:val="0"/>
          <w:szCs w:val="22"/>
        </w:rPr>
        <w:t xml:space="preserve">service to </w:t>
      </w:r>
      <w:r w:rsidR="00D513AE">
        <w:rPr>
          <w:snapToGrid/>
          <w:kern w:val="0"/>
          <w:szCs w:val="22"/>
        </w:rPr>
        <w:t xml:space="preserve">approximately </w:t>
      </w:r>
      <w:r w:rsidR="00384B00">
        <w:rPr>
          <w:snapToGrid/>
          <w:kern w:val="0"/>
          <w:szCs w:val="22"/>
        </w:rPr>
        <w:t>185 access lines as a</w:t>
      </w:r>
      <w:r w:rsidR="00B95D59">
        <w:rPr>
          <w:snapToGrid/>
          <w:kern w:val="0"/>
          <w:szCs w:val="22"/>
        </w:rPr>
        <w:t>n</w:t>
      </w:r>
      <w:r w:rsidR="00384B00">
        <w:rPr>
          <w:snapToGrid/>
          <w:kern w:val="0"/>
          <w:szCs w:val="22"/>
        </w:rPr>
        <w:t xml:space="preserve"> </w:t>
      </w:r>
      <w:r w:rsidRPr="002D66B2" w:rsidR="00384B00">
        <w:rPr>
          <w:snapToGrid/>
          <w:kern w:val="0"/>
          <w:szCs w:val="22"/>
        </w:rPr>
        <w:t xml:space="preserve">rural </w:t>
      </w:r>
      <w:r w:rsidR="00384B00">
        <w:rPr>
          <w:snapToGrid/>
          <w:kern w:val="0"/>
          <w:szCs w:val="22"/>
        </w:rPr>
        <w:t xml:space="preserve">incumbent </w:t>
      </w:r>
      <w:r w:rsidRPr="002D66B2" w:rsidR="00384B00">
        <w:rPr>
          <w:snapToGrid/>
          <w:kern w:val="0"/>
          <w:szCs w:val="22"/>
        </w:rPr>
        <w:t xml:space="preserve">LEC </w:t>
      </w:r>
      <w:r w:rsidR="00D513AE">
        <w:rPr>
          <w:snapToGrid/>
          <w:kern w:val="0"/>
          <w:szCs w:val="22"/>
        </w:rPr>
        <w:t xml:space="preserve">in </w:t>
      </w:r>
      <w:r w:rsidR="00384B00">
        <w:rPr>
          <w:snapToGrid/>
          <w:kern w:val="0"/>
          <w:szCs w:val="22"/>
        </w:rPr>
        <w:t>Henry County in south central Indiana</w:t>
      </w:r>
      <w:r w:rsidRPr="00877BCD" w:rsidR="00877BCD">
        <w:rPr>
          <w:snapToGrid/>
          <w:kern w:val="0"/>
          <w:szCs w:val="22"/>
        </w:rPr>
        <w:t>.</w:t>
      </w:r>
      <w:r>
        <w:rPr>
          <w:rStyle w:val="FootnoteReference"/>
          <w:snapToGrid/>
          <w:kern w:val="0"/>
          <w:szCs w:val="22"/>
        </w:rPr>
        <w:footnoteReference w:id="6"/>
      </w:r>
      <w:r w:rsidR="00D8612C">
        <w:rPr>
          <w:snapToGrid/>
          <w:kern w:val="0"/>
          <w:szCs w:val="22"/>
        </w:rPr>
        <w:t xml:space="preserve">  </w:t>
      </w:r>
      <w:r w:rsidR="00A7723D">
        <w:rPr>
          <w:snapToGrid/>
          <w:kern w:val="0"/>
          <w:szCs w:val="22"/>
        </w:rPr>
        <w:t xml:space="preserve">NLTC’s subsidiary (at the time of closing), New Lisbon Broadband and Communications, LLC </w:t>
      </w:r>
      <w:r w:rsidR="00486680">
        <w:rPr>
          <w:snapToGrid/>
          <w:kern w:val="0"/>
          <w:szCs w:val="22"/>
        </w:rPr>
        <w:t xml:space="preserve">(NLBC), </w:t>
      </w:r>
      <w:r w:rsidR="003E5FCF">
        <w:rPr>
          <w:snapToGrid/>
          <w:kern w:val="0"/>
          <w:szCs w:val="22"/>
        </w:rPr>
        <w:t xml:space="preserve">is </w:t>
      </w:r>
      <w:r w:rsidR="00486680">
        <w:rPr>
          <w:snapToGrid/>
          <w:kern w:val="0"/>
          <w:szCs w:val="22"/>
        </w:rPr>
        <w:t>a competitive LEC operating</w:t>
      </w:r>
      <w:r w:rsidR="00A15B78">
        <w:rPr>
          <w:snapToGrid/>
          <w:kern w:val="0"/>
          <w:szCs w:val="22"/>
        </w:rPr>
        <w:t xml:space="preserve"> outside of NLTC’s </w:t>
      </w:r>
      <w:r w:rsidR="00B95D59">
        <w:rPr>
          <w:snapToGrid/>
          <w:kern w:val="0"/>
          <w:szCs w:val="22"/>
        </w:rPr>
        <w:t xml:space="preserve">and PTC’s </w:t>
      </w:r>
      <w:r w:rsidR="00A15B78">
        <w:rPr>
          <w:snapToGrid/>
          <w:kern w:val="0"/>
          <w:szCs w:val="22"/>
        </w:rPr>
        <w:t>service area.</w:t>
      </w:r>
      <w:r>
        <w:rPr>
          <w:rStyle w:val="FootnoteReference"/>
          <w:snapToGrid/>
          <w:kern w:val="0"/>
          <w:szCs w:val="22"/>
        </w:rPr>
        <w:footnoteReference w:id="7"/>
      </w:r>
      <w:r w:rsidR="00486680">
        <w:rPr>
          <w:snapToGrid/>
          <w:kern w:val="0"/>
          <w:szCs w:val="22"/>
        </w:rPr>
        <w:t xml:space="preserve"> </w:t>
      </w:r>
      <w:r w:rsidR="00A15B78">
        <w:rPr>
          <w:snapToGrid/>
          <w:kern w:val="0"/>
          <w:szCs w:val="22"/>
        </w:rPr>
        <w:t xml:space="preserve"> </w:t>
      </w:r>
      <w:r w:rsidR="00182ADB">
        <w:rPr>
          <w:snapToGrid/>
          <w:kern w:val="0"/>
          <w:szCs w:val="22"/>
        </w:rPr>
        <w:t xml:space="preserve">NLBC received </w:t>
      </w:r>
      <w:r w:rsidR="00DD36F7">
        <w:rPr>
          <w:snapToGrid/>
          <w:kern w:val="0"/>
          <w:szCs w:val="22"/>
        </w:rPr>
        <w:t xml:space="preserve">authorization for </w:t>
      </w:r>
      <w:r w:rsidR="00182ADB">
        <w:rPr>
          <w:snapToGrid/>
          <w:kern w:val="0"/>
          <w:szCs w:val="22"/>
        </w:rPr>
        <w:t xml:space="preserve">Rural Broadband Experiment </w:t>
      </w:r>
      <w:r w:rsidR="002E6B02">
        <w:rPr>
          <w:snapToGrid/>
          <w:kern w:val="0"/>
          <w:szCs w:val="22"/>
        </w:rPr>
        <w:t xml:space="preserve">support </w:t>
      </w:r>
      <w:r w:rsidR="00182ADB">
        <w:rPr>
          <w:snapToGrid/>
          <w:kern w:val="0"/>
          <w:szCs w:val="22"/>
        </w:rPr>
        <w:t xml:space="preserve">and </w:t>
      </w:r>
      <w:r w:rsidR="00D37AC8">
        <w:rPr>
          <w:snapToGrid/>
          <w:kern w:val="0"/>
          <w:szCs w:val="22"/>
        </w:rPr>
        <w:t>also</w:t>
      </w:r>
      <w:r w:rsidRPr="00F34674" w:rsidR="00D37AC8">
        <w:rPr>
          <w:szCs w:val="22"/>
        </w:rPr>
        <w:t xml:space="preserve"> participated in and won the rights to provide service </w:t>
      </w:r>
      <w:r w:rsidR="009D0521">
        <w:rPr>
          <w:szCs w:val="22"/>
        </w:rPr>
        <w:t xml:space="preserve">to 281 locations in Indiana </w:t>
      </w:r>
      <w:r w:rsidRPr="00F34674" w:rsidR="00D37AC8">
        <w:rPr>
          <w:szCs w:val="22"/>
        </w:rPr>
        <w:t>through Phase I of the Rural Digital Opportunity Fund (RDOF) Auction</w:t>
      </w:r>
      <w:r w:rsidR="00182ADB">
        <w:rPr>
          <w:snapToGrid/>
          <w:kern w:val="0"/>
          <w:szCs w:val="22"/>
        </w:rPr>
        <w:t>.</w:t>
      </w:r>
      <w:r>
        <w:rPr>
          <w:rStyle w:val="FootnoteReference"/>
          <w:snapToGrid/>
          <w:kern w:val="0"/>
          <w:szCs w:val="22"/>
        </w:rPr>
        <w:footnoteReference w:id="8"/>
      </w:r>
      <w:r w:rsidR="00137861">
        <w:rPr>
          <w:snapToGrid/>
          <w:kern w:val="0"/>
          <w:szCs w:val="22"/>
        </w:rPr>
        <w:t xml:space="preserve"> </w:t>
      </w:r>
      <w:r w:rsidR="00182ADB">
        <w:rPr>
          <w:snapToGrid/>
          <w:kern w:val="0"/>
          <w:szCs w:val="22"/>
        </w:rPr>
        <w:t xml:space="preserve"> </w:t>
      </w:r>
      <w:r w:rsidRPr="002D66B2">
        <w:rPr>
          <w:snapToGrid/>
          <w:kern w:val="0"/>
          <w:szCs w:val="22"/>
        </w:rPr>
        <w:t xml:space="preserve">NLBC provides wholesale broadband services within the NLTC service area, as well as cable television service </w:t>
      </w:r>
      <w:r w:rsidR="00B95D59">
        <w:rPr>
          <w:snapToGrid/>
          <w:kern w:val="0"/>
          <w:szCs w:val="22"/>
        </w:rPr>
        <w:t>in</w:t>
      </w:r>
      <w:r w:rsidRPr="002D66B2">
        <w:rPr>
          <w:snapToGrid/>
          <w:kern w:val="0"/>
          <w:szCs w:val="22"/>
        </w:rPr>
        <w:t xml:space="preserve"> Henry County</w:t>
      </w:r>
      <w:r w:rsidR="00B95D59">
        <w:rPr>
          <w:snapToGrid/>
          <w:kern w:val="0"/>
          <w:szCs w:val="22"/>
        </w:rPr>
        <w:t>, Randolph County</w:t>
      </w:r>
      <w:r w:rsidR="0053035D">
        <w:rPr>
          <w:snapToGrid/>
          <w:kern w:val="0"/>
          <w:szCs w:val="22"/>
        </w:rPr>
        <w:t>,</w:t>
      </w:r>
      <w:r w:rsidR="00B95D59">
        <w:rPr>
          <w:snapToGrid/>
          <w:kern w:val="0"/>
          <w:szCs w:val="22"/>
        </w:rPr>
        <w:t xml:space="preserve"> and Wayne county in Indiana</w:t>
      </w:r>
      <w:r w:rsidRPr="002D66B2">
        <w:rPr>
          <w:snapToGrid/>
          <w:kern w:val="0"/>
          <w:szCs w:val="22"/>
        </w:rPr>
        <w:t>.</w:t>
      </w:r>
      <w:r>
        <w:rPr>
          <w:rStyle w:val="FootnoteReference"/>
          <w:snapToGrid/>
          <w:kern w:val="0"/>
          <w:szCs w:val="22"/>
        </w:rPr>
        <w:footnoteReference w:id="9"/>
      </w:r>
      <w:r w:rsidR="00A8445B">
        <w:rPr>
          <w:snapToGrid/>
          <w:kern w:val="0"/>
          <w:szCs w:val="22"/>
        </w:rPr>
        <w:t xml:space="preserve"> </w:t>
      </w:r>
      <w:r w:rsidR="00727A0D">
        <w:rPr>
          <w:snapToGrid/>
          <w:kern w:val="0"/>
          <w:szCs w:val="22"/>
        </w:rPr>
        <w:t xml:space="preserve"> </w:t>
      </w:r>
      <w:r w:rsidRPr="00DA0A78">
        <w:rPr>
          <w:snapToGrid/>
          <w:kern w:val="0"/>
          <w:szCs w:val="22"/>
        </w:rPr>
        <w:t>NLHI</w:t>
      </w:r>
      <w:r w:rsidR="0087376E">
        <w:rPr>
          <w:snapToGrid/>
          <w:kern w:val="0"/>
          <w:szCs w:val="22"/>
        </w:rPr>
        <w:t xml:space="preserve">, </w:t>
      </w:r>
      <w:r w:rsidRPr="00DA0A78">
        <w:rPr>
          <w:snapToGrid/>
          <w:kern w:val="0"/>
          <w:szCs w:val="22"/>
        </w:rPr>
        <w:t>a holding company</w:t>
      </w:r>
      <w:r w:rsidR="0087376E">
        <w:rPr>
          <w:snapToGrid/>
          <w:kern w:val="0"/>
          <w:szCs w:val="22"/>
        </w:rPr>
        <w:t>, does not provide telecommunications services</w:t>
      </w:r>
      <w:r w:rsidRPr="00DA0A78">
        <w:rPr>
          <w:snapToGrid/>
          <w:kern w:val="0"/>
          <w:szCs w:val="22"/>
        </w:rPr>
        <w:t>.</w:t>
      </w:r>
      <w:r>
        <w:rPr>
          <w:rStyle w:val="FootnoteReference"/>
          <w:snapToGrid/>
          <w:kern w:val="0"/>
          <w:szCs w:val="22"/>
        </w:rPr>
        <w:footnoteReference w:id="10"/>
      </w:r>
      <w:r>
        <w:rPr>
          <w:snapToGrid/>
          <w:kern w:val="0"/>
          <w:szCs w:val="22"/>
        </w:rPr>
        <w:t xml:space="preserve"> </w:t>
      </w:r>
      <w:r w:rsidR="00273646">
        <w:rPr>
          <w:snapToGrid/>
          <w:kern w:val="0"/>
          <w:szCs w:val="22"/>
        </w:rPr>
        <w:t xml:space="preserve"> </w:t>
      </w:r>
      <w:r w:rsidR="00E34701">
        <w:rPr>
          <w:snapToGrid/>
          <w:kern w:val="0"/>
          <w:szCs w:val="22"/>
        </w:rPr>
        <w:t>NLTC, and NLHI after it gained control of NLTC, is owned and controlled by its Board of Directors, which is comprised of eight U.S. citizens.</w:t>
      </w:r>
      <w:r>
        <w:rPr>
          <w:rStyle w:val="FootnoteReference"/>
          <w:snapToGrid/>
          <w:kern w:val="0"/>
          <w:szCs w:val="22"/>
        </w:rPr>
        <w:footnoteReference w:id="11"/>
      </w:r>
      <w:r w:rsidR="00E34701">
        <w:rPr>
          <w:snapToGrid/>
          <w:kern w:val="0"/>
          <w:szCs w:val="22"/>
        </w:rPr>
        <w:t xml:space="preserve">  </w:t>
      </w:r>
    </w:p>
    <w:p w:rsidR="00FB19ED" w:rsidP="00D94B2A" w14:paraId="68173342" w14:textId="77777777">
      <w:pPr>
        <w:widowControl/>
        <w:autoSpaceDE w:val="0"/>
        <w:autoSpaceDN w:val="0"/>
        <w:adjustRightInd w:val="0"/>
        <w:spacing w:after="120"/>
        <w:ind w:firstLine="720"/>
        <w:rPr>
          <w:snapToGrid/>
        </w:rPr>
      </w:pPr>
      <w:r w:rsidRPr="004F0F83">
        <w:rPr>
          <w:snapToGrid/>
        </w:rPr>
        <w:t>Pursuant to the terms of the transaction</w:t>
      </w:r>
      <w:r w:rsidRPr="00477B03" w:rsidR="002351E7">
        <w:rPr>
          <w:snapToGrid/>
        </w:rPr>
        <w:t>,</w:t>
      </w:r>
      <w:r>
        <w:rPr>
          <w:snapToGrid/>
        </w:rPr>
        <w:t xml:space="preserve"> </w:t>
      </w:r>
      <w:r w:rsidRPr="004F0F83">
        <w:rPr>
          <w:snapToGrid/>
        </w:rPr>
        <w:t xml:space="preserve">the shareholders of PTC </w:t>
      </w:r>
      <w:r w:rsidR="00727A0D">
        <w:rPr>
          <w:snapToGrid/>
        </w:rPr>
        <w:t>sold</w:t>
      </w:r>
      <w:r w:rsidRPr="004F0F83">
        <w:rPr>
          <w:snapToGrid/>
        </w:rPr>
        <w:t xml:space="preserve"> 100% of its issued and outstanding shares to NLTC</w:t>
      </w:r>
      <w:r w:rsidR="0053035D">
        <w:rPr>
          <w:snapToGrid/>
        </w:rPr>
        <w:t xml:space="preserve"> on July 31, 2020</w:t>
      </w:r>
      <w:r w:rsidRPr="004F0F83">
        <w:rPr>
          <w:snapToGrid/>
        </w:rPr>
        <w:t>.</w:t>
      </w:r>
      <w:r>
        <w:rPr>
          <w:rStyle w:val="FootnoteReference"/>
          <w:snapToGrid/>
        </w:rPr>
        <w:footnoteReference w:id="12"/>
      </w:r>
      <w:r w:rsidR="00727A0D">
        <w:rPr>
          <w:snapToGrid/>
        </w:rPr>
        <w:t xml:space="preserve"> </w:t>
      </w:r>
      <w:r w:rsidR="00A8445B">
        <w:rPr>
          <w:snapToGrid/>
        </w:rPr>
        <w:t xml:space="preserve"> </w:t>
      </w:r>
      <w:r w:rsidR="00273646">
        <w:rPr>
          <w:snapToGrid/>
        </w:rPr>
        <w:t>On August 14, 2021</w:t>
      </w:r>
      <w:r w:rsidR="00727A0D">
        <w:rPr>
          <w:snapToGrid/>
        </w:rPr>
        <w:t xml:space="preserve">, </w:t>
      </w:r>
      <w:r w:rsidR="00A81B30">
        <w:rPr>
          <w:snapToGrid/>
          <w:kern w:val="0"/>
          <w:szCs w:val="22"/>
        </w:rPr>
        <w:t xml:space="preserve">Applicants consummated </w:t>
      </w:r>
      <w:r w:rsidR="00182ADB">
        <w:rPr>
          <w:snapToGrid/>
          <w:kern w:val="0"/>
          <w:szCs w:val="22"/>
        </w:rPr>
        <w:t xml:space="preserve">a pro forma transaction resulting in </w:t>
      </w:r>
      <w:r w:rsidRPr="002D66B2" w:rsidR="00182ADB">
        <w:rPr>
          <w:snapToGrid/>
          <w:kern w:val="0"/>
          <w:szCs w:val="22"/>
        </w:rPr>
        <w:t>NLTC</w:t>
      </w:r>
      <w:r w:rsidR="00D234BA">
        <w:rPr>
          <w:snapToGrid/>
          <w:kern w:val="0"/>
          <w:szCs w:val="22"/>
        </w:rPr>
        <w:t>,</w:t>
      </w:r>
      <w:r w:rsidRPr="002D66B2" w:rsidR="00182ADB">
        <w:rPr>
          <w:snapToGrid/>
          <w:kern w:val="0"/>
          <w:szCs w:val="22"/>
        </w:rPr>
        <w:t xml:space="preserve"> PTC</w:t>
      </w:r>
      <w:r w:rsidR="00D234BA">
        <w:rPr>
          <w:snapToGrid/>
          <w:kern w:val="0"/>
          <w:szCs w:val="22"/>
        </w:rPr>
        <w:t xml:space="preserve">, and </w:t>
      </w:r>
      <w:r w:rsidRPr="002D66B2" w:rsidR="00182ADB">
        <w:rPr>
          <w:snapToGrid/>
          <w:kern w:val="0"/>
          <w:szCs w:val="22"/>
        </w:rPr>
        <w:t>N</w:t>
      </w:r>
      <w:r w:rsidR="00D234BA">
        <w:rPr>
          <w:snapToGrid/>
          <w:kern w:val="0"/>
          <w:szCs w:val="22"/>
        </w:rPr>
        <w:t>LBC becoming wholly owned subsidiaries of NLHI</w:t>
      </w:r>
      <w:r w:rsidRPr="002D66B2" w:rsidR="00182ADB">
        <w:rPr>
          <w:snapToGrid/>
          <w:kern w:val="0"/>
          <w:szCs w:val="22"/>
        </w:rPr>
        <w:t>.</w:t>
      </w:r>
      <w:r>
        <w:rPr>
          <w:rStyle w:val="FootnoteReference"/>
          <w:snapToGrid/>
          <w:kern w:val="0"/>
          <w:szCs w:val="22"/>
        </w:rPr>
        <w:footnoteReference w:id="13"/>
      </w:r>
      <w:r w:rsidR="00273646">
        <w:rPr>
          <w:snapToGrid/>
          <w:kern w:val="0"/>
          <w:szCs w:val="22"/>
        </w:rPr>
        <w:t xml:space="preserve">  </w:t>
      </w:r>
    </w:p>
    <w:p w:rsidR="00E03AA5" w:rsidRPr="00E03AA5" w:rsidP="00991140" w14:paraId="5D165765" w14:textId="77777777">
      <w:pPr>
        <w:widowControl/>
        <w:autoSpaceDE w:val="0"/>
        <w:autoSpaceDN w:val="0"/>
        <w:adjustRightInd w:val="0"/>
        <w:spacing w:after="120"/>
        <w:ind w:firstLine="720"/>
        <w:rPr>
          <w:snapToGrid/>
        </w:rPr>
      </w:pPr>
      <w:r w:rsidRPr="005C743D">
        <w:rPr>
          <w:snapToGrid/>
          <w:kern w:val="0"/>
          <w:szCs w:val="22"/>
        </w:rPr>
        <w:t>Applicants</w:t>
      </w:r>
      <w:r w:rsidRPr="005C743D">
        <w:rPr>
          <w:bCs/>
          <w:snapToGrid/>
          <w:kern w:val="0"/>
          <w:szCs w:val="22"/>
        </w:rPr>
        <w:t xml:space="preserve"> </w:t>
      </w:r>
      <w:r w:rsidR="00A808A5">
        <w:rPr>
          <w:bCs/>
          <w:snapToGrid/>
          <w:kern w:val="0"/>
          <w:szCs w:val="22"/>
        </w:rPr>
        <w:t xml:space="preserve">request streamlined treatment of the transaction and </w:t>
      </w:r>
      <w:r w:rsidRPr="005C743D">
        <w:rPr>
          <w:bCs/>
          <w:snapToGrid/>
          <w:kern w:val="0"/>
          <w:szCs w:val="22"/>
        </w:rPr>
        <w:t>assert that a grant of the application would serve the public interest, convenience, and necessity.</w:t>
      </w:r>
      <w:r>
        <w:rPr>
          <w:rStyle w:val="FootnoteReference"/>
          <w:bCs/>
          <w:snapToGrid/>
          <w:kern w:val="0"/>
          <w:szCs w:val="22"/>
        </w:rPr>
        <w:footnoteReference w:id="14"/>
      </w:r>
      <w:r w:rsidRPr="005C743D">
        <w:rPr>
          <w:bCs/>
          <w:snapToGrid/>
          <w:kern w:val="0"/>
          <w:szCs w:val="22"/>
        </w:rPr>
        <w:t xml:space="preserve">  </w:t>
      </w:r>
      <w:r w:rsidRPr="00085B38" w:rsidR="00085B38">
        <w:rPr>
          <w:snapToGrid/>
          <w:color w:val="020100"/>
          <w:kern w:val="0"/>
          <w:szCs w:val="22"/>
        </w:rPr>
        <w:t>Because the transaction is more complex than usual, and in order to analyze whether the proposed transaction would serve the public interest, the application will not be streamlined.</w:t>
      </w:r>
      <w:r>
        <w:rPr>
          <w:snapToGrid/>
          <w:color w:val="020100"/>
          <w:kern w:val="0"/>
          <w:szCs w:val="22"/>
          <w:vertAlign w:val="superscript"/>
        </w:rPr>
        <w:footnoteReference w:id="15"/>
      </w:r>
      <w:r w:rsidRPr="00085B38" w:rsidR="00085B38">
        <w:rPr>
          <w:b/>
          <w:bCs/>
          <w:snapToGrid/>
          <w:color w:val="020100"/>
          <w:kern w:val="0"/>
          <w:szCs w:val="22"/>
        </w:rPr>
        <w:t xml:space="preserve"> </w:t>
      </w:r>
    </w:p>
    <w:p w:rsidR="00A40FC5" w:rsidP="00A40FC5" w14:paraId="3D23B786" w14:textId="77777777">
      <w:pPr>
        <w:widowControl/>
        <w:ind w:left="720"/>
        <w:rPr>
          <w:snapToGrid/>
          <w:kern w:val="0"/>
          <w:szCs w:val="22"/>
        </w:rPr>
      </w:pPr>
      <w:r w:rsidRPr="005C743D">
        <w:rPr>
          <w:snapToGrid/>
          <w:kern w:val="0"/>
          <w:szCs w:val="22"/>
        </w:rPr>
        <w:t xml:space="preserve">Domestic Section 214 Application Filed for the </w:t>
      </w:r>
      <w:r w:rsidRPr="00A40FC5">
        <w:rPr>
          <w:snapToGrid/>
          <w:kern w:val="0"/>
          <w:szCs w:val="22"/>
        </w:rPr>
        <w:t xml:space="preserve">Transfer </w:t>
      </w:r>
      <w:r>
        <w:rPr>
          <w:snapToGrid/>
          <w:kern w:val="0"/>
          <w:szCs w:val="22"/>
        </w:rPr>
        <w:t>o</w:t>
      </w:r>
      <w:r w:rsidRPr="00A40FC5">
        <w:rPr>
          <w:snapToGrid/>
          <w:kern w:val="0"/>
          <w:szCs w:val="22"/>
        </w:rPr>
        <w:t xml:space="preserve">f Control </w:t>
      </w:r>
      <w:r>
        <w:rPr>
          <w:snapToGrid/>
          <w:kern w:val="0"/>
          <w:szCs w:val="22"/>
        </w:rPr>
        <w:t>o</w:t>
      </w:r>
      <w:r w:rsidRPr="00A40FC5">
        <w:rPr>
          <w:snapToGrid/>
          <w:kern w:val="0"/>
          <w:szCs w:val="22"/>
        </w:rPr>
        <w:t xml:space="preserve">f </w:t>
      </w:r>
    </w:p>
    <w:p w:rsidR="00A40FC5" w:rsidP="00A40FC5" w14:paraId="1E4476DC" w14:textId="77777777">
      <w:pPr>
        <w:widowControl/>
        <w:ind w:left="720"/>
        <w:rPr>
          <w:snapToGrid/>
          <w:kern w:val="0"/>
          <w:szCs w:val="22"/>
        </w:rPr>
      </w:pPr>
      <w:r w:rsidRPr="00A40FC5">
        <w:rPr>
          <w:snapToGrid/>
          <w:kern w:val="0"/>
          <w:szCs w:val="22"/>
        </w:rPr>
        <w:t xml:space="preserve">Pennsylvania Telephone Company, Inc. </w:t>
      </w:r>
      <w:r w:rsidR="00A81B30">
        <w:rPr>
          <w:snapToGrid/>
          <w:kern w:val="0"/>
          <w:szCs w:val="22"/>
        </w:rPr>
        <w:t>to</w:t>
      </w:r>
      <w:r w:rsidRPr="00A40FC5">
        <w:rPr>
          <w:snapToGrid/>
          <w:kern w:val="0"/>
          <w:szCs w:val="22"/>
        </w:rPr>
        <w:t xml:space="preserve"> New Lisbon Holdings, Inc.</w:t>
      </w:r>
      <w:r w:rsidRPr="005C743D" w:rsidR="002351E7">
        <w:rPr>
          <w:snapToGrid/>
          <w:kern w:val="0"/>
          <w:szCs w:val="22"/>
        </w:rPr>
        <w:t xml:space="preserve">, </w:t>
      </w:r>
    </w:p>
    <w:p w:rsidR="00590452" w:rsidRPr="00A669E1" w:rsidP="00A669E1" w14:paraId="43908DF8" w14:textId="77777777">
      <w:pPr>
        <w:widowControl/>
        <w:ind w:left="720"/>
        <w:rPr>
          <w:snapToGrid/>
          <w:kern w:val="0"/>
          <w:szCs w:val="22"/>
        </w:rPr>
      </w:pPr>
      <w:r w:rsidRPr="005C743D">
        <w:rPr>
          <w:snapToGrid/>
          <w:kern w:val="0"/>
          <w:szCs w:val="22"/>
        </w:rPr>
        <w:t>WC Docket No. 2</w:t>
      </w:r>
      <w:r w:rsidR="005A029F">
        <w:rPr>
          <w:snapToGrid/>
          <w:kern w:val="0"/>
          <w:szCs w:val="22"/>
        </w:rPr>
        <w:t>2</w:t>
      </w:r>
      <w:r w:rsidRPr="005C743D">
        <w:rPr>
          <w:snapToGrid/>
          <w:kern w:val="0"/>
          <w:szCs w:val="22"/>
        </w:rPr>
        <w:t>-</w:t>
      </w:r>
      <w:r w:rsidR="00A40FC5">
        <w:rPr>
          <w:snapToGrid/>
          <w:kern w:val="0"/>
          <w:szCs w:val="22"/>
        </w:rPr>
        <w:t>99</w:t>
      </w:r>
      <w:r w:rsidRPr="005C743D">
        <w:rPr>
          <w:snapToGrid/>
          <w:kern w:val="0"/>
          <w:szCs w:val="22"/>
        </w:rPr>
        <w:t xml:space="preserve"> (filed </w:t>
      </w:r>
      <w:r w:rsidR="00861C86">
        <w:rPr>
          <w:snapToGrid/>
          <w:kern w:val="0"/>
          <w:szCs w:val="22"/>
        </w:rPr>
        <w:t>Feb</w:t>
      </w:r>
      <w:r>
        <w:rPr>
          <w:snapToGrid/>
          <w:kern w:val="0"/>
          <w:szCs w:val="22"/>
        </w:rPr>
        <w:t>.</w:t>
      </w:r>
      <w:r w:rsidRPr="005C743D">
        <w:rPr>
          <w:snapToGrid/>
          <w:kern w:val="0"/>
          <w:szCs w:val="22"/>
        </w:rPr>
        <w:t xml:space="preserve"> </w:t>
      </w:r>
      <w:r w:rsidR="00A40FC5">
        <w:rPr>
          <w:snapToGrid/>
          <w:kern w:val="0"/>
          <w:szCs w:val="22"/>
        </w:rPr>
        <w:t>2</w:t>
      </w:r>
      <w:r w:rsidR="00757E5C">
        <w:rPr>
          <w:snapToGrid/>
          <w:kern w:val="0"/>
          <w:szCs w:val="22"/>
        </w:rPr>
        <w:t>5</w:t>
      </w:r>
      <w:r w:rsidRPr="005C743D">
        <w:rPr>
          <w:snapToGrid/>
          <w:kern w:val="0"/>
          <w:szCs w:val="22"/>
        </w:rPr>
        <w:t>, 202</w:t>
      </w:r>
      <w:r w:rsidR="005A029F">
        <w:rPr>
          <w:snapToGrid/>
          <w:kern w:val="0"/>
          <w:szCs w:val="22"/>
        </w:rPr>
        <w:t>2</w:t>
      </w:r>
      <w:r w:rsidRPr="005C743D">
        <w:rPr>
          <w:snapToGrid/>
          <w:kern w:val="0"/>
          <w:szCs w:val="22"/>
        </w:rPr>
        <w:t>).</w:t>
      </w:r>
      <w:bookmarkStart w:id="1" w:name="_Hlk91058179"/>
    </w:p>
    <w:p w:rsidR="003474AA" w:rsidRPr="005C743D" w:rsidP="003474AA" w14:paraId="1BA337D7" w14:textId="77777777">
      <w:pPr>
        <w:widowControl/>
        <w:autoSpaceDE w:val="0"/>
        <w:autoSpaceDN w:val="0"/>
        <w:adjustRightInd w:val="0"/>
        <w:rPr>
          <w:snapToGrid/>
          <w:kern w:val="0"/>
          <w:szCs w:val="22"/>
        </w:rPr>
      </w:pPr>
    </w:p>
    <w:p w:rsidR="00F161CA" w:rsidRPr="00F161CA" w:rsidP="00F161CA" w14:paraId="5FA1F74A" w14:textId="77777777">
      <w:pPr>
        <w:widowControl/>
        <w:autoSpaceDE w:val="0"/>
        <w:autoSpaceDN w:val="0"/>
        <w:adjustRightInd w:val="0"/>
        <w:rPr>
          <w:snapToGrid/>
          <w:kern w:val="0"/>
          <w:szCs w:val="22"/>
        </w:rPr>
      </w:pPr>
      <w:r w:rsidRPr="00F161CA">
        <w:rPr>
          <w:b/>
          <w:snapToGrid/>
          <w:kern w:val="0"/>
          <w:szCs w:val="22"/>
          <w:u w:val="single"/>
        </w:rPr>
        <w:t>GENERAL INFORMATION</w:t>
      </w:r>
    </w:p>
    <w:p w:rsidR="00F161CA" w:rsidRPr="00F161CA" w:rsidP="00F161CA" w14:paraId="6398B6F6" w14:textId="77777777">
      <w:pPr>
        <w:widowControl/>
        <w:autoSpaceDE w:val="0"/>
        <w:autoSpaceDN w:val="0"/>
        <w:adjustRightInd w:val="0"/>
        <w:rPr>
          <w:snapToGrid/>
          <w:kern w:val="0"/>
          <w:szCs w:val="22"/>
        </w:rPr>
      </w:pPr>
    </w:p>
    <w:p w:rsidR="00F161CA" w:rsidRPr="00F161CA" w:rsidP="00F161CA" w14:paraId="74AFD67A" w14:textId="77777777">
      <w:pPr>
        <w:widowControl/>
        <w:autoSpaceDE w:val="0"/>
        <w:autoSpaceDN w:val="0"/>
        <w:adjustRightInd w:val="0"/>
        <w:spacing w:after="120"/>
        <w:ind w:firstLine="720"/>
        <w:rPr>
          <w:snapToGrid/>
          <w:kern w:val="0"/>
          <w:szCs w:val="22"/>
        </w:rPr>
      </w:pPr>
      <w:r w:rsidRPr="00F161CA">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F161CA" w:rsidRPr="00F161CA" w:rsidP="00F161CA" w14:paraId="18C401BB" w14:textId="77777777">
      <w:pPr>
        <w:widowControl/>
        <w:autoSpaceDE w:val="0"/>
        <w:autoSpaceDN w:val="0"/>
        <w:adjustRightInd w:val="0"/>
        <w:spacing w:after="120"/>
        <w:ind w:firstLine="720"/>
        <w:rPr>
          <w:snapToGrid/>
          <w:kern w:val="0"/>
          <w:szCs w:val="22"/>
        </w:rPr>
      </w:pPr>
      <w:r w:rsidRPr="00F161CA">
        <w:rPr>
          <w:snapToGrid/>
          <w:kern w:val="0"/>
          <w:szCs w:val="22"/>
        </w:rPr>
        <w:t xml:space="preserve">Interested parties may file comments </w:t>
      </w:r>
      <w:r w:rsidRPr="00F161CA">
        <w:rPr>
          <w:b/>
          <w:snapToGrid/>
          <w:kern w:val="0"/>
          <w:szCs w:val="22"/>
        </w:rPr>
        <w:t xml:space="preserve">on or before March </w:t>
      </w:r>
      <w:r w:rsidR="00796904">
        <w:rPr>
          <w:b/>
          <w:snapToGrid/>
          <w:kern w:val="0"/>
          <w:szCs w:val="22"/>
        </w:rPr>
        <w:t>23</w:t>
      </w:r>
      <w:r w:rsidRPr="00F161CA">
        <w:rPr>
          <w:b/>
          <w:snapToGrid/>
          <w:kern w:val="0"/>
          <w:szCs w:val="22"/>
        </w:rPr>
        <w:t>, 2022</w:t>
      </w:r>
      <w:r w:rsidRPr="00F161CA">
        <w:rPr>
          <w:snapToGrid/>
          <w:kern w:val="0"/>
          <w:szCs w:val="22"/>
        </w:rPr>
        <w:t xml:space="preserve">, and reply comments </w:t>
      </w:r>
      <w:r w:rsidRPr="00F161CA">
        <w:rPr>
          <w:b/>
          <w:snapToGrid/>
          <w:kern w:val="0"/>
          <w:szCs w:val="22"/>
        </w:rPr>
        <w:t xml:space="preserve">on or before March </w:t>
      </w:r>
      <w:r w:rsidR="00796904">
        <w:rPr>
          <w:b/>
          <w:snapToGrid/>
          <w:kern w:val="0"/>
          <w:szCs w:val="22"/>
        </w:rPr>
        <w:t>30</w:t>
      </w:r>
      <w:r w:rsidRPr="00F161CA">
        <w:rPr>
          <w:b/>
          <w:snapToGrid/>
          <w:kern w:val="0"/>
          <w:szCs w:val="22"/>
        </w:rPr>
        <w:t>, 2022</w:t>
      </w:r>
      <w:r w:rsidRPr="00F161CA">
        <w:rPr>
          <w:snapToGrid/>
          <w:kern w:val="0"/>
          <w:szCs w:val="22"/>
        </w:rPr>
        <w:t>.  Comments may be filed using the Commission’s Electronic Comment Filing System (ECFS) or by paper.  </w:t>
      </w:r>
    </w:p>
    <w:p w:rsidR="00F161CA" w:rsidRPr="00F161CA" w:rsidP="00F161CA" w14:paraId="32831CB4" w14:textId="77777777">
      <w:pPr>
        <w:widowControl/>
        <w:numPr>
          <w:ilvl w:val="0"/>
          <w:numId w:val="8"/>
        </w:numPr>
        <w:autoSpaceDE w:val="0"/>
        <w:autoSpaceDN w:val="0"/>
        <w:adjustRightInd w:val="0"/>
        <w:rPr>
          <w:snapToGrid/>
          <w:kern w:val="0"/>
          <w:szCs w:val="22"/>
        </w:rPr>
      </w:pPr>
      <w:r w:rsidRPr="00F161CA">
        <w:rPr>
          <w:snapToGrid/>
          <w:kern w:val="0"/>
          <w:szCs w:val="22"/>
        </w:rPr>
        <w:t>Electronic Filers:  Comments may be filed electronically by accessing ECFS at </w:t>
      </w:r>
      <w:hyperlink r:id="rId5" w:history="1">
        <w:r w:rsidRPr="00F161CA">
          <w:rPr>
            <w:snapToGrid/>
            <w:color w:val="0000FF"/>
            <w:kern w:val="0"/>
            <w:szCs w:val="22"/>
            <w:u w:val="single"/>
          </w:rPr>
          <w:t>http://apps.fcc.gov/ecfs/</w:t>
        </w:r>
      </w:hyperlink>
      <w:r w:rsidRPr="00F161CA">
        <w:rPr>
          <w:snapToGrid/>
          <w:color w:val="0000FF"/>
          <w:kern w:val="0"/>
          <w:szCs w:val="22"/>
          <w:u w:val="single"/>
        </w:rPr>
        <w:t xml:space="preserve"> </w:t>
      </w:r>
      <w:r w:rsidRPr="00F161CA">
        <w:rPr>
          <w:snapToGrid/>
          <w:kern w:val="0"/>
          <w:szCs w:val="22"/>
        </w:rPr>
        <w:t>.</w:t>
      </w:r>
    </w:p>
    <w:p w:rsidR="00F161CA" w:rsidRPr="00F161CA" w:rsidP="00F161CA" w14:paraId="6AF100F3" w14:textId="77777777">
      <w:pPr>
        <w:widowControl/>
        <w:autoSpaceDE w:val="0"/>
        <w:autoSpaceDN w:val="0"/>
        <w:adjustRightInd w:val="0"/>
        <w:ind w:left="720"/>
        <w:rPr>
          <w:snapToGrid/>
          <w:kern w:val="0"/>
          <w:szCs w:val="22"/>
        </w:rPr>
      </w:pPr>
    </w:p>
    <w:p w:rsidR="00F161CA" w:rsidRPr="00F161CA" w:rsidP="00F161CA" w14:paraId="3ABE6922" w14:textId="77777777">
      <w:pPr>
        <w:widowControl/>
        <w:numPr>
          <w:ilvl w:val="0"/>
          <w:numId w:val="9"/>
        </w:numPr>
        <w:autoSpaceDE w:val="0"/>
        <w:autoSpaceDN w:val="0"/>
        <w:adjustRightInd w:val="0"/>
        <w:rPr>
          <w:snapToGrid/>
          <w:kern w:val="0"/>
          <w:szCs w:val="22"/>
        </w:rPr>
      </w:pPr>
      <w:r w:rsidRPr="00F161CA">
        <w:rPr>
          <w:i/>
          <w:iCs/>
          <w:snapToGrid/>
          <w:kern w:val="0"/>
          <w:szCs w:val="22"/>
        </w:rPr>
        <w:t>Paper Filers</w:t>
      </w:r>
      <w:r w:rsidRPr="00F161CA">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161CA" w:rsidRPr="00F161CA" w:rsidP="00F161CA" w14:paraId="35D404C2" w14:textId="77777777">
      <w:pPr>
        <w:widowControl/>
        <w:autoSpaceDE w:val="0"/>
        <w:autoSpaceDN w:val="0"/>
        <w:adjustRightInd w:val="0"/>
        <w:ind w:left="720"/>
        <w:rPr>
          <w:snapToGrid/>
          <w:kern w:val="0"/>
          <w:szCs w:val="22"/>
        </w:rPr>
      </w:pPr>
    </w:p>
    <w:p w:rsidR="00F161CA" w:rsidRPr="00F161CA" w:rsidP="00F161CA" w14:paraId="21C7644A" w14:textId="77777777">
      <w:pPr>
        <w:widowControl/>
        <w:numPr>
          <w:ilvl w:val="1"/>
          <w:numId w:val="9"/>
        </w:numPr>
        <w:autoSpaceDE w:val="0"/>
        <w:autoSpaceDN w:val="0"/>
        <w:adjustRightInd w:val="0"/>
        <w:rPr>
          <w:snapToGrid/>
          <w:kern w:val="0"/>
          <w:szCs w:val="22"/>
        </w:rPr>
      </w:pPr>
      <w:r w:rsidRPr="00F161CA">
        <w:rPr>
          <w:snapToGrid/>
          <w:kern w:val="0"/>
          <w:szCs w:val="22"/>
        </w:rPr>
        <w:t>Filings can be sent by commercial overnight courier or by first-class or overnight U.S. Postal Service mail.</w:t>
      </w:r>
      <w:r>
        <w:rPr>
          <w:snapToGrid/>
          <w:kern w:val="0"/>
          <w:szCs w:val="22"/>
          <w:vertAlign w:val="superscript"/>
        </w:rPr>
        <w:footnoteReference w:id="16"/>
      </w:r>
      <w:r w:rsidRPr="00F161CA">
        <w:rPr>
          <w:snapToGrid/>
          <w:kern w:val="0"/>
          <w:szCs w:val="22"/>
        </w:rPr>
        <w:t xml:space="preserve">  All filings must be addressed to the Commission’s Secretary, Office of the Secretary, Federal Communications Commission.</w:t>
      </w:r>
    </w:p>
    <w:p w:rsidR="00F161CA" w:rsidRPr="00F161CA" w:rsidP="00F161CA" w14:paraId="795F2E3D" w14:textId="77777777">
      <w:pPr>
        <w:widowControl/>
        <w:numPr>
          <w:ilvl w:val="1"/>
          <w:numId w:val="9"/>
        </w:numPr>
        <w:autoSpaceDE w:val="0"/>
        <w:autoSpaceDN w:val="0"/>
        <w:adjustRightInd w:val="0"/>
        <w:rPr>
          <w:snapToGrid/>
          <w:kern w:val="0"/>
          <w:szCs w:val="22"/>
        </w:rPr>
      </w:pPr>
      <w:r w:rsidRPr="00F161CA">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F161CA" w:rsidRPr="00F161CA" w:rsidP="00F161CA" w14:paraId="537DE5AD" w14:textId="77777777">
      <w:pPr>
        <w:widowControl/>
        <w:autoSpaceDE w:val="0"/>
        <w:autoSpaceDN w:val="0"/>
        <w:adjustRightInd w:val="0"/>
        <w:rPr>
          <w:snapToGrid/>
          <w:kern w:val="0"/>
          <w:szCs w:val="22"/>
        </w:rPr>
      </w:pPr>
    </w:p>
    <w:p w:rsidR="00F161CA" w:rsidRPr="00F161CA" w:rsidP="00F161CA" w14:paraId="1FE10015" w14:textId="77777777">
      <w:pPr>
        <w:widowControl/>
        <w:autoSpaceDE w:val="0"/>
        <w:autoSpaceDN w:val="0"/>
        <w:adjustRightInd w:val="0"/>
        <w:spacing w:after="120"/>
        <w:ind w:firstLine="720"/>
        <w:rPr>
          <w:b/>
          <w:snapToGrid/>
          <w:kern w:val="0"/>
          <w:szCs w:val="22"/>
        </w:rPr>
      </w:pPr>
      <w:r w:rsidRPr="00F161CA">
        <w:rPr>
          <w:b/>
          <w:snapToGrid/>
          <w:kern w:val="0"/>
          <w:szCs w:val="22"/>
        </w:rPr>
        <w:t>In addition, e-mail one copy of each pleading to each of the following:</w:t>
      </w:r>
    </w:p>
    <w:p w:rsidR="00F161CA" w:rsidRPr="005C743D" w:rsidP="00F161CA" w14:paraId="15CCDE21" w14:textId="77777777">
      <w:pPr>
        <w:widowControl/>
        <w:numPr>
          <w:ilvl w:val="0"/>
          <w:numId w:val="7"/>
        </w:numPr>
        <w:autoSpaceDE w:val="0"/>
        <w:autoSpaceDN w:val="0"/>
        <w:adjustRightInd w:val="0"/>
        <w:spacing w:after="120"/>
        <w:rPr>
          <w:snapToGrid/>
          <w:kern w:val="0"/>
          <w:szCs w:val="22"/>
        </w:rPr>
      </w:pPr>
      <w:r>
        <w:rPr>
          <w:snapToGrid/>
          <w:kern w:val="0"/>
          <w:szCs w:val="22"/>
        </w:rPr>
        <w:t>Myrva Charles</w:t>
      </w:r>
      <w:r w:rsidRPr="005C743D">
        <w:rPr>
          <w:snapToGrid/>
          <w:kern w:val="0"/>
          <w:szCs w:val="22"/>
        </w:rPr>
        <w:t xml:space="preserve">, Competition Policy Division, Wireline Competition Bureau,  </w:t>
      </w:r>
      <w:hyperlink r:id="rId6" w:history="1">
        <w:r w:rsidRPr="00A233D9">
          <w:rPr>
            <w:rStyle w:val="Hyperlink"/>
            <w:snapToGrid/>
            <w:kern w:val="0"/>
            <w:szCs w:val="22"/>
          </w:rPr>
          <w:t>myrva.charles@fcc.gov</w:t>
        </w:r>
      </w:hyperlink>
      <w:r w:rsidRPr="005C743D">
        <w:rPr>
          <w:snapToGrid/>
          <w:kern w:val="0"/>
          <w:szCs w:val="22"/>
        </w:rPr>
        <w:t>;</w:t>
      </w:r>
    </w:p>
    <w:p w:rsidR="00F161CA" w:rsidRPr="00F161CA" w:rsidP="00381C66" w14:paraId="6F7249D0" w14:textId="77777777">
      <w:pPr>
        <w:widowControl/>
        <w:numPr>
          <w:ilvl w:val="0"/>
          <w:numId w:val="7"/>
        </w:numPr>
        <w:autoSpaceDE w:val="0"/>
        <w:autoSpaceDN w:val="0"/>
        <w:adjustRightInd w:val="0"/>
        <w:spacing w:after="120"/>
        <w:rPr>
          <w:snapToGrid/>
          <w:kern w:val="0"/>
          <w:szCs w:val="22"/>
        </w:rPr>
      </w:pPr>
      <w:r w:rsidRPr="00F161CA">
        <w:rPr>
          <w:snapToGrid/>
          <w:kern w:val="0"/>
          <w:szCs w:val="22"/>
        </w:rPr>
        <w:t xml:space="preserve">Dennis Johnson, Competition Policy Division, Wireline Competition Bureau, </w:t>
      </w:r>
      <w:hyperlink r:id="rId7" w:history="1">
        <w:r w:rsidRPr="00F161CA">
          <w:rPr>
            <w:snapToGrid/>
            <w:color w:val="0000FF"/>
            <w:kern w:val="0"/>
            <w:szCs w:val="22"/>
            <w:u w:val="single"/>
          </w:rPr>
          <w:t>dennis.johnson@fcc.gov</w:t>
        </w:r>
      </w:hyperlink>
      <w:r w:rsidRPr="00F161CA">
        <w:rPr>
          <w:snapToGrid/>
          <w:kern w:val="0"/>
          <w:szCs w:val="22"/>
        </w:rPr>
        <w:t>; and</w:t>
      </w:r>
    </w:p>
    <w:p w:rsidR="00F161CA" w:rsidRPr="00F161CA" w:rsidP="00F161CA" w14:paraId="0E86A8C0" w14:textId="77777777">
      <w:pPr>
        <w:widowControl/>
        <w:numPr>
          <w:ilvl w:val="0"/>
          <w:numId w:val="7"/>
        </w:numPr>
        <w:autoSpaceDE w:val="0"/>
        <w:autoSpaceDN w:val="0"/>
        <w:adjustRightInd w:val="0"/>
        <w:spacing w:after="120"/>
        <w:rPr>
          <w:snapToGrid/>
          <w:kern w:val="0"/>
          <w:szCs w:val="22"/>
        </w:rPr>
      </w:pPr>
      <w:r w:rsidRPr="00F161CA">
        <w:rPr>
          <w:snapToGrid/>
          <w:kern w:val="0"/>
          <w:szCs w:val="22"/>
        </w:rPr>
        <w:t xml:space="preserve">Jim Bird, Office of General Counsel, </w:t>
      </w:r>
      <w:hyperlink r:id="rId8" w:history="1">
        <w:r w:rsidRPr="00F161CA">
          <w:rPr>
            <w:snapToGrid/>
            <w:color w:val="0000FF"/>
            <w:kern w:val="0"/>
            <w:szCs w:val="22"/>
            <w:u w:val="single"/>
          </w:rPr>
          <w:t>jim.bird@fcc.gov</w:t>
        </w:r>
      </w:hyperlink>
      <w:r w:rsidRPr="00F161CA">
        <w:rPr>
          <w:snapToGrid/>
          <w:kern w:val="0"/>
          <w:szCs w:val="22"/>
        </w:rPr>
        <w:t>.</w:t>
      </w:r>
    </w:p>
    <w:p w:rsidR="00F161CA" w:rsidRPr="00F161CA" w:rsidP="00F161CA" w14:paraId="5F048EB6" w14:textId="77777777">
      <w:pPr>
        <w:widowControl/>
        <w:autoSpaceDE w:val="0"/>
        <w:autoSpaceDN w:val="0"/>
        <w:adjustRightInd w:val="0"/>
        <w:spacing w:after="120"/>
        <w:ind w:firstLine="720"/>
        <w:rPr>
          <w:snapToGrid/>
          <w:kern w:val="0"/>
          <w:szCs w:val="22"/>
        </w:rPr>
      </w:pPr>
      <w:r w:rsidRPr="00F161CA">
        <w:rPr>
          <w:snapToGrid/>
          <w:kern w:val="0"/>
          <w:szCs w:val="22"/>
        </w:rPr>
        <w:t>People with Disabilities:  We ask that requests for accommodations be made as soon as possible in order to allow the agency to satisfy such requests whenever possible.  Send an email to </w:t>
      </w:r>
      <w:hyperlink r:id="rId9" w:tgtFrame="_blank" w:history="1">
        <w:r w:rsidRPr="00F161CA">
          <w:rPr>
            <w:snapToGrid/>
            <w:color w:val="0000FF"/>
            <w:kern w:val="0"/>
            <w:szCs w:val="22"/>
            <w:u w:val="single"/>
          </w:rPr>
          <w:t>fcc504@fcc.gov</w:t>
        </w:r>
      </w:hyperlink>
      <w:r w:rsidRPr="00F161CA">
        <w:rPr>
          <w:snapToGrid/>
          <w:kern w:val="0"/>
          <w:szCs w:val="22"/>
        </w:rPr>
        <w:t> or call the Consumer and Governmental Affairs Bureau at (202) 418-0530.</w:t>
      </w:r>
    </w:p>
    <w:p w:rsidR="00F161CA" w:rsidRPr="00F161CA" w:rsidP="00F161CA" w14:paraId="4CE3C877" w14:textId="77777777">
      <w:pPr>
        <w:widowControl/>
        <w:autoSpaceDE w:val="0"/>
        <w:autoSpaceDN w:val="0"/>
        <w:adjustRightInd w:val="0"/>
        <w:spacing w:after="120"/>
        <w:ind w:firstLine="720"/>
        <w:rPr>
          <w:snapToGrid/>
          <w:kern w:val="0"/>
          <w:szCs w:val="22"/>
        </w:rPr>
      </w:pPr>
      <w:r w:rsidRPr="00F161CA">
        <w:rPr>
          <w:snapToGrid/>
          <w:kern w:val="0"/>
          <w:szCs w:val="22"/>
        </w:rPr>
        <w:t xml:space="preserve">The proceeding in this Notice shall be treated as a “permit-but-disclose” proceeding in accordance with the Commission’s </w:t>
      </w:r>
      <w:r w:rsidRPr="00F161CA">
        <w:rPr>
          <w:i/>
          <w:snapToGrid/>
          <w:kern w:val="0"/>
          <w:szCs w:val="22"/>
        </w:rPr>
        <w:t>ex parte</w:t>
      </w:r>
      <w:r w:rsidRPr="00F161CA">
        <w:rPr>
          <w:snapToGrid/>
          <w:kern w:val="0"/>
          <w:szCs w:val="22"/>
        </w:rPr>
        <w:t xml:space="preserve"> rules.  Persons making </w:t>
      </w:r>
      <w:r w:rsidRPr="00F161CA">
        <w:rPr>
          <w:i/>
          <w:snapToGrid/>
          <w:kern w:val="0"/>
          <w:szCs w:val="22"/>
        </w:rPr>
        <w:t>ex parte</w:t>
      </w:r>
      <w:r w:rsidRPr="00F161CA">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161CA">
        <w:rPr>
          <w:i/>
          <w:snapToGrid/>
          <w:kern w:val="0"/>
          <w:szCs w:val="22"/>
        </w:rPr>
        <w:t>ex parte</w:t>
      </w:r>
      <w:r w:rsidRPr="00F161CA">
        <w:rPr>
          <w:snapToGrid/>
          <w:kern w:val="0"/>
          <w:szCs w:val="22"/>
        </w:rPr>
        <w:t xml:space="preserve"> presentations are reminded that memoranda summarizing the presentation must (1) list all persons attending or otherwise participating in the meeting at which the </w:t>
      </w:r>
      <w:r w:rsidRPr="00F161CA">
        <w:rPr>
          <w:i/>
          <w:snapToGrid/>
          <w:kern w:val="0"/>
          <w:szCs w:val="22"/>
        </w:rPr>
        <w:t>ex parte</w:t>
      </w:r>
      <w:r w:rsidRPr="00F161CA">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161CA">
        <w:rPr>
          <w:i/>
          <w:snapToGrid/>
          <w:kern w:val="0"/>
          <w:szCs w:val="22"/>
        </w:rPr>
        <w:t>ex parte</w:t>
      </w:r>
      <w:r w:rsidRPr="00F161CA">
        <w:rPr>
          <w:snapToGrid/>
          <w:kern w:val="0"/>
          <w:szCs w:val="22"/>
        </w:rPr>
        <w:t xml:space="preserve"> meetings are deemed to be written </w:t>
      </w:r>
      <w:r w:rsidRPr="00F161CA">
        <w:rPr>
          <w:i/>
          <w:snapToGrid/>
          <w:kern w:val="0"/>
          <w:szCs w:val="22"/>
        </w:rPr>
        <w:t>ex parte</w:t>
      </w:r>
      <w:r w:rsidRPr="00F161CA">
        <w:rPr>
          <w:snapToGrid/>
          <w:kern w:val="0"/>
          <w:szCs w:val="22"/>
        </w:rPr>
        <w:t xml:space="preserve"> presentations and must be filed consistent with rule 1.1206(b), 47 CFR § 1.1206(b).  Participants in this proceeding should familiarize themselves with the Commission’s </w:t>
      </w:r>
      <w:r w:rsidRPr="00F161CA">
        <w:rPr>
          <w:i/>
          <w:snapToGrid/>
          <w:kern w:val="0"/>
          <w:szCs w:val="22"/>
        </w:rPr>
        <w:t>ex parte</w:t>
      </w:r>
      <w:r w:rsidRPr="00F161CA">
        <w:rPr>
          <w:snapToGrid/>
          <w:kern w:val="0"/>
          <w:szCs w:val="22"/>
        </w:rPr>
        <w:t xml:space="preserve"> rules.</w:t>
      </w:r>
    </w:p>
    <w:p w:rsidR="00F161CA" w:rsidRPr="00F161CA" w:rsidP="00F161CA" w14:paraId="598E49BB" w14:textId="77777777">
      <w:pPr>
        <w:widowControl/>
        <w:autoSpaceDE w:val="0"/>
        <w:autoSpaceDN w:val="0"/>
        <w:adjustRightInd w:val="0"/>
        <w:spacing w:after="120"/>
        <w:ind w:firstLine="720"/>
        <w:rPr>
          <w:snapToGrid/>
          <w:kern w:val="0"/>
          <w:szCs w:val="22"/>
        </w:rPr>
      </w:pPr>
      <w:r w:rsidRPr="00F161CA">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7"/>
      </w:r>
      <w:r w:rsidRPr="00F161CA">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w:t>
      </w:r>
      <w:r w:rsidRPr="00F161CA">
        <w:rPr>
          <w:snapToGrid/>
          <w:kern w:val="0"/>
          <w:szCs w:val="22"/>
        </w:rPr>
        <w:t>seek to raise new issues based on new facts or newly discovered facts should be filed within 15 days after such facts are discovered.  Absent such a showing of good cause, any issues not timely raised may be disregarded by the Commission.</w:t>
      </w:r>
    </w:p>
    <w:p w:rsidR="00F161CA" w:rsidRPr="00F161CA" w:rsidP="00F161CA" w14:paraId="42AF763B" w14:textId="77777777">
      <w:pPr>
        <w:widowControl/>
        <w:autoSpaceDE w:val="0"/>
        <w:autoSpaceDN w:val="0"/>
        <w:adjustRightInd w:val="0"/>
        <w:spacing w:after="120"/>
        <w:ind w:firstLine="720"/>
        <w:rPr>
          <w:snapToGrid/>
          <w:kern w:val="0"/>
          <w:szCs w:val="22"/>
        </w:rPr>
      </w:pPr>
      <w:r w:rsidRPr="00F161CA">
        <w:rPr>
          <w:snapToGrid/>
          <w:kern w:val="0"/>
          <w:szCs w:val="22"/>
        </w:rPr>
        <w:t xml:space="preserve">For further information, please contact </w:t>
      </w:r>
      <w:r>
        <w:rPr>
          <w:snapToGrid/>
          <w:kern w:val="0"/>
          <w:szCs w:val="22"/>
        </w:rPr>
        <w:t xml:space="preserve">Myrva Charles </w:t>
      </w:r>
      <w:r w:rsidRPr="00F161CA">
        <w:rPr>
          <w:snapToGrid/>
          <w:kern w:val="0"/>
          <w:szCs w:val="22"/>
        </w:rPr>
        <w:t>(202) 418-</w:t>
      </w:r>
      <w:r>
        <w:rPr>
          <w:snapToGrid/>
          <w:kern w:val="0"/>
          <w:szCs w:val="22"/>
        </w:rPr>
        <w:t>1506</w:t>
      </w:r>
      <w:r w:rsidRPr="00F161CA">
        <w:rPr>
          <w:snapToGrid/>
          <w:kern w:val="0"/>
          <w:szCs w:val="22"/>
        </w:rPr>
        <w:t xml:space="preserve"> or Dennis Johnson at (202) 418-0809.</w:t>
      </w:r>
    </w:p>
    <w:p w:rsidR="00F161CA" w:rsidRPr="00F161CA" w:rsidP="00F161CA" w14:paraId="60579378" w14:textId="77777777">
      <w:pPr>
        <w:widowControl/>
        <w:autoSpaceDE w:val="0"/>
        <w:autoSpaceDN w:val="0"/>
        <w:adjustRightInd w:val="0"/>
        <w:rPr>
          <w:snapToGrid/>
          <w:kern w:val="0"/>
          <w:szCs w:val="22"/>
        </w:rPr>
      </w:pPr>
    </w:p>
    <w:p w:rsidR="00F161CA" w:rsidRPr="00F161CA" w:rsidP="00F161CA" w14:paraId="1AC13ADD" w14:textId="77777777">
      <w:pPr>
        <w:widowControl/>
        <w:autoSpaceDE w:val="0"/>
        <w:autoSpaceDN w:val="0"/>
        <w:adjustRightInd w:val="0"/>
        <w:jc w:val="center"/>
        <w:rPr>
          <w:snapToGrid/>
          <w:color w:val="000000"/>
          <w:kern w:val="0"/>
          <w:szCs w:val="22"/>
        </w:rPr>
      </w:pPr>
      <w:r w:rsidRPr="00F161CA">
        <w:rPr>
          <w:b/>
          <w:snapToGrid/>
          <w:kern w:val="0"/>
          <w:szCs w:val="22"/>
        </w:rPr>
        <w:t>-FCC-</w:t>
      </w:r>
    </w:p>
    <w:bookmarkEnd w:id="1"/>
    <w:p w:rsidR="003474AA" w:rsidP="003474AA" w14:paraId="01FBE2B7" w14:textId="77777777">
      <w:pPr>
        <w:spacing w:before="120" w:after="240"/>
      </w:pPr>
    </w:p>
    <w:sectPr w:rsidSect="00892F26">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F777B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35C75D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E6C2B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96486A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2A39" w14:paraId="37354353" w14:textId="77777777">
      <w:r>
        <w:separator/>
      </w:r>
    </w:p>
  </w:footnote>
  <w:footnote w:type="continuationSeparator" w:id="1">
    <w:p w:rsidR="004B2A39" w14:paraId="5995BA92" w14:textId="77777777">
      <w:pPr>
        <w:rPr>
          <w:sz w:val="20"/>
        </w:rPr>
      </w:pPr>
      <w:r>
        <w:rPr>
          <w:sz w:val="20"/>
        </w:rPr>
        <w:t xml:space="preserve">(Continued from previous page)  </w:t>
      </w:r>
      <w:r>
        <w:rPr>
          <w:sz w:val="20"/>
        </w:rPr>
        <w:separator/>
      </w:r>
    </w:p>
  </w:footnote>
  <w:footnote w:type="continuationNotice" w:id="2">
    <w:p w:rsidR="004B2A39" w14:paraId="49345846" w14:textId="77777777">
      <w:pPr>
        <w:jc w:val="right"/>
        <w:rPr>
          <w:sz w:val="20"/>
        </w:rPr>
      </w:pPr>
      <w:r>
        <w:rPr>
          <w:sz w:val="20"/>
        </w:rPr>
        <w:t>(continued….)</w:t>
      </w:r>
    </w:p>
  </w:footnote>
  <w:footnote w:id="3">
    <w:p w:rsidR="003474AA" w:rsidRPr="00D354C2" w:rsidP="003474AA" w14:paraId="116C762D" w14:textId="77777777">
      <w:pPr>
        <w:spacing w:after="120"/>
        <w:rPr>
          <w:bCs/>
          <w:sz w:val="20"/>
        </w:rPr>
      </w:pPr>
      <w:r w:rsidRPr="00D354C2">
        <w:rPr>
          <w:rStyle w:val="FootnoteReference"/>
          <w:sz w:val="20"/>
        </w:rPr>
        <w:footnoteRef/>
      </w:r>
      <w:r w:rsidRPr="00D354C2">
        <w:rPr>
          <w:sz w:val="20"/>
        </w:rPr>
        <w:t xml:space="preserve"> </w:t>
      </w:r>
      <w:r w:rsidRPr="00D354C2">
        <w:rPr>
          <w:i/>
          <w:sz w:val="20"/>
        </w:rPr>
        <w:t>See</w:t>
      </w:r>
      <w:r w:rsidRPr="00D354C2">
        <w:rPr>
          <w:sz w:val="20"/>
        </w:rPr>
        <w:t xml:space="preserve"> 47 U.S.C. § 214; 47 CFR §§ 63.03-04</w:t>
      </w:r>
      <w:r w:rsidRPr="00884C47">
        <w:rPr>
          <w:sz w:val="20"/>
        </w:rPr>
        <w:t>.</w:t>
      </w:r>
      <w:r w:rsidR="00327BDD">
        <w:rPr>
          <w:sz w:val="20"/>
        </w:rPr>
        <w:t xml:space="preserve">  </w:t>
      </w:r>
      <w:r w:rsidR="00A15B78">
        <w:rPr>
          <w:sz w:val="20"/>
        </w:rPr>
        <w:t>Application for the Transfer of Control of Domestic Authorization</w:t>
      </w:r>
      <w:r w:rsidR="00004B01">
        <w:rPr>
          <w:sz w:val="20"/>
        </w:rPr>
        <w:t xml:space="preserve"> of Pennsylvania Telephone Company, WC Docket No. 22-99 (filed February 25, 2020)</w:t>
      </w:r>
      <w:r w:rsidR="009F026C">
        <w:rPr>
          <w:sz w:val="20"/>
        </w:rPr>
        <w:t xml:space="preserve"> </w:t>
      </w:r>
      <w:r w:rsidR="00727A0D">
        <w:rPr>
          <w:sz w:val="20"/>
        </w:rPr>
        <w:t>(Application)</w:t>
      </w:r>
      <w:r w:rsidR="00004B01">
        <w:rPr>
          <w:sz w:val="20"/>
        </w:rPr>
        <w:t xml:space="preserve">.  </w:t>
      </w:r>
      <w:r w:rsidR="00A81B30">
        <w:rPr>
          <w:sz w:val="20"/>
        </w:rPr>
        <w:t xml:space="preserve">Applicants filed a request for special temporary authority (STA) to allow them to continue to provide service to customers while the domestic section 214 application is pending.  On March </w:t>
      </w:r>
      <w:r w:rsidR="00796904">
        <w:rPr>
          <w:sz w:val="20"/>
        </w:rPr>
        <w:t>9</w:t>
      </w:r>
      <w:r w:rsidR="00A81B30">
        <w:rPr>
          <w:sz w:val="20"/>
        </w:rPr>
        <w:t>, 20</w:t>
      </w:r>
      <w:r w:rsidR="005F56FF">
        <w:rPr>
          <w:sz w:val="20"/>
        </w:rPr>
        <w:t>22</w:t>
      </w:r>
      <w:r w:rsidR="00A81B30">
        <w:rPr>
          <w:sz w:val="20"/>
        </w:rPr>
        <w:t xml:space="preserve">, the Wireline Competition Bureau granted the STA for the domestic authorization for a period of 60 days.  Letter from </w:t>
      </w:r>
      <w:r w:rsidR="005F56FF">
        <w:rPr>
          <w:sz w:val="20"/>
        </w:rPr>
        <w:t>Charles E. Thomas, Jr.</w:t>
      </w:r>
      <w:r w:rsidR="00A81B30">
        <w:rPr>
          <w:sz w:val="20"/>
        </w:rPr>
        <w:t>, Counsel</w:t>
      </w:r>
      <w:r w:rsidR="005F56FF">
        <w:rPr>
          <w:sz w:val="20"/>
        </w:rPr>
        <w:t xml:space="preserve"> to the Former Shareholders of Pennsylvania Telephone Company, Inc.</w:t>
      </w:r>
      <w:r w:rsidR="00A81B30">
        <w:rPr>
          <w:sz w:val="20"/>
        </w:rPr>
        <w:t xml:space="preserve">, </w:t>
      </w:r>
      <w:r w:rsidR="00A448BD">
        <w:rPr>
          <w:sz w:val="20"/>
        </w:rPr>
        <w:t xml:space="preserve">and Thomas J. Moorman, Counsel to the Current Shareholders of New Lisbon Telephone Company, Inc., </w:t>
      </w:r>
      <w:r w:rsidR="00A81B30">
        <w:rPr>
          <w:sz w:val="20"/>
        </w:rPr>
        <w:t xml:space="preserve">to Marlene H. Dortch, Secretary, FCC, WC Docket No. </w:t>
      </w:r>
      <w:r w:rsidR="00A448BD">
        <w:rPr>
          <w:sz w:val="20"/>
        </w:rPr>
        <w:t>22</w:t>
      </w:r>
      <w:r w:rsidR="00A81B30">
        <w:rPr>
          <w:sz w:val="20"/>
        </w:rPr>
        <w:t>-</w:t>
      </w:r>
      <w:r w:rsidR="00A448BD">
        <w:rPr>
          <w:sz w:val="20"/>
        </w:rPr>
        <w:t>99</w:t>
      </w:r>
      <w:r w:rsidR="00A81B30">
        <w:rPr>
          <w:sz w:val="20"/>
        </w:rPr>
        <w:t xml:space="preserve"> (filed </w:t>
      </w:r>
      <w:r w:rsidR="00A448BD">
        <w:rPr>
          <w:sz w:val="20"/>
        </w:rPr>
        <w:t>Feb</w:t>
      </w:r>
      <w:r w:rsidR="00A81B30">
        <w:rPr>
          <w:sz w:val="20"/>
        </w:rPr>
        <w:t>.</w:t>
      </w:r>
      <w:r w:rsidR="00A448BD">
        <w:rPr>
          <w:sz w:val="20"/>
        </w:rPr>
        <w:t xml:space="preserve"> 25</w:t>
      </w:r>
      <w:r w:rsidR="00A81B30">
        <w:rPr>
          <w:sz w:val="20"/>
        </w:rPr>
        <w:t>, 20</w:t>
      </w:r>
      <w:r w:rsidR="00A448BD">
        <w:rPr>
          <w:sz w:val="20"/>
        </w:rPr>
        <w:t>22</w:t>
      </w:r>
      <w:r w:rsidR="00A81B30">
        <w:rPr>
          <w:sz w:val="20"/>
        </w:rPr>
        <w:t xml:space="preserve">).  A grant of the domestic section 214 application will be without prejudice to any enforcement action by the Commission for non-compliance with the Communications Act of 1934, as amended, or the Commission’s rules.  </w:t>
      </w:r>
    </w:p>
  </w:footnote>
  <w:footnote w:id="4">
    <w:p w:rsidR="00021C15" w14:paraId="08FE4FD4" w14:textId="77777777">
      <w:pPr>
        <w:pStyle w:val="FootnoteText"/>
      </w:pPr>
      <w:r>
        <w:rPr>
          <w:rStyle w:val="FootnoteReference"/>
        </w:rPr>
        <w:footnoteRef/>
      </w:r>
      <w:r>
        <w:t xml:space="preserve"> </w:t>
      </w:r>
      <w:r>
        <w:t>Application at 3.</w:t>
      </w:r>
    </w:p>
  </w:footnote>
  <w:footnote w:id="5">
    <w:p w:rsidR="00A15B78" w14:paraId="1F492354" w14:textId="77777777">
      <w:pPr>
        <w:pStyle w:val="FootnoteText"/>
      </w:pPr>
      <w:r>
        <w:rPr>
          <w:rStyle w:val="FootnoteReference"/>
        </w:rPr>
        <w:footnoteRef/>
      </w:r>
      <w:r>
        <w:t xml:space="preserve"> </w:t>
      </w:r>
      <w:r w:rsidRPr="00021C15" w:rsidR="00021C15">
        <w:rPr>
          <w:i/>
          <w:iCs/>
        </w:rPr>
        <w:t>Id.</w:t>
      </w:r>
      <w:r>
        <w:t xml:space="preserve"> at 2</w:t>
      </w:r>
      <w:r w:rsidR="00004B01">
        <w:t>, n.2, 10</w:t>
      </w:r>
      <w:r>
        <w:t xml:space="preserve">. </w:t>
      </w:r>
    </w:p>
  </w:footnote>
  <w:footnote w:id="6">
    <w:p w:rsidR="00004B01" w14:paraId="53DD008A" w14:textId="77777777">
      <w:pPr>
        <w:pStyle w:val="FootnoteText"/>
      </w:pPr>
      <w:r>
        <w:rPr>
          <w:rStyle w:val="FootnoteReference"/>
        </w:rPr>
        <w:footnoteRef/>
      </w:r>
      <w:r>
        <w:t xml:space="preserve"> </w:t>
      </w:r>
      <w:r w:rsidRPr="003E5FCF">
        <w:rPr>
          <w:i/>
          <w:iCs/>
        </w:rPr>
        <w:t>Id.</w:t>
      </w:r>
      <w:r>
        <w:t xml:space="preserve"> at 10</w:t>
      </w:r>
      <w:r w:rsidR="003E5FCF">
        <w:t>.</w:t>
      </w:r>
    </w:p>
  </w:footnote>
  <w:footnote w:id="7">
    <w:p w:rsidR="00574FCD" w:rsidRPr="001E41FD" w14:paraId="606AA2B8" w14:textId="77777777">
      <w:pPr>
        <w:pStyle w:val="FootnoteText"/>
      </w:pPr>
      <w:r>
        <w:rPr>
          <w:rStyle w:val="FootnoteReference"/>
        </w:rPr>
        <w:footnoteRef/>
      </w:r>
      <w:r>
        <w:t xml:space="preserve"> </w:t>
      </w:r>
      <w:bookmarkStart w:id="0" w:name="_Hlk97048032"/>
      <w:r w:rsidRPr="00574FCD">
        <w:rPr>
          <w:i/>
          <w:iCs/>
        </w:rPr>
        <w:t>Id.</w:t>
      </w:r>
      <w:r>
        <w:t xml:space="preserve"> at 2, n.3.</w:t>
      </w:r>
      <w:bookmarkEnd w:id="0"/>
      <w:r w:rsidR="001E41FD">
        <w:t xml:space="preserve">  </w:t>
      </w:r>
    </w:p>
  </w:footnote>
  <w:footnote w:id="8">
    <w:p w:rsidR="00137861" w14:paraId="75F15EF5" w14:textId="77777777">
      <w:pPr>
        <w:pStyle w:val="FootnoteText"/>
      </w:pPr>
      <w:r>
        <w:rPr>
          <w:rStyle w:val="FootnoteReference"/>
        </w:rPr>
        <w:footnoteRef/>
      </w:r>
      <w:r>
        <w:t xml:space="preserve"> </w:t>
      </w:r>
      <w:r w:rsidRPr="00137861">
        <w:rPr>
          <w:i/>
          <w:iCs/>
        </w:rPr>
        <w:t>Id.</w:t>
      </w:r>
      <w:r>
        <w:t xml:space="preserve"> at 3</w:t>
      </w:r>
      <w:r w:rsidR="009D0521">
        <w:t xml:space="preserve"> (citing </w:t>
      </w:r>
      <w:r w:rsidRPr="002E6B02" w:rsidR="002E6B02">
        <w:rPr>
          <w:i/>
          <w:iCs/>
        </w:rPr>
        <w:t>Rural Broadband Experiment Support Authorized for Winning Bid Submitted by New Lisbon Broadband and Communications, LLC</w:t>
      </w:r>
      <w:r w:rsidR="002E6B02">
        <w:t xml:space="preserve">, WC Docket Nos. 10-90, 14-259, Public Notice, 31 FCC Rcd 4405 (WCB 2016); </w:t>
      </w:r>
      <w:r w:rsidRPr="0053035D" w:rsidR="0053035D">
        <w:rPr>
          <w:i/>
          <w:iCs/>
        </w:rPr>
        <w:t>Rural Digital Opportunity Fund Support Authorized for 2,576 Winning Bids</w:t>
      </w:r>
      <w:r w:rsidR="0053035D">
        <w:t>, AU Docket No. 20-34, WC Docket Nos. 10-90, 19-126, Public Notice, DA 21-151, Attach. A (Authorized Long Form Applicants and Winning Bids) (WCB/OEA, Feb. 14, 2022))</w:t>
      </w:r>
      <w:r>
        <w:t xml:space="preserve">. </w:t>
      </w:r>
    </w:p>
  </w:footnote>
  <w:footnote w:id="9">
    <w:p w:rsidR="001C6E54" w14:paraId="47D4CF58" w14:textId="77777777">
      <w:pPr>
        <w:pStyle w:val="FootnoteText"/>
      </w:pPr>
      <w:r>
        <w:rPr>
          <w:rStyle w:val="FootnoteReference"/>
        </w:rPr>
        <w:footnoteRef/>
      </w:r>
      <w:r>
        <w:t xml:space="preserve"> </w:t>
      </w:r>
      <w:r w:rsidR="0053035D">
        <w:t>Application</w:t>
      </w:r>
      <w:r w:rsidR="00137861">
        <w:t xml:space="preserve"> at 2, n.3.</w:t>
      </w:r>
    </w:p>
  </w:footnote>
  <w:footnote w:id="10">
    <w:p w:rsidR="009B3FD3" w14:paraId="4A234400" w14:textId="77777777">
      <w:pPr>
        <w:pStyle w:val="FootnoteText"/>
      </w:pPr>
      <w:r>
        <w:rPr>
          <w:rStyle w:val="FootnoteReference"/>
        </w:rPr>
        <w:footnoteRef/>
      </w:r>
      <w:r>
        <w:t xml:space="preserve"> </w:t>
      </w:r>
      <w:r w:rsidRPr="00B933D6" w:rsidR="00B933D6">
        <w:rPr>
          <w:i/>
          <w:iCs/>
        </w:rPr>
        <w:t>Id.</w:t>
      </w:r>
      <w:r w:rsidR="00B933D6">
        <w:t xml:space="preserve"> at 9.</w:t>
      </w:r>
    </w:p>
  </w:footnote>
  <w:footnote w:id="11">
    <w:p w:rsidR="00E34701" w14:paraId="45F49675" w14:textId="77777777">
      <w:pPr>
        <w:pStyle w:val="FootnoteText"/>
      </w:pPr>
      <w:r>
        <w:rPr>
          <w:rStyle w:val="FootnoteReference"/>
        </w:rPr>
        <w:footnoteRef/>
      </w:r>
      <w:r>
        <w:t xml:space="preserve"> </w:t>
      </w:r>
      <w:r w:rsidRPr="00E34701">
        <w:rPr>
          <w:i/>
          <w:iCs/>
        </w:rPr>
        <w:t>Id</w:t>
      </w:r>
      <w:r>
        <w:t xml:space="preserve">. at </w:t>
      </w:r>
      <w:r w:rsidR="000E0DBE">
        <w:t>7-</w:t>
      </w:r>
      <w:r>
        <w:t>8.</w:t>
      </w:r>
    </w:p>
  </w:footnote>
  <w:footnote w:id="12">
    <w:p w:rsidR="00727A0D" w:rsidP="00727A0D" w14:paraId="533CD3E7" w14:textId="77777777">
      <w:pPr>
        <w:pStyle w:val="FootnoteText"/>
      </w:pPr>
      <w:r>
        <w:rPr>
          <w:rStyle w:val="FootnoteReference"/>
        </w:rPr>
        <w:footnoteRef/>
      </w:r>
      <w:r>
        <w:t xml:space="preserve"> </w:t>
      </w:r>
      <w:r w:rsidRPr="008D3327">
        <w:rPr>
          <w:i/>
          <w:iCs/>
        </w:rPr>
        <w:t>Id.</w:t>
      </w:r>
      <w:r>
        <w:t xml:space="preserve"> at 9.</w:t>
      </w:r>
    </w:p>
  </w:footnote>
  <w:footnote w:id="13">
    <w:p w:rsidR="00182ADB" w:rsidP="00182ADB" w14:paraId="5F9A371B" w14:textId="77777777">
      <w:pPr>
        <w:pStyle w:val="FootnoteText"/>
      </w:pPr>
      <w:r>
        <w:rPr>
          <w:rStyle w:val="FootnoteReference"/>
        </w:rPr>
        <w:footnoteRef/>
      </w:r>
      <w:r>
        <w:t xml:space="preserve"> </w:t>
      </w:r>
      <w:r w:rsidRPr="00E53E4C" w:rsidR="00E53E4C">
        <w:rPr>
          <w:i/>
          <w:iCs/>
        </w:rPr>
        <w:t>Id.</w:t>
      </w:r>
      <w:r w:rsidR="00E53E4C">
        <w:t xml:space="preserve"> at 2, n.3.</w:t>
      </w:r>
    </w:p>
  </w:footnote>
  <w:footnote w:id="14">
    <w:p w:rsidR="00C04C25" w14:paraId="3A41001E" w14:textId="77777777">
      <w:pPr>
        <w:pStyle w:val="FootnoteText"/>
      </w:pPr>
      <w:r>
        <w:rPr>
          <w:rStyle w:val="FootnoteReference"/>
        </w:rPr>
        <w:footnoteRef/>
      </w:r>
      <w:r>
        <w:t xml:space="preserve"> </w:t>
      </w:r>
      <w:r w:rsidRPr="00C04C25">
        <w:rPr>
          <w:i/>
          <w:iCs/>
        </w:rPr>
        <w:t>Id</w:t>
      </w:r>
      <w:r>
        <w:t>. at 10-11.</w:t>
      </w:r>
    </w:p>
  </w:footnote>
  <w:footnote w:id="15">
    <w:p w:rsidR="00085B38" w:rsidP="00085B38" w14:paraId="6AAE5BA8" w14:textId="77777777">
      <w:pPr>
        <w:pStyle w:val="FootnoteText"/>
      </w:pPr>
      <w:r>
        <w:rPr>
          <w:rStyle w:val="FootnoteReference"/>
        </w:rPr>
        <w:footnoteRef/>
      </w:r>
      <w:r>
        <w:t xml:space="preserve"> </w:t>
      </w:r>
      <w:r>
        <w:rPr>
          <w:color w:val="020100"/>
        </w:rPr>
        <w:t>47 CFR § 63.03(c)(1)(v).</w:t>
      </w:r>
    </w:p>
  </w:footnote>
  <w:footnote w:id="16">
    <w:p w:rsidR="00F161CA" w:rsidRPr="00F14A7B" w:rsidP="00F161CA" w14:paraId="3DFF374A" w14:textId="77777777">
      <w:pPr>
        <w:pStyle w:val="FootnoteText"/>
      </w:pPr>
      <w:r w:rsidRPr="00F14A7B">
        <w:rPr>
          <w:rStyle w:val="FootnoteReference"/>
        </w:rPr>
        <w:footnoteRef/>
      </w:r>
      <w:r w:rsidRPr="00F14A7B">
        <w:t xml:space="preserve"> </w:t>
      </w:r>
      <w:r w:rsidRPr="00F14A7B">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F14A7B">
        <w:rPr>
          <w:i/>
          <w:iCs/>
        </w:rPr>
        <w:t>See FCC Announces Closure of FCC Headquarters Open Window and Change in Hand-Delivery Policy</w:t>
      </w:r>
      <w:r w:rsidRPr="00F14A7B">
        <w:t xml:space="preserve">, Public Notice, 35 FCC Rcd 2788 (Mar. 19, 2020), </w:t>
      </w:r>
      <w:hyperlink r:id="rId1" w:history="1">
        <w:r w:rsidRPr="00F14A7B">
          <w:rPr>
            <w:rStyle w:val="Hyperlink"/>
          </w:rPr>
          <w:t>https://www.fcc.gov/document/fcc-closes-headquarters-open-window-and-changes-hand-delivery-policy</w:t>
        </w:r>
      </w:hyperlink>
      <w:r w:rsidRPr="00F14A7B">
        <w:rPr>
          <w:rStyle w:val="Hyperlink"/>
        </w:rPr>
        <w:t>.</w:t>
      </w:r>
    </w:p>
  </w:footnote>
  <w:footnote w:id="17">
    <w:p w:rsidR="00F161CA" w:rsidRPr="00F14A7B" w:rsidP="00F161CA" w14:paraId="02F8E402" w14:textId="77777777">
      <w:pPr>
        <w:pStyle w:val="FootnoteText"/>
      </w:pPr>
      <w:r w:rsidRPr="00F14A7B">
        <w:rPr>
          <w:rStyle w:val="FootnoteReference"/>
        </w:rPr>
        <w:footnoteRef/>
      </w:r>
      <w:r w:rsidRPr="00F14A7B">
        <w:t xml:space="preserve"> </w:t>
      </w:r>
      <w:r w:rsidRPr="00F14A7B">
        <w:rPr>
          <w:i/>
        </w:rPr>
        <w:t>See</w:t>
      </w:r>
      <w:r w:rsidRPr="00F14A7B">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2B9F93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6DF43D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B0764E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4B01"/>
    <w:rsid w:val="00007129"/>
    <w:rsid w:val="00021C15"/>
    <w:rsid w:val="00035F46"/>
    <w:rsid w:val="00065A2D"/>
    <w:rsid w:val="0007287C"/>
    <w:rsid w:val="00085B38"/>
    <w:rsid w:val="00092499"/>
    <w:rsid w:val="000B170B"/>
    <w:rsid w:val="000C32E8"/>
    <w:rsid w:val="000E0DBE"/>
    <w:rsid w:val="000F15DC"/>
    <w:rsid w:val="0011284D"/>
    <w:rsid w:val="00113860"/>
    <w:rsid w:val="00122402"/>
    <w:rsid w:val="00127F4C"/>
    <w:rsid w:val="00137861"/>
    <w:rsid w:val="001421A0"/>
    <w:rsid w:val="00162B46"/>
    <w:rsid w:val="001805F0"/>
    <w:rsid w:val="00180D00"/>
    <w:rsid w:val="00182ADB"/>
    <w:rsid w:val="001A3419"/>
    <w:rsid w:val="001C1595"/>
    <w:rsid w:val="001C5E50"/>
    <w:rsid w:val="001C6E54"/>
    <w:rsid w:val="001D13D1"/>
    <w:rsid w:val="001D4237"/>
    <w:rsid w:val="001D4B15"/>
    <w:rsid w:val="001E41FD"/>
    <w:rsid w:val="0021422C"/>
    <w:rsid w:val="002351E7"/>
    <w:rsid w:val="0024459C"/>
    <w:rsid w:val="00273646"/>
    <w:rsid w:val="00273EBC"/>
    <w:rsid w:val="002927F4"/>
    <w:rsid w:val="002B2AB5"/>
    <w:rsid w:val="002D66B2"/>
    <w:rsid w:val="002E6B02"/>
    <w:rsid w:val="002F1FC7"/>
    <w:rsid w:val="002F5A1F"/>
    <w:rsid w:val="0030176D"/>
    <w:rsid w:val="0032055D"/>
    <w:rsid w:val="00327BDD"/>
    <w:rsid w:val="00341E03"/>
    <w:rsid w:val="003474AA"/>
    <w:rsid w:val="00351578"/>
    <w:rsid w:val="00351689"/>
    <w:rsid w:val="00352518"/>
    <w:rsid w:val="00371946"/>
    <w:rsid w:val="00381C66"/>
    <w:rsid w:val="00381D63"/>
    <w:rsid w:val="00384B00"/>
    <w:rsid w:val="00394988"/>
    <w:rsid w:val="003C442E"/>
    <w:rsid w:val="003D18FA"/>
    <w:rsid w:val="003E5FCF"/>
    <w:rsid w:val="003F2021"/>
    <w:rsid w:val="003F4780"/>
    <w:rsid w:val="0041725C"/>
    <w:rsid w:val="004301FA"/>
    <w:rsid w:val="0043537A"/>
    <w:rsid w:val="00446101"/>
    <w:rsid w:val="00452453"/>
    <w:rsid w:val="004658EA"/>
    <w:rsid w:val="00477B03"/>
    <w:rsid w:val="00486680"/>
    <w:rsid w:val="004A2FCC"/>
    <w:rsid w:val="004A5F0F"/>
    <w:rsid w:val="004A75F3"/>
    <w:rsid w:val="004B2A39"/>
    <w:rsid w:val="004F0F83"/>
    <w:rsid w:val="005035AA"/>
    <w:rsid w:val="0053035D"/>
    <w:rsid w:val="0053740B"/>
    <w:rsid w:val="0054766A"/>
    <w:rsid w:val="0055547C"/>
    <w:rsid w:val="00555A46"/>
    <w:rsid w:val="00570A30"/>
    <w:rsid w:val="00574FCD"/>
    <w:rsid w:val="00585D33"/>
    <w:rsid w:val="00590452"/>
    <w:rsid w:val="005A029F"/>
    <w:rsid w:val="005B2105"/>
    <w:rsid w:val="005C743D"/>
    <w:rsid w:val="005D1BA2"/>
    <w:rsid w:val="005D4EA8"/>
    <w:rsid w:val="005F56FF"/>
    <w:rsid w:val="00603D3C"/>
    <w:rsid w:val="00606D39"/>
    <w:rsid w:val="00607DD7"/>
    <w:rsid w:val="00610F36"/>
    <w:rsid w:val="0063636A"/>
    <w:rsid w:val="00637C9C"/>
    <w:rsid w:val="00644592"/>
    <w:rsid w:val="00644CA0"/>
    <w:rsid w:val="0065676E"/>
    <w:rsid w:val="006769DC"/>
    <w:rsid w:val="006924C8"/>
    <w:rsid w:val="00696223"/>
    <w:rsid w:val="006A5E46"/>
    <w:rsid w:val="007148DA"/>
    <w:rsid w:val="00724B96"/>
    <w:rsid w:val="00727A0D"/>
    <w:rsid w:val="00757E5C"/>
    <w:rsid w:val="00763A02"/>
    <w:rsid w:val="00770F07"/>
    <w:rsid w:val="007931DD"/>
    <w:rsid w:val="00796904"/>
    <w:rsid w:val="007D7102"/>
    <w:rsid w:val="007E1399"/>
    <w:rsid w:val="007F3852"/>
    <w:rsid w:val="00841223"/>
    <w:rsid w:val="008558CC"/>
    <w:rsid w:val="00861C86"/>
    <w:rsid w:val="00864DF6"/>
    <w:rsid w:val="0087376E"/>
    <w:rsid w:val="00877BCD"/>
    <w:rsid w:val="00882B57"/>
    <w:rsid w:val="00884C47"/>
    <w:rsid w:val="00885A98"/>
    <w:rsid w:val="00892F26"/>
    <w:rsid w:val="008B0E48"/>
    <w:rsid w:val="008C0562"/>
    <w:rsid w:val="008C56C5"/>
    <w:rsid w:val="008D3327"/>
    <w:rsid w:val="008D4CD1"/>
    <w:rsid w:val="008F31F4"/>
    <w:rsid w:val="00905F78"/>
    <w:rsid w:val="0091104D"/>
    <w:rsid w:val="00914BB8"/>
    <w:rsid w:val="009308B7"/>
    <w:rsid w:val="00984279"/>
    <w:rsid w:val="00991140"/>
    <w:rsid w:val="009A63A8"/>
    <w:rsid w:val="009B3FD3"/>
    <w:rsid w:val="009D0521"/>
    <w:rsid w:val="009E2D73"/>
    <w:rsid w:val="009E5C63"/>
    <w:rsid w:val="009F026C"/>
    <w:rsid w:val="00A15B78"/>
    <w:rsid w:val="00A233D9"/>
    <w:rsid w:val="00A3458C"/>
    <w:rsid w:val="00A40FC5"/>
    <w:rsid w:val="00A448BD"/>
    <w:rsid w:val="00A65CFD"/>
    <w:rsid w:val="00A669E1"/>
    <w:rsid w:val="00A77227"/>
    <w:rsid w:val="00A7723D"/>
    <w:rsid w:val="00A808A5"/>
    <w:rsid w:val="00A81B30"/>
    <w:rsid w:val="00A8445B"/>
    <w:rsid w:val="00A87085"/>
    <w:rsid w:val="00AA0192"/>
    <w:rsid w:val="00AA5EF7"/>
    <w:rsid w:val="00AC12C3"/>
    <w:rsid w:val="00AD1C04"/>
    <w:rsid w:val="00B02A93"/>
    <w:rsid w:val="00B2695F"/>
    <w:rsid w:val="00B45BDE"/>
    <w:rsid w:val="00B60EF2"/>
    <w:rsid w:val="00B675BE"/>
    <w:rsid w:val="00B83962"/>
    <w:rsid w:val="00B857BF"/>
    <w:rsid w:val="00B933D6"/>
    <w:rsid w:val="00B95D59"/>
    <w:rsid w:val="00B96BA1"/>
    <w:rsid w:val="00C04C25"/>
    <w:rsid w:val="00C11660"/>
    <w:rsid w:val="00C42323"/>
    <w:rsid w:val="00C457F5"/>
    <w:rsid w:val="00C61FB8"/>
    <w:rsid w:val="00C75306"/>
    <w:rsid w:val="00C87AF0"/>
    <w:rsid w:val="00CA2524"/>
    <w:rsid w:val="00CB6126"/>
    <w:rsid w:val="00CC1798"/>
    <w:rsid w:val="00CD0F58"/>
    <w:rsid w:val="00CF27DD"/>
    <w:rsid w:val="00D02BB8"/>
    <w:rsid w:val="00D1683E"/>
    <w:rsid w:val="00D21348"/>
    <w:rsid w:val="00D234BA"/>
    <w:rsid w:val="00D311C9"/>
    <w:rsid w:val="00D354C2"/>
    <w:rsid w:val="00D37AC8"/>
    <w:rsid w:val="00D43260"/>
    <w:rsid w:val="00D504AF"/>
    <w:rsid w:val="00D513AE"/>
    <w:rsid w:val="00D62993"/>
    <w:rsid w:val="00D8612C"/>
    <w:rsid w:val="00D94B2A"/>
    <w:rsid w:val="00DA0A78"/>
    <w:rsid w:val="00DB0790"/>
    <w:rsid w:val="00DB41A7"/>
    <w:rsid w:val="00DD36F7"/>
    <w:rsid w:val="00E03AA5"/>
    <w:rsid w:val="00E11CB2"/>
    <w:rsid w:val="00E16955"/>
    <w:rsid w:val="00E32719"/>
    <w:rsid w:val="00E3339B"/>
    <w:rsid w:val="00E34701"/>
    <w:rsid w:val="00E53E4C"/>
    <w:rsid w:val="00E554BA"/>
    <w:rsid w:val="00E57208"/>
    <w:rsid w:val="00E73F37"/>
    <w:rsid w:val="00E82844"/>
    <w:rsid w:val="00E84325"/>
    <w:rsid w:val="00E96300"/>
    <w:rsid w:val="00EE04BD"/>
    <w:rsid w:val="00EE55A6"/>
    <w:rsid w:val="00EE58FE"/>
    <w:rsid w:val="00EE736C"/>
    <w:rsid w:val="00F034E1"/>
    <w:rsid w:val="00F043DD"/>
    <w:rsid w:val="00F14A7B"/>
    <w:rsid w:val="00F161CA"/>
    <w:rsid w:val="00F1658C"/>
    <w:rsid w:val="00F34674"/>
    <w:rsid w:val="00F42D59"/>
    <w:rsid w:val="00F451A4"/>
    <w:rsid w:val="00F57C05"/>
    <w:rsid w:val="00F60533"/>
    <w:rsid w:val="00F71244"/>
    <w:rsid w:val="00F72211"/>
    <w:rsid w:val="00FB19ED"/>
    <w:rsid w:val="00FC11C8"/>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F93054"/>
  <w15:docId w15:val="{40CD97FA-F108-43F3-99DA-A3C67599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
    <w:name w:val="Unresolved Mention"/>
    <w:uiPriority w:val="99"/>
    <w:rsid w:val="00C4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myrva.charles@fcc.gov" TargetMode="External" /><Relationship Id="rId7" Type="http://schemas.openxmlformats.org/officeDocument/2006/relationships/hyperlink" Target="mailto:dennis.johnson@fcc.gov" TargetMode="External" /><Relationship Id="rId8" Type="http://schemas.openxmlformats.org/officeDocument/2006/relationships/hyperlink" Target="mailto:jim.bird@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