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3474AA" w:rsidRPr="00B02A93" w:rsidP="0088295E" w14:paraId="6FFC2D4A" w14:textId="1BE9FB17">
      <w:pPr>
        <w:jc w:val="right"/>
        <w:rPr>
          <w:b/>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sidRPr="00B02A93" w:rsidR="002351E7">
        <w:rPr>
          <w:b/>
        </w:rPr>
        <w:t xml:space="preserve">DA </w:t>
      </w:r>
      <w:r w:rsidR="002351E7">
        <w:rPr>
          <w:b/>
        </w:rPr>
        <w:t>2</w:t>
      </w:r>
      <w:r w:rsidR="00446101">
        <w:rPr>
          <w:b/>
        </w:rPr>
        <w:t>2</w:t>
      </w:r>
      <w:r w:rsidR="002351E7">
        <w:rPr>
          <w:b/>
        </w:rPr>
        <w:t>-</w:t>
      </w:r>
      <w:r w:rsidR="008A0389">
        <w:rPr>
          <w:b/>
        </w:rPr>
        <w:t>262</w:t>
      </w:r>
    </w:p>
    <w:p w:rsidR="003474AA" w:rsidRPr="00B02A93" w:rsidP="003474AA" w14:paraId="38626B24" w14:textId="69C3A001">
      <w:pPr>
        <w:widowControl/>
        <w:suppressAutoHyphens/>
        <w:spacing w:after="240"/>
        <w:jc w:val="right"/>
        <w:rPr>
          <w:b/>
        </w:rPr>
      </w:pPr>
      <w:r w:rsidRPr="00B02A93">
        <w:rPr>
          <w:b/>
        </w:rPr>
        <w:t xml:space="preserve">Released:  </w:t>
      </w:r>
      <w:r w:rsidR="00E4725E">
        <w:rPr>
          <w:b/>
        </w:rPr>
        <w:t>March</w:t>
      </w:r>
      <w:r w:rsidR="005A029F">
        <w:rPr>
          <w:b/>
        </w:rPr>
        <w:t xml:space="preserve"> </w:t>
      </w:r>
      <w:r w:rsidR="000C2269">
        <w:rPr>
          <w:b/>
        </w:rPr>
        <w:t>11</w:t>
      </w:r>
      <w:r>
        <w:rPr>
          <w:b/>
        </w:rPr>
        <w:t>, 202</w:t>
      </w:r>
      <w:r w:rsidR="001D13D1">
        <w:rPr>
          <w:b/>
        </w:rPr>
        <w:t>2</w:t>
      </w:r>
    </w:p>
    <w:p w:rsidR="003474AA" w:rsidRPr="00341E03" w:rsidP="00341E03" w14:paraId="32B51647" w14:textId="272843D9">
      <w:pPr>
        <w:autoSpaceDE w:val="0"/>
        <w:autoSpaceDN w:val="0"/>
        <w:adjustRightInd w:val="0"/>
        <w:ind w:left="-180" w:right="90"/>
        <w:jc w:val="center"/>
        <w:rPr>
          <w:b/>
          <w:bCs/>
          <w:szCs w:val="22"/>
        </w:rPr>
      </w:pPr>
      <w:r w:rsidRPr="00477B03">
        <w:rPr>
          <w:b/>
          <w:bCs/>
          <w:szCs w:val="22"/>
        </w:rPr>
        <w:t xml:space="preserve">DOMESTIC SECTION 214 APPLICATION FILED FOR THE TRANSFER OF CONTROL OF </w:t>
      </w:r>
      <w:r w:rsidRPr="00757599" w:rsidR="00757599">
        <w:rPr>
          <w:b/>
          <w:bCs/>
          <w:szCs w:val="22"/>
        </w:rPr>
        <w:t xml:space="preserve">VISIONARY </w:t>
      </w:r>
      <w:r w:rsidR="00EC2682">
        <w:rPr>
          <w:b/>
          <w:bCs/>
          <w:szCs w:val="22"/>
        </w:rPr>
        <w:t>COMMUNICATIONS, LLC</w:t>
      </w:r>
      <w:r w:rsidR="00757599">
        <w:rPr>
          <w:b/>
          <w:bCs/>
          <w:szCs w:val="22"/>
        </w:rPr>
        <w:t xml:space="preserve"> TO </w:t>
      </w:r>
      <w:r w:rsidRPr="00757599" w:rsidR="00757599">
        <w:rPr>
          <w:b/>
          <w:bCs/>
          <w:szCs w:val="22"/>
        </w:rPr>
        <w:t>VISIONARY BUYER, LLC</w:t>
      </w:r>
    </w:p>
    <w:p w:rsidR="003474AA" w:rsidRPr="00B02A93" w:rsidP="003474AA" w14:paraId="68245F3B" w14:textId="77777777">
      <w:pPr>
        <w:autoSpaceDE w:val="0"/>
        <w:autoSpaceDN w:val="0"/>
        <w:adjustRightInd w:val="0"/>
        <w:rPr>
          <w:b/>
          <w:szCs w:val="22"/>
        </w:rPr>
      </w:pPr>
    </w:p>
    <w:p w:rsidR="003474AA" w:rsidRPr="00477B03" w:rsidP="003474AA" w14:paraId="56665889" w14:textId="77777777">
      <w:pPr>
        <w:autoSpaceDE w:val="0"/>
        <w:autoSpaceDN w:val="0"/>
        <w:adjustRightInd w:val="0"/>
        <w:jc w:val="center"/>
        <w:rPr>
          <w:b/>
          <w:szCs w:val="22"/>
        </w:rPr>
      </w:pPr>
      <w:r w:rsidRPr="004D2C30">
        <w:rPr>
          <w:b/>
          <w:szCs w:val="22"/>
        </w:rPr>
        <w:t>NON-</w:t>
      </w:r>
      <w:r w:rsidRPr="00477B03" w:rsidR="002351E7">
        <w:rPr>
          <w:b/>
          <w:szCs w:val="22"/>
        </w:rPr>
        <w:t>STREAMLINED PLEADING CYCLE ESTABLISHED</w:t>
      </w:r>
    </w:p>
    <w:p w:rsidR="003474AA" w:rsidP="003474AA" w14:paraId="2F5F7482" w14:textId="77777777">
      <w:pPr>
        <w:autoSpaceDE w:val="0"/>
        <w:autoSpaceDN w:val="0"/>
        <w:adjustRightInd w:val="0"/>
        <w:jc w:val="center"/>
        <w:rPr>
          <w:b/>
          <w:szCs w:val="22"/>
        </w:rPr>
      </w:pPr>
    </w:p>
    <w:p w:rsidR="003474AA" w:rsidP="003474AA" w14:paraId="7C0578EA" w14:textId="1EFCDA94">
      <w:pPr>
        <w:autoSpaceDE w:val="0"/>
        <w:autoSpaceDN w:val="0"/>
        <w:adjustRightInd w:val="0"/>
        <w:jc w:val="center"/>
        <w:rPr>
          <w:b/>
          <w:szCs w:val="22"/>
        </w:rPr>
      </w:pPr>
      <w:r w:rsidRPr="00B02A93">
        <w:rPr>
          <w:b/>
          <w:szCs w:val="22"/>
        </w:rPr>
        <w:t>WC Docket No. 2</w:t>
      </w:r>
      <w:r w:rsidR="005A029F">
        <w:rPr>
          <w:b/>
          <w:szCs w:val="22"/>
        </w:rPr>
        <w:t>2-</w:t>
      </w:r>
      <w:r w:rsidR="00757599">
        <w:rPr>
          <w:b/>
          <w:szCs w:val="22"/>
        </w:rPr>
        <w:t>70</w:t>
      </w:r>
    </w:p>
    <w:p w:rsidR="003474AA" w:rsidP="003474AA" w14:paraId="78FC931A" w14:textId="77777777">
      <w:pPr>
        <w:autoSpaceDE w:val="0"/>
        <w:autoSpaceDN w:val="0"/>
        <w:adjustRightInd w:val="0"/>
        <w:jc w:val="center"/>
        <w:rPr>
          <w:b/>
          <w:szCs w:val="22"/>
        </w:rPr>
      </w:pPr>
    </w:p>
    <w:p w:rsidR="003474AA" w:rsidP="003474AA" w14:paraId="0CA45472" w14:textId="409D012C">
      <w:pPr>
        <w:pStyle w:val="NoSpacing"/>
        <w:rPr>
          <w:b/>
          <w:szCs w:val="22"/>
        </w:rPr>
      </w:pPr>
      <w:r w:rsidRPr="005B2105">
        <w:rPr>
          <w:b/>
          <w:szCs w:val="22"/>
        </w:rPr>
        <w:t xml:space="preserve">Comments Due:  </w:t>
      </w:r>
      <w:r w:rsidR="008014D0">
        <w:rPr>
          <w:b/>
          <w:szCs w:val="22"/>
        </w:rPr>
        <w:t xml:space="preserve">March </w:t>
      </w:r>
      <w:r w:rsidR="00BC2CDC">
        <w:rPr>
          <w:b/>
          <w:szCs w:val="22"/>
        </w:rPr>
        <w:t>25</w:t>
      </w:r>
      <w:r>
        <w:rPr>
          <w:b/>
          <w:szCs w:val="22"/>
        </w:rPr>
        <w:t>,</w:t>
      </w:r>
      <w:r w:rsidRPr="005B2105">
        <w:rPr>
          <w:b/>
          <w:szCs w:val="22"/>
        </w:rPr>
        <w:t xml:space="preserve"> 202</w:t>
      </w:r>
      <w:r>
        <w:rPr>
          <w:b/>
          <w:szCs w:val="22"/>
        </w:rPr>
        <w:t xml:space="preserve">2 </w:t>
      </w:r>
    </w:p>
    <w:p w:rsidR="003474AA" w:rsidRPr="005B2105" w:rsidP="003474AA" w14:paraId="1748409B" w14:textId="12025CFF">
      <w:pPr>
        <w:pStyle w:val="NoSpacing"/>
        <w:rPr>
          <w:b/>
          <w:szCs w:val="22"/>
        </w:rPr>
      </w:pPr>
      <w:r>
        <w:rPr>
          <w:b/>
          <w:szCs w:val="22"/>
        </w:rPr>
        <w:t xml:space="preserve">Reply Comment Due:  </w:t>
      </w:r>
      <w:r w:rsidR="002D64FE">
        <w:rPr>
          <w:b/>
          <w:szCs w:val="22"/>
        </w:rPr>
        <w:t>April 1</w:t>
      </w:r>
      <w:r>
        <w:rPr>
          <w:b/>
          <w:szCs w:val="22"/>
        </w:rPr>
        <w:t xml:space="preserve">, 2022 </w:t>
      </w:r>
    </w:p>
    <w:p w:rsidR="003474AA" w:rsidRPr="00B02A93" w:rsidP="003474AA" w14:paraId="49E32DB6" w14:textId="77777777">
      <w:pPr>
        <w:autoSpaceDE w:val="0"/>
        <w:autoSpaceDN w:val="0"/>
        <w:adjustRightInd w:val="0"/>
        <w:jc w:val="center"/>
        <w:rPr>
          <w:b/>
          <w:szCs w:val="22"/>
        </w:rPr>
      </w:pPr>
    </w:p>
    <w:p w:rsidR="0054766A" w:rsidP="0054766A" w14:paraId="2B5D69D3" w14:textId="3FF80A7F">
      <w:pPr>
        <w:widowControl/>
        <w:autoSpaceDE w:val="0"/>
        <w:autoSpaceDN w:val="0"/>
        <w:adjustRightInd w:val="0"/>
        <w:spacing w:after="120"/>
        <w:ind w:firstLine="720"/>
        <w:rPr>
          <w:snapToGrid/>
          <w:kern w:val="0"/>
          <w:szCs w:val="22"/>
        </w:rPr>
      </w:pPr>
      <w:r w:rsidRPr="00477B03">
        <w:rPr>
          <w:snapToGrid/>
          <w:kern w:val="0"/>
          <w:szCs w:val="22"/>
        </w:rPr>
        <w:t>By this Public Notice, the Wireline Competition Bureau seeks comment from interested parties on an application filed by</w:t>
      </w:r>
      <w:bookmarkStart w:id="0" w:name="_Hlk87961388"/>
      <w:r w:rsidR="00FD5AD9">
        <w:rPr>
          <w:snapToGrid/>
          <w:kern w:val="0"/>
          <w:szCs w:val="22"/>
        </w:rPr>
        <w:t xml:space="preserve"> </w:t>
      </w:r>
      <w:r w:rsidRPr="00757599" w:rsidR="00757599">
        <w:rPr>
          <w:snapToGrid/>
          <w:kern w:val="0"/>
          <w:szCs w:val="22"/>
        </w:rPr>
        <w:t>Visionary Broadband Seller, Inc.</w:t>
      </w:r>
      <w:r w:rsidR="00757599">
        <w:rPr>
          <w:snapToGrid/>
          <w:kern w:val="0"/>
          <w:szCs w:val="22"/>
        </w:rPr>
        <w:t xml:space="preserve"> </w:t>
      </w:r>
      <w:r w:rsidR="00437C3D">
        <w:rPr>
          <w:snapToGrid/>
          <w:kern w:val="0"/>
          <w:szCs w:val="22"/>
        </w:rPr>
        <w:t xml:space="preserve">(Visionary Seller) </w:t>
      </w:r>
      <w:r w:rsidRPr="00757599" w:rsidR="00757599">
        <w:rPr>
          <w:snapToGrid/>
          <w:kern w:val="0"/>
          <w:szCs w:val="22"/>
        </w:rPr>
        <w:t>and Visionary Buyer, LLC</w:t>
      </w:r>
      <w:bookmarkEnd w:id="0"/>
      <w:r w:rsidR="008435CF">
        <w:rPr>
          <w:snapToGrid/>
          <w:kern w:val="0"/>
          <w:szCs w:val="22"/>
        </w:rPr>
        <w:t xml:space="preserve"> </w:t>
      </w:r>
      <w:r w:rsidR="00196830">
        <w:rPr>
          <w:snapToGrid/>
          <w:kern w:val="0"/>
          <w:szCs w:val="22"/>
        </w:rPr>
        <w:t xml:space="preserve">(Visionary Buyer) </w:t>
      </w:r>
      <w:r w:rsidRPr="00477B03">
        <w:rPr>
          <w:snapToGrid/>
          <w:kern w:val="0"/>
          <w:szCs w:val="22"/>
        </w:rPr>
        <w:t>(collectively, Applicants), pursuant to section 214 of the Communications Act of 1934, as amended, and sections 63.03-04 of the Commission’s rules,</w:t>
      </w:r>
      <w:r>
        <w:rPr>
          <w:snapToGrid/>
          <w:kern w:val="0"/>
          <w:szCs w:val="22"/>
          <w:vertAlign w:val="superscript"/>
        </w:rPr>
        <w:footnoteReference w:id="3"/>
      </w:r>
      <w:r w:rsidRPr="00477B03">
        <w:rPr>
          <w:snapToGrid/>
          <w:kern w:val="0"/>
          <w:szCs w:val="22"/>
        </w:rPr>
        <w:t xml:space="preserve"> requesting consent </w:t>
      </w:r>
      <w:r w:rsidR="008D4566">
        <w:rPr>
          <w:snapToGrid/>
          <w:kern w:val="0"/>
          <w:szCs w:val="22"/>
        </w:rPr>
        <w:t>to</w:t>
      </w:r>
      <w:r w:rsidR="00A74809">
        <w:rPr>
          <w:snapToGrid/>
          <w:kern w:val="0"/>
          <w:szCs w:val="22"/>
        </w:rPr>
        <w:t xml:space="preserve"> </w:t>
      </w:r>
      <w:r w:rsidR="00E73F37">
        <w:rPr>
          <w:snapToGrid/>
          <w:kern w:val="0"/>
          <w:szCs w:val="22"/>
        </w:rPr>
        <w:t>t</w:t>
      </w:r>
      <w:r w:rsidR="005A029F">
        <w:rPr>
          <w:snapToGrid/>
          <w:kern w:val="0"/>
          <w:szCs w:val="22"/>
        </w:rPr>
        <w:t xml:space="preserve">ransfer control of </w:t>
      </w:r>
      <w:r w:rsidRPr="00AA0796" w:rsidR="00AA0796">
        <w:rPr>
          <w:snapToGrid/>
          <w:kern w:val="0"/>
          <w:szCs w:val="22"/>
        </w:rPr>
        <w:t xml:space="preserve">Visionary </w:t>
      </w:r>
      <w:r w:rsidR="00FC3E62">
        <w:rPr>
          <w:snapToGrid/>
          <w:kern w:val="0"/>
          <w:szCs w:val="22"/>
        </w:rPr>
        <w:t xml:space="preserve">Communications, </w:t>
      </w:r>
      <w:r w:rsidRPr="00AA0796" w:rsidR="00AA0796">
        <w:rPr>
          <w:snapToGrid/>
          <w:kern w:val="0"/>
          <w:szCs w:val="22"/>
        </w:rPr>
        <w:t xml:space="preserve">LLC </w:t>
      </w:r>
      <w:r w:rsidR="00FC3E62">
        <w:rPr>
          <w:snapToGrid/>
          <w:kern w:val="0"/>
          <w:szCs w:val="22"/>
        </w:rPr>
        <w:t>(Visionary LLC)</w:t>
      </w:r>
      <w:r w:rsidR="00E46BFF">
        <w:rPr>
          <w:snapToGrid/>
          <w:kern w:val="0"/>
          <w:szCs w:val="22"/>
        </w:rPr>
        <w:t xml:space="preserve"> </w:t>
      </w:r>
      <w:r w:rsidRPr="00AA0796" w:rsidR="00AA0796">
        <w:rPr>
          <w:snapToGrid/>
          <w:kern w:val="0"/>
          <w:szCs w:val="22"/>
        </w:rPr>
        <w:t>to Visionary Buyer</w:t>
      </w:r>
      <w:r w:rsidR="00E73F37">
        <w:rPr>
          <w:snapToGrid/>
          <w:kern w:val="0"/>
          <w:szCs w:val="22"/>
        </w:rPr>
        <w:t>.</w:t>
      </w:r>
      <w:r>
        <w:rPr>
          <w:rStyle w:val="FootnoteReference"/>
          <w:snapToGrid/>
          <w:kern w:val="0"/>
          <w:szCs w:val="22"/>
        </w:rPr>
        <w:footnoteReference w:id="4"/>
      </w:r>
      <w:r w:rsidRPr="00477B03">
        <w:rPr>
          <w:snapToGrid/>
          <w:kern w:val="0"/>
          <w:szCs w:val="22"/>
        </w:rPr>
        <w:t xml:space="preserve"> </w:t>
      </w:r>
    </w:p>
    <w:p w:rsidR="00F1658C" w:rsidP="00E51465" w14:paraId="39B17ACD" w14:textId="102CEE56">
      <w:pPr>
        <w:widowControl/>
        <w:autoSpaceDE w:val="0"/>
        <w:autoSpaceDN w:val="0"/>
        <w:adjustRightInd w:val="0"/>
        <w:spacing w:after="120"/>
        <w:ind w:firstLine="720"/>
        <w:rPr>
          <w:snapToGrid/>
          <w:kern w:val="0"/>
          <w:szCs w:val="22"/>
        </w:rPr>
      </w:pPr>
      <w:r w:rsidRPr="00AA0796">
        <w:rPr>
          <w:snapToGrid/>
          <w:kern w:val="0"/>
          <w:szCs w:val="22"/>
        </w:rPr>
        <w:t>Visionary Seller</w:t>
      </w:r>
      <w:r>
        <w:rPr>
          <w:snapToGrid/>
          <w:kern w:val="0"/>
          <w:szCs w:val="22"/>
        </w:rPr>
        <w:t>,</w:t>
      </w:r>
      <w:r w:rsidRPr="00AA0796">
        <w:rPr>
          <w:snapToGrid/>
          <w:kern w:val="0"/>
          <w:szCs w:val="22"/>
        </w:rPr>
        <w:t xml:space="preserve"> a Wyoming corporation</w:t>
      </w:r>
      <w:r w:rsidR="00E44EA8">
        <w:rPr>
          <w:snapToGrid/>
          <w:kern w:val="0"/>
          <w:szCs w:val="22"/>
        </w:rPr>
        <w:t>, wholly owns Visionary</w:t>
      </w:r>
      <w:r w:rsidRPr="00AA0796">
        <w:rPr>
          <w:snapToGrid/>
          <w:kern w:val="0"/>
          <w:szCs w:val="22"/>
        </w:rPr>
        <w:t>.</w:t>
      </w:r>
      <w:r>
        <w:rPr>
          <w:rStyle w:val="FootnoteReference"/>
          <w:snapToGrid/>
          <w:kern w:val="0"/>
          <w:szCs w:val="22"/>
        </w:rPr>
        <w:footnoteReference w:id="5"/>
      </w:r>
      <w:r w:rsidR="00093743">
        <w:rPr>
          <w:snapToGrid/>
          <w:kern w:val="0"/>
          <w:szCs w:val="22"/>
        </w:rPr>
        <w:t xml:space="preserve">  </w:t>
      </w:r>
      <w:r w:rsidRPr="00E51465" w:rsidR="00E51465">
        <w:rPr>
          <w:snapToGrid/>
          <w:kern w:val="0"/>
          <w:szCs w:val="22"/>
        </w:rPr>
        <w:t>Visionary provides domestic IP-enabled services, broadband services, and VoIP services</w:t>
      </w:r>
      <w:r w:rsidR="00E51465">
        <w:rPr>
          <w:snapToGrid/>
          <w:kern w:val="0"/>
          <w:szCs w:val="22"/>
        </w:rPr>
        <w:t xml:space="preserve"> </w:t>
      </w:r>
      <w:r w:rsidRPr="00E51465" w:rsidR="00E51465">
        <w:rPr>
          <w:snapToGrid/>
          <w:kern w:val="0"/>
          <w:szCs w:val="22"/>
        </w:rPr>
        <w:t>in Colorado, Montana, Nebraska, New Mexico, Washington</w:t>
      </w:r>
      <w:r w:rsidR="00563D98">
        <w:rPr>
          <w:snapToGrid/>
          <w:kern w:val="0"/>
          <w:szCs w:val="22"/>
        </w:rPr>
        <w:t>,</w:t>
      </w:r>
      <w:r w:rsidRPr="00E51465" w:rsidR="00E51465">
        <w:rPr>
          <w:snapToGrid/>
          <w:kern w:val="0"/>
          <w:szCs w:val="22"/>
        </w:rPr>
        <w:t xml:space="preserve"> and Wyoming.</w:t>
      </w:r>
      <w:r>
        <w:rPr>
          <w:rStyle w:val="FootnoteReference"/>
          <w:snapToGrid/>
          <w:kern w:val="0"/>
          <w:szCs w:val="22"/>
        </w:rPr>
        <w:footnoteReference w:id="6"/>
      </w:r>
      <w:r w:rsidR="00563D98">
        <w:rPr>
          <w:snapToGrid/>
          <w:kern w:val="0"/>
          <w:szCs w:val="22"/>
        </w:rPr>
        <w:t xml:space="preserve">  </w:t>
      </w:r>
      <w:r w:rsidR="00E44EA8">
        <w:rPr>
          <w:snapToGrid/>
          <w:kern w:val="0"/>
          <w:szCs w:val="22"/>
        </w:rPr>
        <w:t xml:space="preserve">The Commission </w:t>
      </w:r>
      <w:r w:rsidR="00F44137">
        <w:rPr>
          <w:snapToGrid/>
          <w:kern w:val="0"/>
          <w:szCs w:val="22"/>
        </w:rPr>
        <w:t xml:space="preserve">authorized </w:t>
      </w:r>
      <w:r w:rsidR="00E44EA8">
        <w:rPr>
          <w:snapToGrid/>
          <w:kern w:val="0"/>
          <w:szCs w:val="22"/>
        </w:rPr>
        <w:t xml:space="preserve">Visionary </w:t>
      </w:r>
      <w:r w:rsidR="00E46BFF">
        <w:rPr>
          <w:snapToGrid/>
          <w:kern w:val="0"/>
          <w:szCs w:val="22"/>
        </w:rPr>
        <w:t xml:space="preserve">Inc. </w:t>
      </w:r>
      <w:r w:rsidR="00667805">
        <w:rPr>
          <w:snapToGrid/>
          <w:kern w:val="0"/>
          <w:szCs w:val="22"/>
        </w:rPr>
        <w:t xml:space="preserve">on February 14, 2022 </w:t>
      </w:r>
      <w:r w:rsidR="00F44137">
        <w:rPr>
          <w:snapToGrid/>
          <w:kern w:val="0"/>
          <w:szCs w:val="22"/>
        </w:rPr>
        <w:t xml:space="preserve">to </w:t>
      </w:r>
      <w:r w:rsidR="001F2DA6">
        <w:rPr>
          <w:snapToGrid/>
          <w:kern w:val="0"/>
          <w:szCs w:val="22"/>
        </w:rPr>
        <w:t xml:space="preserve">receive Rural Digital Opportunity Fund (RDOF) </w:t>
      </w:r>
      <w:r w:rsidR="00E44EA8">
        <w:rPr>
          <w:snapToGrid/>
          <w:kern w:val="0"/>
          <w:szCs w:val="22"/>
        </w:rPr>
        <w:t xml:space="preserve">Auction </w:t>
      </w:r>
      <w:r w:rsidR="001F2DA6">
        <w:rPr>
          <w:snapToGrid/>
          <w:kern w:val="0"/>
          <w:szCs w:val="22"/>
        </w:rPr>
        <w:t xml:space="preserve">support to </w:t>
      </w:r>
      <w:r w:rsidR="00F44137">
        <w:rPr>
          <w:snapToGrid/>
          <w:kern w:val="0"/>
          <w:szCs w:val="22"/>
        </w:rPr>
        <w:t xml:space="preserve">provide service to </w:t>
      </w:r>
      <w:r w:rsidR="00B83F44">
        <w:rPr>
          <w:snapToGrid/>
          <w:kern w:val="0"/>
          <w:szCs w:val="22"/>
        </w:rPr>
        <w:t xml:space="preserve">4,184 locations in </w:t>
      </w:r>
      <w:r w:rsidR="00ED493A">
        <w:rPr>
          <w:snapToGrid/>
          <w:kern w:val="0"/>
          <w:szCs w:val="22"/>
        </w:rPr>
        <w:t>Colorado and Wyoming</w:t>
      </w:r>
      <w:r w:rsidR="001B5666">
        <w:rPr>
          <w:snapToGrid/>
          <w:kern w:val="0"/>
          <w:szCs w:val="22"/>
        </w:rPr>
        <w:t>.</w:t>
      </w:r>
      <w:r>
        <w:rPr>
          <w:rStyle w:val="FootnoteReference"/>
          <w:snapToGrid/>
          <w:kern w:val="0"/>
          <w:szCs w:val="22"/>
        </w:rPr>
        <w:footnoteReference w:id="7"/>
      </w:r>
    </w:p>
    <w:p w:rsidR="00E51465" w:rsidP="0053231C" w14:paraId="317C351E" w14:textId="04A943B1">
      <w:pPr>
        <w:widowControl/>
        <w:autoSpaceDE w:val="0"/>
        <w:autoSpaceDN w:val="0"/>
        <w:adjustRightInd w:val="0"/>
        <w:spacing w:after="120"/>
        <w:ind w:firstLine="720"/>
        <w:rPr>
          <w:snapToGrid/>
          <w:kern w:val="0"/>
          <w:szCs w:val="22"/>
        </w:rPr>
      </w:pPr>
      <w:r>
        <w:rPr>
          <w:szCs w:val="22"/>
        </w:rPr>
        <w:t>Visionary Buyer</w:t>
      </w:r>
      <w:r w:rsidRPr="00485DD1">
        <w:rPr>
          <w:szCs w:val="22"/>
        </w:rPr>
        <w:t xml:space="preserve"> is a</w:t>
      </w:r>
      <w:r>
        <w:rPr>
          <w:szCs w:val="22"/>
        </w:rPr>
        <w:t xml:space="preserve"> </w:t>
      </w:r>
      <w:r w:rsidRPr="00485DD1">
        <w:rPr>
          <w:szCs w:val="22"/>
        </w:rPr>
        <w:t xml:space="preserve">Delaware limited liability company created </w:t>
      </w:r>
      <w:r>
        <w:rPr>
          <w:szCs w:val="22"/>
        </w:rPr>
        <w:t xml:space="preserve">specifically </w:t>
      </w:r>
      <w:r w:rsidRPr="00485DD1">
        <w:rPr>
          <w:szCs w:val="22"/>
        </w:rPr>
        <w:t xml:space="preserve">for the purposes of this proposed transaction to become the new parent </w:t>
      </w:r>
      <w:r>
        <w:rPr>
          <w:szCs w:val="22"/>
        </w:rPr>
        <w:t xml:space="preserve">company of </w:t>
      </w:r>
      <w:r w:rsidR="00E44EA8">
        <w:rPr>
          <w:szCs w:val="22"/>
        </w:rPr>
        <w:t>Visionary</w:t>
      </w:r>
      <w:r w:rsidRPr="00485DD1">
        <w:rPr>
          <w:szCs w:val="22"/>
        </w:rPr>
        <w:t>.</w:t>
      </w:r>
      <w:r>
        <w:rPr>
          <w:rStyle w:val="FootnoteReference"/>
          <w:szCs w:val="22"/>
        </w:rPr>
        <w:footnoteReference w:id="8"/>
      </w:r>
      <w:r w:rsidRPr="00485DD1">
        <w:rPr>
          <w:szCs w:val="22"/>
        </w:rPr>
        <w:t xml:space="preserve"> </w:t>
      </w:r>
      <w:r>
        <w:rPr>
          <w:szCs w:val="22"/>
        </w:rPr>
        <w:t xml:space="preserve"> </w:t>
      </w:r>
      <w:r w:rsidR="0053231C">
        <w:rPr>
          <w:szCs w:val="22"/>
        </w:rPr>
        <w:t>Visionary Buyer</w:t>
      </w:r>
      <w:r w:rsidRPr="00485DD1">
        <w:rPr>
          <w:szCs w:val="22"/>
        </w:rPr>
        <w:t xml:space="preserve"> is managed by GTCR, LLC (GTCR), a </w:t>
      </w:r>
      <w:r>
        <w:rPr>
          <w:szCs w:val="22"/>
        </w:rPr>
        <w:t xml:space="preserve">U.S.-based </w:t>
      </w:r>
      <w:r w:rsidRPr="00485DD1">
        <w:rPr>
          <w:szCs w:val="22"/>
        </w:rPr>
        <w:t xml:space="preserve">private equity </w:t>
      </w:r>
      <w:r>
        <w:rPr>
          <w:szCs w:val="22"/>
        </w:rPr>
        <w:t>firm</w:t>
      </w:r>
      <w:r w:rsidR="00E55FEA">
        <w:rPr>
          <w:szCs w:val="22"/>
        </w:rPr>
        <w:t>.</w:t>
      </w:r>
      <w:r w:rsidR="00BF1A0F">
        <w:rPr>
          <w:szCs w:val="22"/>
        </w:rPr>
        <w:t xml:space="preserve">  </w:t>
      </w:r>
      <w:r w:rsidR="00E55FEA">
        <w:rPr>
          <w:szCs w:val="22"/>
        </w:rPr>
        <w:t xml:space="preserve">Applicants state that the following U.S.-based entities </w:t>
      </w:r>
      <w:r w:rsidR="00EC42D5">
        <w:rPr>
          <w:szCs w:val="22"/>
        </w:rPr>
        <w:t xml:space="preserve">will </w:t>
      </w:r>
      <w:r w:rsidR="00E55FEA">
        <w:rPr>
          <w:szCs w:val="22"/>
        </w:rPr>
        <w:t xml:space="preserve">have indirect ownership interests in Visionary Buyer:  </w:t>
      </w:r>
      <w:r w:rsidR="00D5095D">
        <w:rPr>
          <w:szCs w:val="22"/>
        </w:rPr>
        <w:t>GTCR Broadband Aggregator</w:t>
      </w:r>
      <w:r w:rsidR="00663E67">
        <w:rPr>
          <w:szCs w:val="22"/>
        </w:rPr>
        <w:t xml:space="preserve">, LLC </w:t>
      </w:r>
      <w:r w:rsidR="005078A9">
        <w:rPr>
          <w:szCs w:val="22"/>
        </w:rPr>
        <w:t xml:space="preserve">(Broadband Aggregator) </w:t>
      </w:r>
      <w:r w:rsidR="00663E67">
        <w:rPr>
          <w:szCs w:val="22"/>
        </w:rPr>
        <w:t>(57%),</w:t>
      </w:r>
      <w:r>
        <w:rPr>
          <w:rStyle w:val="FootnoteReference"/>
          <w:szCs w:val="22"/>
        </w:rPr>
        <w:footnoteReference w:id="9"/>
      </w:r>
      <w:r w:rsidR="00663E67">
        <w:rPr>
          <w:szCs w:val="22"/>
        </w:rPr>
        <w:t xml:space="preserve"> </w:t>
      </w:r>
      <w:r w:rsidR="005078A9">
        <w:rPr>
          <w:szCs w:val="22"/>
        </w:rPr>
        <w:t xml:space="preserve">Visionary Broadband Management Holdings, LLC </w:t>
      </w:r>
      <w:r w:rsidR="005D6CCA">
        <w:rPr>
          <w:szCs w:val="22"/>
        </w:rPr>
        <w:t xml:space="preserve">(Visionary Management) </w:t>
      </w:r>
      <w:r w:rsidR="005078A9">
        <w:rPr>
          <w:szCs w:val="22"/>
        </w:rPr>
        <w:t>(10%),</w:t>
      </w:r>
      <w:r>
        <w:rPr>
          <w:rStyle w:val="FootnoteReference"/>
          <w:szCs w:val="22"/>
        </w:rPr>
        <w:footnoteReference w:id="10"/>
      </w:r>
      <w:r w:rsidR="005078A9">
        <w:rPr>
          <w:szCs w:val="22"/>
        </w:rPr>
        <w:t xml:space="preserve"> and Visionary Seller (32%).</w:t>
      </w:r>
      <w:r>
        <w:rPr>
          <w:rStyle w:val="FootnoteReference"/>
          <w:szCs w:val="22"/>
        </w:rPr>
        <w:footnoteReference w:id="11"/>
      </w:r>
    </w:p>
    <w:p w:rsidR="00737B9E" w:rsidRPr="0090538D" w:rsidP="00C22C78" w14:paraId="28743099" w14:textId="367BAC1A">
      <w:pPr>
        <w:widowControl/>
        <w:autoSpaceDE w:val="0"/>
        <w:autoSpaceDN w:val="0"/>
        <w:adjustRightInd w:val="0"/>
        <w:spacing w:after="120"/>
        <w:ind w:firstLine="720"/>
        <w:rPr>
          <w:szCs w:val="22"/>
        </w:rPr>
      </w:pPr>
      <w:r w:rsidRPr="00F62AF6">
        <w:rPr>
          <w:snapToGrid/>
        </w:rPr>
        <w:t>Applicants assert that a grant of the Application would serve the public interest, convenience, and necessity</w:t>
      </w:r>
      <w:r>
        <w:rPr>
          <w:snapToGrid/>
        </w:rPr>
        <w:t>.</w:t>
      </w:r>
      <w:r>
        <w:rPr>
          <w:rStyle w:val="FootnoteReference"/>
          <w:snapToGrid/>
        </w:rPr>
        <w:footnoteReference w:id="12"/>
      </w:r>
      <w:r w:rsidR="001A2613">
        <w:rPr>
          <w:snapToGrid/>
        </w:rPr>
        <w:t xml:space="preserve">  </w:t>
      </w:r>
      <w:r w:rsidRPr="00662D4F" w:rsidR="001A2613">
        <w:rPr>
          <w:szCs w:val="22"/>
        </w:rPr>
        <w:t xml:space="preserve">They certify that </w:t>
      </w:r>
      <w:r w:rsidR="00CF7636">
        <w:rPr>
          <w:szCs w:val="22"/>
        </w:rPr>
        <w:t>the proposed transaction will not result in any changes to Visionary’s RDOF buildout plans,</w:t>
      </w:r>
      <w:r>
        <w:rPr>
          <w:rStyle w:val="FootnoteReference"/>
          <w:szCs w:val="22"/>
        </w:rPr>
        <w:footnoteReference w:id="13"/>
      </w:r>
      <w:r w:rsidR="00CF7636">
        <w:rPr>
          <w:szCs w:val="22"/>
        </w:rPr>
        <w:t xml:space="preserve"> that </w:t>
      </w:r>
      <w:r w:rsidR="00BE7E4C">
        <w:rPr>
          <w:szCs w:val="22"/>
        </w:rPr>
        <w:t xml:space="preserve">all relevant RDOF </w:t>
      </w:r>
      <w:r w:rsidR="008947A6">
        <w:rPr>
          <w:szCs w:val="22"/>
        </w:rPr>
        <w:t>support obligations will be met following consummation of the transaction</w:t>
      </w:r>
      <w:r w:rsidRPr="00662D4F" w:rsidR="001A2613">
        <w:rPr>
          <w:szCs w:val="22"/>
        </w:rPr>
        <w:t>,</w:t>
      </w:r>
      <w:r>
        <w:rPr>
          <w:rStyle w:val="FootnoteReference"/>
          <w:szCs w:val="22"/>
        </w:rPr>
        <w:footnoteReference w:id="14"/>
      </w:r>
      <w:r w:rsidR="009F2C4F">
        <w:rPr>
          <w:szCs w:val="22"/>
        </w:rPr>
        <w:t xml:space="preserve"> </w:t>
      </w:r>
      <w:r w:rsidRPr="00662D4F" w:rsidR="001A2613">
        <w:rPr>
          <w:szCs w:val="22"/>
        </w:rPr>
        <w:t xml:space="preserve">and that </w:t>
      </w:r>
      <w:r w:rsidR="0090538D">
        <w:rPr>
          <w:szCs w:val="22"/>
        </w:rPr>
        <w:t>“[w]</w:t>
      </w:r>
      <w:r w:rsidRPr="0090538D" w:rsidR="0090538D">
        <w:rPr>
          <w:szCs w:val="22"/>
        </w:rPr>
        <w:t>ith</w:t>
      </w:r>
      <w:r w:rsidRPr="0090538D" w:rsidR="0090538D">
        <w:rPr>
          <w:szCs w:val="22"/>
        </w:rPr>
        <w:t xml:space="preserve"> the addition of GTCR’s capital</w:t>
      </w:r>
      <w:r w:rsidR="00BA1183">
        <w:rPr>
          <w:szCs w:val="22"/>
        </w:rPr>
        <w:t xml:space="preserve"> . . . </w:t>
      </w:r>
      <w:r w:rsidRPr="0090538D" w:rsidR="0090538D">
        <w:rPr>
          <w:szCs w:val="22"/>
        </w:rPr>
        <w:t>Visionary will be well</w:t>
      </w:r>
      <w:r w:rsidR="008D3487">
        <w:rPr>
          <w:szCs w:val="22"/>
        </w:rPr>
        <w:t>-</w:t>
      </w:r>
      <w:r w:rsidRPr="0090538D" w:rsidR="0090538D">
        <w:rPr>
          <w:szCs w:val="22"/>
        </w:rPr>
        <w:t>positioned</w:t>
      </w:r>
      <w:r w:rsidR="0090538D">
        <w:rPr>
          <w:szCs w:val="22"/>
        </w:rPr>
        <w:t xml:space="preserve"> </w:t>
      </w:r>
      <w:r w:rsidRPr="0090538D" w:rsidR="0090538D">
        <w:rPr>
          <w:szCs w:val="22"/>
        </w:rPr>
        <w:t>to accelerate its network construction and provision of services to rural consumers</w:t>
      </w:r>
      <w:r w:rsidR="0090538D">
        <w:rPr>
          <w:szCs w:val="22"/>
        </w:rPr>
        <w:t>”</w:t>
      </w:r>
      <w:r w:rsidR="00F009FA">
        <w:rPr>
          <w:szCs w:val="22"/>
        </w:rPr>
        <w:t xml:space="preserve"> in Colorado and Wyoming.</w:t>
      </w:r>
      <w:r>
        <w:rPr>
          <w:rStyle w:val="FootnoteReference"/>
          <w:szCs w:val="22"/>
        </w:rPr>
        <w:footnoteReference w:id="15"/>
      </w:r>
      <w:r w:rsidR="0090538D">
        <w:rPr>
          <w:szCs w:val="22"/>
        </w:rPr>
        <w:t xml:space="preserve">  </w:t>
      </w:r>
      <w:r w:rsidRPr="00662D4F" w:rsidR="00046166">
        <w:rPr>
          <w:szCs w:val="22"/>
        </w:rPr>
        <w:t xml:space="preserve">They assert that </w:t>
      </w:r>
      <w:r w:rsidR="00D04648">
        <w:rPr>
          <w:szCs w:val="22"/>
        </w:rPr>
        <w:t>GTCR</w:t>
      </w:r>
      <w:r w:rsidRPr="00662D4F" w:rsidR="00046166">
        <w:rPr>
          <w:szCs w:val="22"/>
        </w:rPr>
        <w:t xml:space="preserve"> has significant exper</w:t>
      </w:r>
      <w:r w:rsidR="00D04866">
        <w:rPr>
          <w:szCs w:val="22"/>
        </w:rPr>
        <w:t xml:space="preserve">ience </w:t>
      </w:r>
      <w:r w:rsidRPr="00662D4F" w:rsidR="00046166">
        <w:rPr>
          <w:szCs w:val="22"/>
        </w:rPr>
        <w:t xml:space="preserve">investing in </w:t>
      </w:r>
      <w:r w:rsidR="00123178">
        <w:rPr>
          <w:szCs w:val="22"/>
        </w:rPr>
        <w:t xml:space="preserve">and managing </w:t>
      </w:r>
      <w:r w:rsidRPr="00C22C78" w:rsidR="00E30C7F">
        <w:rPr>
          <w:snapToGrid/>
        </w:rPr>
        <w:t xml:space="preserve">telecommunications </w:t>
      </w:r>
      <w:r w:rsidRPr="00C22C78" w:rsidR="008C3D25">
        <w:rPr>
          <w:snapToGrid/>
        </w:rPr>
        <w:t>companies</w:t>
      </w:r>
      <w:r w:rsidRPr="00C22C78" w:rsidR="0042070A">
        <w:rPr>
          <w:snapToGrid/>
        </w:rPr>
        <w:t>,</w:t>
      </w:r>
      <w:r>
        <w:rPr>
          <w:rStyle w:val="FootnoteReference"/>
          <w:snapToGrid/>
        </w:rPr>
        <w:footnoteReference w:id="16"/>
      </w:r>
      <w:r w:rsidRPr="00C22C78" w:rsidR="000F1CF0">
        <w:rPr>
          <w:snapToGrid/>
        </w:rPr>
        <w:t xml:space="preserve"> and </w:t>
      </w:r>
      <w:r w:rsidRPr="00C22C78" w:rsidR="00AE6352">
        <w:rPr>
          <w:snapToGrid/>
        </w:rPr>
        <w:t>that GTC</w:t>
      </w:r>
      <w:r w:rsidRPr="00C22C78" w:rsidR="00375D5E">
        <w:rPr>
          <w:snapToGrid/>
        </w:rPr>
        <w:t xml:space="preserve">R </w:t>
      </w:r>
      <w:r w:rsidRPr="00C22C78" w:rsidR="000F1CF0">
        <w:rPr>
          <w:snapToGrid/>
        </w:rPr>
        <w:t xml:space="preserve">will </w:t>
      </w:r>
      <w:r w:rsidRPr="00C22C78" w:rsidR="003F08A1">
        <w:rPr>
          <w:snapToGrid/>
        </w:rPr>
        <w:t xml:space="preserve">contribute its </w:t>
      </w:r>
      <w:r w:rsidRPr="00C22C78" w:rsidR="00C22C78">
        <w:rPr>
          <w:snapToGrid/>
        </w:rPr>
        <w:t xml:space="preserve">managerial </w:t>
      </w:r>
      <w:r w:rsidRPr="00C22C78" w:rsidR="003F08A1">
        <w:rPr>
          <w:snapToGrid/>
        </w:rPr>
        <w:t xml:space="preserve">expertise </w:t>
      </w:r>
      <w:r w:rsidRPr="00C22C78" w:rsidR="00183FA5">
        <w:rPr>
          <w:snapToGrid/>
        </w:rPr>
        <w:t>to Visionary’s existing management and personnel to</w:t>
      </w:r>
      <w:r w:rsidRPr="00C22C78" w:rsidR="00122727">
        <w:rPr>
          <w:snapToGrid/>
        </w:rPr>
        <w:t xml:space="preserve"> </w:t>
      </w:r>
      <w:r w:rsidRPr="00C22C78" w:rsidR="00C22C78">
        <w:rPr>
          <w:snapToGrid/>
        </w:rPr>
        <w:t>“</w:t>
      </w:r>
      <w:r w:rsidRPr="00C22C78" w:rsidR="00122727">
        <w:rPr>
          <w:snapToGrid/>
        </w:rPr>
        <w:t xml:space="preserve">enable increased investment and competition for </w:t>
      </w:r>
      <w:r w:rsidRPr="00C22C78" w:rsidR="00122727">
        <w:rPr>
          <w:snapToGrid/>
        </w:rPr>
        <w:t>telecommunications and</w:t>
      </w:r>
      <w:r w:rsidRPr="00122727" w:rsidR="00122727">
        <w:rPr>
          <w:szCs w:val="22"/>
        </w:rPr>
        <w:t xml:space="preserve"> broadband services</w:t>
      </w:r>
      <w:r w:rsidR="00122727">
        <w:rPr>
          <w:szCs w:val="22"/>
        </w:rPr>
        <w:t xml:space="preserve"> </w:t>
      </w:r>
      <w:r w:rsidRPr="00122727" w:rsidR="00122727">
        <w:rPr>
          <w:szCs w:val="22"/>
        </w:rPr>
        <w:t>in Colorado, Montana, Nebraska, New Mexico, Washington and Wyoming.</w:t>
      </w:r>
      <w:r w:rsidR="00122727">
        <w:rPr>
          <w:szCs w:val="22"/>
        </w:rPr>
        <w:t>”</w:t>
      </w:r>
      <w:r>
        <w:rPr>
          <w:rStyle w:val="FootnoteReference"/>
          <w:szCs w:val="22"/>
        </w:rPr>
        <w:footnoteReference w:id="17"/>
      </w:r>
      <w:r w:rsidR="00122727">
        <w:rPr>
          <w:szCs w:val="22"/>
        </w:rPr>
        <w:t xml:space="preserve">  </w:t>
      </w:r>
      <w:r w:rsidRPr="00662D4F" w:rsidR="00046166">
        <w:rPr>
          <w:szCs w:val="22"/>
        </w:rPr>
        <w:t>They state that the proposed transaction w</w:t>
      </w:r>
      <w:r w:rsidR="00046166">
        <w:rPr>
          <w:szCs w:val="22"/>
        </w:rPr>
        <w:t>ould</w:t>
      </w:r>
      <w:r w:rsidRPr="00662D4F" w:rsidR="00046166">
        <w:rPr>
          <w:szCs w:val="22"/>
        </w:rPr>
        <w:t xml:space="preserve"> be transparent to prospective customers and </w:t>
      </w:r>
      <w:r w:rsidR="00046166">
        <w:rPr>
          <w:szCs w:val="22"/>
        </w:rPr>
        <w:t xml:space="preserve">to </w:t>
      </w:r>
      <w:r w:rsidR="00742BE4">
        <w:rPr>
          <w:szCs w:val="22"/>
        </w:rPr>
        <w:t>Visionary’s</w:t>
      </w:r>
      <w:r w:rsidRPr="00662D4F" w:rsidR="00046166">
        <w:rPr>
          <w:szCs w:val="22"/>
        </w:rPr>
        <w:t xml:space="preserve"> existing customers, who w</w:t>
      </w:r>
      <w:r w:rsidR="00046166">
        <w:rPr>
          <w:szCs w:val="22"/>
        </w:rPr>
        <w:t>ould</w:t>
      </w:r>
      <w:r w:rsidRPr="00662D4F" w:rsidR="00046166">
        <w:rPr>
          <w:szCs w:val="22"/>
        </w:rPr>
        <w:t xml:space="preserve"> continue to receive service pursuant to existing terms and conditions.</w:t>
      </w:r>
      <w:r>
        <w:rPr>
          <w:rStyle w:val="FootnoteReference"/>
          <w:szCs w:val="22"/>
        </w:rPr>
        <w:footnoteReference w:id="18"/>
      </w:r>
    </w:p>
    <w:p w:rsidR="00737B9E" w:rsidP="005B2EDD" w14:paraId="1CE64EBC" w14:textId="3DA83459">
      <w:pPr>
        <w:widowControl/>
        <w:autoSpaceDE w:val="0"/>
        <w:autoSpaceDN w:val="0"/>
        <w:adjustRightInd w:val="0"/>
        <w:spacing w:after="120"/>
        <w:ind w:firstLine="720"/>
        <w:rPr>
          <w:snapToGrid/>
        </w:rPr>
      </w:pPr>
      <w:r w:rsidRPr="00662D4F">
        <w:rPr>
          <w:color w:val="000000"/>
          <w:szCs w:val="22"/>
        </w:rPr>
        <w:t>Because the proposed transaction would involve the exchange and assumption of Universal Service Fund high-cost mechanis</w:t>
      </w:r>
      <w:r>
        <w:rPr>
          <w:color w:val="000000"/>
          <w:szCs w:val="22"/>
        </w:rPr>
        <w:t>m</w:t>
      </w:r>
      <w:r w:rsidRPr="00662D4F">
        <w:rPr>
          <w:color w:val="000000"/>
          <w:szCs w:val="22"/>
        </w:rPr>
        <w:t xml:space="preserve"> obligations, in order to sufficiently analyze whether the proposed transaction would serve the public interest, we accept the Application for non-streamlined processing</w:t>
      </w:r>
      <w:r w:rsidRPr="00662D4F">
        <w:rPr>
          <w:bCs/>
          <w:szCs w:val="22"/>
        </w:rPr>
        <w:t>.</w:t>
      </w:r>
      <w:r>
        <w:rPr>
          <w:rStyle w:val="FootnoteReference"/>
          <w:bCs/>
          <w:szCs w:val="22"/>
        </w:rPr>
        <w:footnoteReference w:id="19"/>
      </w:r>
    </w:p>
    <w:p w:rsidR="006A1B83" w:rsidP="00B773BA" w14:paraId="76594820" w14:textId="77777777">
      <w:pPr>
        <w:widowControl/>
        <w:ind w:left="720"/>
        <w:rPr>
          <w:snapToGrid/>
          <w:kern w:val="0"/>
          <w:szCs w:val="22"/>
        </w:rPr>
      </w:pPr>
      <w:r w:rsidRPr="005C743D">
        <w:rPr>
          <w:snapToGrid/>
          <w:kern w:val="0"/>
          <w:szCs w:val="22"/>
        </w:rPr>
        <w:t xml:space="preserve">Domestic Section 214 Application Filed for the Transfer of Control of </w:t>
      </w:r>
    </w:p>
    <w:p w:rsidR="006A1B83" w:rsidP="00B773BA" w14:paraId="3F89E36A" w14:textId="2561842A">
      <w:pPr>
        <w:widowControl/>
        <w:ind w:left="720"/>
        <w:rPr>
          <w:snapToGrid/>
          <w:kern w:val="0"/>
          <w:szCs w:val="22"/>
        </w:rPr>
      </w:pPr>
      <w:r w:rsidRPr="006A1B83">
        <w:rPr>
          <w:snapToGrid/>
          <w:kern w:val="0"/>
          <w:szCs w:val="22"/>
        </w:rPr>
        <w:t xml:space="preserve">Visionary </w:t>
      </w:r>
      <w:r w:rsidR="00E4725E">
        <w:rPr>
          <w:snapToGrid/>
          <w:kern w:val="0"/>
          <w:szCs w:val="22"/>
        </w:rPr>
        <w:t>Communications, LLC</w:t>
      </w:r>
      <w:r w:rsidRPr="006A1B83">
        <w:rPr>
          <w:snapToGrid/>
          <w:kern w:val="0"/>
          <w:szCs w:val="22"/>
        </w:rPr>
        <w:t xml:space="preserve"> </w:t>
      </w:r>
      <w:r w:rsidR="00F77244">
        <w:rPr>
          <w:snapToGrid/>
          <w:kern w:val="0"/>
          <w:szCs w:val="22"/>
        </w:rPr>
        <w:t>t</w:t>
      </w:r>
      <w:r w:rsidRPr="006A1B83">
        <w:rPr>
          <w:snapToGrid/>
          <w:kern w:val="0"/>
          <w:szCs w:val="22"/>
        </w:rPr>
        <w:t>o Visionary Buyer, L</w:t>
      </w:r>
      <w:r>
        <w:rPr>
          <w:snapToGrid/>
          <w:kern w:val="0"/>
          <w:szCs w:val="22"/>
        </w:rPr>
        <w:t>LC</w:t>
      </w:r>
      <w:r w:rsidRPr="005C743D" w:rsidR="006777CB">
        <w:rPr>
          <w:snapToGrid/>
          <w:kern w:val="0"/>
          <w:szCs w:val="22"/>
        </w:rPr>
        <w:t xml:space="preserve">, </w:t>
      </w:r>
    </w:p>
    <w:p w:rsidR="003474AA" w:rsidRPr="005C743D" w:rsidP="00B773BA" w14:paraId="728E10B8" w14:textId="44B18919">
      <w:pPr>
        <w:widowControl/>
        <w:ind w:left="720"/>
        <w:rPr>
          <w:snapToGrid/>
          <w:kern w:val="0"/>
          <w:szCs w:val="22"/>
        </w:rPr>
      </w:pPr>
      <w:r w:rsidRPr="005C743D">
        <w:rPr>
          <w:snapToGrid/>
          <w:kern w:val="0"/>
          <w:szCs w:val="22"/>
        </w:rPr>
        <w:t>WC Docket No. 2</w:t>
      </w:r>
      <w:r w:rsidR="005A029F">
        <w:rPr>
          <w:snapToGrid/>
          <w:kern w:val="0"/>
          <w:szCs w:val="22"/>
        </w:rPr>
        <w:t>2</w:t>
      </w:r>
      <w:r w:rsidRPr="005C743D">
        <w:rPr>
          <w:snapToGrid/>
          <w:kern w:val="0"/>
          <w:szCs w:val="22"/>
        </w:rPr>
        <w:t>-</w:t>
      </w:r>
      <w:r w:rsidR="006A1B83">
        <w:rPr>
          <w:snapToGrid/>
          <w:kern w:val="0"/>
          <w:szCs w:val="22"/>
        </w:rPr>
        <w:t>70</w:t>
      </w:r>
      <w:r w:rsidRPr="005C743D">
        <w:rPr>
          <w:snapToGrid/>
          <w:kern w:val="0"/>
          <w:szCs w:val="22"/>
        </w:rPr>
        <w:t xml:space="preserve"> (filed </w:t>
      </w:r>
      <w:r w:rsidR="006A1B83">
        <w:rPr>
          <w:snapToGrid/>
          <w:kern w:val="0"/>
          <w:szCs w:val="22"/>
        </w:rPr>
        <w:t>Feb.</w:t>
      </w:r>
      <w:r w:rsidRPr="005C743D">
        <w:rPr>
          <w:snapToGrid/>
          <w:kern w:val="0"/>
          <w:szCs w:val="22"/>
        </w:rPr>
        <w:t xml:space="preserve"> 1</w:t>
      </w:r>
      <w:r w:rsidR="006A1B83">
        <w:rPr>
          <w:snapToGrid/>
          <w:kern w:val="0"/>
          <w:szCs w:val="22"/>
        </w:rPr>
        <w:t>8</w:t>
      </w:r>
      <w:r w:rsidRPr="005C743D">
        <w:rPr>
          <w:snapToGrid/>
          <w:kern w:val="0"/>
          <w:szCs w:val="22"/>
        </w:rPr>
        <w:t>, 202</w:t>
      </w:r>
      <w:r w:rsidR="005A029F">
        <w:rPr>
          <w:snapToGrid/>
          <w:kern w:val="0"/>
          <w:szCs w:val="22"/>
        </w:rPr>
        <w:t>2</w:t>
      </w:r>
      <w:r w:rsidRPr="005C743D">
        <w:rPr>
          <w:snapToGrid/>
          <w:kern w:val="0"/>
          <w:szCs w:val="22"/>
        </w:rPr>
        <w:t>).</w:t>
      </w:r>
    </w:p>
    <w:p w:rsidR="00590452" w:rsidP="003474AA" w14:paraId="4F2448F8" w14:textId="77777777">
      <w:pPr>
        <w:widowControl/>
        <w:autoSpaceDE w:val="0"/>
        <w:autoSpaceDN w:val="0"/>
        <w:adjustRightInd w:val="0"/>
        <w:rPr>
          <w:b/>
          <w:snapToGrid/>
          <w:kern w:val="0"/>
          <w:szCs w:val="22"/>
          <w:u w:val="single"/>
        </w:rPr>
      </w:pPr>
      <w:bookmarkStart w:id="2" w:name="_Hlk91058179"/>
    </w:p>
    <w:p w:rsidR="003474AA" w:rsidRPr="005C743D" w:rsidP="003474AA" w14:paraId="3E10421D" w14:textId="77777777">
      <w:pPr>
        <w:widowControl/>
        <w:autoSpaceDE w:val="0"/>
        <w:autoSpaceDN w:val="0"/>
        <w:adjustRightInd w:val="0"/>
        <w:rPr>
          <w:snapToGrid/>
          <w:kern w:val="0"/>
          <w:szCs w:val="22"/>
        </w:rPr>
      </w:pPr>
      <w:r w:rsidRPr="005C743D">
        <w:rPr>
          <w:b/>
          <w:snapToGrid/>
          <w:kern w:val="0"/>
          <w:szCs w:val="22"/>
          <w:u w:val="single"/>
        </w:rPr>
        <w:t>GENERAL INFORMATION</w:t>
      </w:r>
    </w:p>
    <w:p w:rsidR="003474AA" w:rsidRPr="005C743D" w:rsidP="003474AA" w14:paraId="10C51B38" w14:textId="77777777">
      <w:pPr>
        <w:widowControl/>
        <w:autoSpaceDE w:val="0"/>
        <w:autoSpaceDN w:val="0"/>
        <w:adjustRightInd w:val="0"/>
        <w:rPr>
          <w:snapToGrid/>
          <w:kern w:val="0"/>
          <w:szCs w:val="22"/>
        </w:rPr>
      </w:pPr>
    </w:p>
    <w:p w:rsidR="008014D0" w:rsidRPr="008014D0" w:rsidP="008014D0" w14:paraId="74B1EE29" w14:textId="77777777">
      <w:pPr>
        <w:widowControl/>
        <w:autoSpaceDE w:val="0"/>
        <w:autoSpaceDN w:val="0"/>
        <w:adjustRightInd w:val="0"/>
        <w:spacing w:after="120"/>
        <w:ind w:firstLine="720"/>
        <w:rPr>
          <w:snapToGrid/>
          <w:kern w:val="0"/>
          <w:szCs w:val="22"/>
        </w:rPr>
      </w:pPr>
      <w:r w:rsidRPr="008014D0">
        <w:rPr>
          <w:snapToGrid/>
          <w:kern w:val="0"/>
          <w:szCs w:val="22"/>
        </w:rPr>
        <w:t>The application identified herein has been found, upon initial review, to be acceptable for filing.  The Commission reserves the right to return any application if, upon further examination, it is determined to be defective and not in conformance with the Commission’s rules and policies.</w:t>
      </w:r>
    </w:p>
    <w:p w:rsidR="008014D0" w:rsidRPr="008014D0" w:rsidP="008014D0" w14:paraId="690A8B49" w14:textId="1ED922F4">
      <w:pPr>
        <w:widowControl/>
        <w:autoSpaceDE w:val="0"/>
        <w:autoSpaceDN w:val="0"/>
        <w:adjustRightInd w:val="0"/>
        <w:spacing w:after="120"/>
        <w:ind w:firstLine="720"/>
        <w:rPr>
          <w:snapToGrid/>
          <w:kern w:val="0"/>
          <w:szCs w:val="22"/>
        </w:rPr>
      </w:pPr>
      <w:r w:rsidRPr="008014D0">
        <w:rPr>
          <w:snapToGrid/>
          <w:kern w:val="0"/>
          <w:szCs w:val="22"/>
        </w:rPr>
        <w:t xml:space="preserve">Interested parties may file comments </w:t>
      </w:r>
      <w:r w:rsidRPr="008014D0">
        <w:rPr>
          <w:b/>
          <w:snapToGrid/>
          <w:kern w:val="0"/>
          <w:szCs w:val="22"/>
        </w:rPr>
        <w:t xml:space="preserve">on or before </w:t>
      </w:r>
      <w:r>
        <w:rPr>
          <w:b/>
          <w:snapToGrid/>
          <w:kern w:val="0"/>
          <w:szCs w:val="22"/>
        </w:rPr>
        <w:t>March</w:t>
      </w:r>
      <w:r w:rsidRPr="008014D0">
        <w:rPr>
          <w:b/>
          <w:snapToGrid/>
          <w:kern w:val="0"/>
          <w:szCs w:val="22"/>
        </w:rPr>
        <w:t xml:space="preserve"> </w:t>
      </w:r>
      <w:r w:rsidR="002D64FE">
        <w:rPr>
          <w:b/>
          <w:snapToGrid/>
          <w:kern w:val="0"/>
          <w:szCs w:val="22"/>
        </w:rPr>
        <w:t>25</w:t>
      </w:r>
      <w:r w:rsidRPr="008014D0">
        <w:rPr>
          <w:b/>
          <w:snapToGrid/>
          <w:kern w:val="0"/>
          <w:szCs w:val="22"/>
        </w:rPr>
        <w:t>, 202</w:t>
      </w:r>
      <w:r>
        <w:rPr>
          <w:b/>
          <w:snapToGrid/>
          <w:kern w:val="0"/>
          <w:szCs w:val="22"/>
        </w:rPr>
        <w:t>2</w:t>
      </w:r>
      <w:r w:rsidRPr="008014D0">
        <w:rPr>
          <w:snapToGrid/>
          <w:kern w:val="0"/>
          <w:szCs w:val="22"/>
        </w:rPr>
        <w:t xml:space="preserve">, and reply comments </w:t>
      </w:r>
      <w:r w:rsidRPr="008014D0">
        <w:rPr>
          <w:b/>
          <w:snapToGrid/>
          <w:kern w:val="0"/>
          <w:szCs w:val="22"/>
        </w:rPr>
        <w:t xml:space="preserve">on or before </w:t>
      </w:r>
      <w:r w:rsidR="002D64FE">
        <w:rPr>
          <w:b/>
          <w:snapToGrid/>
          <w:kern w:val="0"/>
          <w:szCs w:val="22"/>
        </w:rPr>
        <w:t>April 1</w:t>
      </w:r>
      <w:r w:rsidRPr="008014D0">
        <w:rPr>
          <w:b/>
          <w:snapToGrid/>
          <w:kern w:val="0"/>
          <w:szCs w:val="22"/>
        </w:rPr>
        <w:t>, 202</w:t>
      </w:r>
      <w:r>
        <w:rPr>
          <w:b/>
          <w:snapToGrid/>
          <w:kern w:val="0"/>
          <w:szCs w:val="22"/>
        </w:rPr>
        <w:t>2</w:t>
      </w:r>
      <w:r w:rsidRPr="008014D0">
        <w:rPr>
          <w:snapToGrid/>
          <w:kern w:val="0"/>
          <w:szCs w:val="22"/>
        </w:rPr>
        <w:t>.  Comments may be filed using the Commission’s Electronic Comment Filing System (ECFS) or by paper.  </w:t>
      </w:r>
    </w:p>
    <w:p w:rsidR="008014D0" w:rsidRPr="008014D0" w:rsidP="008014D0" w14:paraId="548E5B0A" w14:textId="60102FC4">
      <w:pPr>
        <w:widowControl/>
        <w:numPr>
          <w:ilvl w:val="0"/>
          <w:numId w:val="8"/>
        </w:numPr>
        <w:autoSpaceDE w:val="0"/>
        <w:autoSpaceDN w:val="0"/>
        <w:adjustRightInd w:val="0"/>
        <w:spacing w:after="120"/>
        <w:rPr>
          <w:snapToGrid/>
          <w:kern w:val="0"/>
          <w:szCs w:val="22"/>
        </w:rPr>
      </w:pPr>
      <w:r w:rsidRPr="008014D0">
        <w:rPr>
          <w:snapToGrid/>
          <w:kern w:val="0"/>
          <w:szCs w:val="22"/>
        </w:rPr>
        <w:t>Electronic Filers:  Comments may be filed electronically by accessing ECFS at </w:t>
      </w:r>
      <w:hyperlink r:id="rId5" w:history="1">
        <w:r w:rsidR="00FB61FA">
          <w:rPr>
            <w:rStyle w:val="Hyperlink"/>
            <w:snapToGrid/>
            <w:kern w:val="0"/>
            <w:szCs w:val="22"/>
          </w:rPr>
          <w:t>https://apps.fcc.gov/ecfs/</w:t>
        </w:r>
      </w:hyperlink>
      <w:r w:rsidRPr="008014D0">
        <w:rPr>
          <w:snapToGrid/>
          <w:kern w:val="0"/>
          <w:szCs w:val="22"/>
        </w:rPr>
        <w:t>.</w:t>
      </w:r>
    </w:p>
    <w:p w:rsidR="008014D0" w:rsidRPr="008014D0" w:rsidP="008014D0" w14:paraId="74478192" w14:textId="3A9EE0D4">
      <w:pPr>
        <w:widowControl/>
        <w:numPr>
          <w:ilvl w:val="0"/>
          <w:numId w:val="9"/>
        </w:numPr>
        <w:autoSpaceDE w:val="0"/>
        <w:autoSpaceDN w:val="0"/>
        <w:adjustRightInd w:val="0"/>
        <w:spacing w:after="120"/>
        <w:rPr>
          <w:snapToGrid/>
          <w:kern w:val="0"/>
          <w:szCs w:val="22"/>
        </w:rPr>
      </w:pPr>
      <w:r w:rsidRPr="008014D0">
        <w:rPr>
          <w:i/>
          <w:iCs/>
          <w:snapToGrid/>
          <w:kern w:val="0"/>
          <w:szCs w:val="22"/>
        </w:rPr>
        <w:t>Paper Filers</w:t>
      </w:r>
      <w:r w:rsidRPr="008014D0">
        <w:rPr>
          <w:snapToGrid/>
          <w:kern w:val="0"/>
          <w:szCs w:val="22"/>
        </w:rPr>
        <w:t xml:space="preserve">: </w:t>
      </w:r>
      <w:r w:rsidR="006A5323">
        <w:rPr>
          <w:snapToGrid/>
          <w:kern w:val="0"/>
          <w:szCs w:val="22"/>
        </w:rPr>
        <w:t xml:space="preserve"> </w:t>
      </w:r>
      <w:r w:rsidRPr="008014D0">
        <w:rPr>
          <w:snapToGrid/>
          <w:kern w:val="0"/>
          <w:szCs w:val="22"/>
        </w:rPr>
        <w:t>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8014D0" w:rsidRPr="008014D0" w:rsidP="008014D0" w14:paraId="7642B04D" w14:textId="77777777">
      <w:pPr>
        <w:widowControl/>
        <w:numPr>
          <w:ilvl w:val="1"/>
          <w:numId w:val="9"/>
        </w:numPr>
        <w:autoSpaceDE w:val="0"/>
        <w:autoSpaceDN w:val="0"/>
        <w:adjustRightInd w:val="0"/>
        <w:spacing w:after="120"/>
        <w:rPr>
          <w:snapToGrid/>
          <w:kern w:val="0"/>
          <w:szCs w:val="22"/>
        </w:rPr>
      </w:pPr>
      <w:r w:rsidRPr="008014D0">
        <w:rPr>
          <w:snapToGrid/>
          <w:kern w:val="0"/>
          <w:szCs w:val="22"/>
        </w:rPr>
        <w:t>Filings can be sent by commercial overnight courier or by first-class or overnight U.S. Postal Service mail.</w:t>
      </w:r>
      <w:r>
        <w:rPr>
          <w:snapToGrid/>
          <w:kern w:val="0"/>
          <w:szCs w:val="22"/>
          <w:vertAlign w:val="superscript"/>
        </w:rPr>
        <w:footnoteReference w:id="20"/>
      </w:r>
      <w:r w:rsidRPr="008014D0">
        <w:rPr>
          <w:snapToGrid/>
          <w:kern w:val="0"/>
          <w:szCs w:val="22"/>
        </w:rPr>
        <w:t xml:space="preserve">  All filings must be addressed to the Commission’s Secretary, Office of the Secretary, Federal Communications Commission.</w:t>
      </w:r>
    </w:p>
    <w:p w:rsidR="008014D0" w:rsidRPr="008014D0" w:rsidP="008014D0" w14:paraId="77727A52" w14:textId="2EA76D03">
      <w:pPr>
        <w:widowControl/>
        <w:numPr>
          <w:ilvl w:val="1"/>
          <w:numId w:val="9"/>
        </w:numPr>
        <w:autoSpaceDE w:val="0"/>
        <w:autoSpaceDN w:val="0"/>
        <w:adjustRightInd w:val="0"/>
        <w:spacing w:after="120"/>
        <w:rPr>
          <w:snapToGrid/>
          <w:kern w:val="0"/>
          <w:szCs w:val="22"/>
        </w:rPr>
      </w:pPr>
      <w:r w:rsidRPr="008014D0">
        <w:rPr>
          <w:snapToGrid/>
          <w:kern w:val="0"/>
          <w:szCs w:val="22"/>
        </w:rPr>
        <w:t>Commercial overnight mail (other than U.S. Postal Service Express Mail and Priority Mail) must be sent to 9050 Junction Drive, Annapolis Junction, MD 20701.  U.S. Postal Service first-class, Express, and Priority mail must be addressed to 45 L Street NE, Washington, DC 20554.</w:t>
      </w:r>
    </w:p>
    <w:p w:rsidR="008014D0" w:rsidRPr="008014D0" w:rsidP="008014D0" w14:paraId="7DCBA1D5" w14:textId="77777777">
      <w:pPr>
        <w:widowControl/>
        <w:autoSpaceDE w:val="0"/>
        <w:autoSpaceDN w:val="0"/>
        <w:adjustRightInd w:val="0"/>
        <w:spacing w:after="120"/>
        <w:ind w:firstLine="720"/>
        <w:rPr>
          <w:snapToGrid/>
          <w:kern w:val="0"/>
          <w:szCs w:val="22"/>
        </w:rPr>
      </w:pPr>
      <w:r w:rsidRPr="008014D0">
        <w:rPr>
          <w:snapToGrid/>
          <w:kern w:val="0"/>
          <w:szCs w:val="22"/>
        </w:rPr>
        <w:t>People with Disabilities:  We ask that requests for accommodations be made as soon as possible in order to allow the agency to satisfy such requests whenever possible.  Send an email to </w:t>
      </w:r>
      <w:hyperlink r:id="rId6" w:tgtFrame="_blank" w:history="1">
        <w:r w:rsidRPr="008014D0">
          <w:rPr>
            <w:rStyle w:val="Hyperlink"/>
            <w:snapToGrid/>
            <w:kern w:val="0"/>
            <w:szCs w:val="22"/>
          </w:rPr>
          <w:t>fcc504@fcc.gov</w:t>
        </w:r>
      </w:hyperlink>
      <w:r w:rsidRPr="008014D0">
        <w:rPr>
          <w:snapToGrid/>
          <w:kern w:val="0"/>
          <w:szCs w:val="22"/>
        </w:rPr>
        <w:t> or call the Consumer and Governmental Affairs Bureau at (202) 418-0530.</w:t>
      </w:r>
    </w:p>
    <w:p w:rsidR="008014D0" w:rsidRPr="008014D0" w:rsidP="008014D0" w14:paraId="080C66F0" w14:textId="6328B893">
      <w:pPr>
        <w:widowControl/>
        <w:autoSpaceDE w:val="0"/>
        <w:autoSpaceDN w:val="0"/>
        <w:adjustRightInd w:val="0"/>
        <w:spacing w:after="120"/>
        <w:ind w:firstLine="720"/>
        <w:rPr>
          <w:b/>
          <w:snapToGrid/>
          <w:kern w:val="0"/>
          <w:szCs w:val="22"/>
        </w:rPr>
      </w:pPr>
      <w:r w:rsidRPr="008014D0">
        <w:rPr>
          <w:b/>
          <w:snapToGrid/>
          <w:kern w:val="0"/>
          <w:szCs w:val="22"/>
        </w:rPr>
        <w:t>In addition, email one copy of each pleading to each of the following:</w:t>
      </w:r>
    </w:p>
    <w:p w:rsidR="008014D0" w:rsidRPr="008014D0" w:rsidP="008014D0" w14:paraId="5ED5B0B8" w14:textId="4FF6352B">
      <w:pPr>
        <w:widowControl/>
        <w:numPr>
          <w:ilvl w:val="0"/>
          <w:numId w:val="7"/>
        </w:numPr>
        <w:autoSpaceDE w:val="0"/>
        <w:autoSpaceDN w:val="0"/>
        <w:adjustRightInd w:val="0"/>
        <w:spacing w:after="120"/>
        <w:rPr>
          <w:snapToGrid/>
          <w:kern w:val="0"/>
          <w:szCs w:val="22"/>
        </w:rPr>
      </w:pPr>
      <w:r>
        <w:rPr>
          <w:snapToGrid/>
          <w:kern w:val="0"/>
          <w:szCs w:val="22"/>
        </w:rPr>
        <w:t>Myrva Charles</w:t>
      </w:r>
      <w:r w:rsidRPr="008014D0" w:rsidR="006777CB">
        <w:rPr>
          <w:snapToGrid/>
          <w:kern w:val="0"/>
          <w:szCs w:val="22"/>
        </w:rPr>
        <w:t xml:space="preserve">, Competition Policy Division, Wireline Competition Bureau, </w:t>
      </w:r>
      <w:hyperlink r:id="rId7" w:history="1">
        <w:r w:rsidRPr="0083439C">
          <w:rPr>
            <w:rStyle w:val="Hyperlink"/>
            <w:snapToGrid/>
            <w:kern w:val="0"/>
            <w:szCs w:val="22"/>
          </w:rPr>
          <w:t>myrva.charles@fcc.gov</w:t>
        </w:r>
      </w:hyperlink>
      <w:r w:rsidRPr="008014D0" w:rsidR="006777CB">
        <w:rPr>
          <w:snapToGrid/>
          <w:kern w:val="0"/>
          <w:szCs w:val="22"/>
        </w:rPr>
        <w:t>;</w:t>
      </w:r>
    </w:p>
    <w:p w:rsidR="008014D0" w:rsidRPr="007D252C" w:rsidP="007D252C" w14:paraId="04A633F2" w14:textId="63F028BA">
      <w:pPr>
        <w:widowControl/>
        <w:numPr>
          <w:ilvl w:val="0"/>
          <w:numId w:val="7"/>
        </w:numPr>
        <w:autoSpaceDE w:val="0"/>
        <w:autoSpaceDN w:val="0"/>
        <w:adjustRightInd w:val="0"/>
        <w:spacing w:after="120"/>
        <w:rPr>
          <w:snapToGrid/>
          <w:kern w:val="0"/>
          <w:szCs w:val="22"/>
        </w:rPr>
      </w:pPr>
      <w:r w:rsidRPr="006A1B83">
        <w:rPr>
          <w:snapToGrid/>
          <w:kern w:val="0"/>
          <w:szCs w:val="22"/>
        </w:rPr>
        <w:t>Erik Beith</w:t>
      </w:r>
      <w:r w:rsidRPr="008014D0" w:rsidR="006777CB">
        <w:rPr>
          <w:snapToGrid/>
          <w:kern w:val="0"/>
          <w:szCs w:val="22"/>
        </w:rPr>
        <w:t xml:space="preserve">, Competition Policy Division, Wireline Competition Bureau, </w:t>
      </w:r>
      <w:hyperlink r:id="rId8" w:history="1">
        <w:r w:rsidRPr="0083439C">
          <w:rPr>
            <w:rStyle w:val="Hyperlink"/>
            <w:snapToGrid/>
            <w:kern w:val="0"/>
            <w:szCs w:val="22"/>
          </w:rPr>
          <w:t>erik.beith@fcc.gov</w:t>
        </w:r>
      </w:hyperlink>
      <w:r w:rsidRPr="008014D0" w:rsidR="006777CB">
        <w:rPr>
          <w:snapToGrid/>
          <w:kern w:val="0"/>
          <w:szCs w:val="22"/>
        </w:rPr>
        <w:t xml:space="preserve">; </w:t>
      </w:r>
      <w:r w:rsidR="001D5F35">
        <w:rPr>
          <w:snapToGrid/>
          <w:kern w:val="0"/>
          <w:szCs w:val="22"/>
        </w:rPr>
        <w:t>and</w:t>
      </w:r>
    </w:p>
    <w:p w:rsidR="008014D0" w:rsidRPr="008014D0" w:rsidP="008014D0" w14:paraId="7723716D" w14:textId="4D5E2AB3">
      <w:pPr>
        <w:widowControl/>
        <w:numPr>
          <w:ilvl w:val="0"/>
          <w:numId w:val="7"/>
        </w:numPr>
        <w:autoSpaceDE w:val="0"/>
        <w:autoSpaceDN w:val="0"/>
        <w:adjustRightInd w:val="0"/>
        <w:spacing w:after="120"/>
        <w:rPr>
          <w:snapToGrid/>
          <w:kern w:val="0"/>
          <w:szCs w:val="22"/>
        </w:rPr>
      </w:pPr>
      <w:r w:rsidRPr="008014D0">
        <w:rPr>
          <w:snapToGrid/>
          <w:kern w:val="0"/>
          <w:szCs w:val="22"/>
        </w:rPr>
        <w:t xml:space="preserve">Jim Bird, Office of General Counsel, </w:t>
      </w:r>
      <w:hyperlink r:id="rId9" w:history="1">
        <w:r w:rsidRPr="008014D0">
          <w:rPr>
            <w:rStyle w:val="Hyperlink"/>
            <w:snapToGrid/>
            <w:kern w:val="0"/>
            <w:szCs w:val="22"/>
          </w:rPr>
          <w:t>jim.bird@fcc.gov</w:t>
        </w:r>
      </w:hyperlink>
      <w:r w:rsidRPr="008014D0" w:rsidR="00EE1485">
        <w:rPr>
          <w:snapToGrid/>
          <w:kern w:val="0"/>
          <w:szCs w:val="22"/>
        </w:rPr>
        <w:t>.</w:t>
      </w:r>
    </w:p>
    <w:p w:rsidR="008014D0" w:rsidRPr="008014D0" w:rsidP="008014D0" w14:paraId="25C34A60" w14:textId="34BF9AD8">
      <w:pPr>
        <w:widowControl/>
        <w:autoSpaceDE w:val="0"/>
        <w:autoSpaceDN w:val="0"/>
        <w:adjustRightInd w:val="0"/>
        <w:spacing w:after="120"/>
        <w:ind w:firstLine="720"/>
        <w:rPr>
          <w:snapToGrid/>
          <w:kern w:val="0"/>
          <w:szCs w:val="22"/>
        </w:rPr>
      </w:pPr>
      <w:r w:rsidRPr="008014D0">
        <w:rPr>
          <w:snapToGrid/>
          <w:kern w:val="0"/>
          <w:szCs w:val="22"/>
        </w:rPr>
        <w:t xml:space="preserve">The proceeding in this </w:t>
      </w:r>
      <w:r w:rsidR="00EE1485">
        <w:rPr>
          <w:snapToGrid/>
          <w:kern w:val="0"/>
          <w:szCs w:val="22"/>
        </w:rPr>
        <w:t xml:space="preserve">Public </w:t>
      </w:r>
      <w:r w:rsidRPr="008014D0">
        <w:rPr>
          <w:snapToGrid/>
          <w:kern w:val="0"/>
          <w:szCs w:val="22"/>
        </w:rPr>
        <w:t xml:space="preserve">Notice shall be treated as a “permit-but-disclose” proceeding in accordance with the Commission’s </w:t>
      </w:r>
      <w:r w:rsidRPr="008014D0">
        <w:rPr>
          <w:i/>
          <w:snapToGrid/>
          <w:kern w:val="0"/>
          <w:szCs w:val="22"/>
        </w:rPr>
        <w:t xml:space="preserve">ex </w:t>
      </w:r>
      <w:r w:rsidRPr="008014D0">
        <w:rPr>
          <w:i/>
          <w:snapToGrid/>
          <w:kern w:val="0"/>
          <w:szCs w:val="22"/>
        </w:rPr>
        <w:t>parte</w:t>
      </w:r>
      <w:r w:rsidRPr="008014D0">
        <w:rPr>
          <w:snapToGrid/>
          <w:kern w:val="0"/>
          <w:szCs w:val="22"/>
        </w:rPr>
        <w:t xml:space="preserve"> rules.  Persons making </w:t>
      </w:r>
      <w:r w:rsidRPr="008014D0">
        <w:rPr>
          <w:i/>
          <w:snapToGrid/>
          <w:kern w:val="0"/>
          <w:szCs w:val="22"/>
        </w:rPr>
        <w:t xml:space="preserve">ex </w:t>
      </w:r>
      <w:r w:rsidRPr="008014D0">
        <w:rPr>
          <w:i/>
          <w:snapToGrid/>
          <w:kern w:val="0"/>
          <w:szCs w:val="22"/>
        </w:rPr>
        <w:t>parte</w:t>
      </w:r>
      <w:r w:rsidRPr="008014D0">
        <w:rPr>
          <w:snapToGrid/>
          <w:kern w:val="0"/>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8014D0">
        <w:rPr>
          <w:i/>
          <w:snapToGrid/>
          <w:kern w:val="0"/>
          <w:szCs w:val="22"/>
        </w:rPr>
        <w:t xml:space="preserve">ex </w:t>
      </w:r>
      <w:r w:rsidRPr="008014D0">
        <w:rPr>
          <w:i/>
          <w:snapToGrid/>
          <w:kern w:val="0"/>
          <w:szCs w:val="22"/>
        </w:rPr>
        <w:t>parte</w:t>
      </w:r>
      <w:r w:rsidRPr="008014D0">
        <w:rPr>
          <w:snapToGrid/>
          <w:kern w:val="0"/>
          <w:szCs w:val="22"/>
        </w:rPr>
        <w:t xml:space="preserve"> presentations are reminded that memoranda summarizing the presentation must (1) list all persons attending or otherwise participating in the meeting at which the </w:t>
      </w:r>
      <w:r w:rsidRPr="008014D0">
        <w:rPr>
          <w:i/>
          <w:snapToGrid/>
          <w:kern w:val="0"/>
          <w:szCs w:val="22"/>
        </w:rPr>
        <w:t xml:space="preserve">ex </w:t>
      </w:r>
      <w:r w:rsidRPr="008014D0">
        <w:rPr>
          <w:i/>
          <w:snapToGrid/>
          <w:kern w:val="0"/>
          <w:szCs w:val="22"/>
        </w:rPr>
        <w:t>parte</w:t>
      </w:r>
      <w:r w:rsidRPr="008014D0">
        <w:rPr>
          <w:snapToGrid/>
          <w:kern w:val="0"/>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w:t>
      </w:r>
      <w:r w:rsidR="003030A6">
        <w:rPr>
          <w:snapToGrid/>
          <w:kern w:val="0"/>
          <w:szCs w:val="22"/>
        </w:rPr>
        <w:t>,</w:t>
      </w:r>
      <w:r w:rsidRPr="008014D0">
        <w:rPr>
          <w:snapToGrid/>
          <w:kern w:val="0"/>
          <w:szCs w:val="22"/>
        </w:rPr>
        <w:t xml:space="preserve">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8014D0">
        <w:rPr>
          <w:i/>
          <w:snapToGrid/>
          <w:kern w:val="0"/>
          <w:szCs w:val="22"/>
        </w:rPr>
        <w:t xml:space="preserve">ex </w:t>
      </w:r>
      <w:r w:rsidRPr="008014D0">
        <w:rPr>
          <w:i/>
          <w:snapToGrid/>
          <w:kern w:val="0"/>
          <w:szCs w:val="22"/>
        </w:rPr>
        <w:t>parte</w:t>
      </w:r>
      <w:r w:rsidRPr="008014D0">
        <w:rPr>
          <w:snapToGrid/>
          <w:kern w:val="0"/>
          <w:szCs w:val="22"/>
        </w:rPr>
        <w:t xml:space="preserve"> meetings are deemed to be written </w:t>
      </w:r>
      <w:r w:rsidRPr="008014D0">
        <w:rPr>
          <w:i/>
          <w:snapToGrid/>
          <w:kern w:val="0"/>
          <w:szCs w:val="22"/>
        </w:rPr>
        <w:t xml:space="preserve">ex </w:t>
      </w:r>
      <w:r w:rsidRPr="008014D0">
        <w:rPr>
          <w:i/>
          <w:snapToGrid/>
          <w:kern w:val="0"/>
          <w:szCs w:val="22"/>
        </w:rPr>
        <w:t>parte</w:t>
      </w:r>
      <w:r w:rsidRPr="008014D0">
        <w:rPr>
          <w:snapToGrid/>
          <w:kern w:val="0"/>
          <w:szCs w:val="22"/>
        </w:rPr>
        <w:t xml:space="preserve"> presentations and must be filed consistent with rule 1.1206(b)</w:t>
      </w:r>
      <w:r w:rsidR="00A80D94">
        <w:rPr>
          <w:snapToGrid/>
          <w:kern w:val="0"/>
          <w:szCs w:val="22"/>
        </w:rPr>
        <w:t>.</w:t>
      </w:r>
      <w:r>
        <w:rPr>
          <w:rStyle w:val="FootnoteReference"/>
          <w:snapToGrid/>
          <w:kern w:val="0"/>
          <w:szCs w:val="22"/>
        </w:rPr>
        <w:footnoteReference w:id="21"/>
      </w:r>
      <w:r w:rsidR="00906767">
        <w:rPr>
          <w:snapToGrid/>
          <w:kern w:val="0"/>
          <w:szCs w:val="22"/>
        </w:rPr>
        <w:t xml:space="preserve">  </w:t>
      </w:r>
      <w:r w:rsidRPr="008014D0">
        <w:rPr>
          <w:snapToGrid/>
          <w:kern w:val="0"/>
          <w:szCs w:val="22"/>
        </w:rPr>
        <w:t xml:space="preserve">Participants in this proceeding should familiarize themselves with the Commission’s </w:t>
      </w:r>
      <w:r w:rsidRPr="008014D0">
        <w:rPr>
          <w:i/>
          <w:snapToGrid/>
          <w:kern w:val="0"/>
          <w:szCs w:val="22"/>
        </w:rPr>
        <w:t xml:space="preserve">ex </w:t>
      </w:r>
      <w:r w:rsidRPr="008014D0">
        <w:rPr>
          <w:i/>
          <w:snapToGrid/>
          <w:kern w:val="0"/>
          <w:szCs w:val="22"/>
        </w:rPr>
        <w:t>parte</w:t>
      </w:r>
      <w:r w:rsidRPr="008014D0">
        <w:rPr>
          <w:snapToGrid/>
          <w:kern w:val="0"/>
          <w:szCs w:val="22"/>
        </w:rPr>
        <w:t xml:space="preserve"> rules</w:t>
      </w:r>
      <w:r w:rsidR="00EE1485">
        <w:rPr>
          <w:snapToGrid/>
          <w:kern w:val="0"/>
          <w:szCs w:val="22"/>
        </w:rPr>
        <w:t>.</w:t>
      </w:r>
    </w:p>
    <w:p w:rsidR="008014D0" w:rsidRPr="008014D0" w:rsidP="008014D0" w14:paraId="50090E61" w14:textId="77777777">
      <w:pPr>
        <w:widowControl/>
        <w:autoSpaceDE w:val="0"/>
        <w:autoSpaceDN w:val="0"/>
        <w:adjustRightInd w:val="0"/>
        <w:spacing w:after="120"/>
        <w:ind w:firstLine="720"/>
        <w:rPr>
          <w:snapToGrid/>
          <w:kern w:val="0"/>
          <w:szCs w:val="22"/>
        </w:rPr>
      </w:pPr>
      <w:r w:rsidRPr="008014D0">
        <w:rPr>
          <w:snapToGrid/>
          <w:kern w:val="0"/>
          <w:szCs w:val="22"/>
        </w:rPr>
        <w:t>To allow the Commission to consider fully all substantive issues regarding the application in as timely and efficient a manner as possible, petitioners and commenters should raise all issues in their initial filings.  New issues may not be raised in responses or replies.</w:t>
      </w:r>
      <w:r>
        <w:rPr>
          <w:snapToGrid/>
          <w:kern w:val="0"/>
          <w:szCs w:val="22"/>
          <w:vertAlign w:val="superscript"/>
        </w:rPr>
        <w:footnoteReference w:id="22"/>
      </w:r>
      <w:r w:rsidRPr="008014D0">
        <w:rPr>
          <w:snapToGrid/>
          <w:kern w:val="0"/>
          <w:szCs w:val="22"/>
        </w:rPr>
        <w:t xml:space="preserve">  A party or interested person seeking to raise a new issue after the pleading cycle has closed must show good cause why it was not possible for it to have raised the issue previously.  Submissions after the pleading cycle has closed that seek to raise new issues based on new facts or newly discovered facts should be filed within 15 days after such facts are discovered.  Absent such a showing of good cause, any issues not timely raised may be disregarded by the Commission.</w:t>
      </w:r>
    </w:p>
    <w:p w:rsidR="008014D0" w:rsidRPr="008014D0" w:rsidP="008014D0" w14:paraId="06798059" w14:textId="1890BA9A">
      <w:pPr>
        <w:widowControl/>
        <w:autoSpaceDE w:val="0"/>
        <w:autoSpaceDN w:val="0"/>
        <w:adjustRightInd w:val="0"/>
        <w:spacing w:after="120"/>
        <w:ind w:firstLine="720"/>
        <w:rPr>
          <w:snapToGrid/>
          <w:kern w:val="0"/>
          <w:szCs w:val="22"/>
        </w:rPr>
      </w:pPr>
      <w:r w:rsidRPr="008014D0">
        <w:rPr>
          <w:snapToGrid/>
          <w:kern w:val="0"/>
          <w:szCs w:val="22"/>
        </w:rPr>
        <w:t xml:space="preserve">For further information, please contact </w:t>
      </w:r>
      <w:r w:rsidR="006A1B83">
        <w:rPr>
          <w:snapToGrid/>
          <w:kern w:val="0"/>
          <w:szCs w:val="22"/>
        </w:rPr>
        <w:t>Myrva Charles</w:t>
      </w:r>
      <w:r w:rsidRPr="006A1B83" w:rsidR="006A1B83">
        <w:rPr>
          <w:snapToGrid/>
          <w:kern w:val="0"/>
          <w:szCs w:val="22"/>
        </w:rPr>
        <w:t xml:space="preserve"> at (202) 418-1</w:t>
      </w:r>
      <w:r w:rsidR="006A1B83">
        <w:rPr>
          <w:snapToGrid/>
          <w:kern w:val="0"/>
          <w:szCs w:val="22"/>
        </w:rPr>
        <w:t>506</w:t>
      </w:r>
      <w:r w:rsidRPr="006A1B83" w:rsidR="006A1B83">
        <w:rPr>
          <w:snapToGrid/>
          <w:kern w:val="0"/>
          <w:szCs w:val="22"/>
        </w:rPr>
        <w:t xml:space="preserve"> or Erik Beith </w:t>
      </w:r>
      <w:r w:rsidRPr="008014D0">
        <w:rPr>
          <w:snapToGrid/>
          <w:kern w:val="0"/>
          <w:szCs w:val="22"/>
        </w:rPr>
        <w:t>at (202)</w:t>
      </w:r>
      <w:r>
        <w:rPr>
          <w:snapToGrid/>
          <w:kern w:val="0"/>
          <w:szCs w:val="22"/>
        </w:rPr>
        <w:t xml:space="preserve"> </w:t>
      </w:r>
      <w:r w:rsidRPr="008014D0">
        <w:rPr>
          <w:snapToGrid/>
          <w:kern w:val="0"/>
          <w:szCs w:val="22"/>
        </w:rPr>
        <w:t>418-</w:t>
      </w:r>
      <w:r w:rsidR="006A1B83">
        <w:rPr>
          <w:snapToGrid/>
          <w:kern w:val="0"/>
          <w:szCs w:val="22"/>
        </w:rPr>
        <w:t>0756</w:t>
      </w:r>
      <w:r w:rsidRPr="006A1B83" w:rsidR="006A1B83">
        <w:rPr>
          <w:snapToGrid/>
          <w:kern w:val="0"/>
          <w:szCs w:val="22"/>
        </w:rPr>
        <w:t>, Wireline Competition Bureau</w:t>
      </w:r>
      <w:r w:rsidR="006A1B83">
        <w:rPr>
          <w:snapToGrid/>
          <w:kern w:val="0"/>
          <w:szCs w:val="22"/>
        </w:rPr>
        <w:t>.</w:t>
      </w:r>
    </w:p>
    <w:p w:rsidR="008014D0" w:rsidP="003A06D0" w14:paraId="588A9CCF" w14:textId="01C0D14C">
      <w:pPr>
        <w:widowControl/>
        <w:autoSpaceDE w:val="0"/>
        <w:autoSpaceDN w:val="0"/>
        <w:adjustRightInd w:val="0"/>
        <w:spacing w:after="120"/>
        <w:ind w:firstLine="720"/>
        <w:jc w:val="center"/>
        <w:rPr>
          <w:snapToGrid/>
          <w:kern w:val="0"/>
          <w:szCs w:val="22"/>
        </w:rPr>
      </w:pPr>
      <w:r w:rsidRPr="008014D0">
        <w:rPr>
          <w:b/>
          <w:snapToGrid/>
          <w:kern w:val="0"/>
          <w:szCs w:val="22"/>
        </w:rPr>
        <w:t>-FCC-</w:t>
      </w:r>
    </w:p>
    <w:bookmarkEnd w:id="2"/>
    <w:p w:rsidR="003474AA" w:rsidP="003474AA" w14:paraId="58AE8E8F" w14:textId="77777777">
      <w:pPr>
        <w:spacing w:before="120" w:after="240"/>
      </w:pPr>
    </w:p>
    <w:sectPr>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3260" w14:paraId="3082B4FB" w14:textId="77777777">
    <w:pPr>
      <w:pStyle w:val="Footer"/>
      <w:framePr w:wrap="around" w:vAnchor="text" w:hAnchor="margin" w:xAlign="center" w:y="1"/>
    </w:pPr>
    <w:r>
      <w:fldChar w:fldCharType="begin"/>
    </w:r>
    <w:r>
      <w:instrText xml:space="preserve">PAGE  </w:instrText>
    </w:r>
    <w:r>
      <w:fldChar w:fldCharType="separate"/>
    </w:r>
    <w:r>
      <w:fldChar w:fldCharType="end"/>
    </w:r>
  </w:p>
  <w:p w:rsidR="00D43260" w14:paraId="2165C1B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3260" w14:paraId="3003238B"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3260" w14:paraId="417297A0"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E1452" w14:paraId="465C35A4" w14:textId="77777777">
      <w:r>
        <w:separator/>
      </w:r>
    </w:p>
  </w:footnote>
  <w:footnote w:type="continuationSeparator" w:id="1">
    <w:p w:rsidR="007E1452" w14:paraId="61647C4F" w14:textId="77777777">
      <w:pPr>
        <w:rPr>
          <w:sz w:val="20"/>
        </w:rPr>
      </w:pPr>
      <w:r>
        <w:rPr>
          <w:sz w:val="20"/>
        </w:rPr>
        <w:t xml:space="preserve">(Continued from previous page)  </w:t>
      </w:r>
      <w:r>
        <w:rPr>
          <w:sz w:val="20"/>
        </w:rPr>
        <w:separator/>
      </w:r>
    </w:p>
  </w:footnote>
  <w:footnote w:type="continuationNotice" w:id="2">
    <w:p w:rsidR="007E1452" w14:paraId="4D0EB93D" w14:textId="77777777">
      <w:pPr>
        <w:jc w:val="right"/>
        <w:rPr>
          <w:sz w:val="20"/>
        </w:rPr>
      </w:pPr>
      <w:r>
        <w:rPr>
          <w:sz w:val="20"/>
        </w:rPr>
        <w:t>(continued….)</w:t>
      </w:r>
    </w:p>
  </w:footnote>
  <w:footnote w:id="3">
    <w:p w:rsidR="00BD7048" w:rsidRPr="00D354C2" w:rsidP="00BD7048" w14:paraId="32F1093D" w14:textId="2A831886">
      <w:pPr>
        <w:pStyle w:val="FootnoteText"/>
        <w:rPr>
          <w:bCs/>
        </w:rPr>
      </w:pPr>
      <w:r w:rsidRPr="00D354C2">
        <w:rPr>
          <w:rStyle w:val="FootnoteReference"/>
          <w:sz w:val="20"/>
        </w:rPr>
        <w:footnoteRef/>
      </w:r>
      <w:r w:rsidRPr="00D354C2">
        <w:t xml:space="preserve"> </w:t>
      </w:r>
      <w:r w:rsidRPr="00D354C2">
        <w:rPr>
          <w:i/>
        </w:rPr>
        <w:t>See</w:t>
      </w:r>
      <w:r w:rsidRPr="00D354C2">
        <w:t xml:space="preserve"> 47 U.S.C. § 214; 47 CFR §§ 63.03-04</w:t>
      </w:r>
      <w:r>
        <w:t xml:space="preserve">; </w:t>
      </w:r>
      <w:r w:rsidRPr="000344DA">
        <w:t>Application</w:t>
      </w:r>
      <w:r>
        <w:t xml:space="preserve"> of Visionary Broadband Seller, Inc. and Visionary Buyer, LLC</w:t>
      </w:r>
      <w:r w:rsidRPr="000344DA">
        <w:t xml:space="preserve"> for </w:t>
      </w:r>
      <w:r>
        <w:t>Grant of Authority Pursuant to Section 214 of the Communications Act of 1934, as Amended</w:t>
      </w:r>
      <w:r w:rsidRPr="000344DA">
        <w:t>,</w:t>
      </w:r>
      <w:r>
        <w:t xml:space="preserve"> and Section 63.04 of the Commission’s Rules to Complete a Transfer of Control, </w:t>
      </w:r>
      <w:r w:rsidRPr="000344DA">
        <w:t>WC Docket No. 22-</w:t>
      </w:r>
      <w:r>
        <w:t>70</w:t>
      </w:r>
      <w:r w:rsidRPr="000344DA">
        <w:t xml:space="preserve"> (filed </w:t>
      </w:r>
      <w:r>
        <w:t>Feb</w:t>
      </w:r>
      <w:r w:rsidRPr="000344DA">
        <w:t xml:space="preserve">. </w:t>
      </w:r>
      <w:r>
        <w:t>18</w:t>
      </w:r>
      <w:r w:rsidRPr="000344DA">
        <w:t xml:space="preserve">, 2022) (Application).  On </w:t>
      </w:r>
      <w:r>
        <w:t>March 2</w:t>
      </w:r>
      <w:r w:rsidRPr="000344DA">
        <w:t>, 2022, Applicants filed a supplement to th</w:t>
      </w:r>
      <w:r>
        <w:t>eir</w:t>
      </w:r>
      <w:r w:rsidRPr="000344DA">
        <w:t xml:space="preserve"> Application.  Letter from</w:t>
      </w:r>
      <w:r>
        <w:t xml:space="preserve"> Matthew S. DelNero and Andrew P. Longhi</w:t>
      </w:r>
      <w:r w:rsidRPr="000344DA">
        <w:t>, Counsel for</w:t>
      </w:r>
      <w:r>
        <w:t xml:space="preserve"> Visionary Buyer, LLC</w:t>
      </w:r>
      <w:r w:rsidRPr="000344DA">
        <w:t xml:space="preserve">, </w:t>
      </w:r>
      <w:r>
        <w:t>and Stephen E. Coran</w:t>
      </w:r>
      <w:r w:rsidRPr="000344DA">
        <w:t>,</w:t>
      </w:r>
      <w:r>
        <w:t xml:space="preserve"> </w:t>
      </w:r>
      <w:r w:rsidRPr="000344DA">
        <w:t xml:space="preserve">Counsel for </w:t>
      </w:r>
      <w:r>
        <w:t>Visionary Broadband Seller, Inc.</w:t>
      </w:r>
      <w:r w:rsidRPr="000344DA">
        <w:t>, to Marlene H. Dortch, Secretary, FCC, WC Docket No. 22-</w:t>
      </w:r>
      <w:r>
        <w:t xml:space="preserve">70 </w:t>
      </w:r>
      <w:r w:rsidRPr="000344DA">
        <w:t xml:space="preserve">(filed </w:t>
      </w:r>
      <w:r>
        <w:t>Mar</w:t>
      </w:r>
      <w:r w:rsidRPr="000344DA">
        <w:t xml:space="preserve">. </w:t>
      </w:r>
      <w:r>
        <w:t>2</w:t>
      </w:r>
      <w:r w:rsidRPr="000344DA">
        <w:t>, 2022) (</w:t>
      </w:r>
      <w:r>
        <w:t>S</w:t>
      </w:r>
      <w:r w:rsidRPr="000344DA">
        <w:t xml:space="preserve">upplement).  </w:t>
      </w:r>
      <w:r w:rsidR="006E139F">
        <w:t xml:space="preserve">On March 9, 2022, </w:t>
      </w:r>
      <w:r w:rsidR="00372536">
        <w:t xml:space="preserve">Applicants filed a second supplement to their Application.  </w:t>
      </w:r>
      <w:r w:rsidRPr="000344DA" w:rsidR="00372536">
        <w:t>Letter from</w:t>
      </w:r>
      <w:r w:rsidR="00372536">
        <w:t xml:space="preserve"> Matthew S. DelNero and Andrew P. Longhi</w:t>
      </w:r>
      <w:r w:rsidRPr="000344DA" w:rsidR="00372536">
        <w:t>, Counsel for</w:t>
      </w:r>
      <w:r w:rsidR="00372536">
        <w:t xml:space="preserve"> Visionary Buyer, LLC</w:t>
      </w:r>
      <w:r w:rsidRPr="000344DA" w:rsidR="00372536">
        <w:t xml:space="preserve">, </w:t>
      </w:r>
      <w:r w:rsidR="00372536">
        <w:t>and Stephen E. Coran</w:t>
      </w:r>
      <w:r w:rsidRPr="000344DA" w:rsidR="00372536">
        <w:t>,</w:t>
      </w:r>
      <w:r w:rsidR="00372536">
        <w:t xml:space="preserve"> </w:t>
      </w:r>
      <w:r w:rsidRPr="000344DA" w:rsidR="00372536">
        <w:t xml:space="preserve">Counsel for </w:t>
      </w:r>
      <w:r w:rsidR="00372536">
        <w:t>Visionary Broadband Seller, Inc.</w:t>
      </w:r>
      <w:r w:rsidRPr="000344DA" w:rsidR="00372536">
        <w:t>, to Marlene H. Dortch, Secretary, FCC, WC Docket No. 22-</w:t>
      </w:r>
      <w:r w:rsidR="00372536">
        <w:t xml:space="preserve">70 </w:t>
      </w:r>
      <w:r w:rsidRPr="000344DA" w:rsidR="00372536">
        <w:t xml:space="preserve">(filed </w:t>
      </w:r>
      <w:r w:rsidR="00372536">
        <w:t>Mar</w:t>
      </w:r>
      <w:r w:rsidRPr="000344DA" w:rsidR="00372536">
        <w:t xml:space="preserve">. </w:t>
      </w:r>
      <w:r w:rsidR="00EF4B52">
        <w:t>9</w:t>
      </w:r>
      <w:r w:rsidRPr="000344DA" w:rsidR="00372536">
        <w:t>, 2022).</w:t>
      </w:r>
      <w:r w:rsidR="00BF7649">
        <w:t xml:space="preserve">  </w:t>
      </w:r>
      <w:r w:rsidR="00E46BFF">
        <w:t>Applicants will also file</w:t>
      </w:r>
      <w:r w:rsidRPr="007342FA" w:rsidR="00E46BFF">
        <w:t xml:space="preserve"> applications for the transfer of authorizations associated with </w:t>
      </w:r>
      <w:r w:rsidR="00E46BFF">
        <w:t>wireless</w:t>
      </w:r>
      <w:r w:rsidRPr="007342FA" w:rsidR="00E46BFF">
        <w:t xml:space="preserve"> services</w:t>
      </w:r>
      <w:r w:rsidR="00E46BFF">
        <w:t>.</w:t>
      </w:r>
      <w:r w:rsidRPr="000344DA" w:rsidR="00E46BFF">
        <w:t xml:space="preserve"> </w:t>
      </w:r>
      <w:r w:rsidR="00E46BFF">
        <w:t xml:space="preserve"> </w:t>
      </w:r>
      <w:r w:rsidRPr="000344DA">
        <w:t>Any action on this domestic section 214 application is without prejudice to Commission action on other pending applications.</w:t>
      </w:r>
      <w:r w:rsidRPr="00884C47">
        <w:t xml:space="preserve">  </w:t>
      </w:r>
      <w:r>
        <w:t xml:space="preserve">  </w:t>
      </w:r>
      <w:r w:rsidRPr="00D354C2">
        <w:t xml:space="preserve">  </w:t>
      </w:r>
    </w:p>
  </w:footnote>
  <w:footnote w:id="4">
    <w:p w:rsidR="00BD7048" w14:paraId="53841B84" w14:textId="1ECC4EDF">
      <w:pPr>
        <w:pStyle w:val="FootnoteText"/>
      </w:pPr>
      <w:r>
        <w:rPr>
          <w:rStyle w:val="FootnoteReference"/>
        </w:rPr>
        <w:footnoteRef/>
      </w:r>
      <w:r>
        <w:t xml:space="preserve"> As part of the proposed transaction and through an internal reorganization, Visionary Communications, Inc.</w:t>
      </w:r>
      <w:r w:rsidR="009E29CC">
        <w:t xml:space="preserve"> </w:t>
      </w:r>
      <w:r>
        <w:t xml:space="preserve">(Visionary Inc.), </w:t>
      </w:r>
      <w:r w:rsidR="00FC3E62">
        <w:t xml:space="preserve">a Wyoming corporation and </w:t>
      </w:r>
      <w:r>
        <w:t>the licensee, will convert to Visionary</w:t>
      </w:r>
      <w:r w:rsidR="00FC3E62">
        <w:t xml:space="preserve"> </w:t>
      </w:r>
      <w:r>
        <w:t>LLC, a Wyoming limited liability company</w:t>
      </w:r>
      <w:r w:rsidR="001B1CC8">
        <w:t xml:space="preserve">.  Application at 4, 11; Supplement at 1.  </w:t>
      </w:r>
      <w:r>
        <w:t>Visionary Bu</w:t>
      </w:r>
      <w:r w:rsidR="00FC3E62">
        <w:t>y</w:t>
      </w:r>
      <w:r>
        <w:t xml:space="preserve">er will acquire </w:t>
      </w:r>
      <w:r w:rsidR="00FC3E62">
        <w:t xml:space="preserve">direct control of Visionary LLC.  </w:t>
      </w:r>
      <w:r w:rsidRPr="001B1CC8" w:rsidR="001B1CC8">
        <w:rPr>
          <w:i/>
          <w:iCs/>
        </w:rPr>
        <w:t>Id</w:t>
      </w:r>
      <w:r w:rsidR="001B1CC8">
        <w:t>.</w:t>
      </w:r>
      <w:r>
        <w:t xml:space="preserve">  </w:t>
      </w:r>
      <w:r w:rsidR="00E46BFF">
        <w:t>Unless otherwise stated, w</w:t>
      </w:r>
      <w:r w:rsidR="00FC3E62">
        <w:t xml:space="preserve">e will collectively refer to </w:t>
      </w:r>
      <w:r>
        <w:t>Visionary Inc. and Visionary LLC</w:t>
      </w:r>
      <w:r w:rsidR="00FC3E62">
        <w:t xml:space="preserve"> herein as Visionary. </w:t>
      </w:r>
      <w:r>
        <w:t xml:space="preserve">  </w:t>
      </w:r>
    </w:p>
  </w:footnote>
  <w:footnote w:id="5">
    <w:p w:rsidR="00DE6DED" w14:paraId="49B2549E" w14:textId="2191D5AF">
      <w:pPr>
        <w:pStyle w:val="FootnoteText"/>
      </w:pPr>
      <w:r>
        <w:rPr>
          <w:rStyle w:val="FootnoteReference"/>
        </w:rPr>
        <w:footnoteRef/>
      </w:r>
      <w:r>
        <w:t xml:space="preserve"> Application at </w:t>
      </w:r>
      <w:r w:rsidR="004439C0">
        <w:t xml:space="preserve">3.  </w:t>
      </w:r>
      <w:r w:rsidRPr="00AA0796" w:rsidR="004439C0">
        <w:rPr>
          <w:szCs w:val="22"/>
        </w:rPr>
        <w:t>The largest shareholders of</w:t>
      </w:r>
      <w:r w:rsidR="004439C0">
        <w:rPr>
          <w:szCs w:val="22"/>
        </w:rPr>
        <w:t xml:space="preserve"> </w:t>
      </w:r>
      <w:r w:rsidRPr="00AA0796" w:rsidR="004439C0">
        <w:rPr>
          <w:szCs w:val="22"/>
        </w:rPr>
        <w:t xml:space="preserve">Visionary Seller are </w:t>
      </w:r>
      <w:r w:rsidR="005078A9">
        <w:rPr>
          <w:szCs w:val="22"/>
        </w:rPr>
        <w:t xml:space="preserve">two U.S. citizens:  </w:t>
      </w:r>
      <w:r w:rsidRPr="00AA0796" w:rsidR="004439C0">
        <w:rPr>
          <w:szCs w:val="22"/>
        </w:rPr>
        <w:t>Brian Worthen, who owns 42.2</w:t>
      </w:r>
      <w:r w:rsidR="005078A9">
        <w:rPr>
          <w:szCs w:val="22"/>
        </w:rPr>
        <w:t>%</w:t>
      </w:r>
      <w:r w:rsidRPr="00AA0796" w:rsidR="004439C0">
        <w:rPr>
          <w:szCs w:val="22"/>
        </w:rPr>
        <w:t>, and Greg Worthen, who owns 33.6</w:t>
      </w:r>
      <w:r w:rsidR="005078A9">
        <w:rPr>
          <w:szCs w:val="22"/>
        </w:rPr>
        <w:t>%</w:t>
      </w:r>
      <w:r w:rsidRPr="00AA0796" w:rsidR="004439C0">
        <w:rPr>
          <w:szCs w:val="22"/>
        </w:rPr>
        <w:t>.</w:t>
      </w:r>
      <w:r w:rsidR="004439C0">
        <w:rPr>
          <w:szCs w:val="22"/>
        </w:rPr>
        <w:t xml:space="preserve">  </w:t>
      </w:r>
      <w:r w:rsidRPr="00284385" w:rsidR="004439C0">
        <w:rPr>
          <w:i/>
          <w:iCs/>
          <w:szCs w:val="22"/>
        </w:rPr>
        <w:t>Id.</w:t>
      </w:r>
      <w:r w:rsidR="004439C0">
        <w:rPr>
          <w:szCs w:val="22"/>
        </w:rPr>
        <w:t xml:space="preserve">  </w:t>
      </w:r>
      <w:r w:rsidRPr="00AA0796" w:rsidR="004439C0">
        <w:rPr>
          <w:szCs w:val="22"/>
        </w:rPr>
        <w:t>No other shareholder owns 10</w:t>
      </w:r>
      <w:r w:rsidR="00EC42D5">
        <w:rPr>
          <w:szCs w:val="22"/>
        </w:rPr>
        <w:t>%</w:t>
      </w:r>
      <w:r w:rsidRPr="00AA0796" w:rsidR="004439C0">
        <w:rPr>
          <w:szCs w:val="22"/>
        </w:rPr>
        <w:t xml:space="preserve"> or more of </w:t>
      </w:r>
      <w:r w:rsidR="004439C0">
        <w:rPr>
          <w:szCs w:val="22"/>
        </w:rPr>
        <w:t xml:space="preserve">Visionary Seller.  </w:t>
      </w:r>
      <w:r w:rsidRPr="00284385" w:rsidR="004439C0">
        <w:rPr>
          <w:i/>
          <w:iCs/>
          <w:szCs w:val="22"/>
        </w:rPr>
        <w:t>Id.</w:t>
      </w:r>
    </w:p>
  </w:footnote>
  <w:footnote w:id="6">
    <w:p w:rsidR="00284385" w14:paraId="3D706CB8" w14:textId="56F42CBA">
      <w:pPr>
        <w:pStyle w:val="FootnoteText"/>
      </w:pPr>
      <w:r>
        <w:rPr>
          <w:rStyle w:val="FootnoteReference"/>
        </w:rPr>
        <w:footnoteRef/>
      </w:r>
      <w:r>
        <w:t xml:space="preserve"> </w:t>
      </w:r>
      <w:r w:rsidRPr="00DB65D2" w:rsidR="00DB65D2">
        <w:rPr>
          <w:i/>
          <w:iCs/>
        </w:rPr>
        <w:t>Id.</w:t>
      </w:r>
    </w:p>
  </w:footnote>
  <w:footnote w:id="7">
    <w:p w:rsidR="001B5666" w:rsidP="000954A4" w14:paraId="75C62B9B" w14:textId="67856924">
      <w:pPr>
        <w:pStyle w:val="FootnoteText"/>
      </w:pPr>
      <w:r>
        <w:rPr>
          <w:rStyle w:val="FootnoteReference"/>
        </w:rPr>
        <w:footnoteRef/>
      </w:r>
      <w:r>
        <w:t xml:space="preserve"> </w:t>
      </w:r>
      <w:r w:rsidRPr="004A0B4B" w:rsidR="004A0B4B">
        <w:rPr>
          <w:i/>
          <w:iCs/>
        </w:rPr>
        <w:t>See id.</w:t>
      </w:r>
      <w:r w:rsidR="004A0B4B">
        <w:t xml:space="preserve"> at 2;</w:t>
      </w:r>
      <w:r w:rsidR="00FE677F">
        <w:t xml:space="preserve"> </w:t>
      </w:r>
      <w:r w:rsidR="00E371B0">
        <w:t xml:space="preserve">Supplement at 1; </w:t>
      </w:r>
      <w:r w:rsidRPr="000954A4" w:rsidR="000954A4">
        <w:rPr>
          <w:i/>
          <w:iCs/>
        </w:rPr>
        <w:t>Rural Digital Opportunity Fund Support</w:t>
      </w:r>
      <w:r w:rsidR="00A05E95">
        <w:rPr>
          <w:i/>
          <w:iCs/>
        </w:rPr>
        <w:t xml:space="preserve"> Authorized </w:t>
      </w:r>
      <w:r w:rsidRPr="000954A4" w:rsidR="000954A4">
        <w:rPr>
          <w:i/>
          <w:iCs/>
        </w:rPr>
        <w:t>fo</w:t>
      </w:r>
      <w:r w:rsidR="00A05E95">
        <w:rPr>
          <w:i/>
          <w:iCs/>
        </w:rPr>
        <w:t>r 2,576</w:t>
      </w:r>
      <w:r w:rsidRPr="000954A4" w:rsidR="000954A4">
        <w:rPr>
          <w:i/>
          <w:iCs/>
        </w:rPr>
        <w:t xml:space="preserve"> Winning Bid</w:t>
      </w:r>
      <w:r w:rsidR="00A05E95">
        <w:rPr>
          <w:i/>
          <w:iCs/>
        </w:rPr>
        <w:t>s</w:t>
      </w:r>
      <w:r w:rsidRPr="000954A4" w:rsidR="000954A4">
        <w:t xml:space="preserve">, </w:t>
      </w:r>
      <w:r w:rsidR="004472BA">
        <w:t xml:space="preserve">AU Docket No. 20-34 et al., </w:t>
      </w:r>
      <w:r w:rsidRPr="000954A4" w:rsidR="000954A4">
        <w:t>Public</w:t>
      </w:r>
      <w:r w:rsidR="000954A4">
        <w:t xml:space="preserve"> </w:t>
      </w:r>
      <w:r w:rsidRPr="000954A4" w:rsidR="000954A4">
        <w:t>Notice, DA</w:t>
      </w:r>
      <w:r w:rsidR="004472BA">
        <w:t xml:space="preserve"> </w:t>
      </w:r>
      <w:r w:rsidRPr="000954A4" w:rsidR="000954A4">
        <w:t>2</w:t>
      </w:r>
      <w:r w:rsidR="004A5402">
        <w:t>2</w:t>
      </w:r>
      <w:r w:rsidRPr="000954A4" w:rsidR="000954A4">
        <w:t>-15</w:t>
      </w:r>
      <w:r w:rsidR="004A5402">
        <w:t>1</w:t>
      </w:r>
      <w:r w:rsidR="0019607C">
        <w:t>,</w:t>
      </w:r>
      <w:r w:rsidR="00DC66C1">
        <w:t xml:space="preserve"> </w:t>
      </w:r>
      <w:r w:rsidR="00AB4E74">
        <w:t>at 9</w:t>
      </w:r>
      <w:r w:rsidR="007F0652">
        <w:t>,</w:t>
      </w:r>
      <w:r w:rsidR="00AB4E74">
        <w:t xml:space="preserve"> </w:t>
      </w:r>
      <w:r w:rsidR="00DC66C1">
        <w:t>Attach. A</w:t>
      </w:r>
      <w:r w:rsidR="00AB4E74">
        <w:t xml:space="preserve"> (</w:t>
      </w:r>
      <w:r w:rsidRPr="00F14A7B" w:rsidR="00AB4E74">
        <w:t>Authorized Long-Form Applicants and Winning Bids)</w:t>
      </w:r>
      <w:r w:rsidRPr="000954A4" w:rsidR="000954A4">
        <w:t xml:space="preserve"> (</w:t>
      </w:r>
      <w:r w:rsidR="0019607C">
        <w:t xml:space="preserve">WCB/OEA </w:t>
      </w:r>
      <w:r w:rsidR="003D1FCF">
        <w:t>Feb</w:t>
      </w:r>
      <w:r w:rsidRPr="000954A4" w:rsidR="000954A4">
        <w:t>. 1</w:t>
      </w:r>
      <w:r w:rsidR="003D1FCF">
        <w:t>4</w:t>
      </w:r>
      <w:r w:rsidRPr="000954A4" w:rsidR="000954A4">
        <w:t>, 202</w:t>
      </w:r>
      <w:r w:rsidR="003D1FCF">
        <w:t>2</w:t>
      </w:r>
      <w:r w:rsidRPr="000954A4" w:rsidR="000954A4">
        <w:t>)</w:t>
      </w:r>
      <w:r w:rsidR="00C850C7">
        <w:t xml:space="preserve"> </w:t>
      </w:r>
      <w:r w:rsidR="00AB4E74">
        <w:t>(stating that eligible telecommunication carriers</w:t>
      </w:r>
      <w:r w:rsidRPr="2244EC6C" w:rsidR="00AB4E74">
        <w:t xml:space="preserve"> </w:t>
      </w:r>
      <w:r w:rsidR="00AB4E74">
        <w:t>“</w:t>
      </w:r>
      <w:r w:rsidRPr="2244EC6C" w:rsidR="00AB4E74">
        <w:t>seeking to transfer control of their domestic authorizations to operate pursuant to section 214 of the Communications Act of 1934, as amended, or to engage in the sale of assets under section 214 must first receive approval from the Commission in accordance with sections 63.03 and 63.04 of the Commission’s rules governing the procedures for domestic transfer of control/asset applications</w:t>
      </w:r>
      <w:r w:rsidR="00AB4E74">
        <w:t>”)</w:t>
      </w:r>
      <w:r w:rsidR="00537DAA">
        <w:t xml:space="preserve"> (</w:t>
      </w:r>
      <w:r w:rsidR="00537DAA">
        <w:rPr>
          <w:i/>
          <w:iCs/>
        </w:rPr>
        <w:t xml:space="preserve">Sixth </w:t>
      </w:r>
      <w:r w:rsidRPr="00D332E5" w:rsidR="00537DAA">
        <w:rPr>
          <w:i/>
          <w:iCs/>
        </w:rPr>
        <w:t>RDOF Authorization Public Notice</w:t>
      </w:r>
      <w:r w:rsidR="00537DAA">
        <w:t>)</w:t>
      </w:r>
      <w:r w:rsidRPr="000954A4" w:rsidR="000954A4">
        <w:t>.</w:t>
      </w:r>
      <w:r w:rsidR="00C040A9">
        <w:t xml:space="preserve">  </w:t>
      </w:r>
      <w:r w:rsidR="005E13CF">
        <w:t xml:space="preserve">Visionary Inc. was awarded </w:t>
      </w:r>
      <w:r w:rsidR="00AB6363">
        <w:t>$4,450,264.40</w:t>
      </w:r>
      <w:r w:rsidR="005E13CF">
        <w:t xml:space="preserve"> over a 10-year period.</w:t>
      </w:r>
      <w:r w:rsidR="00C032A8">
        <w:t xml:space="preserve">  </w:t>
      </w:r>
      <w:r w:rsidRPr="002621E9" w:rsidR="002621E9">
        <w:rPr>
          <w:i/>
          <w:iCs/>
        </w:rPr>
        <w:t>See</w:t>
      </w:r>
      <w:r w:rsidR="003D1FCF">
        <w:rPr>
          <w:i/>
          <w:iCs/>
        </w:rPr>
        <w:t xml:space="preserve"> Sixth</w:t>
      </w:r>
      <w:r w:rsidRPr="002621E9" w:rsidR="002621E9">
        <w:rPr>
          <w:i/>
          <w:iCs/>
        </w:rPr>
        <w:t xml:space="preserve"> RDOF Authorization</w:t>
      </w:r>
      <w:r w:rsidRPr="002621E9" w:rsidR="005E13CF">
        <w:rPr>
          <w:i/>
          <w:iCs/>
        </w:rPr>
        <w:t xml:space="preserve"> </w:t>
      </w:r>
      <w:r w:rsidRPr="002621E9" w:rsidR="002621E9">
        <w:rPr>
          <w:i/>
          <w:iCs/>
        </w:rPr>
        <w:t>Public Notice</w:t>
      </w:r>
      <w:r w:rsidR="00140FCF">
        <w:t xml:space="preserve">, </w:t>
      </w:r>
      <w:r w:rsidR="005804E1">
        <w:t>Attach. A.</w:t>
      </w:r>
    </w:p>
  </w:footnote>
  <w:footnote w:id="8">
    <w:p w:rsidR="00DC455F" w:rsidRPr="00C25666" w:rsidP="00DC455F" w14:paraId="0779F49A" w14:textId="053E5503">
      <w:pPr>
        <w:pStyle w:val="FootnoteText"/>
      </w:pPr>
      <w:r w:rsidRPr="00C25666">
        <w:rPr>
          <w:rStyle w:val="FootnoteReference"/>
        </w:rPr>
        <w:footnoteRef/>
      </w:r>
      <w:r w:rsidRPr="00C25666">
        <w:t xml:space="preserve"> </w:t>
      </w:r>
      <w:r w:rsidRPr="00167E93" w:rsidR="00167E93">
        <w:t>Application</w:t>
      </w:r>
      <w:r w:rsidR="00167E93">
        <w:rPr>
          <w:i/>
          <w:iCs/>
        </w:rPr>
        <w:t xml:space="preserve"> </w:t>
      </w:r>
      <w:r w:rsidRPr="00C25666">
        <w:t xml:space="preserve">at </w:t>
      </w:r>
      <w:r w:rsidR="00CD048F">
        <w:t>4</w:t>
      </w:r>
      <w:r w:rsidRPr="00C25666">
        <w:t xml:space="preserve">. </w:t>
      </w:r>
    </w:p>
  </w:footnote>
  <w:footnote w:id="9">
    <w:p w:rsidR="005078A9" w:rsidRPr="00EC42D5" w14:paraId="69BCBB9F" w14:textId="0EA7EE50">
      <w:pPr>
        <w:pStyle w:val="FootnoteText"/>
      </w:pPr>
      <w:r>
        <w:rPr>
          <w:rStyle w:val="FootnoteReference"/>
        </w:rPr>
        <w:footnoteRef/>
      </w:r>
      <w:r>
        <w:t xml:space="preserve"> </w:t>
      </w:r>
      <w:r w:rsidRPr="00EC42D5">
        <w:t>Broadband Aggregator is owned by GTCR Fund XIII/B LP (Fund XIII/</w:t>
      </w:r>
      <w:r w:rsidRPr="007B2A4B">
        <w:rPr>
          <w:rFonts w:eastAsia="Segoe UI Emoji"/>
        </w:rPr>
        <w:t>B</w:t>
      </w:r>
      <w:r w:rsidRPr="007B2A4B" w:rsidR="00EC42D5">
        <w:rPr>
          <w:rFonts w:eastAsia="Segoe UI Emoji"/>
        </w:rPr>
        <w:t>)</w:t>
      </w:r>
      <w:r w:rsidRPr="007B2A4B">
        <w:rPr>
          <w:rFonts w:eastAsia="Segoe UI Emoji"/>
        </w:rPr>
        <w:t xml:space="preserve"> (73%) and GTCR Broadband Splitter LP (Broadband Splitter)</w:t>
      </w:r>
      <w:r w:rsidR="00EC42D5">
        <w:rPr>
          <w:rFonts w:eastAsia="Segoe UI Emoji"/>
        </w:rPr>
        <w:t xml:space="preserve"> (27%)</w:t>
      </w:r>
      <w:r w:rsidRPr="007B2A4B">
        <w:rPr>
          <w:rFonts w:eastAsia="Segoe UI Emoji"/>
        </w:rPr>
        <w:t>.</w:t>
      </w:r>
      <w:r w:rsidRPr="007B2A4B" w:rsidR="00A10E47">
        <w:rPr>
          <w:rFonts w:eastAsia="Segoe UI Emoji"/>
        </w:rPr>
        <w:t xml:space="preserve">  </w:t>
      </w:r>
      <w:r w:rsidRPr="00EC42D5" w:rsidR="00A10E47">
        <w:t>The general partner of Fund XIII/B and Broadband Splitter is GTCR Partners XIII/B LP (Partners XIII/</w:t>
      </w:r>
      <w:r w:rsidRPr="00EC42D5" w:rsidR="00B755CB">
        <w:t>B)</w:t>
      </w:r>
      <w:r w:rsidR="000411CC">
        <w:t>.</w:t>
      </w:r>
      <w:r w:rsidRPr="00EC42D5" w:rsidR="00A10E47">
        <w:t xml:space="preserve">  The limited partner of </w:t>
      </w:r>
      <w:r w:rsidR="00EC42D5">
        <w:t>B</w:t>
      </w:r>
      <w:r w:rsidRPr="00EC42D5" w:rsidR="00A10E47">
        <w:t xml:space="preserve">roadband Splitter is GTCR Visionary Blocker Corp., which is owned by GTCR Fund XIII/C LP (Fund XIII/C).  The general partner of Fund XIII/C is GTCR </w:t>
      </w:r>
      <w:r w:rsidRPr="00EC42D5" w:rsidR="00B755CB">
        <w:t>P</w:t>
      </w:r>
      <w:r w:rsidRPr="00EC42D5" w:rsidR="00A10E47">
        <w:t>artners XIII/A&amp;C L</w:t>
      </w:r>
      <w:r w:rsidRPr="00EC42D5" w:rsidR="00B755CB">
        <w:t>P</w:t>
      </w:r>
      <w:r w:rsidR="004941B9">
        <w:t xml:space="preserve"> (</w:t>
      </w:r>
      <w:r w:rsidR="00100BFE">
        <w:t>P</w:t>
      </w:r>
      <w:r w:rsidR="004941B9">
        <w:t>artners XIII/A&amp;C)</w:t>
      </w:r>
      <w:r w:rsidRPr="00EC42D5" w:rsidR="00B755CB">
        <w:t xml:space="preserve">.  The general partner of Partners XIII/B and </w:t>
      </w:r>
      <w:r w:rsidR="004941B9">
        <w:t>P</w:t>
      </w:r>
      <w:r w:rsidRPr="00EC42D5" w:rsidR="00B755CB">
        <w:t xml:space="preserve">artners XIII/A&amp;C is GTCR Investment XIII LLC, control of which is held by Mark M. Anderson, Craig A. </w:t>
      </w:r>
      <w:r w:rsidRPr="00EC42D5" w:rsidR="00B755CB">
        <w:t>Bondy</w:t>
      </w:r>
      <w:r w:rsidRPr="00EC42D5" w:rsidR="00B755CB">
        <w:t xml:space="preserve">, Aaron D. Cohen, Sean L. Cunningham, Benjamin J. </w:t>
      </w:r>
      <w:r w:rsidRPr="00EC42D5" w:rsidR="00B755CB">
        <w:t>Daverman</w:t>
      </w:r>
      <w:r w:rsidRPr="00EC42D5" w:rsidR="00B755CB">
        <w:t xml:space="preserve">, David A. Donnini, Dean S. Mihas, and Collin E. Roche, all U.S. citizens.  All entities are U.S.-based.  </w:t>
      </w:r>
      <w:r w:rsidRPr="006E4D24" w:rsidR="006E4D24">
        <w:rPr>
          <w:i/>
          <w:iCs/>
        </w:rPr>
        <w:t>Id.</w:t>
      </w:r>
      <w:r w:rsidRPr="00EC42D5" w:rsidR="00B755CB">
        <w:t xml:space="preserve"> at 11-14</w:t>
      </w:r>
      <w:r w:rsidR="00792355">
        <w:t xml:space="preserve">, </w:t>
      </w:r>
      <w:r w:rsidRPr="00EC42D5" w:rsidR="00B755CB">
        <w:t>Exh</w:t>
      </w:r>
      <w:r w:rsidRPr="00EC42D5" w:rsidR="00B755CB">
        <w:t>. A (Pre- and Post-Transaction Ownership Charts).</w:t>
      </w:r>
    </w:p>
  </w:footnote>
  <w:footnote w:id="10">
    <w:p w:rsidR="004941B9" w:rsidRPr="004941B9" w14:paraId="05D2B7FE" w14:textId="19E27E2F">
      <w:pPr>
        <w:pStyle w:val="FootnoteText"/>
      </w:pPr>
      <w:r>
        <w:rPr>
          <w:rStyle w:val="FootnoteReference"/>
        </w:rPr>
        <w:footnoteRef/>
      </w:r>
      <w:r>
        <w:t xml:space="preserve"> Control of Visionary Management</w:t>
      </w:r>
      <w:r w:rsidR="005D6CCA">
        <w:t xml:space="preserve"> </w:t>
      </w:r>
      <w:r>
        <w:t xml:space="preserve">is held by a board consisting of up to two members designated by Fund XIII/B, one member designated by Fund XIII/C, the Chief Executive Officer of Visionary LLC, and one member designated by Visionary Seller, all U.S. citizens.  </w:t>
      </w:r>
      <w:r>
        <w:rPr>
          <w:i/>
          <w:iCs/>
        </w:rPr>
        <w:t>Id</w:t>
      </w:r>
      <w:r>
        <w:t>. at 12.</w:t>
      </w:r>
    </w:p>
  </w:footnote>
  <w:footnote w:id="11">
    <w:p w:rsidR="00DC455F" w:rsidRPr="00C25666" w:rsidP="0004656C" w14:paraId="08643345" w14:textId="04E19F69">
      <w:pPr>
        <w:pStyle w:val="FootnoteText"/>
      </w:pPr>
      <w:r w:rsidRPr="00C25666">
        <w:rPr>
          <w:rStyle w:val="FootnoteReference"/>
        </w:rPr>
        <w:footnoteRef/>
      </w:r>
      <w:r w:rsidRPr="00C25666">
        <w:t xml:space="preserve"> </w:t>
      </w:r>
      <w:r w:rsidRPr="00C25666">
        <w:rPr>
          <w:i/>
          <w:iCs/>
        </w:rPr>
        <w:t>Id.</w:t>
      </w:r>
      <w:r w:rsidRPr="00C25666">
        <w:t xml:space="preserve"> at </w:t>
      </w:r>
      <w:r w:rsidR="00935727">
        <w:t>4</w:t>
      </w:r>
      <w:r>
        <w:t>, 11-1</w:t>
      </w:r>
      <w:r w:rsidR="00CD467D">
        <w:t>4</w:t>
      </w:r>
      <w:r w:rsidR="0046185F">
        <w:t>,</w:t>
      </w:r>
      <w:r w:rsidR="001620E0">
        <w:t xml:space="preserve"> </w:t>
      </w:r>
      <w:r w:rsidR="001620E0">
        <w:t>Exh</w:t>
      </w:r>
      <w:r w:rsidR="001620E0">
        <w:t>. A (Pre- and Post-Transaction Ownership Charts)</w:t>
      </w:r>
      <w:r w:rsidRPr="00C25666">
        <w:t xml:space="preserve">. </w:t>
      </w:r>
      <w:r w:rsidR="007601E2">
        <w:t xml:space="preserve"> </w:t>
      </w:r>
      <w:r>
        <w:t xml:space="preserve">Applicants state that </w:t>
      </w:r>
      <w:r w:rsidR="001620E0">
        <w:t xml:space="preserve">managing directors of </w:t>
      </w:r>
      <w:r>
        <w:t>GTCR h</w:t>
      </w:r>
      <w:r w:rsidR="001620E0">
        <w:t>ave</w:t>
      </w:r>
      <w:r>
        <w:t xml:space="preserve"> a controlling interest in </w:t>
      </w:r>
      <w:r w:rsidR="006F2D65">
        <w:t>Point Broadband</w:t>
      </w:r>
      <w:r w:rsidR="005A4F99">
        <w:t xml:space="preserve"> Fiber Holding, LLC </w:t>
      </w:r>
      <w:r>
        <w:t>and its subsidiaries, which provide</w:t>
      </w:r>
      <w:r w:rsidR="00852B29">
        <w:t xml:space="preserve"> </w:t>
      </w:r>
      <w:r>
        <w:t xml:space="preserve">telecommunications services in </w:t>
      </w:r>
      <w:r w:rsidR="00AC4BE9">
        <w:t>Tennessee and Virginia</w:t>
      </w:r>
      <w:r w:rsidR="00852B29">
        <w:t xml:space="preserve">, and VoIP services in Alabama, Georgia, Maryland, </w:t>
      </w:r>
      <w:r w:rsidR="00C12AA6">
        <w:t>Michigan, Ohio, and New York</w:t>
      </w:r>
      <w:r>
        <w:t xml:space="preserve">.  </w:t>
      </w:r>
      <w:r w:rsidR="00477A04">
        <w:rPr>
          <w:i/>
          <w:iCs/>
        </w:rPr>
        <w:t>Id</w:t>
      </w:r>
      <w:r w:rsidR="00477A04">
        <w:t xml:space="preserve">. at 14-15.  The managing members of GTCR also have a minority interest in Clearwave Fiber LLC, which has subsidiaries that provide competitive telecommunications and other services in Illinois, Indiana, Missouri, Florida, and Georgia.  </w:t>
      </w:r>
      <w:bookmarkStart w:id="1" w:name="_Hlk97299126"/>
      <w:r>
        <w:rPr>
          <w:i/>
          <w:iCs/>
        </w:rPr>
        <w:t>Id</w:t>
      </w:r>
      <w:r>
        <w:t>.</w:t>
      </w:r>
      <w:bookmarkEnd w:id="1"/>
    </w:p>
  </w:footnote>
  <w:footnote w:id="12">
    <w:p w:rsidR="00F62AF6" w:rsidRPr="00F62AF6" w14:paraId="024D7EAE" w14:textId="554C9F29">
      <w:pPr>
        <w:pStyle w:val="FootnoteText"/>
      </w:pPr>
      <w:r>
        <w:rPr>
          <w:rStyle w:val="FootnoteReference"/>
        </w:rPr>
        <w:footnoteRef/>
      </w:r>
      <w:r w:rsidR="00ED2EA8">
        <w:t xml:space="preserve"> </w:t>
      </w:r>
      <w:r w:rsidRPr="00CF7636" w:rsidR="00CF7636">
        <w:rPr>
          <w:i/>
          <w:iCs/>
        </w:rPr>
        <w:t>Id.</w:t>
      </w:r>
      <w:r w:rsidR="00ED2EA8">
        <w:t xml:space="preserve"> at </w:t>
      </w:r>
      <w:r w:rsidR="00B14CC9">
        <w:t>5-9</w:t>
      </w:r>
      <w:r>
        <w:t>.</w:t>
      </w:r>
    </w:p>
  </w:footnote>
  <w:footnote w:id="13">
    <w:p w:rsidR="00CF7636" w14:paraId="14DDC2C4" w14:textId="5859D8AD">
      <w:pPr>
        <w:pStyle w:val="FootnoteText"/>
      </w:pPr>
      <w:r>
        <w:rPr>
          <w:rStyle w:val="FootnoteReference"/>
        </w:rPr>
        <w:footnoteRef/>
      </w:r>
      <w:r>
        <w:t xml:space="preserve"> Supplement at 1.</w:t>
      </w:r>
    </w:p>
  </w:footnote>
  <w:footnote w:id="14">
    <w:p w:rsidR="001B5045" w14:paraId="29451A67" w14:textId="614D25C7">
      <w:pPr>
        <w:pStyle w:val="FootnoteText"/>
      </w:pPr>
      <w:r>
        <w:rPr>
          <w:rStyle w:val="FootnoteReference"/>
        </w:rPr>
        <w:footnoteRef/>
      </w:r>
      <w:r w:rsidR="00CF7636">
        <w:t xml:space="preserve"> Application a</w:t>
      </w:r>
      <w:r>
        <w:t>t 18</w:t>
      </w:r>
      <w:r w:rsidR="00EA68B4">
        <w:t xml:space="preserve">; Supplement at </w:t>
      </w:r>
      <w:r w:rsidR="00B85BF3">
        <w:t>2</w:t>
      </w:r>
      <w:r>
        <w:t>.</w:t>
      </w:r>
    </w:p>
  </w:footnote>
  <w:footnote w:id="15">
    <w:p w:rsidR="008D3487" w14:paraId="0DDE4365" w14:textId="76897FD2">
      <w:pPr>
        <w:pStyle w:val="FootnoteText"/>
      </w:pPr>
      <w:r>
        <w:rPr>
          <w:rStyle w:val="FootnoteReference"/>
        </w:rPr>
        <w:footnoteRef/>
      </w:r>
      <w:r>
        <w:t xml:space="preserve"> </w:t>
      </w:r>
      <w:r w:rsidR="00EA68B4">
        <w:t>Application a</w:t>
      </w:r>
      <w:r w:rsidR="00A36F7C">
        <w:t>t 7</w:t>
      </w:r>
      <w:r w:rsidR="00EA68B4">
        <w:t xml:space="preserve">; </w:t>
      </w:r>
      <w:r w:rsidRPr="00EA68B4" w:rsidR="00EA68B4">
        <w:rPr>
          <w:i/>
          <w:iCs/>
        </w:rPr>
        <w:t>see also</w:t>
      </w:r>
      <w:r w:rsidR="00EA68B4">
        <w:t xml:space="preserve"> Supplement at 1</w:t>
      </w:r>
      <w:r w:rsidR="00A36F7C">
        <w:t>.</w:t>
      </w:r>
    </w:p>
  </w:footnote>
  <w:footnote w:id="16">
    <w:p w:rsidR="005418FB" w14:paraId="0C5AFE65" w14:textId="7F966803">
      <w:pPr>
        <w:pStyle w:val="FootnoteText"/>
      </w:pPr>
      <w:r>
        <w:rPr>
          <w:rStyle w:val="FootnoteReference"/>
        </w:rPr>
        <w:footnoteRef/>
      </w:r>
      <w:r>
        <w:t xml:space="preserve"> </w:t>
      </w:r>
      <w:r w:rsidR="00EA68B4">
        <w:t>Application a</w:t>
      </w:r>
      <w:r w:rsidR="00EF7FB4">
        <w:t>t 4.</w:t>
      </w:r>
    </w:p>
  </w:footnote>
  <w:footnote w:id="17">
    <w:p w:rsidR="008C2C7E" w14:paraId="798E49B5" w14:textId="1B0880D5">
      <w:pPr>
        <w:pStyle w:val="FootnoteText"/>
      </w:pPr>
      <w:r>
        <w:rPr>
          <w:rStyle w:val="FootnoteReference"/>
        </w:rPr>
        <w:footnoteRef/>
      </w:r>
      <w:r>
        <w:t xml:space="preserve"> </w:t>
      </w:r>
      <w:r w:rsidRPr="008C2C7E">
        <w:rPr>
          <w:i/>
          <w:iCs/>
        </w:rPr>
        <w:t>Id.</w:t>
      </w:r>
      <w:r>
        <w:t xml:space="preserve"> at 6, 8.</w:t>
      </w:r>
    </w:p>
  </w:footnote>
  <w:footnote w:id="18">
    <w:p w:rsidR="00046166" w:rsidRPr="00E86AB5" w:rsidP="00046166" w14:paraId="4D1023B9" w14:textId="16661D8F">
      <w:pPr>
        <w:spacing w:after="120"/>
        <w:rPr>
          <w:sz w:val="20"/>
        </w:rPr>
      </w:pPr>
      <w:r w:rsidRPr="00E86AB5">
        <w:rPr>
          <w:rStyle w:val="FootnoteReference"/>
          <w:sz w:val="20"/>
        </w:rPr>
        <w:footnoteRef/>
      </w:r>
      <w:r w:rsidRPr="00E56BD0">
        <w:rPr>
          <w:i/>
          <w:iCs/>
          <w:sz w:val="20"/>
        </w:rPr>
        <w:t xml:space="preserve"> </w:t>
      </w:r>
      <w:r w:rsidRPr="00E56BD0" w:rsidR="00E56BD0">
        <w:rPr>
          <w:i/>
          <w:iCs/>
          <w:sz w:val="20"/>
        </w:rPr>
        <w:t>Id.</w:t>
      </w:r>
      <w:r w:rsidR="00E56BD0">
        <w:rPr>
          <w:sz w:val="20"/>
        </w:rPr>
        <w:t xml:space="preserve"> at 5</w:t>
      </w:r>
      <w:r w:rsidRPr="00E86AB5">
        <w:rPr>
          <w:sz w:val="20"/>
        </w:rPr>
        <w:t>.</w:t>
      </w:r>
    </w:p>
  </w:footnote>
  <w:footnote w:id="19">
    <w:p w:rsidR="005B2EDD" w:rsidRPr="00E86AB5" w:rsidP="005B2EDD" w14:paraId="600BB938" w14:textId="1498EDC9">
      <w:pPr>
        <w:pStyle w:val="FootnoteText"/>
      </w:pPr>
      <w:r w:rsidRPr="00E86AB5">
        <w:rPr>
          <w:rStyle w:val="FootnoteReference"/>
        </w:rPr>
        <w:footnoteRef/>
      </w:r>
      <w:r w:rsidRPr="00E86AB5">
        <w:t xml:space="preserve"> </w:t>
      </w:r>
      <w:r w:rsidRPr="00E86AB5">
        <w:rPr>
          <w:i/>
          <w:iCs/>
        </w:rPr>
        <w:t xml:space="preserve">See </w:t>
      </w:r>
      <w:r w:rsidRPr="00E86AB5">
        <w:t>47 CFR § 63.03(c)(1)(v)</w:t>
      </w:r>
      <w:r w:rsidR="00BC1AAF">
        <w:t>.</w:t>
      </w:r>
    </w:p>
  </w:footnote>
  <w:footnote w:id="20">
    <w:p w:rsidR="008014D0" w:rsidRPr="00796872" w:rsidP="008014D0" w14:paraId="41DA8714" w14:textId="77777777">
      <w:pPr>
        <w:pStyle w:val="FootnoteText"/>
        <w:rPr>
          <w:u w:val="single"/>
        </w:rPr>
      </w:pPr>
      <w:r w:rsidRPr="00796872">
        <w:rPr>
          <w:rStyle w:val="FootnoteReference"/>
        </w:rPr>
        <w:footnoteRef/>
      </w:r>
      <w:r w:rsidRPr="00796872">
        <w:t xml:space="preserve"> Effective March 19, 2020, and until further notice, the Commission no longer accepts any hand or messenger delivered filings.  This is a temporary measure taken to help protect the health and safety of individuals, and to mitigate the transmission of COVID-19.</w:t>
      </w:r>
      <w:r w:rsidR="00264753">
        <w:t xml:space="preserve"> </w:t>
      </w:r>
      <w:r w:rsidRPr="00796872">
        <w:t xml:space="preserve"> </w:t>
      </w:r>
      <w:r w:rsidRPr="00796872">
        <w:rPr>
          <w:rFonts w:eastAsia="Calibri"/>
          <w:i/>
          <w:iCs/>
        </w:rPr>
        <w:t>See FCC Announces Closure of FCC Headquarters Open Window and Change in Hand-Delivery Policy</w:t>
      </w:r>
      <w:r w:rsidRPr="00796872">
        <w:rPr>
          <w:rFonts w:eastAsia="Calibri"/>
        </w:rPr>
        <w:t xml:space="preserve">, Public Notice, 35 FCC </w:t>
      </w:r>
      <w:r w:rsidRPr="00796872">
        <w:rPr>
          <w:rFonts w:eastAsia="Calibri"/>
        </w:rPr>
        <w:t>Rcd</w:t>
      </w:r>
      <w:r w:rsidRPr="00796872">
        <w:rPr>
          <w:rFonts w:eastAsia="Calibri"/>
        </w:rPr>
        <w:t xml:space="preserve"> 2788 (OS 2020).</w:t>
      </w:r>
    </w:p>
  </w:footnote>
  <w:footnote w:id="21">
    <w:p w:rsidR="00906767" w14:paraId="0394C7C6" w14:textId="7C7D33E3">
      <w:pPr>
        <w:pStyle w:val="FootnoteText"/>
      </w:pPr>
      <w:r>
        <w:rPr>
          <w:rStyle w:val="FootnoteReference"/>
        </w:rPr>
        <w:footnoteRef/>
      </w:r>
      <w:r>
        <w:t xml:space="preserve"> </w:t>
      </w:r>
      <w:r w:rsidRPr="008014D0">
        <w:rPr>
          <w:szCs w:val="22"/>
        </w:rPr>
        <w:t>47 CFR § 1.1206(b).</w:t>
      </w:r>
    </w:p>
  </w:footnote>
  <w:footnote w:id="22">
    <w:p w:rsidR="008014D0" w:rsidRPr="00796872" w:rsidP="008014D0" w14:paraId="777CD2DE" w14:textId="00E1B0DC">
      <w:pPr>
        <w:pStyle w:val="FootnoteText"/>
      </w:pPr>
      <w:r w:rsidRPr="00796872">
        <w:rPr>
          <w:rStyle w:val="FootnoteReference"/>
        </w:rPr>
        <w:footnoteRef/>
      </w:r>
      <w:r w:rsidRPr="00796872">
        <w:t xml:space="preserve"> </w:t>
      </w:r>
      <w:r w:rsidRPr="00796872">
        <w:rPr>
          <w:i/>
        </w:rPr>
        <w:t>See</w:t>
      </w:r>
      <w:r w:rsidR="00FE216C">
        <w:t xml:space="preserve"> </w:t>
      </w:r>
      <w:r w:rsidRPr="00FE216C" w:rsidR="00FE216C">
        <w:rPr>
          <w:i/>
          <w:iCs/>
        </w:rPr>
        <w:t>id.</w:t>
      </w:r>
      <w:r w:rsidRPr="00796872">
        <w:t xml:space="preserve"> § 1.45(c).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3260" w14:paraId="09DDB93E"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3260" w14:paraId="12FF2DE1" w14:textId="77777777">
    <w:pPr>
      <w:pStyle w:val="Header"/>
    </w:pPr>
    <w:r>
      <w:rPr>
        <w:noProof/>
        <w:snapToGr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width:468pt;height:115.5pt;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059305A"/>
    <w:multiLevelType w:val="multilevel"/>
    <w:tmpl w:val="57A4B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7">
    <w:nsid w:val="6A614CCE"/>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6BE20A48"/>
    <w:multiLevelType w:val="multilevel"/>
    <w:tmpl w:val="584238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4"/>
  </w:num>
  <w:num w:numId="4">
    <w:abstractNumId w:val="5"/>
  </w:num>
  <w:num w:numId="5">
    <w:abstractNumId w:val="3"/>
  </w:num>
  <w:num w:numId="6">
    <w:abstractNumId w:val="0"/>
  </w:num>
  <w:num w:numId="7">
    <w:abstractNumId w:val="7"/>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4AA"/>
    <w:rsid w:val="0000137E"/>
    <w:rsid w:val="00007129"/>
    <w:rsid w:val="00007B13"/>
    <w:rsid w:val="00023C8D"/>
    <w:rsid w:val="000344DA"/>
    <w:rsid w:val="000411CC"/>
    <w:rsid w:val="000423CA"/>
    <w:rsid w:val="00046166"/>
    <w:rsid w:val="0004656C"/>
    <w:rsid w:val="00053C70"/>
    <w:rsid w:val="00065A2D"/>
    <w:rsid w:val="00073304"/>
    <w:rsid w:val="00082DD9"/>
    <w:rsid w:val="000907BB"/>
    <w:rsid w:val="00093743"/>
    <w:rsid w:val="000954A4"/>
    <w:rsid w:val="000B170B"/>
    <w:rsid w:val="000C2269"/>
    <w:rsid w:val="000C32E8"/>
    <w:rsid w:val="000C56BA"/>
    <w:rsid w:val="000D0E6D"/>
    <w:rsid w:val="000E20F6"/>
    <w:rsid w:val="000F15DC"/>
    <w:rsid w:val="000F1CF0"/>
    <w:rsid w:val="000F565F"/>
    <w:rsid w:val="00100BFE"/>
    <w:rsid w:val="001104B4"/>
    <w:rsid w:val="0011284D"/>
    <w:rsid w:val="00113860"/>
    <w:rsid w:val="00122727"/>
    <w:rsid w:val="00123178"/>
    <w:rsid w:val="001254C5"/>
    <w:rsid w:val="0013532E"/>
    <w:rsid w:val="0013793F"/>
    <w:rsid w:val="00140FCF"/>
    <w:rsid w:val="001421A0"/>
    <w:rsid w:val="001429CA"/>
    <w:rsid w:val="001568DB"/>
    <w:rsid w:val="001620E0"/>
    <w:rsid w:val="00162B46"/>
    <w:rsid w:val="00164114"/>
    <w:rsid w:val="00165384"/>
    <w:rsid w:val="00167E93"/>
    <w:rsid w:val="001805F0"/>
    <w:rsid w:val="00183FA5"/>
    <w:rsid w:val="001849DB"/>
    <w:rsid w:val="001908BE"/>
    <w:rsid w:val="0019607C"/>
    <w:rsid w:val="001963AC"/>
    <w:rsid w:val="00196830"/>
    <w:rsid w:val="00197341"/>
    <w:rsid w:val="001A2613"/>
    <w:rsid w:val="001A3419"/>
    <w:rsid w:val="001B1CC8"/>
    <w:rsid w:val="001B32ED"/>
    <w:rsid w:val="001B5045"/>
    <w:rsid w:val="001B5666"/>
    <w:rsid w:val="001B57AE"/>
    <w:rsid w:val="001C1595"/>
    <w:rsid w:val="001C4439"/>
    <w:rsid w:val="001C5E50"/>
    <w:rsid w:val="001D13D1"/>
    <w:rsid w:val="001D26F6"/>
    <w:rsid w:val="001D4B15"/>
    <w:rsid w:val="001D5F35"/>
    <w:rsid w:val="001E2A85"/>
    <w:rsid w:val="001F0DB1"/>
    <w:rsid w:val="001F2DA6"/>
    <w:rsid w:val="001F557A"/>
    <w:rsid w:val="00200AB9"/>
    <w:rsid w:val="00202B59"/>
    <w:rsid w:val="0021422C"/>
    <w:rsid w:val="00214986"/>
    <w:rsid w:val="002206FA"/>
    <w:rsid w:val="002351E7"/>
    <w:rsid w:val="0024459C"/>
    <w:rsid w:val="00256CD5"/>
    <w:rsid w:val="00257B34"/>
    <w:rsid w:val="002621E9"/>
    <w:rsid w:val="00262328"/>
    <w:rsid w:val="002644A8"/>
    <w:rsid w:val="00264753"/>
    <w:rsid w:val="00273EBC"/>
    <w:rsid w:val="00284385"/>
    <w:rsid w:val="002A1CC0"/>
    <w:rsid w:val="002C41BE"/>
    <w:rsid w:val="002C4866"/>
    <w:rsid w:val="002D64E4"/>
    <w:rsid w:val="002D64FE"/>
    <w:rsid w:val="002E2276"/>
    <w:rsid w:val="002F0961"/>
    <w:rsid w:val="002F5A1F"/>
    <w:rsid w:val="0030141E"/>
    <w:rsid w:val="003030A6"/>
    <w:rsid w:val="003064A7"/>
    <w:rsid w:val="00317B11"/>
    <w:rsid w:val="0032055D"/>
    <w:rsid w:val="00324F3A"/>
    <w:rsid w:val="00334EA0"/>
    <w:rsid w:val="00341E03"/>
    <w:rsid w:val="003474AA"/>
    <w:rsid w:val="00351578"/>
    <w:rsid w:val="00351689"/>
    <w:rsid w:val="003661B8"/>
    <w:rsid w:val="00372536"/>
    <w:rsid w:val="00375D5E"/>
    <w:rsid w:val="00380BFC"/>
    <w:rsid w:val="00381D63"/>
    <w:rsid w:val="003942D2"/>
    <w:rsid w:val="003A06D0"/>
    <w:rsid w:val="003B1036"/>
    <w:rsid w:val="003B1D00"/>
    <w:rsid w:val="003C0419"/>
    <w:rsid w:val="003D18FA"/>
    <w:rsid w:val="003D1FCF"/>
    <w:rsid w:val="003D250F"/>
    <w:rsid w:val="003F0638"/>
    <w:rsid w:val="003F08A1"/>
    <w:rsid w:val="003F27DB"/>
    <w:rsid w:val="004041D6"/>
    <w:rsid w:val="00404267"/>
    <w:rsid w:val="00407839"/>
    <w:rsid w:val="00412A27"/>
    <w:rsid w:val="00413EE8"/>
    <w:rsid w:val="0042070A"/>
    <w:rsid w:val="004301FA"/>
    <w:rsid w:val="00434F60"/>
    <w:rsid w:val="00436B9E"/>
    <w:rsid w:val="00437C3D"/>
    <w:rsid w:val="004439C0"/>
    <w:rsid w:val="00444C08"/>
    <w:rsid w:val="00446101"/>
    <w:rsid w:val="004472BA"/>
    <w:rsid w:val="00452453"/>
    <w:rsid w:val="0046185F"/>
    <w:rsid w:val="00467F43"/>
    <w:rsid w:val="00477A04"/>
    <w:rsid w:val="00477B03"/>
    <w:rsid w:val="00481950"/>
    <w:rsid w:val="00483BE8"/>
    <w:rsid w:val="00485DD1"/>
    <w:rsid w:val="004941B9"/>
    <w:rsid w:val="00494318"/>
    <w:rsid w:val="004958B1"/>
    <w:rsid w:val="004A0B4B"/>
    <w:rsid w:val="004A5402"/>
    <w:rsid w:val="004A5F0F"/>
    <w:rsid w:val="004A75F3"/>
    <w:rsid w:val="004B0FDB"/>
    <w:rsid w:val="004B7669"/>
    <w:rsid w:val="004C367A"/>
    <w:rsid w:val="004C610E"/>
    <w:rsid w:val="004D2C30"/>
    <w:rsid w:val="004F4BF7"/>
    <w:rsid w:val="005064D1"/>
    <w:rsid w:val="005078A9"/>
    <w:rsid w:val="00527C7F"/>
    <w:rsid w:val="0053231C"/>
    <w:rsid w:val="0053740B"/>
    <w:rsid w:val="00537DAA"/>
    <w:rsid w:val="005418FB"/>
    <w:rsid w:val="0054766A"/>
    <w:rsid w:val="00563D98"/>
    <w:rsid w:val="0057767E"/>
    <w:rsid w:val="005804E1"/>
    <w:rsid w:val="00590452"/>
    <w:rsid w:val="005A029F"/>
    <w:rsid w:val="005A1D16"/>
    <w:rsid w:val="005A4F99"/>
    <w:rsid w:val="005B13A2"/>
    <w:rsid w:val="005B2105"/>
    <w:rsid w:val="005B2EDD"/>
    <w:rsid w:val="005C08CD"/>
    <w:rsid w:val="005C743D"/>
    <w:rsid w:val="005D1423"/>
    <w:rsid w:val="005D1BA2"/>
    <w:rsid w:val="005D4EA8"/>
    <w:rsid w:val="005D6887"/>
    <w:rsid w:val="005D6CCA"/>
    <w:rsid w:val="005E13CF"/>
    <w:rsid w:val="005E18B7"/>
    <w:rsid w:val="005F569D"/>
    <w:rsid w:val="006010D9"/>
    <w:rsid w:val="00603D3C"/>
    <w:rsid w:val="00607DD7"/>
    <w:rsid w:val="00610F36"/>
    <w:rsid w:val="00616391"/>
    <w:rsid w:val="00616489"/>
    <w:rsid w:val="00632532"/>
    <w:rsid w:val="0063636A"/>
    <w:rsid w:val="00637C9C"/>
    <w:rsid w:val="006431E7"/>
    <w:rsid w:val="00643811"/>
    <w:rsid w:val="00644592"/>
    <w:rsid w:val="00646A70"/>
    <w:rsid w:val="00662D4F"/>
    <w:rsid w:val="00663E67"/>
    <w:rsid w:val="006640DD"/>
    <w:rsid w:val="00667805"/>
    <w:rsid w:val="006769DC"/>
    <w:rsid w:val="006777CB"/>
    <w:rsid w:val="006865B0"/>
    <w:rsid w:val="006924C8"/>
    <w:rsid w:val="00696223"/>
    <w:rsid w:val="00696FB1"/>
    <w:rsid w:val="006A1B83"/>
    <w:rsid w:val="006A5323"/>
    <w:rsid w:val="006C37FD"/>
    <w:rsid w:val="006D349F"/>
    <w:rsid w:val="006E139F"/>
    <w:rsid w:val="006E4D24"/>
    <w:rsid w:val="006F2CB7"/>
    <w:rsid w:val="006F2D65"/>
    <w:rsid w:val="007046E7"/>
    <w:rsid w:val="0071128C"/>
    <w:rsid w:val="00717D76"/>
    <w:rsid w:val="007211CF"/>
    <w:rsid w:val="007342FA"/>
    <w:rsid w:val="00736402"/>
    <w:rsid w:val="00737B9E"/>
    <w:rsid w:val="0074174A"/>
    <w:rsid w:val="00742BE4"/>
    <w:rsid w:val="00751D3D"/>
    <w:rsid w:val="00756AA9"/>
    <w:rsid w:val="007573C8"/>
    <w:rsid w:val="00757599"/>
    <w:rsid w:val="007601E2"/>
    <w:rsid w:val="00763A02"/>
    <w:rsid w:val="00770F07"/>
    <w:rsid w:val="00772962"/>
    <w:rsid w:val="0077794D"/>
    <w:rsid w:val="00780071"/>
    <w:rsid w:val="00792355"/>
    <w:rsid w:val="00792747"/>
    <w:rsid w:val="00796872"/>
    <w:rsid w:val="007A5499"/>
    <w:rsid w:val="007B2A4B"/>
    <w:rsid w:val="007B4744"/>
    <w:rsid w:val="007C59D1"/>
    <w:rsid w:val="007D252C"/>
    <w:rsid w:val="007D7102"/>
    <w:rsid w:val="007E1452"/>
    <w:rsid w:val="007E76AD"/>
    <w:rsid w:val="007F0652"/>
    <w:rsid w:val="008014D0"/>
    <w:rsid w:val="00802356"/>
    <w:rsid w:val="00804C77"/>
    <w:rsid w:val="00805A48"/>
    <w:rsid w:val="0082172A"/>
    <w:rsid w:val="00821F38"/>
    <w:rsid w:val="00833C34"/>
    <w:rsid w:val="0083439C"/>
    <w:rsid w:val="008367CD"/>
    <w:rsid w:val="00840051"/>
    <w:rsid w:val="00841223"/>
    <w:rsid w:val="00842A10"/>
    <w:rsid w:val="008435CF"/>
    <w:rsid w:val="0084527B"/>
    <w:rsid w:val="00852B29"/>
    <w:rsid w:val="008633AD"/>
    <w:rsid w:val="0088295E"/>
    <w:rsid w:val="00884C47"/>
    <w:rsid w:val="00885A98"/>
    <w:rsid w:val="008934CA"/>
    <w:rsid w:val="008947A6"/>
    <w:rsid w:val="00896F90"/>
    <w:rsid w:val="008A014A"/>
    <w:rsid w:val="008A0389"/>
    <w:rsid w:val="008A0CE7"/>
    <w:rsid w:val="008B7247"/>
    <w:rsid w:val="008C2C7E"/>
    <w:rsid w:val="008C3D25"/>
    <w:rsid w:val="008C46DA"/>
    <w:rsid w:val="008C56C5"/>
    <w:rsid w:val="008D3487"/>
    <w:rsid w:val="008D40AE"/>
    <w:rsid w:val="008D4566"/>
    <w:rsid w:val="00900EC9"/>
    <w:rsid w:val="0090538D"/>
    <w:rsid w:val="00905F78"/>
    <w:rsid w:val="00906767"/>
    <w:rsid w:val="0091104D"/>
    <w:rsid w:val="00914BB8"/>
    <w:rsid w:val="00925372"/>
    <w:rsid w:val="00926BAC"/>
    <w:rsid w:val="009308B7"/>
    <w:rsid w:val="00935727"/>
    <w:rsid w:val="00937672"/>
    <w:rsid w:val="009430DC"/>
    <w:rsid w:val="00943B24"/>
    <w:rsid w:val="009516F4"/>
    <w:rsid w:val="00954BBE"/>
    <w:rsid w:val="00972327"/>
    <w:rsid w:val="009732C5"/>
    <w:rsid w:val="00981CCE"/>
    <w:rsid w:val="009854AD"/>
    <w:rsid w:val="00997881"/>
    <w:rsid w:val="009A3B8A"/>
    <w:rsid w:val="009A5C27"/>
    <w:rsid w:val="009A79E5"/>
    <w:rsid w:val="009C0AD7"/>
    <w:rsid w:val="009C23D3"/>
    <w:rsid w:val="009C570A"/>
    <w:rsid w:val="009D6CD2"/>
    <w:rsid w:val="009E29CC"/>
    <w:rsid w:val="009E317D"/>
    <w:rsid w:val="009E3753"/>
    <w:rsid w:val="009F089C"/>
    <w:rsid w:val="009F2C4F"/>
    <w:rsid w:val="009F2FFC"/>
    <w:rsid w:val="00A05E95"/>
    <w:rsid w:val="00A10E47"/>
    <w:rsid w:val="00A152A6"/>
    <w:rsid w:val="00A224D7"/>
    <w:rsid w:val="00A3458C"/>
    <w:rsid w:val="00A36F7C"/>
    <w:rsid w:val="00A45FAC"/>
    <w:rsid w:val="00A46790"/>
    <w:rsid w:val="00A54DDA"/>
    <w:rsid w:val="00A65CFD"/>
    <w:rsid w:val="00A74809"/>
    <w:rsid w:val="00A808A5"/>
    <w:rsid w:val="00A80D94"/>
    <w:rsid w:val="00A87085"/>
    <w:rsid w:val="00A90D3E"/>
    <w:rsid w:val="00AA0192"/>
    <w:rsid w:val="00AA0796"/>
    <w:rsid w:val="00AA5EF7"/>
    <w:rsid w:val="00AB4E74"/>
    <w:rsid w:val="00AB6363"/>
    <w:rsid w:val="00AC4BE9"/>
    <w:rsid w:val="00AD1C04"/>
    <w:rsid w:val="00AE5105"/>
    <w:rsid w:val="00AE6352"/>
    <w:rsid w:val="00AF1153"/>
    <w:rsid w:val="00B02A93"/>
    <w:rsid w:val="00B04B64"/>
    <w:rsid w:val="00B10C5C"/>
    <w:rsid w:val="00B14CC9"/>
    <w:rsid w:val="00B20599"/>
    <w:rsid w:val="00B2695F"/>
    <w:rsid w:val="00B30C59"/>
    <w:rsid w:val="00B45BDE"/>
    <w:rsid w:val="00B675BE"/>
    <w:rsid w:val="00B755CB"/>
    <w:rsid w:val="00B773BA"/>
    <w:rsid w:val="00B83962"/>
    <w:rsid w:val="00B83F44"/>
    <w:rsid w:val="00B85367"/>
    <w:rsid w:val="00B85BF3"/>
    <w:rsid w:val="00B9122A"/>
    <w:rsid w:val="00BA1183"/>
    <w:rsid w:val="00BB21CB"/>
    <w:rsid w:val="00BB4EBF"/>
    <w:rsid w:val="00BC1AAF"/>
    <w:rsid w:val="00BC2CDC"/>
    <w:rsid w:val="00BD362A"/>
    <w:rsid w:val="00BD7048"/>
    <w:rsid w:val="00BD7C0C"/>
    <w:rsid w:val="00BE5253"/>
    <w:rsid w:val="00BE7E4C"/>
    <w:rsid w:val="00BF1A0F"/>
    <w:rsid w:val="00BF2975"/>
    <w:rsid w:val="00BF3405"/>
    <w:rsid w:val="00BF4652"/>
    <w:rsid w:val="00BF7649"/>
    <w:rsid w:val="00C02DB5"/>
    <w:rsid w:val="00C032A8"/>
    <w:rsid w:val="00C040A9"/>
    <w:rsid w:val="00C110DA"/>
    <w:rsid w:val="00C11660"/>
    <w:rsid w:val="00C12AA6"/>
    <w:rsid w:val="00C16B80"/>
    <w:rsid w:val="00C20F24"/>
    <w:rsid w:val="00C220C0"/>
    <w:rsid w:val="00C22C78"/>
    <w:rsid w:val="00C25666"/>
    <w:rsid w:val="00C2770D"/>
    <w:rsid w:val="00C314DD"/>
    <w:rsid w:val="00C42323"/>
    <w:rsid w:val="00C457F5"/>
    <w:rsid w:val="00C56D9E"/>
    <w:rsid w:val="00C63AB1"/>
    <w:rsid w:val="00C75306"/>
    <w:rsid w:val="00C850C7"/>
    <w:rsid w:val="00C87AF0"/>
    <w:rsid w:val="00C93342"/>
    <w:rsid w:val="00C95F9E"/>
    <w:rsid w:val="00CA04D1"/>
    <w:rsid w:val="00CA1ECB"/>
    <w:rsid w:val="00CA6F5B"/>
    <w:rsid w:val="00CB376F"/>
    <w:rsid w:val="00CB39C5"/>
    <w:rsid w:val="00CD048F"/>
    <w:rsid w:val="00CD0F58"/>
    <w:rsid w:val="00CD467D"/>
    <w:rsid w:val="00CD4E0E"/>
    <w:rsid w:val="00CE6D26"/>
    <w:rsid w:val="00CF030C"/>
    <w:rsid w:val="00CF27DD"/>
    <w:rsid w:val="00CF6AF5"/>
    <w:rsid w:val="00CF7636"/>
    <w:rsid w:val="00D00796"/>
    <w:rsid w:val="00D02BB8"/>
    <w:rsid w:val="00D04648"/>
    <w:rsid w:val="00D04866"/>
    <w:rsid w:val="00D1683E"/>
    <w:rsid w:val="00D23BE0"/>
    <w:rsid w:val="00D311C9"/>
    <w:rsid w:val="00D332E5"/>
    <w:rsid w:val="00D354C2"/>
    <w:rsid w:val="00D43260"/>
    <w:rsid w:val="00D4489A"/>
    <w:rsid w:val="00D5095D"/>
    <w:rsid w:val="00D62993"/>
    <w:rsid w:val="00D63CCA"/>
    <w:rsid w:val="00D67933"/>
    <w:rsid w:val="00D833C3"/>
    <w:rsid w:val="00D85C1B"/>
    <w:rsid w:val="00D87749"/>
    <w:rsid w:val="00D93A80"/>
    <w:rsid w:val="00D93F34"/>
    <w:rsid w:val="00DA5E56"/>
    <w:rsid w:val="00DB0790"/>
    <w:rsid w:val="00DB41A7"/>
    <w:rsid w:val="00DB65D2"/>
    <w:rsid w:val="00DC455F"/>
    <w:rsid w:val="00DC66C1"/>
    <w:rsid w:val="00DE6DED"/>
    <w:rsid w:val="00E06C4C"/>
    <w:rsid w:val="00E12B50"/>
    <w:rsid w:val="00E13AC4"/>
    <w:rsid w:val="00E261BE"/>
    <w:rsid w:val="00E30C7F"/>
    <w:rsid w:val="00E3339B"/>
    <w:rsid w:val="00E35CEB"/>
    <w:rsid w:val="00E371B0"/>
    <w:rsid w:val="00E44EA8"/>
    <w:rsid w:val="00E4652F"/>
    <w:rsid w:val="00E46BFF"/>
    <w:rsid w:val="00E4725E"/>
    <w:rsid w:val="00E47744"/>
    <w:rsid w:val="00E51465"/>
    <w:rsid w:val="00E525A8"/>
    <w:rsid w:val="00E554BA"/>
    <w:rsid w:val="00E55FEA"/>
    <w:rsid w:val="00E56BD0"/>
    <w:rsid w:val="00E57208"/>
    <w:rsid w:val="00E57DFB"/>
    <w:rsid w:val="00E65EB3"/>
    <w:rsid w:val="00E710D1"/>
    <w:rsid w:val="00E73F37"/>
    <w:rsid w:val="00E82844"/>
    <w:rsid w:val="00E84325"/>
    <w:rsid w:val="00E86AB5"/>
    <w:rsid w:val="00E93436"/>
    <w:rsid w:val="00E9389E"/>
    <w:rsid w:val="00E9543D"/>
    <w:rsid w:val="00E96300"/>
    <w:rsid w:val="00EA68B4"/>
    <w:rsid w:val="00EC09A2"/>
    <w:rsid w:val="00EC2682"/>
    <w:rsid w:val="00EC42D5"/>
    <w:rsid w:val="00ED2EA8"/>
    <w:rsid w:val="00ED493A"/>
    <w:rsid w:val="00EE04BD"/>
    <w:rsid w:val="00EE09ED"/>
    <w:rsid w:val="00EE1485"/>
    <w:rsid w:val="00EE55A6"/>
    <w:rsid w:val="00EE58FE"/>
    <w:rsid w:val="00EE736C"/>
    <w:rsid w:val="00EF2886"/>
    <w:rsid w:val="00EF4B52"/>
    <w:rsid w:val="00EF7FB4"/>
    <w:rsid w:val="00F009FA"/>
    <w:rsid w:val="00F02F3D"/>
    <w:rsid w:val="00F034E1"/>
    <w:rsid w:val="00F043DD"/>
    <w:rsid w:val="00F14A7B"/>
    <w:rsid w:val="00F1658C"/>
    <w:rsid w:val="00F26697"/>
    <w:rsid w:val="00F30E4A"/>
    <w:rsid w:val="00F37D83"/>
    <w:rsid w:val="00F44137"/>
    <w:rsid w:val="00F47A99"/>
    <w:rsid w:val="00F51D39"/>
    <w:rsid w:val="00F57524"/>
    <w:rsid w:val="00F57C05"/>
    <w:rsid w:val="00F62AF6"/>
    <w:rsid w:val="00F71244"/>
    <w:rsid w:val="00F731FA"/>
    <w:rsid w:val="00F76669"/>
    <w:rsid w:val="00F77244"/>
    <w:rsid w:val="00F9687E"/>
    <w:rsid w:val="00FA4293"/>
    <w:rsid w:val="00FB0A1D"/>
    <w:rsid w:val="00FB61FA"/>
    <w:rsid w:val="00FC11C8"/>
    <w:rsid w:val="00FC3E62"/>
    <w:rsid w:val="00FD54F2"/>
    <w:rsid w:val="00FD5AD9"/>
    <w:rsid w:val="00FE216C"/>
    <w:rsid w:val="00FE677F"/>
    <w:rsid w:val="00FF135C"/>
    <w:rsid w:val="00FF5AB4"/>
    <w:rsid w:val="00FF6BD0"/>
    <w:rsid w:val="2244EC6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D83B97F"/>
  <w15:chartTrackingRefBased/>
  <w15:docId w15:val="{B28EA279-AEB2-41E2-9272-A27DA97E7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3474AA"/>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link w:val="FootnoteTextChar1"/>
    <w:qFormat/>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qFormat/>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1">
    <w:name w:val="Unresolved Mention1"/>
    <w:uiPriority w:val="99"/>
    <w:semiHidden/>
    <w:unhideWhenUsed/>
    <w:rPr>
      <w:color w:val="605E5C"/>
      <w:shd w:val="clear" w:color="auto" w:fill="E1DFDD"/>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sid w:val="003474AA"/>
  </w:style>
  <w:style w:type="paragraph" w:styleId="NoSpacing">
    <w:name w:val="No Spacing"/>
    <w:uiPriority w:val="1"/>
    <w:qFormat/>
    <w:rsid w:val="003474AA"/>
    <w:rPr>
      <w:sz w:val="22"/>
    </w:rPr>
  </w:style>
  <w:style w:type="character" w:styleId="CommentReference">
    <w:name w:val="annotation reference"/>
    <w:uiPriority w:val="99"/>
    <w:semiHidden/>
    <w:unhideWhenUsed/>
    <w:rsid w:val="00885A98"/>
    <w:rPr>
      <w:sz w:val="16"/>
      <w:szCs w:val="16"/>
    </w:rPr>
  </w:style>
  <w:style w:type="paragraph" w:styleId="CommentText">
    <w:name w:val="annotation text"/>
    <w:basedOn w:val="Normal"/>
    <w:link w:val="CommentTextChar"/>
    <w:uiPriority w:val="99"/>
    <w:unhideWhenUsed/>
    <w:rsid w:val="00885A98"/>
    <w:rPr>
      <w:sz w:val="20"/>
    </w:rPr>
  </w:style>
  <w:style w:type="character" w:customStyle="1" w:styleId="CommentTextChar">
    <w:name w:val="Comment Text Char"/>
    <w:link w:val="CommentText"/>
    <w:uiPriority w:val="99"/>
    <w:rsid w:val="00885A98"/>
    <w:rPr>
      <w:snapToGrid w:val="0"/>
      <w:kern w:val="28"/>
    </w:rPr>
  </w:style>
  <w:style w:type="paragraph" w:styleId="CommentSubject">
    <w:name w:val="annotation subject"/>
    <w:basedOn w:val="CommentText"/>
    <w:next w:val="CommentText"/>
    <w:link w:val="CommentSubjectChar"/>
    <w:uiPriority w:val="99"/>
    <w:semiHidden/>
    <w:unhideWhenUsed/>
    <w:rsid w:val="00885A98"/>
    <w:rPr>
      <w:b/>
      <w:bCs/>
    </w:rPr>
  </w:style>
  <w:style w:type="character" w:customStyle="1" w:styleId="CommentSubjectChar">
    <w:name w:val="Comment Subject Char"/>
    <w:link w:val="CommentSubject"/>
    <w:uiPriority w:val="99"/>
    <w:semiHidden/>
    <w:rsid w:val="00885A98"/>
    <w:rPr>
      <w:b/>
      <w:bCs/>
      <w:snapToGrid w:val="0"/>
      <w:kern w:val="28"/>
    </w:rPr>
  </w:style>
  <w:style w:type="character" w:customStyle="1" w:styleId="UnresolvedMention2">
    <w:name w:val="Unresolved Mention2"/>
    <w:uiPriority w:val="99"/>
    <w:rsid w:val="00C457F5"/>
    <w:rPr>
      <w:color w:val="605E5C"/>
      <w:shd w:val="clear" w:color="auto" w:fill="E1DFDD"/>
    </w:rPr>
  </w:style>
  <w:style w:type="character" w:customStyle="1" w:styleId="UnresolvedMention">
    <w:name w:val="Unresolved Mention"/>
    <w:uiPriority w:val="99"/>
    <w:rsid w:val="006A1B83"/>
    <w:rPr>
      <w:color w:val="605E5C"/>
      <w:shd w:val="clear" w:color="auto" w:fill="E1DFDD"/>
    </w:rPr>
  </w:style>
  <w:style w:type="paragraph" w:styleId="Revision">
    <w:name w:val="Revision"/>
    <w:hidden/>
    <w:uiPriority w:val="99"/>
    <w:semiHidden/>
    <w:rsid w:val="00BD7048"/>
    <w:rPr>
      <w:snapToGrid w:val="0"/>
      <w:kern w:val="28"/>
      <w:sz w:val="22"/>
    </w:rPr>
  </w:style>
  <w:style w:type="character" w:styleId="FollowedHyperlink">
    <w:name w:val="FollowedHyperlink"/>
    <w:uiPriority w:val="99"/>
    <w:semiHidden/>
    <w:unhideWhenUsed/>
    <w:rsid w:val="00C314DD"/>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2.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apps.fcc.gov/ecfs/" TargetMode="External" /><Relationship Id="rId6" Type="http://schemas.openxmlformats.org/officeDocument/2006/relationships/hyperlink" Target="mailto:fcc504@fcc.gov" TargetMode="External" /><Relationship Id="rId7" Type="http://schemas.openxmlformats.org/officeDocument/2006/relationships/hyperlink" Target="mailto:myrva.charles@fcc.gov" TargetMode="External" /><Relationship Id="rId8" Type="http://schemas.openxmlformats.org/officeDocument/2006/relationships/hyperlink" Target="mailto:erik.beith@fcc.gov" TargetMode="External" /><Relationship Id="rId9" Type="http://schemas.openxmlformats.org/officeDocument/2006/relationships/hyperlink" Target="mailto:jim.bird@fcc.gov"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