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86EC3" w:rsidP="00286EC3" w14:paraId="3C42E758" w14:textId="77777777">
      <w:pPr>
        <w:tabs>
          <w:tab w:val="left" w:pos="8100"/>
        </w:tabs>
        <w:rPr>
          <w:b/>
          <w:sz w:val="24"/>
        </w:rPr>
      </w:pPr>
    </w:p>
    <w:p w:rsidR="00013A8B" w:rsidRPr="00B20363" w:rsidP="007E1107" w14:paraId="6DB1EB5D" w14:textId="43232CD0">
      <w:pPr>
        <w:tabs>
          <w:tab w:val="left" w:pos="8100"/>
        </w:tabs>
        <w:jc w:val="right"/>
        <w:rPr>
          <w:b/>
          <w:sz w:val="24"/>
        </w:rPr>
      </w:pPr>
      <w:r w:rsidRPr="00533DB2">
        <w:rPr>
          <w:b/>
          <w:sz w:val="24"/>
        </w:rPr>
        <w:t>DA 2</w:t>
      </w:r>
      <w:r w:rsidR="000A47D7">
        <w:rPr>
          <w:b/>
          <w:sz w:val="24"/>
        </w:rPr>
        <w:t>2</w:t>
      </w:r>
      <w:r w:rsidRPr="00533DB2">
        <w:rPr>
          <w:b/>
          <w:sz w:val="24"/>
        </w:rPr>
        <w:t>-</w:t>
      </w:r>
      <w:r w:rsidR="00563525">
        <w:rPr>
          <w:b/>
          <w:sz w:val="24"/>
        </w:rPr>
        <w:t>266</w:t>
      </w:r>
    </w:p>
    <w:p w:rsidR="00013A8B" w:rsidRPr="00B20363" w:rsidP="00013A8B" w14:paraId="5D9F4B2A" w14:textId="14FF1139">
      <w:pPr>
        <w:spacing w:before="60"/>
        <w:jc w:val="right"/>
        <w:rPr>
          <w:b/>
          <w:sz w:val="24"/>
        </w:rPr>
      </w:pPr>
      <w:r>
        <w:rPr>
          <w:b/>
          <w:sz w:val="24"/>
        </w:rPr>
        <w:t xml:space="preserve">Released:  </w:t>
      </w:r>
      <w:r w:rsidR="000A47D7">
        <w:rPr>
          <w:b/>
          <w:sz w:val="24"/>
        </w:rPr>
        <w:t>March</w:t>
      </w:r>
      <w:r w:rsidRPr="006B7D9C" w:rsidR="00064B0D">
        <w:rPr>
          <w:b/>
          <w:sz w:val="24"/>
        </w:rPr>
        <w:t xml:space="preserve"> </w:t>
      </w:r>
      <w:r w:rsidR="00D40239">
        <w:rPr>
          <w:b/>
          <w:sz w:val="24"/>
        </w:rPr>
        <w:t>14</w:t>
      </w:r>
      <w:r w:rsidR="00064B0D">
        <w:rPr>
          <w:b/>
          <w:sz w:val="24"/>
        </w:rPr>
        <w:t>, 202</w:t>
      </w:r>
      <w:r w:rsidR="000A47D7">
        <w:rPr>
          <w:b/>
          <w:sz w:val="24"/>
        </w:rPr>
        <w:t>2</w:t>
      </w:r>
    </w:p>
    <w:p w:rsidR="00013A8B" w:rsidP="00013A8B" w14:paraId="4313782E" w14:textId="77777777">
      <w:pPr>
        <w:jc w:val="right"/>
        <w:rPr>
          <w:sz w:val="24"/>
        </w:rPr>
      </w:pPr>
    </w:p>
    <w:p w:rsidR="00603851" w:rsidP="00603851" w14:paraId="5CF64218" w14:textId="77777777">
      <w:pPr>
        <w:spacing w:after="120"/>
        <w:jc w:val="center"/>
        <w:rPr>
          <w:b/>
          <w:caps/>
          <w:szCs w:val="22"/>
        </w:rPr>
      </w:pPr>
      <w:r w:rsidRPr="00E14A7D">
        <w:rPr>
          <w:b/>
          <w:caps/>
          <w:szCs w:val="22"/>
        </w:rPr>
        <w:t>International bureau RELEASES</w:t>
      </w:r>
      <w:r>
        <w:rPr>
          <w:b/>
          <w:caps/>
          <w:szCs w:val="22"/>
        </w:rPr>
        <w:t xml:space="preserve"> </w:t>
      </w:r>
      <w:r w:rsidRPr="00416A55">
        <w:rPr>
          <w:b/>
          <w:caps/>
          <w:szCs w:val="22"/>
        </w:rPr>
        <w:t>Updated</w:t>
      </w:r>
      <w:r w:rsidRPr="00E14A7D">
        <w:rPr>
          <w:b/>
          <w:caps/>
          <w:szCs w:val="22"/>
        </w:rPr>
        <w:t xml:space="preserve"> list of incumbent earth stations in the 3.7-4.2 ghz Band IN THE CONTIGUOUS UNITED STATES</w:t>
      </w:r>
    </w:p>
    <w:p w:rsidR="00F96F63" w:rsidP="001E1196" w14:paraId="6E527433" w14:textId="77777777">
      <w:pPr>
        <w:jc w:val="center"/>
        <w:rPr>
          <w:b/>
          <w:sz w:val="24"/>
        </w:rPr>
      </w:pPr>
      <w:r>
        <w:rPr>
          <w:b/>
          <w:sz w:val="24"/>
        </w:rPr>
        <w:t>IB Docket No. 20-20</w:t>
      </w:r>
      <w:r w:rsidR="0081405E">
        <w:rPr>
          <w:b/>
          <w:sz w:val="24"/>
        </w:rPr>
        <w:t>5</w:t>
      </w:r>
    </w:p>
    <w:p w:rsidR="0081405E" w:rsidRPr="001E1196" w:rsidP="001E1196" w14:paraId="6C40AE6D" w14:textId="77777777">
      <w:pPr>
        <w:jc w:val="center"/>
        <w:rPr>
          <w:b/>
          <w:sz w:val="24"/>
        </w:rPr>
      </w:pPr>
      <w:r>
        <w:rPr>
          <w:b/>
          <w:sz w:val="24"/>
        </w:rPr>
        <w:t>GN Docket No. 20-305</w:t>
      </w:r>
    </w:p>
    <w:p w:rsidR="006C02AD" w:rsidP="00F96F63" w14:paraId="08708D01" w14:textId="77777777">
      <w:pPr>
        <w:rPr>
          <w:sz w:val="24"/>
        </w:rPr>
      </w:pPr>
    </w:p>
    <w:p w:rsidR="004D6384" w:rsidP="00D0572A" w14:paraId="60DE0726" w14:textId="7B525BDE">
      <w:pPr>
        <w:spacing w:after="120"/>
        <w:ind w:firstLine="720"/>
      </w:pPr>
      <w:r w:rsidRPr="00E14A7D">
        <w:t xml:space="preserve">With this Public Notice, the International Bureau (the Bureau) releases </w:t>
      </w:r>
      <w:r>
        <w:t>an</w:t>
      </w:r>
      <w:r w:rsidRPr="00E14A7D">
        <w:t xml:space="preserve"> </w:t>
      </w:r>
      <w:r w:rsidRPr="00416A55">
        <w:t>updated</w:t>
      </w:r>
      <w:r>
        <w:t xml:space="preserve"> </w:t>
      </w:r>
      <w:r w:rsidRPr="00E14A7D">
        <w:t xml:space="preserve">list of those Fixed Satellite Service (FSS) earth stations in the 3.7-4.2 GHz band </w:t>
      </w:r>
      <w:r>
        <w:t>(C-band) with</w:t>
      </w:r>
      <w:r w:rsidRPr="00E14A7D">
        <w:t>in the contiguous United States that the Bureau has found satisfy the criteria to be classified as incumbent earth stations for purposes of the C-band transition.</w:t>
      </w:r>
      <w:r>
        <w:rPr>
          <w:rStyle w:val="FootnoteReference"/>
          <w:szCs w:val="22"/>
        </w:rPr>
        <w:footnoteReference w:id="3"/>
      </w:r>
      <w:r w:rsidR="00117A3C">
        <w:t xml:space="preserve">  </w:t>
      </w:r>
      <w:r w:rsidR="002A2528">
        <w:t xml:space="preserve">This </w:t>
      </w:r>
      <w:r w:rsidR="004E0D17">
        <w:t xml:space="preserve">updated </w:t>
      </w:r>
      <w:r w:rsidR="002A2528">
        <w:t xml:space="preserve">list reflects changes </w:t>
      </w:r>
      <w:r w:rsidR="002446AC">
        <w:t xml:space="preserve">since the </w:t>
      </w:r>
      <w:r w:rsidR="00FD226C">
        <w:t xml:space="preserve">most recent version </w:t>
      </w:r>
      <w:r w:rsidR="00665614">
        <w:t xml:space="preserve">of the list </w:t>
      </w:r>
      <w:r w:rsidR="00FD226C">
        <w:t xml:space="preserve">of incumbent earth stations released </w:t>
      </w:r>
      <w:r w:rsidR="002446AC">
        <w:t xml:space="preserve">on </w:t>
      </w:r>
      <w:r w:rsidR="000A47D7">
        <w:t>October 8</w:t>
      </w:r>
      <w:r w:rsidR="002446AC">
        <w:t>, 202</w:t>
      </w:r>
      <w:r w:rsidR="00B71DDC">
        <w:t>1</w:t>
      </w:r>
      <w:r>
        <w:t>.</w:t>
      </w:r>
      <w:r>
        <w:rPr>
          <w:rStyle w:val="FootnoteReference"/>
        </w:rPr>
        <w:footnoteReference w:id="4"/>
      </w:r>
      <w:r w:rsidR="00144978">
        <w:t xml:space="preserve">  </w:t>
      </w:r>
      <w:r>
        <w:t xml:space="preserve">The Bureau also </w:t>
      </w:r>
      <w:r w:rsidR="000837FB">
        <w:t xml:space="preserve">is </w:t>
      </w:r>
      <w:r w:rsidR="00DF7A3B">
        <w:t xml:space="preserve">including </w:t>
      </w:r>
      <w:r>
        <w:t>a changelog to assist in the identification of changes made in the incumbent earth station</w:t>
      </w:r>
      <w:r w:rsidR="003E6B8F">
        <w:t xml:space="preserve"> list</w:t>
      </w:r>
      <w:r>
        <w:t xml:space="preserve"> since the previous list.</w:t>
      </w:r>
      <w:r>
        <w:rPr>
          <w:rStyle w:val="FootnoteReference"/>
        </w:rPr>
        <w:footnoteReference w:id="5"/>
      </w:r>
    </w:p>
    <w:p w:rsidR="00B02D64" w:rsidP="00F421D7" w14:paraId="40C527F4" w14:textId="111B6F3B">
      <w:pPr>
        <w:widowControl/>
        <w:spacing w:after="120"/>
      </w:pPr>
      <w:r>
        <w:tab/>
      </w:r>
      <w:r w:rsidR="006520CD">
        <w:t xml:space="preserve">This </w:t>
      </w:r>
      <w:r w:rsidR="00BE766B">
        <w:t>u</w:t>
      </w:r>
      <w:r w:rsidR="006520CD">
        <w:t xml:space="preserve">pdated </w:t>
      </w:r>
      <w:r w:rsidR="00BE766B">
        <w:t>l</w:t>
      </w:r>
      <w:r w:rsidR="006520CD">
        <w:t>ist takes into account, among other things, filings made in</w:t>
      </w:r>
      <w:r w:rsidR="000D59A1">
        <w:t xml:space="preserve"> the</w:t>
      </w:r>
      <w:r w:rsidR="006520CD">
        <w:t xml:space="preserve"> </w:t>
      </w:r>
      <w:r w:rsidR="00BE766B">
        <w:t>International Bureau Filing System (IBFS)</w:t>
      </w:r>
      <w:r w:rsidR="006520CD">
        <w:t xml:space="preserve"> by</w:t>
      </w:r>
      <w:r w:rsidR="004E0D17">
        <w:t xml:space="preserve"> </w:t>
      </w:r>
      <w:r w:rsidR="006520CD">
        <w:t>earth station operators</w:t>
      </w:r>
      <w:r w:rsidR="000D59A1">
        <w:t xml:space="preserve"> to update IBFS to remove inactive antennas, including </w:t>
      </w:r>
      <w:r w:rsidR="00CB48B7">
        <w:t xml:space="preserve">responses </w:t>
      </w:r>
      <w:r w:rsidR="0069123A">
        <w:t xml:space="preserve">filed </w:t>
      </w:r>
      <w:r w:rsidR="006520CD">
        <w:t>in response to the Bureau’s</w:t>
      </w:r>
      <w:r w:rsidR="002800E6">
        <w:t xml:space="preserve"> July 23 and September 23</w:t>
      </w:r>
      <w:r w:rsidR="006520CD">
        <w:t xml:space="preserve"> </w:t>
      </w:r>
      <w:r w:rsidRPr="00F421D7" w:rsidR="006520CD">
        <w:rPr>
          <w:i/>
          <w:iCs/>
        </w:rPr>
        <w:t>Public Notice</w:t>
      </w:r>
      <w:r w:rsidR="00732CA8">
        <w:rPr>
          <w:i/>
          <w:iCs/>
        </w:rPr>
        <w:t>s</w:t>
      </w:r>
      <w:r>
        <w:rPr>
          <w:rStyle w:val="FootnoteReference"/>
        </w:rPr>
        <w:footnoteReference w:id="6"/>
      </w:r>
      <w:r w:rsidRPr="00026DE1" w:rsidR="006520CD">
        <w:t xml:space="preserve"> </w:t>
      </w:r>
      <w:r w:rsidR="006520CD">
        <w:t xml:space="preserve">identifying earth station antennas </w:t>
      </w:r>
      <w:r w:rsidR="003E6B8F">
        <w:t xml:space="preserve">that are </w:t>
      </w:r>
      <w:r w:rsidR="006520CD">
        <w:t xml:space="preserve">reportedly no longer </w:t>
      </w:r>
      <w:r w:rsidR="00BE766B">
        <w:t>operational</w:t>
      </w:r>
      <w:r w:rsidR="009B5C55">
        <w:t xml:space="preserve"> or</w:t>
      </w:r>
      <w:r w:rsidR="00732CA8">
        <w:t xml:space="preserve"> are not C-band antennas, or </w:t>
      </w:r>
      <w:r w:rsidR="009B5C55">
        <w:t xml:space="preserve">where the </w:t>
      </w:r>
      <w:r w:rsidR="00C47665">
        <w:t xml:space="preserve">IBFS registration </w:t>
      </w:r>
      <w:r w:rsidR="00797EB7">
        <w:t xml:space="preserve">included </w:t>
      </w:r>
      <w:r w:rsidR="00732CA8">
        <w:t>over-registered C-band antennas</w:t>
      </w:r>
      <w:r w:rsidR="00BE766B">
        <w:t>.</w:t>
      </w:r>
      <w:r>
        <w:rPr>
          <w:rStyle w:val="FootnoteReference"/>
        </w:rPr>
        <w:footnoteReference w:id="7"/>
      </w:r>
      <w:r w:rsidR="00BE766B">
        <w:t xml:space="preserve">  </w:t>
      </w:r>
      <w:r w:rsidR="006520CD">
        <w:t>S</w:t>
      </w:r>
      <w:r w:rsidR="004E0D17">
        <w:t>urrendered calls signs</w:t>
      </w:r>
      <w:r w:rsidR="00DA4965">
        <w:t xml:space="preserve"> and </w:t>
      </w:r>
      <w:r w:rsidR="004433E3">
        <w:t>inactive</w:t>
      </w:r>
      <w:r w:rsidR="00DA4965">
        <w:t xml:space="preserve"> individual antennas</w:t>
      </w:r>
      <w:r w:rsidR="004433E3">
        <w:t xml:space="preserve"> closed in IBFS</w:t>
      </w:r>
      <w:r w:rsidR="00187E8E">
        <w:t xml:space="preserve"> </w:t>
      </w:r>
      <w:r w:rsidR="00155B79">
        <w:t>have been removed from</w:t>
      </w:r>
      <w:r w:rsidR="004E0D17">
        <w:t xml:space="preserve"> the incumbent earth station list</w:t>
      </w:r>
      <w:r w:rsidR="006520CD">
        <w:t>.</w:t>
      </w:r>
      <w:r>
        <w:rPr>
          <w:rStyle w:val="FootnoteReference"/>
        </w:rPr>
        <w:footnoteReference w:id="8"/>
      </w:r>
      <w:r w:rsidR="004E0D17">
        <w:t xml:space="preserve"> </w:t>
      </w:r>
      <w:r w:rsidR="000D59A1">
        <w:t xml:space="preserve"> </w:t>
      </w:r>
      <w:r w:rsidRPr="6D7524F7" w:rsidR="00424C67">
        <w:t>Th</w:t>
      </w:r>
      <w:r w:rsidR="00424C67">
        <w:t>e</w:t>
      </w:r>
      <w:r w:rsidRPr="6D7524F7" w:rsidR="00424C67">
        <w:t xml:space="preserve"> </w:t>
      </w:r>
      <w:r w:rsidR="00BE766B">
        <w:t>u</w:t>
      </w:r>
      <w:r w:rsidRPr="6D7524F7" w:rsidR="00424C67">
        <w:t xml:space="preserve">pdated </w:t>
      </w:r>
      <w:r w:rsidR="00BE766B">
        <w:t>l</w:t>
      </w:r>
      <w:r w:rsidRPr="6D7524F7" w:rsidR="00424C67">
        <w:t xml:space="preserve">ist </w:t>
      </w:r>
      <w:r w:rsidR="00424C67">
        <w:t xml:space="preserve">also </w:t>
      </w:r>
      <w:r w:rsidRPr="6D7524F7" w:rsidR="00424C67">
        <w:t xml:space="preserve">reflects </w:t>
      </w:r>
      <w:r w:rsidR="00424C67">
        <w:t xml:space="preserve">a variety of </w:t>
      </w:r>
      <w:r w:rsidRPr="6D7524F7" w:rsidR="00424C67">
        <w:t xml:space="preserve">changes </w:t>
      </w:r>
      <w:r w:rsidR="00424C67">
        <w:t>to earth station registrations,</w:t>
      </w:r>
      <w:r w:rsidRPr="6D7524F7" w:rsidR="00424C67">
        <w:t xml:space="preserve"> </w:t>
      </w:r>
      <w:r w:rsidR="00424C67">
        <w:t>including</w:t>
      </w:r>
      <w:r w:rsidRPr="6D7524F7" w:rsidR="00424C67">
        <w:t xml:space="preserve"> address or coordinate corrections, </w:t>
      </w:r>
      <w:r w:rsidRPr="6D7524F7" w:rsidR="00424C67">
        <w:t xml:space="preserve">registration assignments, and other </w:t>
      </w:r>
      <w:r w:rsidR="003A088D">
        <w:t xml:space="preserve">ministerial </w:t>
      </w:r>
      <w:r w:rsidRPr="6D7524F7" w:rsidR="00424C67">
        <w:t xml:space="preserve">updates since </w:t>
      </w:r>
      <w:r w:rsidR="006B1A46">
        <w:t xml:space="preserve">release of </w:t>
      </w:r>
      <w:r w:rsidRPr="6D7524F7" w:rsidR="00424C67">
        <w:t xml:space="preserve">the </w:t>
      </w:r>
      <w:r w:rsidR="006B1A46">
        <w:rPr>
          <w:i/>
          <w:iCs/>
          <w:szCs w:val="22"/>
        </w:rPr>
        <w:t>October</w:t>
      </w:r>
      <w:r w:rsidRPr="00083884" w:rsidR="006B1A46">
        <w:rPr>
          <w:i/>
        </w:rPr>
        <w:t xml:space="preserve"> </w:t>
      </w:r>
      <w:r w:rsidRPr="000E20D7" w:rsidR="00424C67">
        <w:rPr>
          <w:i/>
          <w:iCs/>
        </w:rPr>
        <w:t xml:space="preserve">Incumbent Earth Station </w:t>
      </w:r>
      <w:r w:rsidR="006B1A46">
        <w:rPr>
          <w:i/>
          <w:iCs/>
        </w:rPr>
        <w:t>List</w:t>
      </w:r>
      <w:r w:rsidR="006520CD">
        <w:rPr>
          <w:i/>
          <w:iCs/>
        </w:rPr>
        <w:t xml:space="preserve">.  </w:t>
      </w:r>
      <w:r w:rsidR="00424C67">
        <w:t xml:space="preserve"> </w:t>
      </w:r>
      <w:r w:rsidR="00B71DDC">
        <w:t>Finally, t</w:t>
      </w:r>
      <w:r w:rsidRPr="000E20D7" w:rsidR="00424C67">
        <w:rPr>
          <w:szCs w:val="22"/>
        </w:rPr>
        <w:t xml:space="preserve">he Bureau has not included on the </w:t>
      </w:r>
      <w:r w:rsidR="000D59A1">
        <w:rPr>
          <w:szCs w:val="22"/>
        </w:rPr>
        <w:t xml:space="preserve">updated </w:t>
      </w:r>
      <w:r w:rsidRPr="000E20D7" w:rsidR="00424C67">
        <w:rPr>
          <w:szCs w:val="22"/>
        </w:rPr>
        <w:t xml:space="preserve">list </w:t>
      </w:r>
      <w:r w:rsidR="00B71DDC">
        <w:rPr>
          <w:szCs w:val="22"/>
        </w:rPr>
        <w:t>any</w:t>
      </w:r>
      <w:r w:rsidRPr="000E20D7" w:rsidR="00B71DDC">
        <w:rPr>
          <w:szCs w:val="22"/>
        </w:rPr>
        <w:t xml:space="preserve"> </w:t>
      </w:r>
      <w:r w:rsidRPr="000E20D7" w:rsidR="00424C67">
        <w:rPr>
          <w:szCs w:val="22"/>
        </w:rPr>
        <w:t>earth stations for which it has dismissed applications as not meeting the criteria for incumbent status</w:t>
      </w:r>
      <w:r w:rsidR="000D59A1">
        <w:rPr>
          <w:szCs w:val="22"/>
        </w:rPr>
        <w:t xml:space="preserve"> since release of </w:t>
      </w:r>
      <w:r w:rsidR="003E6B8F">
        <w:rPr>
          <w:szCs w:val="22"/>
        </w:rPr>
        <w:t xml:space="preserve">the </w:t>
      </w:r>
      <w:r w:rsidR="006B1A46">
        <w:rPr>
          <w:i/>
          <w:iCs/>
        </w:rPr>
        <w:t>October</w:t>
      </w:r>
      <w:r w:rsidRPr="000E20D7" w:rsidR="003E6B8F">
        <w:rPr>
          <w:szCs w:val="22"/>
        </w:rPr>
        <w:t xml:space="preserve"> </w:t>
      </w:r>
      <w:r w:rsidRPr="000E20D7" w:rsidR="003E6B8F">
        <w:rPr>
          <w:i/>
          <w:iCs/>
        </w:rPr>
        <w:t xml:space="preserve">Incumbent Earth Station </w:t>
      </w:r>
      <w:r w:rsidR="006B1A46">
        <w:rPr>
          <w:i/>
          <w:iCs/>
        </w:rPr>
        <w:t>List</w:t>
      </w:r>
      <w:r w:rsidRPr="000E20D7" w:rsidR="00424C67">
        <w:rPr>
          <w:szCs w:val="22"/>
        </w:rPr>
        <w:t>.</w:t>
      </w:r>
      <w:r>
        <w:rPr>
          <w:rStyle w:val="FootnoteReference"/>
          <w:szCs w:val="22"/>
        </w:rPr>
        <w:footnoteReference w:id="9"/>
      </w:r>
      <w:r w:rsidR="00424C67">
        <w:rPr>
          <w:szCs w:val="22"/>
        </w:rPr>
        <w:t xml:space="preserve">   </w:t>
      </w:r>
    </w:p>
    <w:p w:rsidR="009B0D8F" w:rsidP="008D633B" w14:paraId="669A8BBD" w14:textId="77777777">
      <w:pPr>
        <w:spacing w:after="120"/>
        <w:ind w:firstLine="720"/>
      </w:pPr>
      <w:r>
        <w:t xml:space="preserve"> </w:t>
      </w:r>
      <w:r w:rsidRPr="00254040" w:rsidR="00EE40EC">
        <w:rPr>
          <w:snapToGrid/>
        </w:rPr>
        <w:t xml:space="preserve">As a </w:t>
      </w:r>
      <w:r w:rsidRPr="006C2C7E" w:rsidR="00EE40EC">
        <w:t>reminder</w:t>
      </w:r>
      <w:r w:rsidRPr="00254040" w:rsidR="00EE40EC">
        <w:rPr>
          <w:snapToGrid/>
        </w:rPr>
        <w:t>, all incumbent earth stations that continue to operate in</w:t>
      </w:r>
      <w:r w:rsidR="002F38E9">
        <w:rPr>
          <w:snapToGrid/>
        </w:rPr>
        <w:t xml:space="preserve"> the C-band during the </w:t>
      </w:r>
      <w:r w:rsidR="00AA0D8B">
        <w:rPr>
          <w:snapToGrid/>
        </w:rPr>
        <w:t>transition or in</w:t>
      </w:r>
      <w:r w:rsidRPr="00254040" w:rsidR="00EE40EC">
        <w:rPr>
          <w:snapToGrid/>
        </w:rPr>
        <w:t xml:space="preserve"> the 4.0-4.2 GHz band </w:t>
      </w:r>
      <w:r w:rsidR="00AA0D8B">
        <w:rPr>
          <w:snapToGrid/>
        </w:rPr>
        <w:t>afterwards must</w:t>
      </w:r>
      <w:r w:rsidRPr="00254040" w:rsidR="00EE40EC">
        <w:rPr>
          <w:snapToGrid/>
        </w:rPr>
        <w:t xml:space="preserve"> maintain a valid</w:t>
      </w:r>
      <w:r w:rsidR="00FF0608">
        <w:rPr>
          <w:snapToGrid/>
        </w:rPr>
        <w:t>, up-to-date</w:t>
      </w:r>
      <w:r w:rsidRPr="00254040" w:rsidR="00EE40EC">
        <w:rPr>
          <w:snapToGrid/>
        </w:rPr>
        <w:t xml:space="preserve"> registration in IBFS</w:t>
      </w:r>
      <w:r w:rsidR="00FF0608">
        <w:rPr>
          <w:snapToGrid/>
        </w:rPr>
        <w:t xml:space="preserve">. </w:t>
      </w:r>
      <w:r w:rsidR="00DA72D4">
        <w:rPr>
          <w:snapToGrid/>
        </w:rPr>
        <w:t xml:space="preserve"> </w:t>
      </w:r>
      <w:r w:rsidR="00FF0608">
        <w:rPr>
          <w:snapToGrid/>
        </w:rPr>
        <w:t xml:space="preserve">For instance, incumbent earth station operators continue to be subject to the requirement under Commission rules of filing </w:t>
      </w:r>
      <w:r w:rsidR="000E20D7">
        <w:rPr>
          <w:snapToGrid/>
        </w:rPr>
        <w:t xml:space="preserve">timely </w:t>
      </w:r>
      <w:r w:rsidR="00FF0608">
        <w:rPr>
          <w:snapToGrid/>
        </w:rPr>
        <w:t>renewal applications when their authorizations are due to expire.</w:t>
      </w:r>
      <w:r>
        <w:rPr>
          <w:rStyle w:val="FootnoteReference"/>
          <w:snapToGrid/>
        </w:rPr>
        <w:footnoteReference w:id="10"/>
      </w:r>
      <w:r w:rsidR="00FF0608">
        <w:rPr>
          <w:snapToGrid/>
        </w:rPr>
        <w:t xml:space="preserve">  </w:t>
      </w:r>
      <w:r w:rsidR="00FF0608">
        <w:rPr>
          <w:snapToGrid/>
          <w:kern w:val="0"/>
          <w:szCs w:val="22"/>
        </w:rPr>
        <w:t>In addition,</w:t>
      </w:r>
      <w:r w:rsidR="000E20D7">
        <w:rPr>
          <w:snapToGrid/>
          <w:kern w:val="0"/>
          <w:szCs w:val="22"/>
        </w:rPr>
        <w:t xml:space="preserve"> when incumbent earth station operators assign earth station antennas in transactions not requiring prior Commission approval, they are required under Commission rules to notify the Commission within </w:t>
      </w:r>
      <w:r w:rsidR="00EE40EC">
        <w:rPr>
          <w:snapToGrid/>
          <w:kern w:val="0"/>
          <w:szCs w:val="22"/>
        </w:rPr>
        <w:t>30</w:t>
      </w:r>
      <w:r w:rsidR="000E20D7">
        <w:rPr>
          <w:snapToGrid/>
          <w:kern w:val="0"/>
          <w:szCs w:val="22"/>
        </w:rPr>
        <w:t xml:space="preserve"> days of consummation of the assignment.</w:t>
      </w:r>
      <w:r>
        <w:rPr>
          <w:rStyle w:val="FootnoteReference"/>
          <w:snapToGrid/>
          <w:kern w:val="0"/>
          <w:szCs w:val="22"/>
        </w:rPr>
        <w:footnoteReference w:id="11"/>
      </w:r>
      <w:r w:rsidR="00FF0608">
        <w:rPr>
          <w:snapToGrid/>
          <w:kern w:val="0"/>
          <w:szCs w:val="22"/>
        </w:rPr>
        <w:t xml:space="preserve"> </w:t>
      </w:r>
      <w:r w:rsidR="000E20D7">
        <w:rPr>
          <w:snapToGrid/>
          <w:kern w:val="0"/>
          <w:szCs w:val="22"/>
        </w:rPr>
        <w:t xml:space="preserve"> Finally, </w:t>
      </w:r>
      <w:r w:rsidR="00FF0608">
        <w:rPr>
          <w:snapToGrid/>
          <w:kern w:val="0"/>
          <w:szCs w:val="22"/>
        </w:rPr>
        <w:t>i</w:t>
      </w:r>
      <w:r w:rsidRPr="00CC5537" w:rsidR="00EE40EC">
        <w:rPr>
          <w:snapToGrid/>
          <w:kern w:val="0"/>
          <w:szCs w:val="22"/>
        </w:rPr>
        <w:t>ncumbent earth station</w:t>
      </w:r>
      <w:r w:rsidR="000E20D7">
        <w:rPr>
          <w:snapToGrid/>
          <w:kern w:val="0"/>
          <w:szCs w:val="22"/>
        </w:rPr>
        <w:t xml:space="preserve"> operators </w:t>
      </w:r>
      <w:r w:rsidR="00665614">
        <w:rPr>
          <w:snapToGrid/>
          <w:kern w:val="0"/>
          <w:szCs w:val="22"/>
        </w:rPr>
        <w:t xml:space="preserve">who </w:t>
      </w:r>
      <w:r w:rsidRPr="00CC5537" w:rsidR="00EE40EC">
        <w:rPr>
          <w:snapToGrid/>
          <w:kern w:val="0"/>
          <w:szCs w:val="22"/>
        </w:rPr>
        <w:t xml:space="preserve">terminate operations in the </w:t>
      </w:r>
      <w:r w:rsidR="00665614">
        <w:rPr>
          <w:snapToGrid/>
          <w:kern w:val="0"/>
          <w:szCs w:val="22"/>
        </w:rPr>
        <w:t xml:space="preserve">3.7-4.2 GHz band at one </w:t>
      </w:r>
      <w:r w:rsidR="00B92FC7">
        <w:rPr>
          <w:snapToGrid/>
          <w:kern w:val="0"/>
          <w:szCs w:val="22"/>
        </w:rPr>
        <w:t xml:space="preserve">or </w:t>
      </w:r>
      <w:r w:rsidR="00665614">
        <w:rPr>
          <w:snapToGrid/>
          <w:kern w:val="0"/>
          <w:szCs w:val="22"/>
        </w:rPr>
        <w:t>more earth station antennas</w:t>
      </w:r>
      <w:r w:rsidRPr="00CC5537" w:rsidR="00EE40EC">
        <w:rPr>
          <w:snapToGrid/>
          <w:kern w:val="0"/>
          <w:szCs w:val="22"/>
        </w:rPr>
        <w:t xml:space="preserve"> are required pursuant to the Commission’s rules to notify the Commission when those earth station</w:t>
      </w:r>
      <w:r w:rsidR="00B77B94">
        <w:rPr>
          <w:snapToGrid/>
          <w:kern w:val="0"/>
          <w:szCs w:val="22"/>
        </w:rPr>
        <w:t xml:space="preserve"> antenna</w:t>
      </w:r>
      <w:r w:rsidRPr="00CC5537" w:rsidR="00EE40EC">
        <w:rPr>
          <w:snapToGrid/>
          <w:kern w:val="0"/>
          <w:szCs w:val="22"/>
        </w:rPr>
        <w:t>s are no longer operational.</w:t>
      </w:r>
      <w:r>
        <w:rPr>
          <w:vertAlign w:val="superscript"/>
        </w:rPr>
        <w:footnoteReference w:id="12"/>
      </w:r>
    </w:p>
    <w:p w:rsidR="009D39D2" w:rsidP="008D633B" w14:paraId="51EFB22B" w14:textId="50D54F21">
      <w:pPr>
        <w:widowControl/>
        <w:spacing w:after="120"/>
        <w:ind w:firstLine="720"/>
        <w:rPr>
          <w:snapToGrid/>
          <w:color w:val="000000"/>
          <w:kern w:val="0"/>
        </w:rPr>
      </w:pPr>
      <w:r>
        <w:t>F</w:t>
      </w:r>
      <w:r w:rsidRPr="00284F21" w:rsidR="0010603E">
        <w:t xml:space="preserve">or ease of identification, the list of earth stations includes the following information from the IBFS database: (1) </w:t>
      </w:r>
      <w:r w:rsidRPr="009D39D2" w:rsidR="0010603E">
        <w:rPr>
          <w:snapToGrid/>
          <w:color w:val="000000"/>
          <w:kern w:val="0"/>
        </w:rPr>
        <w:t>Licensee/Registrant/Applicant</w:t>
      </w:r>
      <w:r w:rsidRPr="00284F21" w:rsidR="0010603E">
        <w:t xml:space="preserve"> name; (2)</w:t>
      </w:r>
      <w:r w:rsidRPr="009D39D2" w:rsidR="0010603E">
        <w:rPr>
          <w:snapToGrid/>
          <w:color w:val="000000"/>
          <w:kern w:val="0"/>
        </w:rPr>
        <w:t xml:space="preserve"> Earth Station Callsign; (3) Site ID; (4) Antenna ID; (5) number of antennas/dishes associated with that Antenna ID; (6) site address; (7) GPS coordinates of the antenna; and (8) File Number(s) of current authorization and/or pending application.</w:t>
      </w:r>
      <w:r>
        <w:rPr>
          <w:kern w:val="0"/>
          <w:vertAlign w:val="superscript"/>
        </w:rPr>
        <w:footnoteReference w:id="13"/>
      </w:r>
      <w:r w:rsidRPr="009D39D2" w:rsidR="0010603E">
        <w:rPr>
          <w:snapToGrid/>
          <w:color w:val="000000"/>
          <w:kern w:val="0"/>
        </w:rPr>
        <w:t xml:space="preserve">  </w:t>
      </w:r>
      <w:r w:rsidRPr="0012105C" w:rsidR="00665614">
        <w:rPr>
          <w:snapToGrid/>
          <w:color w:val="000000"/>
          <w:kern w:val="0"/>
        </w:rPr>
        <w:t xml:space="preserve">The list also identifies </w:t>
      </w:r>
      <w:r w:rsidR="00873AE7">
        <w:rPr>
          <w:snapToGrid/>
          <w:color w:val="000000"/>
          <w:kern w:val="0"/>
        </w:rPr>
        <w:t>active</w:t>
      </w:r>
      <w:r w:rsidRPr="0012105C" w:rsidR="00665614">
        <w:rPr>
          <w:snapToGrid/>
          <w:color w:val="000000"/>
          <w:kern w:val="0"/>
        </w:rPr>
        <w:t xml:space="preserve"> earth station antennas for which there is an accepted lump sum election and whether the earth station operator intends to migrate operations to the upper 200 megahertz of the band by the end of the transition or to discontinue use of the C-band.</w:t>
      </w:r>
      <w:r>
        <w:rPr>
          <w:rStyle w:val="FootnoteReference"/>
          <w:snapToGrid/>
          <w:kern w:val="0"/>
        </w:rPr>
        <w:footnoteReference w:id="14"/>
      </w:r>
      <w:r w:rsidR="00E429DE">
        <w:rPr>
          <w:snapToGrid/>
          <w:color w:val="000000"/>
          <w:kern w:val="0"/>
        </w:rPr>
        <w:t xml:space="preserve"> </w:t>
      </w:r>
      <w:r w:rsidR="00D63093">
        <w:rPr>
          <w:snapToGrid/>
          <w:color w:val="000000"/>
          <w:kern w:val="0"/>
        </w:rPr>
        <w:t xml:space="preserve">  </w:t>
      </w:r>
      <w:r w:rsidR="00D63093">
        <w:t>The list does not include</w:t>
      </w:r>
      <w:r w:rsidR="00865CCD">
        <w:t xml:space="preserve"> </w:t>
      </w:r>
      <w:r w:rsidR="00D63093">
        <w:t xml:space="preserve">incumbent earth station antennas that made a valid lump sum election in 2020, but have since made filings in IBFS indicating that they have discontinued use of the C-band, as permitted for </w:t>
      </w:r>
      <w:r w:rsidR="005F7FC1">
        <w:t xml:space="preserve">those </w:t>
      </w:r>
      <w:r w:rsidR="00D63093">
        <w:t>incumbent earth stations.</w:t>
      </w:r>
      <w:r>
        <w:rPr>
          <w:rStyle w:val="FootnoteReference"/>
        </w:rPr>
        <w:footnoteReference w:id="15"/>
      </w:r>
      <w:r w:rsidR="00D63093">
        <w:t xml:space="preserve">  </w:t>
      </w:r>
    </w:p>
    <w:p w:rsidR="006B7D9C" w:rsidRPr="006B7D9C" w:rsidP="006B7D9C" w14:paraId="679A84A4" w14:textId="4D08A9F5">
      <w:pPr>
        <w:widowControl/>
        <w:spacing w:after="120"/>
        <w:rPr>
          <w:b/>
          <w:bCs/>
          <w:snapToGrid/>
          <w:color w:val="000000"/>
          <w:kern w:val="0"/>
        </w:rPr>
      </w:pPr>
      <w:r>
        <w:rPr>
          <w:b/>
          <w:bCs/>
          <w:snapToGrid/>
          <w:color w:val="000000"/>
          <w:kern w:val="0"/>
        </w:rPr>
        <w:t>ATTACHMENT</w:t>
      </w:r>
    </w:p>
    <w:p w:rsidR="00352DD0" w:rsidRPr="00352DD0" w:rsidP="006C2C7E" w14:paraId="70F071C7" w14:textId="77777777">
      <w:pPr>
        <w:spacing w:after="120"/>
        <w:jc w:val="center"/>
      </w:pPr>
      <w:r w:rsidRPr="00A815A3">
        <w:rPr>
          <w:b/>
          <w:bCs/>
          <w:snapToGrid/>
          <w:kern w:val="0"/>
          <w:szCs w:val="22"/>
        </w:rPr>
        <w:t>-FCC-</w:t>
      </w:r>
      <w:r w:rsidRPr="00E07A32">
        <w:rPr>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14:paraId="6CAE1A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9F0013" w14:paraId="6E4184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14:paraId="364EBD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14:paraId="1F388F1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456F" w14:paraId="04D48C30" w14:textId="77777777">
      <w:r>
        <w:separator/>
      </w:r>
    </w:p>
  </w:footnote>
  <w:footnote w:type="continuationSeparator" w:id="1">
    <w:p w:rsidR="001B456F" w14:paraId="0E602F9E" w14:textId="77777777">
      <w:pPr>
        <w:rPr>
          <w:sz w:val="20"/>
        </w:rPr>
      </w:pPr>
      <w:r>
        <w:rPr>
          <w:sz w:val="20"/>
        </w:rPr>
        <w:t xml:space="preserve">(Continued from previous page)  </w:t>
      </w:r>
      <w:r>
        <w:rPr>
          <w:sz w:val="20"/>
        </w:rPr>
        <w:separator/>
      </w:r>
    </w:p>
  </w:footnote>
  <w:footnote w:type="continuationNotice" w:id="2">
    <w:p w:rsidR="001B456F" w:rsidP="00910F12" w14:paraId="39507BE5" w14:textId="77777777">
      <w:pPr>
        <w:jc w:val="right"/>
        <w:rPr>
          <w:sz w:val="20"/>
        </w:rPr>
      </w:pPr>
      <w:r>
        <w:rPr>
          <w:sz w:val="20"/>
        </w:rPr>
        <w:t>(continued….)</w:t>
      </w:r>
    </w:p>
  </w:footnote>
  <w:footnote w:id="3">
    <w:p w:rsidR="009F0013" w:rsidRPr="00CD0DFC" w:rsidP="00515B8F" w14:paraId="1E38B392" w14:textId="77777777">
      <w:pPr>
        <w:pStyle w:val="FootnoteText"/>
      </w:pPr>
      <w:r w:rsidRPr="00CD0DFC">
        <w:rPr>
          <w:rStyle w:val="FootnoteReference"/>
          <w:sz w:val="20"/>
        </w:rPr>
        <w:footnoteRef/>
      </w:r>
      <w:r w:rsidRPr="00CD0DFC">
        <w:t xml:space="preserve"> </w:t>
      </w:r>
      <w:r w:rsidRPr="00CD0DFC">
        <w:rPr>
          <w:i/>
          <w:iCs/>
        </w:rPr>
        <w:t xml:space="preserve">See </w:t>
      </w:r>
      <w:r w:rsidRPr="00CD0DFC">
        <w:t>47 CFR § 27.1411(b)(3).  The C-</w:t>
      </w:r>
      <w:r w:rsidR="00A54C74">
        <w:t>b</w:t>
      </w:r>
      <w:r w:rsidRPr="00CD0DFC">
        <w:t>and transition is not occurring outside the contiguous United States</w:t>
      </w:r>
      <w:r w:rsidR="00441612">
        <w:t>, so no</w:t>
      </w:r>
      <w:r w:rsidRPr="00CD0DFC">
        <w:t xml:space="preserve"> U.S. licensed or registered earth stations in those locations </w:t>
      </w:r>
      <w:r w:rsidR="00441612">
        <w:t xml:space="preserve">are included in the updated list.  Those stations </w:t>
      </w:r>
      <w:r w:rsidRPr="00CD0DFC">
        <w:t>may seek reimbursement of costs directly related to the transition if they satisfy the criteria for incumbent earth station status.  Those earth stations, however, are not eligible to elect lump sum payments.</w:t>
      </w:r>
      <w:r w:rsidR="007F7D1B">
        <w:t xml:space="preserve">  </w:t>
      </w:r>
      <w:r w:rsidR="000326A1">
        <w:rPr>
          <w:i/>
          <w:iCs/>
        </w:rPr>
        <w:t>See</w:t>
      </w:r>
      <w:r w:rsidR="000326A1">
        <w:t xml:space="preserve"> </w:t>
      </w:r>
      <w:r w:rsidR="000326A1">
        <w:rPr>
          <w:i/>
          <w:iCs/>
          <w:snapToGrid w:val="0"/>
        </w:rPr>
        <w:t>Expanding Flexible Use of the 3.7 to 4.2 GHz Band</w:t>
      </w:r>
      <w:r w:rsidR="000326A1">
        <w:rPr>
          <w:snapToGrid w:val="0"/>
        </w:rPr>
        <w:t xml:space="preserve">, Report and Order and Order of Proposed Modification, 35 FCC </w:t>
      </w:r>
      <w:r w:rsidR="000326A1">
        <w:rPr>
          <w:snapToGrid w:val="0"/>
        </w:rPr>
        <w:t>Rcd</w:t>
      </w:r>
      <w:r w:rsidR="000326A1">
        <w:rPr>
          <w:i/>
          <w:iCs/>
          <w:snapToGrid w:val="0"/>
        </w:rPr>
        <w:t xml:space="preserve"> </w:t>
      </w:r>
      <w:r w:rsidR="000326A1">
        <w:rPr>
          <w:snapToGrid w:val="0"/>
        </w:rPr>
        <w:t>2343, 2</w:t>
      </w:r>
      <w:r w:rsidR="00D75872">
        <w:rPr>
          <w:snapToGrid w:val="0"/>
        </w:rPr>
        <w:t>428</w:t>
      </w:r>
      <w:r w:rsidR="000326A1">
        <w:rPr>
          <w:snapToGrid w:val="0"/>
        </w:rPr>
        <w:t xml:space="preserve"> (2020).  </w:t>
      </w:r>
    </w:p>
  </w:footnote>
  <w:footnote w:id="4">
    <w:p w:rsidR="008824FF" w14:paraId="004DB9A4" w14:textId="39B6F49A">
      <w:pPr>
        <w:pStyle w:val="FootnoteText"/>
      </w:pPr>
      <w:r>
        <w:rPr>
          <w:rStyle w:val="FootnoteReference"/>
        </w:rPr>
        <w:footnoteRef/>
      </w:r>
      <w:r>
        <w:t xml:space="preserve"> </w:t>
      </w:r>
      <w:r w:rsidRPr="002D63EB" w:rsidR="00D60126">
        <w:rPr>
          <w:i/>
          <w:iCs/>
        </w:rPr>
        <w:t>See Internatio</w:t>
      </w:r>
      <w:r w:rsidRPr="001967D6" w:rsidR="00D60126">
        <w:rPr>
          <w:i/>
          <w:iCs/>
        </w:rPr>
        <w:t xml:space="preserve">nal Bureau </w:t>
      </w:r>
      <w:r w:rsidR="00D60126">
        <w:rPr>
          <w:i/>
          <w:iCs/>
        </w:rPr>
        <w:t>Releases</w:t>
      </w:r>
      <w:r w:rsidRPr="00FB6BEB" w:rsidR="00D60126">
        <w:rPr>
          <w:i/>
          <w:iCs/>
        </w:rPr>
        <w:t xml:space="preserve"> List of Incu</w:t>
      </w:r>
      <w:r w:rsidRPr="002734B0" w:rsidR="00D60126">
        <w:rPr>
          <w:i/>
          <w:iCs/>
        </w:rPr>
        <w:t xml:space="preserve">mbent Earth Stations in the 3.7-4.2 GHz Band in the Contiguous United </w:t>
      </w:r>
      <w:r w:rsidRPr="00F26F13" w:rsidR="00D60126">
        <w:rPr>
          <w:i/>
          <w:iCs/>
        </w:rPr>
        <w:t>S</w:t>
      </w:r>
      <w:r w:rsidRPr="0007566D" w:rsidR="00D60126">
        <w:rPr>
          <w:i/>
          <w:iCs/>
        </w:rPr>
        <w:t>tates</w:t>
      </w:r>
      <w:r w:rsidRPr="0007566D" w:rsidR="00D60126">
        <w:t xml:space="preserve">, </w:t>
      </w:r>
      <w:r w:rsidRPr="00BD0173" w:rsidR="00D60126">
        <w:t>Public Notice, DA 2</w:t>
      </w:r>
      <w:r w:rsidR="006B6235">
        <w:t>1</w:t>
      </w:r>
      <w:r w:rsidRPr="00BD0173" w:rsidR="00D60126">
        <w:t>-</w:t>
      </w:r>
      <w:r w:rsidR="00732CA8">
        <w:t>1157</w:t>
      </w:r>
      <w:r w:rsidRPr="0063651B" w:rsidR="00D60126">
        <w:t xml:space="preserve"> (</w:t>
      </w:r>
      <w:r w:rsidR="00D60126">
        <w:t xml:space="preserve">IB </w:t>
      </w:r>
      <w:r w:rsidR="00732CA8">
        <w:t>September 15</w:t>
      </w:r>
      <w:r w:rsidRPr="00D92D29" w:rsidR="00D60126">
        <w:t>, 202</w:t>
      </w:r>
      <w:r w:rsidR="006B6235">
        <w:t>1</w:t>
      </w:r>
      <w:r w:rsidRPr="00D92D29" w:rsidR="00D60126">
        <w:t>)</w:t>
      </w:r>
      <w:r w:rsidR="00732CA8">
        <w:t xml:space="preserve">, </w:t>
      </w:r>
      <w:r w:rsidR="00732CA8">
        <w:rPr>
          <w:i/>
          <w:iCs/>
        </w:rPr>
        <w:t xml:space="preserve">Erratum </w:t>
      </w:r>
      <w:r w:rsidR="00732CA8">
        <w:t>(IB October 8, 2021)</w:t>
      </w:r>
      <w:r w:rsidRPr="00D92D29" w:rsidR="00D60126">
        <w:t xml:space="preserve"> </w:t>
      </w:r>
      <w:r w:rsidRPr="00997252" w:rsidR="00D60126">
        <w:t>(</w:t>
      </w:r>
      <w:r w:rsidR="00732CA8">
        <w:rPr>
          <w:i/>
          <w:iCs/>
        </w:rPr>
        <w:t>October</w:t>
      </w:r>
      <w:r w:rsidRPr="00997252" w:rsidR="00D60126">
        <w:rPr>
          <w:i/>
          <w:iCs/>
        </w:rPr>
        <w:t xml:space="preserve"> Incumbent Earth Station List</w:t>
      </w:r>
      <w:r w:rsidRPr="00A75051" w:rsidR="00D60126">
        <w:t>)</w:t>
      </w:r>
      <w:r w:rsidR="00FD226C">
        <w:t xml:space="preserve">. </w:t>
      </w:r>
      <w:r w:rsidRPr="00E14A7D" w:rsidR="00D60126">
        <w:rPr>
          <w:color w:val="000000"/>
          <w:szCs w:val="22"/>
        </w:rPr>
        <w:t xml:space="preserve">  </w:t>
      </w:r>
    </w:p>
  </w:footnote>
  <w:footnote w:id="5">
    <w:p w:rsidR="004D6384" w14:paraId="40D774A3" w14:textId="77777777">
      <w:pPr>
        <w:pStyle w:val="FootnoteText"/>
      </w:pPr>
      <w:r>
        <w:rPr>
          <w:rStyle w:val="FootnoteReference"/>
        </w:rPr>
        <w:footnoteRef/>
      </w:r>
      <w:r>
        <w:t xml:space="preserve"> In the event of discrepancies between the </w:t>
      </w:r>
      <w:r w:rsidR="006E275D">
        <w:t xml:space="preserve">machine-generated </w:t>
      </w:r>
      <w:r>
        <w:t>changelog and the updated incumbent list, the updated incumbent earth station list is determinative.</w:t>
      </w:r>
    </w:p>
  </w:footnote>
  <w:footnote w:id="6">
    <w:p w:rsidR="00F276F0" w14:paraId="55BF309B" w14:textId="78A1BC0A">
      <w:pPr>
        <w:pStyle w:val="FootnoteText"/>
      </w:pPr>
      <w:r>
        <w:rPr>
          <w:rStyle w:val="FootnoteReference"/>
        </w:rPr>
        <w:footnoteRef/>
      </w:r>
      <w:r>
        <w:t xml:space="preserve"> </w:t>
      </w:r>
      <w:r w:rsidRPr="00420945">
        <w:rPr>
          <w:i/>
          <w:iCs/>
        </w:rPr>
        <w:t>See</w:t>
      </w:r>
      <w:r>
        <w:t xml:space="preserve"> </w:t>
      </w:r>
      <w:r w:rsidR="002800E6">
        <w:t>International Bureau Identifies Inactive C-Band Incumbent Earth Station Antennas, Public Notice, DA 21- 893 (rel. July 23, 2021)</w:t>
      </w:r>
      <w:r w:rsidR="003E51AD">
        <w:t xml:space="preserve"> (</w:t>
      </w:r>
      <w:r w:rsidRPr="0077623B" w:rsidR="00784085">
        <w:rPr>
          <w:i/>
          <w:iCs/>
        </w:rPr>
        <w:t>July 2021 Public Notice</w:t>
      </w:r>
      <w:r w:rsidR="00784085">
        <w:t>)</w:t>
      </w:r>
      <w:r w:rsidR="002800E6">
        <w:t xml:space="preserve">; </w:t>
      </w:r>
      <w:r>
        <w:t>International Bureau Identifies C-Band Incumbent Earth Station Antennas on the C-Band Incumbent List That May Be Inactive or Otherwise Not Operational in the 3.7 GHz Band, Public Notice, DA 21-1206 (rel. Sept. 23, 2021) (</w:t>
      </w:r>
      <w:r>
        <w:rPr>
          <w:i/>
          <w:iCs/>
        </w:rPr>
        <w:t>September 2021 Public Notice)</w:t>
      </w:r>
      <w:r w:rsidR="002800E6">
        <w:t>.</w:t>
      </w:r>
    </w:p>
  </w:footnote>
  <w:footnote w:id="7">
    <w:p w:rsidR="00AB542C" w:rsidP="00AB542C" w14:paraId="6F6D69DB" w14:textId="6896B2BB">
      <w:pPr>
        <w:pStyle w:val="FootnoteText"/>
      </w:pPr>
      <w:r>
        <w:rPr>
          <w:rStyle w:val="FootnoteReference"/>
        </w:rPr>
        <w:footnoteRef/>
      </w:r>
      <w:r>
        <w:t xml:space="preserve"> Over-registered antennas in this context are </w:t>
      </w:r>
      <w:r w:rsidR="00EA128E">
        <w:t xml:space="preserve">C-band </w:t>
      </w:r>
      <w:r>
        <w:t>antennas that were included in an earth station registration application and granted in subsequent registration, but</w:t>
      </w:r>
      <w:r w:rsidR="00EA128E">
        <w:t xml:space="preserve"> do not currently exist at the site</w:t>
      </w:r>
      <w:r w:rsidR="002A21B0">
        <w:t xml:space="preserve">.  </w:t>
      </w:r>
      <w:r w:rsidRPr="00420945" w:rsidR="00AC183D">
        <w:rPr>
          <w:i/>
          <w:iCs/>
        </w:rPr>
        <w:t>See</w:t>
      </w:r>
      <w:r w:rsidR="00AC183D">
        <w:t xml:space="preserve"> </w:t>
      </w:r>
      <w:r w:rsidR="00F276F0">
        <w:rPr>
          <w:i/>
          <w:iCs/>
        </w:rPr>
        <w:t xml:space="preserve">September 2021 Public Notice, </w:t>
      </w:r>
      <w:r w:rsidR="00AC183D">
        <w:t>at 2</w:t>
      </w:r>
      <w:r w:rsidR="00F276F0">
        <w:t xml:space="preserve">. </w:t>
      </w:r>
      <w:r w:rsidR="00AC183D">
        <w:t xml:space="preserve"> </w:t>
      </w:r>
      <w:r w:rsidR="002A21B0">
        <w:t>For instance, the antennas may never have been built.</w:t>
      </w:r>
    </w:p>
  </w:footnote>
  <w:footnote w:id="8">
    <w:p w:rsidR="004043DA" w:rsidRPr="006B6235" w14:paraId="24A26391" w14:textId="4281E026">
      <w:pPr>
        <w:pStyle w:val="FootnoteText"/>
      </w:pPr>
      <w:r>
        <w:rPr>
          <w:rStyle w:val="FootnoteReference"/>
        </w:rPr>
        <w:footnoteRef/>
      </w:r>
      <w:r>
        <w:t xml:space="preserve"> </w:t>
      </w:r>
      <w:r w:rsidR="0038598E">
        <w:t xml:space="preserve">Because the </w:t>
      </w:r>
      <w:r w:rsidR="006B6235">
        <w:t>deadline</w:t>
      </w:r>
      <w:r w:rsidR="006B1A46">
        <w:t>s</w:t>
      </w:r>
      <w:r w:rsidR="006B6235">
        <w:t xml:space="preserve"> set out in </w:t>
      </w:r>
      <w:r w:rsidR="00784085">
        <w:t xml:space="preserve">the </w:t>
      </w:r>
      <w:r w:rsidRPr="003467DD" w:rsidR="00784085">
        <w:rPr>
          <w:i/>
          <w:iCs/>
        </w:rPr>
        <w:t>July 21 and September 2021</w:t>
      </w:r>
      <w:r w:rsidRPr="00083884" w:rsidR="00784085">
        <w:t xml:space="preserve"> </w:t>
      </w:r>
      <w:r w:rsidR="006B6235">
        <w:rPr>
          <w:i/>
          <w:iCs/>
        </w:rPr>
        <w:t>P</w:t>
      </w:r>
      <w:r w:rsidR="00BE766B">
        <w:rPr>
          <w:i/>
          <w:iCs/>
        </w:rPr>
        <w:t xml:space="preserve">ublic </w:t>
      </w:r>
      <w:r w:rsidR="006B6235">
        <w:rPr>
          <w:i/>
          <w:iCs/>
        </w:rPr>
        <w:t>N</w:t>
      </w:r>
      <w:r w:rsidR="00BE766B">
        <w:rPr>
          <w:i/>
          <w:iCs/>
        </w:rPr>
        <w:t>otice</w:t>
      </w:r>
      <w:r w:rsidR="006B1A46">
        <w:rPr>
          <w:i/>
          <w:iCs/>
        </w:rPr>
        <w:t>s</w:t>
      </w:r>
      <w:r w:rsidR="006B6235">
        <w:rPr>
          <w:i/>
          <w:iCs/>
        </w:rPr>
        <w:t xml:space="preserve"> </w:t>
      </w:r>
      <w:r w:rsidR="006B6235">
        <w:t>for responsive filings ha</w:t>
      </w:r>
      <w:r w:rsidR="006B1A46">
        <w:t>ve</w:t>
      </w:r>
      <w:r w:rsidR="006B6235">
        <w:t xml:space="preserve"> </w:t>
      </w:r>
      <w:r w:rsidR="00F421D7">
        <w:t>passed</w:t>
      </w:r>
      <w:r w:rsidR="006B6235">
        <w:t xml:space="preserve">, </w:t>
      </w:r>
      <w:r w:rsidR="00EF6F19">
        <w:t xml:space="preserve">the status—as an incumbent earth station—of </w:t>
      </w:r>
      <w:r w:rsidR="006B6235">
        <w:t xml:space="preserve">any antenna </w:t>
      </w:r>
      <w:r w:rsidR="003467DD">
        <w:t xml:space="preserve">included </w:t>
      </w:r>
      <w:r w:rsidR="006B6235">
        <w:t xml:space="preserve">on the </w:t>
      </w:r>
      <w:r w:rsidR="006B1A46">
        <w:rPr>
          <w:i/>
          <w:iCs/>
        </w:rPr>
        <w:t xml:space="preserve">October </w:t>
      </w:r>
      <w:r w:rsidR="006B6235">
        <w:rPr>
          <w:i/>
          <w:iCs/>
        </w:rPr>
        <w:t xml:space="preserve">Incumbent List </w:t>
      </w:r>
      <w:r w:rsidR="006B6235">
        <w:t xml:space="preserve">that </w:t>
      </w:r>
      <w:r w:rsidR="00EF6F19">
        <w:t xml:space="preserve">was </w:t>
      </w:r>
      <w:r w:rsidR="00FD2A3D">
        <w:t xml:space="preserve">included in, but did </w:t>
      </w:r>
      <w:r w:rsidR="006B6235">
        <w:t>not respond to</w:t>
      </w:r>
      <w:r w:rsidR="00FD2A3D">
        <w:t>,</w:t>
      </w:r>
      <w:r w:rsidR="006B6235">
        <w:t xml:space="preserve"> th</w:t>
      </w:r>
      <w:r w:rsidR="006B1A46">
        <w:t>ose</w:t>
      </w:r>
      <w:r w:rsidR="0077623B">
        <w:t xml:space="preserve"> earlier</w:t>
      </w:r>
      <w:r w:rsidRPr="00083884" w:rsidR="006B6235">
        <w:t xml:space="preserve"> </w:t>
      </w:r>
      <w:r w:rsidRPr="0000249A" w:rsidR="006B6235">
        <w:rPr>
          <w:i/>
          <w:iCs/>
        </w:rPr>
        <w:t>Public Notice</w:t>
      </w:r>
      <w:r w:rsidR="006B1A46">
        <w:rPr>
          <w:i/>
          <w:iCs/>
        </w:rPr>
        <w:t>s</w:t>
      </w:r>
      <w:r w:rsidR="00EF6F19">
        <w:t>, has been automatically terminated</w:t>
      </w:r>
      <w:r w:rsidR="006B6235">
        <w:t>.</w:t>
      </w:r>
    </w:p>
  </w:footnote>
  <w:footnote w:id="9">
    <w:p w:rsidR="004043DA" w14:paraId="04D26515" w14:textId="0B80F5B0">
      <w:pPr>
        <w:pStyle w:val="FootnoteText"/>
      </w:pPr>
      <w:r>
        <w:rPr>
          <w:rStyle w:val="FootnoteReference"/>
        </w:rPr>
        <w:footnoteRef/>
      </w:r>
      <w:r>
        <w:t xml:space="preserve"> </w:t>
      </w:r>
      <w:r w:rsidR="000D59A1">
        <w:t xml:space="preserve">As </w:t>
      </w:r>
      <w:r w:rsidR="0069123A">
        <w:t xml:space="preserve">discussed </w:t>
      </w:r>
      <w:r w:rsidR="000D59A1">
        <w:t xml:space="preserve">in the </w:t>
      </w:r>
      <w:r w:rsidR="000D59A1">
        <w:rPr>
          <w:i/>
          <w:iCs/>
        </w:rPr>
        <w:t>June 22 Incumbent Earth Station List PN</w:t>
      </w:r>
      <w:r w:rsidR="0069123A">
        <w:t>,</w:t>
      </w:r>
      <w:r w:rsidR="000D59A1">
        <w:rPr>
          <w:i/>
          <w:iCs/>
        </w:rPr>
        <w:t xml:space="preserve"> </w:t>
      </w:r>
      <w:r w:rsidR="0069123A">
        <w:t>t</w:t>
      </w:r>
      <w:r>
        <w:rPr>
          <w:szCs w:val="22"/>
        </w:rPr>
        <w:t xml:space="preserve">he list does not include registrations of the additional, previously unregistered antennas for which the Bureau’s </w:t>
      </w:r>
      <w:r w:rsidRPr="00590796">
        <w:rPr>
          <w:i/>
          <w:iCs/>
          <w:szCs w:val="22"/>
        </w:rPr>
        <w:t>October 23, 2020 Order</w:t>
      </w:r>
      <w:r>
        <w:rPr>
          <w:szCs w:val="22"/>
        </w:rPr>
        <w:t xml:space="preserve"> granted waivers for interference protection only (and not reimbursement of transition costs).  </w:t>
      </w:r>
      <w:r w:rsidRPr="002D63EB">
        <w:rPr>
          <w:i/>
          <w:iCs/>
        </w:rPr>
        <w:t xml:space="preserve">See </w:t>
      </w:r>
      <w:r w:rsidRPr="000737A2">
        <w:rPr>
          <w:i/>
          <w:iCs/>
        </w:rPr>
        <w:t>Incumbent Earth Stations in the 3.7-4.2 GHz Band in the Contiguous United States</w:t>
      </w:r>
      <w:r w:rsidRPr="001F63D4">
        <w:t xml:space="preserve">, </w:t>
      </w:r>
      <w:r>
        <w:t>Order</w:t>
      </w:r>
      <w:r w:rsidRPr="001F63D4">
        <w:t xml:space="preserve">, IB Docket No. 20-205, GN Docket No. 20-305, 35 FCC </w:t>
      </w:r>
      <w:r w:rsidRPr="001F63D4">
        <w:t>Rcd</w:t>
      </w:r>
      <w:r w:rsidRPr="001F63D4">
        <w:t xml:space="preserve"> 11896 (I</w:t>
      </w:r>
      <w:r>
        <w:t>B</w:t>
      </w:r>
      <w:r w:rsidRPr="001F63D4">
        <w:t xml:space="preserve"> 2020) (</w:t>
      </w:r>
      <w:r w:rsidRPr="00172D6B">
        <w:rPr>
          <w:i/>
          <w:iCs/>
        </w:rPr>
        <w:t>October 23 Order</w:t>
      </w:r>
      <w:r w:rsidRPr="001F63D4">
        <w:t>)</w:t>
      </w:r>
      <w:r>
        <w:t xml:space="preserve">.  </w:t>
      </w:r>
      <w:r>
        <w:rPr>
          <w:szCs w:val="22"/>
        </w:rPr>
        <w:t>The registrations of these non-incumbent earth stations appear in IBFS with the letter “A” at the end of the call sign.</w:t>
      </w:r>
      <w:r w:rsidR="0069123A">
        <w:rPr>
          <w:szCs w:val="22"/>
        </w:rPr>
        <w:t xml:space="preserve">  </w:t>
      </w:r>
      <w:r w:rsidR="0069123A">
        <w:rPr>
          <w:i/>
          <w:iCs/>
        </w:rPr>
        <w:t>June 22 Incumbent Earth Station List PN</w:t>
      </w:r>
      <w:r w:rsidR="0069123A">
        <w:t xml:space="preserve"> at 2.</w:t>
      </w:r>
    </w:p>
  </w:footnote>
  <w:footnote w:id="10">
    <w:p w:rsidR="00394FFA" w14:paraId="167C7AF9" w14:textId="77777777">
      <w:pPr>
        <w:pStyle w:val="FootnoteText"/>
      </w:pPr>
      <w:r>
        <w:rPr>
          <w:rStyle w:val="FootnoteReference"/>
        </w:rPr>
        <w:footnoteRef/>
      </w:r>
      <w:r>
        <w:t xml:space="preserve"> </w:t>
      </w:r>
      <w:r w:rsidRPr="00E14A7D" w:rsidR="00533DB2">
        <w:t>47 CFR § 25.1</w:t>
      </w:r>
      <w:r w:rsidR="00533DB2">
        <w:t>21(e).</w:t>
      </w:r>
    </w:p>
  </w:footnote>
  <w:footnote w:id="11">
    <w:p w:rsidR="000E20D7" w14:paraId="4086599B" w14:textId="77777777">
      <w:pPr>
        <w:pStyle w:val="FootnoteText"/>
      </w:pPr>
      <w:r>
        <w:rPr>
          <w:rStyle w:val="FootnoteReference"/>
        </w:rPr>
        <w:footnoteRef/>
      </w:r>
      <w:r>
        <w:t xml:space="preserve"> </w:t>
      </w:r>
      <w:r w:rsidRPr="00CD0DFC" w:rsidR="00533DB2">
        <w:t>47 CFR § 2</w:t>
      </w:r>
      <w:r w:rsidR="00533DB2">
        <w:t>5</w:t>
      </w:r>
      <w:r w:rsidRPr="00CD0DFC" w:rsidR="00533DB2">
        <w:t>.1</w:t>
      </w:r>
      <w:r w:rsidR="00533DB2">
        <w:t>19</w:t>
      </w:r>
      <w:r w:rsidRPr="00CD0DFC" w:rsidR="00533DB2">
        <w:t>(</w:t>
      </w:r>
      <w:r w:rsidR="00533DB2">
        <w:t>f)</w:t>
      </w:r>
      <w:r w:rsidRPr="00CD0DFC" w:rsidR="00533DB2">
        <w:t xml:space="preserve">. </w:t>
      </w:r>
      <w:r w:rsidR="00533DB2">
        <w:t xml:space="preserve"> </w:t>
      </w:r>
      <w:r>
        <w:t>Timely notification of such assignments is particularly important for incumbent C-band earth stations to avoid possible delay or denial of interference protection, cost reimbursement, or lump sum payments to which incumbents are entitled.</w:t>
      </w:r>
    </w:p>
  </w:footnote>
  <w:footnote w:id="12">
    <w:p w:rsidR="009541AB" w:rsidRPr="005E2C0D" w:rsidP="009541AB" w14:paraId="7D285D28" w14:textId="77777777">
      <w:pPr>
        <w:spacing w:after="120"/>
      </w:pPr>
      <w:r>
        <w:rPr>
          <w:rStyle w:val="FootnoteReference"/>
        </w:rPr>
        <w:footnoteRef/>
      </w:r>
      <w:r>
        <w:t xml:space="preserve"> </w:t>
      </w:r>
      <w:r w:rsidRPr="00E14A7D">
        <w:rPr>
          <w:sz w:val="20"/>
        </w:rPr>
        <w:t>47 CFR § 25.115(b)(8)</w:t>
      </w:r>
      <w:r>
        <w:rPr>
          <w:sz w:val="20"/>
        </w:rPr>
        <w:t>.</w:t>
      </w:r>
    </w:p>
  </w:footnote>
  <w:footnote w:id="13">
    <w:p w:rsidR="009F0013" w:rsidRPr="00997252" w:rsidP="00B32581" w14:paraId="108ABD2C" w14:textId="77777777">
      <w:pPr>
        <w:widowControl/>
        <w:spacing w:after="120"/>
        <w:contextualSpacing/>
        <w:rPr>
          <w:snapToGrid/>
          <w:color w:val="000000"/>
          <w:kern w:val="0"/>
          <w:sz w:val="20"/>
        </w:rPr>
      </w:pPr>
      <w:r w:rsidRPr="00CD0DFC">
        <w:rPr>
          <w:rStyle w:val="FootnoteReference"/>
          <w:sz w:val="20"/>
        </w:rPr>
        <w:footnoteRef/>
      </w:r>
      <w:r w:rsidRPr="00CD0DFC">
        <w:rPr>
          <w:sz w:val="20"/>
        </w:rPr>
        <w:t xml:space="preserve"> </w:t>
      </w:r>
      <w:r w:rsidRPr="002D63EB">
        <w:rPr>
          <w:sz w:val="20"/>
        </w:rPr>
        <w:t>Certain C-</w:t>
      </w:r>
      <w:r>
        <w:rPr>
          <w:sz w:val="20"/>
        </w:rPr>
        <w:t>b</w:t>
      </w:r>
      <w:r w:rsidRPr="001967D6">
        <w:rPr>
          <w:sz w:val="20"/>
        </w:rPr>
        <w:t xml:space="preserve">and certifications </w:t>
      </w:r>
      <w:r w:rsidRPr="00FB6BEB">
        <w:rPr>
          <w:sz w:val="20"/>
        </w:rPr>
        <w:t xml:space="preserve">were timely </w:t>
      </w:r>
      <w:r w:rsidRPr="002734B0">
        <w:rPr>
          <w:sz w:val="20"/>
        </w:rPr>
        <w:t>filed in association with File Num</w:t>
      </w:r>
      <w:r w:rsidRPr="00F26F13">
        <w:rPr>
          <w:sz w:val="20"/>
        </w:rPr>
        <w:t>bers th</w:t>
      </w:r>
      <w:r w:rsidRPr="0007566D">
        <w:rPr>
          <w:sz w:val="20"/>
        </w:rPr>
        <w:t>at have</w:t>
      </w:r>
      <w:r w:rsidRPr="00BD0173">
        <w:rPr>
          <w:sz w:val="20"/>
        </w:rPr>
        <w:t xml:space="preserve"> since been superseded by later filings</w:t>
      </w:r>
      <w:r w:rsidRPr="005B3173">
        <w:rPr>
          <w:sz w:val="20"/>
        </w:rPr>
        <w:t>; in the list, those earth stations can be identified by the</w:t>
      </w:r>
      <w:r w:rsidRPr="0063651B">
        <w:rPr>
          <w:sz w:val="20"/>
        </w:rPr>
        <w:t xml:space="preserve"> subsequent File </w:t>
      </w:r>
      <w:r w:rsidRPr="00D92D29">
        <w:rPr>
          <w:sz w:val="20"/>
        </w:rPr>
        <w:t>Number</w:t>
      </w:r>
      <w:r w:rsidRPr="00997252">
        <w:rPr>
          <w:sz w:val="20"/>
        </w:rPr>
        <w:t xml:space="preserve">.  </w:t>
      </w:r>
      <w:r w:rsidRPr="00997252">
        <w:rPr>
          <w:snapToGrid/>
          <w:color w:val="000000"/>
          <w:kern w:val="0"/>
          <w:sz w:val="20"/>
        </w:rPr>
        <w:t xml:space="preserve">The status of an earth station antenna under the </w:t>
      </w:r>
      <w:r w:rsidRPr="00997252">
        <w:rPr>
          <w:i/>
          <w:iCs/>
          <w:snapToGrid/>
          <w:color w:val="000000"/>
          <w:kern w:val="0"/>
          <w:sz w:val="20"/>
        </w:rPr>
        <w:t>3.7 GHz Report and Order</w:t>
      </w:r>
      <w:r w:rsidRPr="00997252">
        <w:rPr>
          <w:snapToGrid/>
          <w:color w:val="000000"/>
          <w:kern w:val="0"/>
          <w:sz w:val="20"/>
        </w:rPr>
        <w:t xml:space="preserve"> pertains only to the reception of satellite transmissions on 3.7-4.2 GHz by fixed earth stations and transportable (temporary fixed) earth stations.  </w:t>
      </w:r>
    </w:p>
  </w:footnote>
  <w:footnote w:id="14">
    <w:p w:rsidR="0012105C" w14:paraId="3587FB5B" w14:textId="6D5E1948">
      <w:pPr>
        <w:pStyle w:val="FootnoteText"/>
      </w:pPr>
      <w:r>
        <w:rPr>
          <w:rStyle w:val="FootnoteReference"/>
        </w:rPr>
        <w:footnoteRef/>
      </w:r>
      <w:r>
        <w:t xml:space="preserve"> </w:t>
      </w:r>
      <w:r w:rsidR="00BB3D48">
        <w:t xml:space="preserve">The list </w:t>
      </w:r>
      <w:r w:rsidR="00DF7A3B">
        <w:t>includes</w:t>
      </w:r>
      <w:r w:rsidR="00BB3D48">
        <w:t xml:space="preserve"> a machine-generated changelog that identifies differences</w:t>
      </w:r>
      <w:r w:rsidR="00B71DDC">
        <w:t xml:space="preserve"> in the lump sum election information</w:t>
      </w:r>
      <w:r w:rsidR="00BB3D48">
        <w:t xml:space="preserve"> between records on this list and the </w:t>
      </w:r>
      <w:r w:rsidR="000A23F7">
        <w:rPr>
          <w:i/>
          <w:iCs/>
        </w:rPr>
        <w:t>October</w:t>
      </w:r>
      <w:r w:rsidRPr="00997252" w:rsidR="000A23F7">
        <w:rPr>
          <w:i/>
          <w:iCs/>
        </w:rPr>
        <w:t xml:space="preserve"> Incumbent Earth Station List</w:t>
      </w:r>
      <w:r w:rsidR="00BB3D48">
        <w:t xml:space="preserve">.  </w:t>
      </w:r>
      <w:r>
        <w:t xml:space="preserve">To the extent there are any discrepancies </w:t>
      </w:r>
      <w:r w:rsidR="00CE236A">
        <w:t xml:space="preserve">between the changelog and </w:t>
      </w:r>
      <w:r>
        <w:t>the attached updated list</w:t>
      </w:r>
      <w:r w:rsidR="00CE236A">
        <w:t xml:space="preserve"> regarding whether an earth station antenna has elected lump sum</w:t>
      </w:r>
      <w:r w:rsidR="00BB3D48">
        <w:t xml:space="preserve">, </w:t>
      </w:r>
      <w:r w:rsidR="00CE236A">
        <w:t>the updated</w:t>
      </w:r>
      <w:r w:rsidR="00FA559A">
        <w:t xml:space="preserve"> incumbent earth station</w:t>
      </w:r>
      <w:r w:rsidR="00CE236A">
        <w:t xml:space="preserve"> list is determinative</w:t>
      </w:r>
      <w:r>
        <w:t>.</w:t>
      </w:r>
    </w:p>
  </w:footnote>
  <w:footnote w:id="15">
    <w:p w:rsidR="00D63093" w:rsidRPr="00DD0044" w14:paraId="48108982" w14:textId="072E427D">
      <w:pPr>
        <w:pStyle w:val="FootnoteText"/>
      </w:pPr>
      <w:r>
        <w:rPr>
          <w:rStyle w:val="FootnoteReference"/>
        </w:rPr>
        <w:footnoteRef/>
      </w:r>
      <w:r>
        <w:t xml:space="preserve"> </w:t>
      </w:r>
      <w:r w:rsidR="00DD0044">
        <w:rPr>
          <w:i/>
          <w:iCs/>
        </w:rPr>
        <w:t xml:space="preserve">See </w:t>
      </w:r>
      <w:r w:rsidR="00DD0044">
        <w:t xml:space="preserve">47 CFR </w:t>
      </w:r>
      <w:r w:rsidRPr="00E14A7D" w:rsidR="000C5BAF">
        <w:t>§</w:t>
      </w:r>
      <w:r w:rsidR="000C5BAF">
        <w:t xml:space="preserve"> </w:t>
      </w:r>
      <w:r w:rsidR="00DD0044">
        <w:t xml:space="preserve">27.1419.  </w:t>
      </w:r>
      <w:r w:rsidR="00DD0044">
        <w:rPr>
          <w:i/>
          <w:iCs/>
        </w:rPr>
        <w:t>See</w:t>
      </w:r>
      <w:r w:rsidR="00DD0044">
        <w:t xml:space="preserve"> </w:t>
      </w:r>
      <w:r w:rsidR="00DD0044">
        <w:rPr>
          <w:i/>
          <w:iCs/>
        </w:rPr>
        <w:t xml:space="preserve">also </w:t>
      </w:r>
      <w:r w:rsidR="000C5BAF">
        <w:t xml:space="preserve">47 CFR </w:t>
      </w:r>
      <w:r w:rsidRPr="00E14A7D" w:rsidR="000C5BAF">
        <w:t>§</w:t>
      </w:r>
      <w:r w:rsidR="000C5BAF">
        <w:t xml:space="preserve"> 27.1412(e); </w:t>
      </w:r>
      <w:r w:rsidR="00DD0044">
        <w:rPr>
          <w:i/>
          <w:iCs/>
          <w:snapToGrid w:val="0"/>
        </w:rPr>
        <w:t>Expanding Flexible Use of the 3.7 to 4.2 GHz Band</w:t>
      </w:r>
      <w:r w:rsidR="00DD0044">
        <w:rPr>
          <w:snapToGrid w:val="0"/>
        </w:rPr>
        <w:t xml:space="preserve">, Report and Order and Order of Proposed Modification, 35 FCC </w:t>
      </w:r>
      <w:r w:rsidR="00DD0044">
        <w:rPr>
          <w:snapToGrid w:val="0"/>
        </w:rPr>
        <w:t>Rcd</w:t>
      </w:r>
      <w:r w:rsidR="00DD0044">
        <w:rPr>
          <w:snapToGrid w:val="0"/>
        </w:rPr>
        <w:t xml:space="preserve"> at </w:t>
      </w:r>
      <w:r w:rsidR="000C5BAF">
        <w:rPr>
          <w:snapToGrid w:val="0"/>
        </w:rPr>
        <w:t>2427-</w:t>
      </w:r>
      <w:r w:rsidR="00DD0044">
        <w:rPr>
          <w:snapToGrid w:val="0"/>
        </w:rPr>
        <w:t xml:space="preserve">2428.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14:paraId="18C64B1B" w14:textId="6BE4C52B">
    <w:pPr>
      <w:tabs>
        <w:tab w:val="center" w:pos="4680"/>
        <w:tab w:val="right" w:pos="9360"/>
      </w:tabs>
    </w:pPr>
    <w:r w:rsidRPr="009838BC">
      <w:rPr>
        <w:b/>
      </w:rPr>
      <w:tab/>
      <w:t>Federal Communications Commission</w:t>
    </w:r>
    <w:r w:rsidRPr="009838BC">
      <w:rPr>
        <w:b/>
      </w:rPr>
      <w:tab/>
    </w:r>
    <w:r w:rsidRPr="00533DB2" w:rsidR="00A815A3">
      <w:rPr>
        <w:b/>
      </w:rPr>
      <w:t>DA</w:t>
    </w:r>
    <w:r w:rsidR="007E1107">
      <w:rPr>
        <w:b/>
      </w:rPr>
      <w:t xml:space="preserve"> </w:t>
    </w:r>
    <w:r w:rsidRPr="00533DB2" w:rsidR="00AC6F50">
      <w:rPr>
        <w:b/>
      </w:rPr>
      <w:t>2</w:t>
    </w:r>
    <w:r w:rsidR="001C00B8">
      <w:rPr>
        <w:b/>
      </w:rPr>
      <w:t>2</w:t>
    </w:r>
    <w:r w:rsidRPr="00533DB2" w:rsidR="00AC6F50">
      <w:rPr>
        <w:b/>
      </w:rPr>
      <w:t>-</w:t>
    </w:r>
    <w:r w:rsidR="001C00B8">
      <w:rPr>
        <w:b/>
      </w:rPr>
      <w:t>266</w:t>
    </w:r>
  </w:p>
  <w:p w:rsidR="009F0013" w:rsidRPr="009838BC" w:rsidP="009838BC" w14:paraId="0A3C09F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14:paraId="3C57740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14:paraId="761AE8E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rPr>
                              <w:rFonts w:ascii="Arial" w:hAnsi="Arial"/>
                              <w:b/>
                            </w:rPr>
                          </w:pPr>
                          <w:r>
                            <w:rPr>
                              <w:rFonts w:ascii="Arial" w:hAnsi="Arial"/>
                              <w:b/>
                            </w:rPr>
                            <w:t>Federal Communications Commission</w:t>
                          </w:r>
                        </w:p>
                        <w:p w:rsidR="009F0013"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14:paraId="1066A977" w14:textId="77777777">
                    <w:pPr>
                      <w:rPr>
                        <w:rFonts w:ascii="Arial" w:hAnsi="Arial"/>
                        <w:b/>
                      </w:rPr>
                    </w:pPr>
                    <w:r>
                      <w:rPr>
                        <w:rFonts w:ascii="Arial" w:hAnsi="Arial"/>
                        <w:b/>
                      </w:rPr>
                      <w:t>Federal Communications Commission</w:t>
                    </w:r>
                  </w:p>
                  <w:p w:rsidR="009F0013" w:rsidP="009838BC" w14:paraId="4D80048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433BC2F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14:paraId="016706F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spacing w:before="40"/>
                            <w:jc w:val="right"/>
                            <w:rPr>
                              <w:rFonts w:ascii="Arial" w:hAnsi="Arial"/>
                              <w:b/>
                              <w:sz w:val="16"/>
                            </w:rPr>
                          </w:pPr>
                          <w:r>
                            <w:rPr>
                              <w:rFonts w:ascii="Arial" w:hAnsi="Arial"/>
                              <w:b/>
                              <w:sz w:val="16"/>
                            </w:rPr>
                            <w:t>News Media Information 202 / 418-0500</w:t>
                          </w:r>
                        </w:p>
                        <w:p w:rsidR="009F0013"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14:paraId="217CD5FB" w14:textId="77777777">
                    <w:pPr>
                      <w:spacing w:before="40"/>
                      <w:jc w:val="right"/>
                      <w:rPr>
                        <w:rFonts w:ascii="Arial" w:hAnsi="Arial"/>
                        <w:b/>
                        <w:sz w:val="16"/>
                      </w:rPr>
                    </w:pPr>
                    <w:r>
                      <w:rPr>
                        <w:rFonts w:ascii="Arial" w:hAnsi="Arial"/>
                        <w:b/>
                        <w:sz w:val="16"/>
                      </w:rPr>
                      <w:t>News Media Information 202 / 418-0500</w:t>
                    </w:r>
                  </w:p>
                  <w:p w:rsidR="009F0013" w:rsidP="009838BC" w14:paraId="4D29CA0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paraId="5737A809" w14:textId="77777777">
                    <w:pPr>
                      <w:jc w:val="right"/>
                    </w:pPr>
                    <w:r>
                      <w:rPr>
                        <w:rFonts w:ascii="Arial" w:hAnsi="Arial"/>
                        <w:b/>
                        <w:sz w:val="16"/>
                      </w:rPr>
                      <w:t>TTY: 1-888-835-5322</w:t>
                    </w:r>
                  </w:p>
                </w:txbxContent>
              </v:textbox>
            </v:shape>
          </w:pict>
        </mc:Fallback>
      </mc:AlternateContent>
    </w:r>
  </w:p>
  <w:p w:rsidR="009F0013" w:rsidRPr="009838BC" w:rsidP="009838BC" w14:paraId="6883328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9A"/>
    <w:rsid w:val="000024D1"/>
    <w:rsid w:val="00004DBC"/>
    <w:rsid w:val="00006BFF"/>
    <w:rsid w:val="000072CE"/>
    <w:rsid w:val="00013A8B"/>
    <w:rsid w:val="00014DB3"/>
    <w:rsid w:val="00014EEF"/>
    <w:rsid w:val="00017F6F"/>
    <w:rsid w:val="00021445"/>
    <w:rsid w:val="00026DE1"/>
    <w:rsid w:val="000326A1"/>
    <w:rsid w:val="0003330D"/>
    <w:rsid w:val="00036039"/>
    <w:rsid w:val="00037F90"/>
    <w:rsid w:val="000412FB"/>
    <w:rsid w:val="00045A32"/>
    <w:rsid w:val="000476D1"/>
    <w:rsid w:val="00047A84"/>
    <w:rsid w:val="000566EC"/>
    <w:rsid w:val="00064B0D"/>
    <w:rsid w:val="000737A2"/>
    <w:rsid w:val="00074088"/>
    <w:rsid w:val="00074326"/>
    <w:rsid w:val="0007566D"/>
    <w:rsid w:val="00075E0E"/>
    <w:rsid w:val="000837FB"/>
    <w:rsid w:val="00083884"/>
    <w:rsid w:val="000875BF"/>
    <w:rsid w:val="00096D8C"/>
    <w:rsid w:val="000A23F7"/>
    <w:rsid w:val="000A47D7"/>
    <w:rsid w:val="000B54A9"/>
    <w:rsid w:val="000C053B"/>
    <w:rsid w:val="000C0B0B"/>
    <w:rsid w:val="000C0B65"/>
    <w:rsid w:val="000C2AD9"/>
    <w:rsid w:val="000C5BAF"/>
    <w:rsid w:val="000D1514"/>
    <w:rsid w:val="000D2968"/>
    <w:rsid w:val="000D59A1"/>
    <w:rsid w:val="000D63B0"/>
    <w:rsid w:val="000E20D7"/>
    <w:rsid w:val="000E2835"/>
    <w:rsid w:val="000E3D42"/>
    <w:rsid w:val="000E5884"/>
    <w:rsid w:val="000F609F"/>
    <w:rsid w:val="00100DDB"/>
    <w:rsid w:val="00103244"/>
    <w:rsid w:val="0010603E"/>
    <w:rsid w:val="00106D70"/>
    <w:rsid w:val="00117428"/>
    <w:rsid w:val="00117A3C"/>
    <w:rsid w:val="0012058E"/>
    <w:rsid w:val="0012105C"/>
    <w:rsid w:val="00122BD5"/>
    <w:rsid w:val="00123616"/>
    <w:rsid w:val="00123BB7"/>
    <w:rsid w:val="001266E5"/>
    <w:rsid w:val="00126F28"/>
    <w:rsid w:val="00134D87"/>
    <w:rsid w:val="00144978"/>
    <w:rsid w:val="00145733"/>
    <w:rsid w:val="00150F09"/>
    <w:rsid w:val="00155B79"/>
    <w:rsid w:val="00160B31"/>
    <w:rsid w:val="00161485"/>
    <w:rsid w:val="0016462C"/>
    <w:rsid w:val="00167A2B"/>
    <w:rsid w:val="00172D6B"/>
    <w:rsid w:val="001808BA"/>
    <w:rsid w:val="0018467D"/>
    <w:rsid w:val="00187E8E"/>
    <w:rsid w:val="001918E9"/>
    <w:rsid w:val="001967D6"/>
    <w:rsid w:val="0019682D"/>
    <w:rsid w:val="00197120"/>
    <w:rsid w:val="001979D9"/>
    <w:rsid w:val="001A6A8A"/>
    <w:rsid w:val="001A728F"/>
    <w:rsid w:val="001B456F"/>
    <w:rsid w:val="001B47A8"/>
    <w:rsid w:val="001B7A99"/>
    <w:rsid w:val="001C00B8"/>
    <w:rsid w:val="001C14B5"/>
    <w:rsid w:val="001C28FD"/>
    <w:rsid w:val="001C4E75"/>
    <w:rsid w:val="001D1992"/>
    <w:rsid w:val="001D539A"/>
    <w:rsid w:val="001D67ED"/>
    <w:rsid w:val="001D6BCF"/>
    <w:rsid w:val="001E01CA"/>
    <w:rsid w:val="001E0315"/>
    <w:rsid w:val="001E1196"/>
    <w:rsid w:val="001F63D4"/>
    <w:rsid w:val="002060D9"/>
    <w:rsid w:val="00206CDE"/>
    <w:rsid w:val="00207425"/>
    <w:rsid w:val="00211A04"/>
    <w:rsid w:val="00214497"/>
    <w:rsid w:val="0021786A"/>
    <w:rsid w:val="00226822"/>
    <w:rsid w:val="00227082"/>
    <w:rsid w:val="002302FE"/>
    <w:rsid w:val="002309CB"/>
    <w:rsid w:val="002362C9"/>
    <w:rsid w:val="00240C1D"/>
    <w:rsid w:val="002446AC"/>
    <w:rsid w:val="0024719C"/>
    <w:rsid w:val="0025073C"/>
    <w:rsid w:val="00252577"/>
    <w:rsid w:val="00253DBB"/>
    <w:rsid w:val="00253F3E"/>
    <w:rsid w:val="00254040"/>
    <w:rsid w:val="00260594"/>
    <w:rsid w:val="002734B0"/>
    <w:rsid w:val="002800E6"/>
    <w:rsid w:val="00284F21"/>
    <w:rsid w:val="00285017"/>
    <w:rsid w:val="002864C0"/>
    <w:rsid w:val="00286EC3"/>
    <w:rsid w:val="00292AD8"/>
    <w:rsid w:val="00296EE8"/>
    <w:rsid w:val="002A21B0"/>
    <w:rsid w:val="002A2528"/>
    <w:rsid w:val="002A2D2E"/>
    <w:rsid w:val="002A3453"/>
    <w:rsid w:val="002A4402"/>
    <w:rsid w:val="002A4D8D"/>
    <w:rsid w:val="002B251B"/>
    <w:rsid w:val="002B50D4"/>
    <w:rsid w:val="002B5464"/>
    <w:rsid w:val="002B556F"/>
    <w:rsid w:val="002C035D"/>
    <w:rsid w:val="002C79F3"/>
    <w:rsid w:val="002D1A49"/>
    <w:rsid w:val="002D4BE8"/>
    <w:rsid w:val="002D59A1"/>
    <w:rsid w:val="002D63EB"/>
    <w:rsid w:val="002F38E9"/>
    <w:rsid w:val="002F4977"/>
    <w:rsid w:val="00301DFC"/>
    <w:rsid w:val="0030692E"/>
    <w:rsid w:val="003211DD"/>
    <w:rsid w:val="00327B7C"/>
    <w:rsid w:val="0033013C"/>
    <w:rsid w:val="00343749"/>
    <w:rsid w:val="00343DB7"/>
    <w:rsid w:val="00344B46"/>
    <w:rsid w:val="003467DD"/>
    <w:rsid w:val="003511E8"/>
    <w:rsid w:val="00352DD0"/>
    <w:rsid w:val="0035310A"/>
    <w:rsid w:val="00357D50"/>
    <w:rsid w:val="003611DA"/>
    <w:rsid w:val="003704A5"/>
    <w:rsid w:val="003719C7"/>
    <w:rsid w:val="00375353"/>
    <w:rsid w:val="003767D9"/>
    <w:rsid w:val="0038598E"/>
    <w:rsid w:val="00391411"/>
    <w:rsid w:val="003925DC"/>
    <w:rsid w:val="00394DDF"/>
    <w:rsid w:val="00394FFA"/>
    <w:rsid w:val="00395C5B"/>
    <w:rsid w:val="0039607E"/>
    <w:rsid w:val="0039763B"/>
    <w:rsid w:val="003A088D"/>
    <w:rsid w:val="003A4ED7"/>
    <w:rsid w:val="003B0550"/>
    <w:rsid w:val="003B0985"/>
    <w:rsid w:val="003B3913"/>
    <w:rsid w:val="003B694F"/>
    <w:rsid w:val="003B7661"/>
    <w:rsid w:val="003D3880"/>
    <w:rsid w:val="003D779A"/>
    <w:rsid w:val="003D7A39"/>
    <w:rsid w:val="003E4D52"/>
    <w:rsid w:val="003E51AD"/>
    <w:rsid w:val="003E6B8F"/>
    <w:rsid w:val="003E7824"/>
    <w:rsid w:val="003F14F3"/>
    <w:rsid w:val="003F171C"/>
    <w:rsid w:val="004043DA"/>
    <w:rsid w:val="00404A47"/>
    <w:rsid w:val="004112FA"/>
    <w:rsid w:val="00412168"/>
    <w:rsid w:val="00412FC5"/>
    <w:rsid w:val="00416A55"/>
    <w:rsid w:val="00420945"/>
    <w:rsid w:val="00422276"/>
    <w:rsid w:val="004242F1"/>
    <w:rsid w:val="00424C67"/>
    <w:rsid w:val="00426CD4"/>
    <w:rsid w:val="00426E80"/>
    <w:rsid w:val="00436527"/>
    <w:rsid w:val="00440E02"/>
    <w:rsid w:val="00441612"/>
    <w:rsid w:val="004433E3"/>
    <w:rsid w:val="00445A00"/>
    <w:rsid w:val="00451B0F"/>
    <w:rsid w:val="00452293"/>
    <w:rsid w:val="00454039"/>
    <w:rsid w:val="00454934"/>
    <w:rsid w:val="0046125F"/>
    <w:rsid w:val="00462762"/>
    <w:rsid w:val="004627A9"/>
    <w:rsid w:val="00472BE7"/>
    <w:rsid w:val="0048318E"/>
    <w:rsid w:val="00487524"/>
    <w:rsid w:val="00491DEF"/>
    <w:rsid w:val="00496106"/>
    <w:rsid w:val="00496C62"/>
    <w:rsid w:val="00497728"/>
    <w:rsid w:val="004A5890"/>
    <w:rsid w:val="004A794B"/>
    <w:rsid w:val="004B0230"/>
    <w:rsid w:val="004B36E5"/>
    <w:rsid w:val="004B52E1"/>
    <w:rsid w:val="004C12D0"/>
    <w:rsid w:val="004C2EE3"/>
    <w:rsid w:val="004C766B"/>
    <w:rsid w:val="004D0405"/>
    <w:rsid w:val="004D2C63"/>
    <w:rsid w:val="004D6384"/>
    <w:rsid w:val="004D78B8"/>
    <w:rsid w:val="004E0BD3"/>
    <w:rsid w:val="004E0D17"/>
    <w:rsid w:val="004E4A22"/>
    <w:rsid w:val="004F0CFB"/>
    <w:rsid w:val="0050151A"/>
    <w:rsid w:val="00503250"/>
    <w:rsid w:val="00503B13"/>
    <w:rsid w:val="00511968"/>
    <w:rsid w:val="00512D82"/>
    <w:rsid w:val="00515B8F"/>
    <w:rsid w:val="00515D24"/>
    <w:rsid w:val="00515E6E"/>
    <w:rsid w:val="00520ABF"/>
    <w:rsid w:val="00522132"/>
    <w:rsid w:val="0052784B"/>
    <w:rsid w:val="0053003F"/>
    <w:rsid w:val="00531598"/>
    <w:rsid w:val="00532813"/>
    <w:rsid w:val="00533DB2"/>
    <w:rsid w:val="005369D3"/>
    <w:rsid w:val="00545479"/>
    <w:rsid w:val="00546A85"/>
    <w:rsid w:val="0055056C"/>
    <w:rsid w:val="0055451F"/>
    <w:rsid w:val="0055614C"/>
    <w:rsid w:val="005563A2"/>
    <w:rsid w:val="0055709C"/>
    <w:rsid w:val="00562682"/>
    <w:rsid w:val="00563525"/>
    <w:rsid w:val="0058609E"/>
    <w:rsid w:val="00590796"/>
    <w:rsid w:val="00592CB9"/>
    <w:rsid w:val="005A093E"/>
    <w:rsid w:val="005A13F8"/>
    <w:rsid w:val="005A3338"/>
    <w:rsid w:val="005B3049"/>
    <w:rsid w:val="005B3173"/>
    <w:rsid w:val="005B3C36"/>
    <w:rsid w:val="005C3CFC"/>
    <w:rsid w:val="005C463F"/>
    <w:rsid w:val="005C66BD"/>
    <w:rsid w:val="005C6DBB"/>
    <w:rsid w:val="005D191C"/>
    <w:rsid w:val="005E29B7"/>
    <w:rsid w:val="005E2C0D"/>
    <w:rsid w:val="005E484B"/>
    <w:rsid w:val="005E5C59"/>
    <w:rsid w:val="005F2D9E"/>
    <w:rsid w:val="005F325E"/>
    <w:rsid w:val="005F3FCF"/>
    <w:rsid w:val="005F68EC"/>
    <w:rsid w:val="005F7FC1"/>
    <w:rsid w:val="0060308D"/>
    <w:rsid w:val="00603851"/>
    <w:rsid w:val="00607BA5"/>
    <w:rsid w:val="006236B3"/>
    <w:rsid w:val="00623A38"/>
    <w:rsid w:val="00623AAC"/>
    <w:rsid w:val="0062603E"/>
    <w:rsid w:val="00626312"/>
    <w:rsid w:val="00626EB6"/>
    <w:rsid w:val="006353A3"/>
    <w:rsid w:val="0063651B"/>
    <w:rsid w:val="006376FB"/>
    <w:rsid w:val="006409AB"/>
    <w:rsid w:val="00646400"/>
    <w:rsid w:val="006501BC"/>
    <w:rsid w:val="006520CD"/>
    <w:rsid w:val="006540D8"/>
    <w:rsid w:val="00655D03"/>
    <w:rsid w:val="00661C77"/>
    <w:rsid w:val="00665614"/>
    <w:rsid w:val="006708AA"/>
    <w:rsid w:val="006727B7"/>
    <w:rsid w:val="006750AE"/>
    <w:rsid w:val="0068106B"/>
    <w:rsid w:val="00683EF3"/>
    <w:rsid w:val="00683F84"/>
    <w:rsid w:val="0069123A"/>
    <w:rsid w:val="006A556E"/>
    <w:rsid w:val="006A6780"/>
    <w:rsid w:val="006A6A81"/>
    <w:rsid w:val="006A73B5"/>
    <w:rsid w:val="006B1A46"/>
    <w:rsid w:val="006B3784"/>
    <w:rsid w:val="006B6235"/>
    <w:rsid w:val="006B7D9C"/>
    <w:rsid w:val="006C02AD"/>
    <w:rsid w:val="006C19B8"/>
    <w:rsid w:val="006C2C7E"/>
    <w:rsid w:val="006C65BC"/>
    <w:rsid w:val="006D0C1A"/>
    <w:rsid w:val="006D5D2B"/>
    <w:rsid w:val="006E22F7"/>
    <w:rsid w:val="006E26AF"/>
    <w:rsid w:val="006E275D"/>
    <w:rsid w:val="006F1D68"/>
    <w:rsid w:val="006F2855"/>
    <w:rsid w:val="006F7393"/>
    <w:rsid w:val="0070224F"/>
    <w:rsid w:val="0070367A"/>
    <w:rsid w:val="007064A1"/>
    <w:rsid w:val="00710485"/>
    <w:rsid w:val="007115F7"/>
    <w:rsid w:val="00713D1F"/>
    <w:rsid w:val="00723D0A"/>
    <w:rsid w:val="00732149"/>
    <w:rsid w:val="00732CA8"/>
    <w:rsid w:val="00735094"/>
    <w:rsid w:val="00736D1B"/>
    <w:rsid w:val="00742E2D"/>
    <w:rsid w:val="007539F7"/>
    <w:rsid w:val="00754698"/>
    <w:rsid w:val="00756570"/>
    <w:rsid w:val="007701F2"/>
    <w:rsid w:val="0077623B"/>
    <w:rsid w:val="00777C18"/>
    <w:rsid w:val="00784085"/>
    <w:rsid w:val="00785689"/>
    <w:rsid w:val="00793AB4"/>
    <w:rsid w:val="00794DE5"/>
    <w:rsid w:val="0079754B"/>
    <w:rsid w:val="00797EB5"/>
    <w:rsid w:val="00797EB7"/>
    <w:rsid w:val="007A1E6D"/>
    <w:rsid w:val="007B4E8F"/>
    <w:rsid w:val="007E10C4"/>
    <w:rsid w:val="007E1107"/>
    <w:rsid w:val="007E56A8"/>
    <w:rsid w:val="007E5842"/>
    <w:rsid w:val="007F0478"/>
    <w:rsid w:val="007F6B91"/>
    <w:rsid w:val="007F7D1B"/>
    <w:rsid w:val="00806A0B"/>
    <w:rsid w:val="0081405E"/>
    <w:rsid w:val="00814214"/>
    <w:rsid w:val="008166E6"/>
    <w:rsid w:val="0082032D"/>
    <w:rsid w:val="00821143"/>
    <w:rsid w:val="00822CE0"/>
    <w:rsid w:val="008377DC"/>
    <w:rsid w:val="00837C62"/>
    <w:rsid w:val="00841AB1"/>
    <w:rsid w:val="00845C1D"/>
    <w:rsid w:val="00847343"/>
    <w:rsid w:val="00847EB6"/>
    <w:rsid w:val="008529A2"/>
    <w:rsid w:val="00855D9D"/>
    <w:rsid w:val="00857BFB"/>
    <w:rsid w:val="00863109"/>
    <w:rsid w:val="00865CCD"/>
    <w:rsid w:val="00873AE7"/>
    <w:rsid w:val="008824FF"/>
    <w:rsid w:val="00884A89"/>
    <w:rsid w:val="00887A46"/>
    <w:rsid w:val="008A0E52"/>
    <w:rsid w:val="008A2ED1"/>
    <w:rsid w:val="008B666D"/>
    <w:rsid w:val="008C22FD"/>
    <w:rsid w:val="008C2D29"/>
    <w:rsid w:val="008C3457"/>
    <w:rsid w:val="008C39E7"/>
    <w:rsid w:val="008C6B9D"/>
    <w:rsid w:val="008D633B"/>
    <w:rsid w:val="008D7FC2"/>
    <w:rsid w:val="008E43EC"/>
    <w:rsid w:val="008E6F38"/>
    <w:rsid w:val="008F0833"/>
    <w:rsid w:val="008F1581"/>
    <w:rsid w:val="008F48E9"/>
    <w:rsid w:val="008F6F0E"/>
    <w:rsid w:val="0091001B"/>
    <w:rsid w:val="00910F12"/>
    <w:rsid w:val="0091384E"/>
    <w:rsid w:val="00916382"/>
    <w:rsid w:val="00920DF6"/>
    <w:rsid w:val="00926503"/>
    <w:rsid w:val="00930ECF"/>
    <w:rsid w:val="009333AF"/>
    <w:rsid w:val="00934B5E"/>
    <w:rsid w:val="00944CB3"/>
    <w:rsid w:val="009541AB"/>
    <w:rsid w:val="00961279"/>
    <w:rsid w:val="00974C03"/>
    <w:rsid w:val="00974F6A"/>
    <w:rsid w:val="009814D8"/>
    <w:rsid w:val="009822B1"/>
    <w:rsid w:val="009838BC"/>
    <w:rsid w:val="00985B5C"/>
    <w:rsid w:val="0099020F"/>
    <w:rsid w:val="0099471E"/>
    <w:rsid w:val="00997252"/>
    <w:rsid w:val="009A3514"/>
    <w:rsid w:val="009B0D8F"/>
    <w:rsid w:val="009B1561"/>
    <w:rsid w:val="009B3755"/>
    <w:rsid w:val="009B5C55"/>
    <w:rsid w:val="009B6DD1"/>
    <w:rsid w:val="009C4BD0"/>
    <w:rsid w:val="009C6C74"/>
    <w:rsid w:val="009D39D2"/>
    <w:rsid w:val="009D5C3B"/>
    <w:rsid w:val="009E6BAD"/>
    <w:rsid w:val="009F0013"/>
    <w:rsid w:val="00A10258"/>
    <w:rsid w:val="00A152C1"/>
    <w:rsid w:val="00A2038F"/>
    <w:rsid w:val="00A21CF6"/>
    <w:rsid w:val="00A2500C"/>
    <w:rsid w:val="00A2521D"/>
    <w:rsid w:val="00A26EDB"/>
    <w:rsid w:val="00A32447"/>
    <w:rsid w:val="00A41399"/>
    <w:rsid w:val="00A45943"/>
    <w:rsid w:val="00A45F4F"/>
    <w:rsid w:val="00A54C74"/>
    <w:rsid w:val="00A5760D"/>
    <w:rsid w:val="00A600A9"/>
    <w:rsid w:val="00A6076F"/>
    <w:rsid w:val="00A61C99"/>
    <w:rsid w:val="00A653C3"/>
    <w:rsid w:val="00A66EC3"/>
    <w:rsid w:val="00A75051"/>
    <w:rsid w:val="00A815A3"/>
    <w:rsid w:val="00A81F6E"/>
    <w:rsid w:val="00A822AA"/>
    <w:rsid w:val="00A866AC"/>
    <w:rsid w:val="00A87BCE"/>
    <w:rsid w:val="00A9205A"/>
    <w:rsid w:val="00A92DEC"/>
    <w:rsid w:val="00A938C0"/>
    <w:rsid w:val="00AA0D8B"/>
    <w:rsid w:val="00AA55B7"/>
    <w:rsid w:val="00AA5B9E"/>
    <w:rsid w:val="00AB2407"/>
    <w:rsid w:val="00AB25C2"/>
    <w:rsid w:val="00AB53DF"/>
    <w:rsid w:val="00AB542C"/>
    <w:rsid w:val="00AC183D"/>
    <w:rsid w:val="00AC1DAC"/>
    <w:rsid w:val="00AC6F35"/>
    <w:rsid w:val="00AC6F50"/>
    <w:rsid w:val="00AD2EF9"/>
    <w:rsid w:val="00AD7FFA"/>
    <w:rsid w:val="00AE5D45"/>
    <w:rsid w:val="00AF5EDA"/>
    <w:rsid w:val="00AF7275"/>
    <w:rsid w:val="00B02D64"/>
    <w:rsid w:val="00B05F00"/>
    <w:rsid w:val="00B0765E"/>
    <w:rsid w:val="00B07E5C"/>
    <w:rsid w:val="00B1114A"/>
    <w:rsid w:val="00B12B31"/>
    <w:rsid w:val="00B14859"/>
    <w:rsid w:val="00B20363"/>
    <w:rsid w:val="00B25990"/>
    <w:rsid w:val="00B32581"/>
    <w:rsid w:val="00B326E3"/>
    <w:rsid w:val="00B33EE4"/>
    <w:rsid w:val="00B34857"/>
    <w:rsid w:val="00B4201C"/>
    <w:rsid w:val="00B43E7F"/>
    <w:rsid w:val="00B50A99"/>
    <w:rsid w:val="00B538BE"/>
    <w:rsid w:val="00B55C33"/>
    <w:rsid w:val="00B56102"/>
    <w:rsid w:val="00B60546"/>
    <w:rsid w:val="00B64743"/>
    <w:rsid w:val="00B6637A"/>
    <w:rsid w:val="00B67B56"/>
    <w:rsid w:val="00B71DDC"/>
    <w:rsid w:val="00B72A2C"/>
    <w:rsid w:val="00B77B94"/>
    <w:rsid w:val="00B801A7"/>
    <w:rsid w:val="00B811F7"/>
    <w:rsid w:val="00B914AA"/>
    <w:rsid w:val="00B92FC7"/>
    <w:rsid w:val="00BA3ACB"/>
    <w:rsid w:val="00BA5DC6"/>
    <w:rsid w:val="00BA6196"/>
    <w:rsid w:val="00BB3D48"/>
    <w:rsid w:val="00BC0223"/>
    <w:rsid w:val="00BC2AB1"/>
    <w:rsid w:val="00BC6D8C"/>
    <w:rsid w:val="00BC7152"/>
    <w:rsid w:val="00BD0173"/>
    <w:rsid w:val="00BD27EF"/>
    <w:rsid w:val="00BE766B"/>
    <w:rsid w:val="00BF06D1"/>
    <w:rsid w:val="00BF33EF"/>
    <w:rsid w:val="00C00AB1"/>
    <w:rsid w:val="00C016C3"/>
    <w:rsid w:val="00C16AF2"/>
    <w:rsid w:val="00C247B5"/>
    <w:rsid w:val="00C307E4"/>
    <w:rsid w:val="00C34006"/>
    <w:rsid w:val="00C426B1"/>
    <w:rsid w:val="00C45316"/>
    <w:rsid w:val="00C47665"/>
    <w:rsid w:val="00C57BD3"/>
    <w:rsid w:val="00C76AF7"/>
    <w:rsid w:val="00C82B6B"/>
    <w:rsid w:val="00C867BA"/>
    <w:rsid w:val="00C90D6A"/>
    <w:rsid w:val="00CA258C"/>
    <w:rsid w:val="00CB48B7"/>
    <w:rsid w:val="00CB4B68"/>
    <w:rsid w:val="00CB5404"/>
    <w:rsid w:val="00CC5537"/>
    <w:rsid w:val="00CC673E"/>
    <w:rsid w:val="00CC701C"/>
    <w:rsid w:val="00CC72B6"/>
    <w:rsid w:val="00CD0DFC"/>
    <w:rsid w:val="00CE0340"/>
    <w:rsid w:val="00CE236A"/>
    <w:rsid w:val="00CE2E66"/>
    <w:rsid w:val="00CF10B3"/>
    <w:rsid w:val="00CF3D86"/>
    <w:rsid w:val="00CF4EDB"/>
    <w:rsid w:val="00D0218D"/>
    <w:rsid w:val="00D0572A"/>
    <w:rsid w:val="00D06128"/>
    <w:rsid w:val="00D07109"/>
    <w:rsid w:val="00D07647"/>
    <w:rsid w:val="00D12DD7"/>
    <w:rsid w:val="00D16D81"/>
    <w:rsid w:val="00D216CD"/>
    <w:rsid w:val="00D21C7A"/>
    <w:rsid w:val="00D2384C"/>
    <w:rsid w:val="00D24716"/>
    <w:rsid w:val="00D26571"/>
    <w:rsid w:val="00D2796D"/>
    <w:rsid w:val="00D3216F"/>
    <w:rsid w:val="00D32293"/>
    <w:rsid w:val="00D32AB4"/>
    <w:rsid w:val="00D36FE7"/>
    <w:rsid w:val="00D40239"/>
    <w:rsid w:val="00D519D7"/>
    <w:rsid w:val="00D56770"/>
    <w:rsid w:val="00D60126"/>
    <w:rsid w:val="00D62A04"/>
    <w:rsid w:val="00D63093"/>
    <w:rsid w:val="00D73BE4"/>
    <w:rsid w:val="00D75872"/>
    <w:rsid w:val="00D77849"/>
    <w:rsid w:val="00D82FC3"/>
    <w:rsid w:val="00D84B11"/>
    <w:rsid w:val="00D87F66"/>
    <w:rsid w:val="00D901B2"/>
    <w:rsid w:val="00D92D29"/>
    <w:rsid w:val="00DA080A"/>
    <w:rsid w:val="00DA2529"/>
    <w:rsid w:val="00DA4965"/>
    <w:rsid w:val="00DA72D4"/>
    <w:rsid w:val="00DB130A"/>
    <w:rsid w:val="00DB3545"/>
    <w:rsid w:val="00DC10A1"/>
    <w:rsid w:val="00DC2A79"/>
    <w:rsid w:val="00DC655F"/>
    <w:rsid w:val="00DD0044"/>
    <w:rsid w:val="00DD4E6F"/>
    <w:rsid w:val="00DD69BA"/>
    <w:rsid w:val="00DD7EBD"/>
    <w:rsid w:val="00DE3AFA"/>
    <w:rsid w:val="00DE474D"/>
    <w:rsid w:val="00DF1588"/>
    <w:rsid w:val="00DF287A"/>
    <w:rsid w:val="00DF62B6"/>
    <w:rsid w:val="00DF7A3B"/>
    <w:rsid w:val="00E00126"/>
    <w:rsid w:val="00E07225"/>
    <w:rsid w:val="00E07A32"/>
    <w:rsid w:val="00E14A7D"/>
    <w:rsid w:val="00E155B7"/>
    <w:rsid w:val="00E24C6F"/>
    <w:rsid w:val="00E26C8B"/>
    <w:rsid w:val="00E32E49"/>
    <w:rsid w:val="00E4114A"/>
    <w:rsid w:val="00E429DE"/>
    <w:rsid w:val="00E45822"/>
    <w:rsid w:val="00E52602"/>
    <w:rsid w:val="00E5409F"/>
    <w:rsid w:val="00E54A93"/>
    <w:rsid w:val="00E56B04"/>
    <w:rsid w:val="00E641FB"/>
    <w:rsid w:val="00E709EB"/>
    <w:rsid w:val="00E72728"/>
    <w:rsid w:val="00E733EC"/>
    <w:rsid w:val="00E77800"/>
    <w:rsid w:val="00E8667E"/>
    <w:rsid w:val="00E86B6D"/>
    <w:rsid w:val="00E925EF"/>
    <w:rsid w:val="00E96425"/>
    <w:rsid w:val="00E972B2"/>
    <w:rsid w:val="00EA128E"/>
    <w:rsid w:val="00EA631B"/>
    <w:rsid w:val="00EB0ED9"/>
    <w:rsid w:val="00EB35F0"/>
    <w:rsid w:val="00EB4D71"/>
    <w:rsid w:val="00EC0185"/>
    <w:rsid w:val="00EC20A5"/>
    <w:rsid w:val="00ED2E84"/>
    <w:rsid w:val="00EE2B48"/>
    <w:rsid w:val="00EE2ED0"/>
    <w:rsid w:val="00EE40EC"/>
    <w:rsid w:val="00EF6F19"/>
    <w:rsid w:val="00EF73CD"/>
    <w:rsid w:val="00F021FA"/>
    <w:rsid w:val="00F02649"/>
    <w:rsid w:val="00F04F79"/>
    <w:rsid w:val="00F14692"/>
    <w:rsid w:val="00F17671"/>
    <w:rsid w:val="00F2549B"/>
    <w:rsid w:val="00F26E44"/>
    <w:rsid w:val="00F26F13"/>
    <w:rsid w:val="00F276F0"/>
    <w:rsid w:val="00F3689B"/>
    <w:rsid w:val="00F36BA1"/>
    <w:rsid w:val="00F374F8"/>
    <w:rsid w:val="00F421D7"/>
    <w:rsid w:val="00F477C6"/>
    <w:rsid w:val="00F5196D"/>
    <w:rsid w:val="00F52B15"/>
    <w:rsid w:val="00F54B0B"/>
    <w:rsid w:val="00F574A1"/>
    <w:rsid w:val="00F57ACA"/>
    <w:rsid w:val="00F61B02"/>
    <w:rsid w:val="00F62E97"/>
    <w:rsid w:val="00F64209"/>
    <w:rsid w:val="00F645B7"/>
    <w:rsid w:val="00F70A4A"/>
    <w:rsid w:val="00F75C4A"/>
    <w:rsid w:val="00F76B4B"/>
    <w:rsid w:val="00F77DA2"/>
    <w:rsid w:val="00F81919"/>
    <w:rsid w:val="00F93BF5"/>
    <w:rsid w:val="00F96F63"/>
    <w:rsid w:val="00FA559A"/>
    <w:rsid w:val="00FB1CD4"/>
    <w:rsid w:val="00FB35B4"/>
    <w:rsid w:val="00FB6BEB"/>
    <w:rsid w:val="00FB6E14"/>
    <w:rsid w:val="00FC00ED"/>
    <w:rsid w:val="00FD06E0"/>
    <w:rsid w:val="00FD226C"/>
    <w:rsid w:val="00FD2943"/>
    <w:rsid w:val="00FD2A3D"/>
    <w:rsid w:val="00FD4649"/>
    <w:rsid w:val="00FD4AFF"/>
    <w:rsid w:val="00FE50BC"/>
    <w:rsid w:val="00FF0608"/>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1E7B0D"/>
  <w15:chartTrackingRefBased/>
  <w15:docId w15:val="{44F7A55F-373B-4C26-BA05-EEDBC62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