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5C55" w:rsidP="003441C9" w14:paraId="237D3B18" w14:textId="77777777">
      <w:pPr>
        <w:ind w:left="6480" w:firstLine="720"/>
        <w:jc w:val="right"/>
        <w:rPr>
          <w:b/>
          <w:szCs w:val="22"/>
        </w:rPr>
      </w:pPr>
    </w:p>
    <w:p w:rsidR="003441C9" w:rsidRPr="00F70DD6" w:rsidP="003441C9" w14:paraId="1A11E767" w14:textId="46722188">
      <w:pPr>
        <w:ind w:left="6480" w:firstLine="720"/>
        <w:jc w:val="right"/>
        <w:rPr>
          <w:b/>
          <w:szCs w:val="22"/>
        </w:rPr>
      </w:pPr>
      <w:r>
        <w:rPr>
          <w:b/>
          <w:szCs w:val="22"/>
        </w:rPr>
        <w:t xml:space="preserve">DA </w:t>
      </w:r>
      <w:r w:rsidRPr="00131098">
        <w:rPr>
          <w:b/>
          <w:szCs w:val="22"/>
        </w:rPr>
        <w:t>22-268</w:t>
      </w:r>
    </w:p>
    <w:p w:rsidR="003441C9" w:rsidRPr="00A128DC" w:rsidP="003441C9" w14:paraId="3BE71443" w14:textId="77777777">
      <w:pPr>
        <w:spacing w:before="60"/>
        <w:jc w:val="right"/>
        <w:rPr>
          <w:b/>
          <w:szCs w:val="22"/>
        </w:rPr>
      </w:pPr>
      <w:r w:rsidRPr="00A128DC">
        <w:rPr>
          <w:b/>
          <w:szCs w:val="22"/>
        </w:rPr>
        <w:t xml:space="preserve">Released:  </w:t>
      </w:r>
      <w:r>
        <w:rPr>
          <w:b/>
          <w:szCs w:val="22"/>
        </w:rPr>
        <w:t>March 14, 2022</w:t>
      </w:r>
    </w:p>
    <w:p w:rsidR="003441C9" w:rsidRPr="00A128DC" w:rsidP="008C5C55" w14:paraId="2B0130DF" w14:textId="77777777">
      <w:pPr>
        <w:jc w:val="center"/>
        <w:rPr>
          <w:szCs w:val="22"/>
        </w:rPr>
      </w:pPr>
    </w:p>
    <w:p w:rsidR="003441C9" w:rsidRPr="003441C9" w:rsidP="003441C9" w14:paraId="67BCAF61" w14:textId="77777777">
      <w:pPr>
        <w:jc w:val="center"/>
        <w:rPr>
          <w:rFonts w:ascii="Times New Roman Bold" w:hAnsi="Times New Roman Bold"/>
          <w:b/>
          <w:caps/>
          <w:szCs w:val="22"/>
        </w:rPr>
      </w:pPr>
      <w:r w:rsidRPr="003441C9">
        <w:rPr>
          <w:rFonts w:ascii="Times New Roman Bold" w:hAnsi="Times New Roman Bold"/>
          <w:b/>
          <w:caps/>
          <w:szCs w:val="22"/>
        </w:rPr>
        <w:t>Proposed Second Quarter 2022 Universal Service Contribution Factor</w:t>
      </w:r>
    </w:p>
    <w:p w:rsidR="003441C9" w:rsidRPr="00A128DC" w:rsidP="003441C9" w14:paraId="4CA10A4F" w14:textId="77777777">
      <w:pPr>
        <w:jc w:val="center"/>
        <w:rPr>
          <w:b/>
          <w:szCs w:val="22"/>
        </w:rPr>
      </w:pPr>
    </w:p>
    <w:p w:rsidR="003441C9" w:rsidRPr="003441C9" w:rsidP="003441C9" w14:paraId="59154C05" w14:textId="77777777">
      <w:pPr>
        <w:jc w:val="center"/>
        <w:rPr>
          <w:b/>
          <w:bCs/>
          <w:szCs w:val="22"/>
        </w:rPr>
      </w:pPr>
      <w:r w:rsidRPr="003441C9">
        <w:rPr>
          <w:b/>
          <w:bCs/>
          <w:szCs w:val="22"/>
        </w:rPr>
        <w:t>CC Docket No. 96-45</w:t>
      </w:r>
    </w:p>
    <w:p w:rsidR="003441C9" w:rsidRPr="00A128DC" w:rsidP="003441C9" w14:paraId="2112350F" w14:textId="77777777">
      <w:pPr>
        <w:jc w:val="center"/>
        <w:rPr>
          <w:szCs w:val="22"/>
        </w:rPr>
      </w:pPr>
    </w:p>
    <w:p w:rsidR="003441C9" w:rsidRPr="00A128DC" w:rsidP="003441C9" w14:paraId="528A40BD" w14:textId="025C19D5">
      <w:pPr>
        <w:pStyle w:val="ParaNum"/>
        <w:numPr>
          <w:ilvl w:val="0"/>
          <w:numId w:val="0"/>
        </w:numPr>
        <w:ind w:firstLine="720"/>
      </w:pPr>
      <w:r w:rsidRPr="00A128DC">
        <w:t xml:space="preserve">In this Public Notice, the </w:t>
      </w:r>
      <w:r>
        <w:t>Office of Man</w:t>
      </w:r>
      <w:r w:rsidRPr="00CE7CEC">
        <w:t>a</w:t>
      </w:r>
      <w:r>
        <w:t xml:space="preserve">ging Director </w:t>
      </w:r>
      <w:r w:rsidRPr="00A128DC">
        <w:t>(</w:t>
      </w:r>
      <w:r>
        <w:t>OMD</w:t>
      </w:r>
      <w:r w:rsidRPr="00A128DC">
        <w:t xml:space="preserve">) announces that the proposed universal service contribution factor for the </w:t>
      </w:r>
      <w:r>
        <w:t>second</w:t>
      </w:r>
      <w:r w:rsidRPr="00BF573D">
        <w:t xml:space="preserve"> quarter of 20</w:t>
      </w:r>
      <w:r>
        <w:t>22</w:t>
      </w:r>
      <w:r w:rsidRPr="00A128DC">
        <w:t xml:space="preserve"> will </w:t>
      </w:r>
      <w:r w:rsidRPr="00CD6E19">
        <w:t xml:space="preserve">be </w:t>
      </w:r>
      <w:r w:rsidRPr="00780343">
        <w:rPr>
          <w:color w:val="000000"/>
        </w:rPr>
        <w:t>0.</w:t>
      </w:r>
      <w:r w:rsidRPr="0084712C">
        <w:t>2</w:t>
      </w:r>
      <w:r>
        <w:t>38</w:t>
      </w:r>
      <w:r w:rsidRPr="00ED4FA0">
        <w:t xml:space="preserve"> or </w:t>
      </w:r>
      <w:r w:rsidRPr="0084712C">
        <w:t>2</w:t>
      </w:r>
      <w:r>
        <w:t>3</w:t>
      </w:r>
      <w:r w:rsidRPr="0084712C">
        <w:t>.</w:t>
      </w:r>
      <w:r>
        <w:t>8</w:t>
      </w:r>
      <w:r w:rsidRPr="00A128DC">
        <w:rPr>
          <w:b/>
        </w:rPr>
        <w:t xml:space="preserve"> </w:t>
      </w:r>
      <w:r w:rsidRPr="00A128DC">
        <w:t>percent.</w:t>
      </w:r>
      <w:r>
        <w:rPr>
          <w:vertAlign w:val="superscript"/>
        </w:rPr>
        <w:footnoteReference w:id="3"/>
      </w:r>
    </w:p>
    <w:p w:rsidR="003441C9" w:rsidRPr="00A128DC" w:rsidP="008C5C55" w14:paraId="34890643" w14:textId="77777777">
      <w:pPr>
        <w:spacing w:after="120"/>
        <w:rPr>
          <w:b/>
          <w:szCs w:val="22"/>
          <w:u w:val="single"/>
        </w:rPr>
      </w:pPr>
      <w:r w:rsidRPr="00A128DC">
        <w:rPr>
          <w:b/>
          <w:szCs w:val="22"/>
          <w:u w:val="single"/>
        </w:rPr>
        <w:t>Rules for Calculating the Contribution Factor</w:t>
      </w:r>
    </w:p>
    <w:p w:rsidR="003441C9" w:rsidRPr="00A128DC" w:rsidP="003441C9" w14:paraId="379CEA49" w14:textId="2257A6D2">
      <w:pPr>
        <w:pStyle w:val="ParaNum"/>
        <w:numPr>
          <w:ilvl w:val="0"/>
          <w:numId w:val="0"/>
        </w:numPr>
        <w:ind w:firstLine="720"/>
      </w:pPr>
      <w:r w:rsidRPr="00A128DC">
        <w:t>Contributions to the federal universal service support mechanisms are determined using a quarterly contribution factor calculated by the Federal Communications Commission (Commission).</w:t>
      </w:r>
      <w:r>
        <w:rPr>
          <w:rStyle w:val="FootnoteReference"/>
          <w:szCs w:val="22"/>
        </w:rPr>
        <w:footnoteReference w:id="4"/>
      </w:r>
      <w:r w:rsidRPr="00A128DC">
        <w:t xml:space="preserve">  The Commission calculates the quarterly contribution factor based on the ratio of total projected quarterly costs of the universal service support mechanisms to contributors’ total projected collected end-user interstate and international telecommunications revenues, net of projected contributions.</w:t>
      </w:r>
      <w:r>
        <w:rPr>
          <w:vertAlign w:val="superscript"/>
        </w:rPr>
        <w:footnoteReference w:id="5"/>
      </w:r>
      <w:r w:rsidRPr="00A128DC">
        <w:t xml:space="preserve">  </w:t>
      </w:r>
    </w:p>
    <w:p w:rsidR="003441C9" w:rsidRPr="00A128DC" w:rsidP="008C5C55" w14:paraId="128004CE" w14:textId="77777777">
      <w:pPr>
        <w:spacing w:after="120"/>
        <w:rPr>
          <w:b/>
          <w:szCs w:val="22"/>
          <w:u w:val="single"/>
        </w:rPr>
      </w:pPr>
      <w:r w:rsidRPr="00A128DC">
        <w:rPr>
          <w:b/>
          <w:szCs w:val="22"/>
          <w:u w:val="single"/>
        </w:rPr>
        <w:t>USAC Projections of Demand and Administrative Expenses</w:t>
      </w:r>
    </w:p>
    <w:p w:rsidR="003441C9" w:rsidRPr="00A128DC" w:rsidP="003441C9" w14:paraId="7937E3E7" w14:textId="77777777">
      <w:pPr>
        <w:pStyle w:val="ParaNum"/>
        <w:numPr>
          <w:ilvl w:val="0"/>
          <w:numId w:val="0"/>
        </w:numPr>
        <w:ind w:firstLine="720"/>
      </w:pPr>
      <w:r w:rsidRPr="00A128DC">
        <w:t>Pursuant to section 54.709(a)(3) of the Commission’s rules,</w:t>
      </w:r>
      <w:r>
        <w:rPr>
          <w:vertAlign w:val="superscript"/>
        </w:rPr>
        <w:footnoteReference w:id="6"/>
      </w:r>
      <w:r w:rsidRPr="00A128DC">
        <w:t xml:space="preserve"> the Universal Service Administrative Company (USAC) submitted projections of demand and administrative expenses for the </w:t>
      </w:r>
      <w:r>
        <w:t>second</w:t>
      </w:r>
      <w:r w:rsidRPr="00BF573D">
        <w:t xml:space="preserve"> quarter of 20</w:t>
      </w:r>
      <w:r>
        <w:t>22</w:t>
      </w:r>
      <w:r w:rsidRPr="00A128DC">
        <w:t>.</w:t>
      </w:r>
      <w:r>
        <w:rPr>
          <w:vertAlign w:val="superscript"/>
        </w:rPr>
        <w:footnoteReference w:id="7"/>
      </w:r>
      <w:r w:rsidRPr="00A128DC">
        <w:t xml:space="preserve">  Accordingly, the projected demand and expenses are as follows:</w:t>
      </w:r>
      <w:r>
        <w:t xml:space="preserve"> </w:t>
      </w:r>
    </w:p>
    <w:p w:rsidR="003441C9" w:rsidRPr="00A128DC" w:rsidP="008C5C55" w14:paraId="702EFCB1" w14:textId="77777777">
      <w:pPr>
        <w:rPr>
          <w:szCs w:val="22"/>
        </w:rPr>
      </w:pPr>
    </w:p>
    <w:p w:rsidR="003441C9" w:rsidRPr="00A128DC" w:rsidP="003441C9" w14:paraId="55A1022B" w14:textId="77777777">
      <w:pPr>
        <w:keepNext/>
        <w:keepLines/>
        <w:spacing w:line="360" w:lineRule="auto"/>
        <w:ind w:firstLine="720"/>
        <w:jc w:val="center"/>
        <w:rPr>
          <w:szCs w:val="22"/>
        </w:rPr>
      </w:pPr>
      <w:r w:rsidRPr="00A128DC">
        <w:rPr>
          <w:szCs w:val="22"/>
        </w:rPr>
        <w:t>($ millions)</w:t>
      </w:r>
    </w:p>
    <w:tbl>
      <w:tblPr>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340"/>
        <w:gridCol w:w="1590"/>
        <w:gridCol w:w="1620"/>
        <w:gridCol w:w="1620"/>
        <w:gridCol w:w="1650"/>
      </w:tblGrid>
      <w:tr w14:paraId="0E17FFE9" w14:textId="77777777" w:rsidTr="00B46155">
        <w:tblPrEx>
          <w:tblW w:w="88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rHeight w:val="927"/>
          <w:jc w:val="right"/>
        </w:trPr>
        <w:tc>
          <w:tcPr>
            <w:tcW w:w="2340" w:type="dxa"/>
            <w:tcBorders>
              <w:top w:val="double" w:sz="6" w:space="0" w:color="auto"/>
              <w:left w:val="double" w:sz="6" w:space="0" w:color="auto"/>
              <w:bottom w:val="nil"/>
            </w:tcBorders>
          </w:tcPr>
          <w:p w:rsidR="003441C9" w:rsidP="00B46155" w14:paraId="1CDD0CCE" w14:textId="77777777">
            <w:pPr>
              <w:keepNext/>
              <w:tabs>
                <w:tab w:val="left" w:pos="0"/>
              </w:tabs>
              <w:spacing w:before="90" w:after="54" w:line="226" w:lineRule="auto"/>
              <w:jc w:val="center"/>
              <w:rPr>
                <w:szCs w:val="22"/>
              </w:rPr>
            </w:pPr>
            <w:r w:rsidRPr="00A128DC">
              <w:rPr>
                <w:szCs w:val="22"/>
              </w:rPr>
              <w:t>Program</w:t>
            </w:r>
            <w:r>
              <w:rPr>
                <w:szCs w:val="22"/>
              </w:rPr>
              <w:t xml:space="preserve"> Demand</w:t>
            </w:r>
          </w:p>
          <w:p w:rsidR="003441C9" w:rsidRPr="00A128DC" w:rsidP="00B46155" w14:paraId="674104DD" w14:textId="77777777">
            <w:pPr>
              <w:keepNext/>
              <w:tabs>
                <w:tab w:val="left" w:pos="0"/>
              </w:tabs>
              <w:spacing w:before="90" w:after="54" w:line="226" w:lineRule="auto"/>
              <w:jc w:val="center"/>
              <w:rPr>
                <w:szCs w:val="22"/>
              </w:rPr>
            </w:pPr>
          </w:p>
        </w:tc>
        <w:tc>
          <w:tcPr>
            <w:tcW w:w="1590" w:type="dxa"/>
            <w:tcBorders>
              <w:top w:val="double" w:sz="6" w:space="0" w:color="auto"/>
              <w:bottom w:val="double" w:sz="6" w:space="0" w:color="auto"/>
            </w:tcBorders>
          </w:tcPr>
          <w:p w:rsidR="003441C9" w:rsidRPr="00A128DC" w:rsidP="00B46155" w14:paraId="44647DCF" w14:textId="77777777">
            <w:pPr>
              <w:keepNext/>
              <w:tabs>
                <w:tab w:val="left" w:pos="0"/>
              </w:tabs>
              <w:spacing w:before="90" w:after="54" w:line="226" w:lineRule="auto"/>
              <w:jc w:val="center"/>
              <w:rPr>
                <w:szCs w:val="22"/>
              </w:rPr>
            </w:pPr>
            <w:r w:rsidRPr="00A128DC">
              <w:rPr>
                <w:szCs w:val="22"/>
              </w:rPr>
              <w:t>Projected Program Support</w:t>
            </w:r>
          </w:p>
        </w:tc>
        <w:tc>
          <w:tcPr>
            <w:tcW w:w="1620" w:type="dxa"/>
            <w:tcBorders>
              <w:top w:val="double" w:sz="6" w:space="0" w:color="auto"/>
              <w:bottom w:val="double" w:sz="6" w:space="0" w:color="auto"/>
            </w:tcBorders>
          </w:tcPr>
          <w:p w:rsidR="003441C9" w:rsidRPr="00A128DC" w:rsidP="00B46155" w14:paraId="5E3B3AC6" w14:textId="77777777">
            <w:pPr>
              <w:keepNext/>
              <w:tabs>
                <w:tab w:val="left" w:pos="0"/>
              </w:tabs>
              <w:spacing w:before="90" w:after="54" w:line="226" w:lineRule="auto"/>
              <w:jc w:val="center"/>
              <w:rPr>
                <w:szCs w:val="22"/>
              </w:rPr>
            </w:pPr>
            <w:r w:rsidRPr="00A128DC">
              <w:rPr>
                <w:szCs w:val="22"/>
              </w:rPr>
              <w:t>Admin. Expenses</w:t>
            </w:r>
          </w:p>
        </w:tc>
        <w:tc>
          <w:tcPr>
            <w:tcW w:w="1620" w:type="dxa"/>
            <w:tcBorders>
              <w:top w:val="double" w:sz="6" w:space="0" w:color="auto"/>
              <w:bottom w:val="double" w:sz="6" w:space="0" w:color="auto"/>
              <w:right w:val="nil"/>
            </w:tcBorders>
          </w:tcPr>
          <w:p w:rsidR="003441C9" w:rsidRPr="00A128DC" w:rsidP="00B46155" w14:paraId="214AB033" w14:textId="77777777">
            <w:pPr>
              <w:keepNext/>
              <w:tabs>
                <w:tab w:val="left" w:pos="0"/>
              </w:tabs>
              <w:spacing w:before="90" w:after="54" w:line="226" w:lineRule="auto"/>
              <w:jc w:val="center"/>
              <w:rPr>
                <w:szCs w:val="22"/>
              </w:rPr>
            </w:pPr>
            <w:r w:rsidRPr="00A128DC">
              <w:rPr>
                <w:szCs w:val="22"/>
              </w:rPr>
              <w:t>Application of True-Ups</w:t>
            </w:r>
            <w:r>
              <w:rPr>
                <w:szCs w:val="22"/>
              </w:rPr>
              <w:t xml:space="preserve"> &amp; Adjustments</w:t>
            </w:r>
          </w:p>
        </w:tc>
        <w:tc>
          <w:tcPr>
            <w:tcW w:w="1650" w:type="dxa"/>
            <w:tcBorders>
              <w:top w:val="double" w:sz="6" w:space="0" w:color="auto"/>
              <w:left w:val="double" w:sz="6" w:space="0" w:color="auto"/>
              <w:bottom w:val="nil"/>
              <w:right w:val="double" w:sz="6" w:space="0" w:color="auto"/>
            </w:tcBorders>
          </w:tcPr>
          <w:p w:rsidR="003441C9" w:rsidRPr="00A128DC" w:rsidP="00B46155" w14:paraId="49564814" w14:textId="77777777">
            <w:pPr>
              <w:keepNext/>
              <w:tabs>
                <w:tab w:val="left" w:pos="0"/>
              </w:tabs>
              <w:spacing w:before="90" w:after="54" w:line="226" w:lineRule="auto"/>
              <w:jc w:val="center"/>
              <w:rPr>
                <w:szCs w:val="22"/>
              </w:rPr>
            </w:pPr>
            <w:r w:rsidRPr="00A128DC">
              <w:rPr>
                <w:szCs w:val="22"/>
              </w:rPr>
              <w:t>Total Program Collection</w:t>
            </w:r>
            <w:r>
              <w:rPr>
                <w:szCs w:val="22"/>
              </w:rPr>
              <w:t xml:space="preserve"> (Revenue Requirement)</w:t>
            </w:r>
          </w:p>
        </w:tc>
      </w:tr>
      <w:tr w14:paraId="72CC1168" w14:textId="77777777" w:rsidTr="00B46155">
        <w:tblPrEx>
          <w:tblW w:w="8820" w:type="dxa"/>
          <w:jc w:val="right"/>
          <w:tblLayout w:type="fixed"/>
          <w:tblCellMar>
            <w:left w:w="120" w:type="dxa"/>
            <w:right w:w="120" w:type="dxa"/>
          </w:tblCellMar>
          <w:tblLook w:val="0000"/>
        </w:tblPrEx>
        <w:trPr>
          <w:trHeight w:hRule="exact" w:val="389"/>
          <w:jc w:val="right"/>
        </w:trPr>
        <w:tc>
          <w:tcPr>
            <w:tcW w:w="2340" w:type="dxa"/>
            <w:tcBorders>
              <w:top w:val="double" w:sz="6" w:space="0" w:color="auto"/>
              <w:left w:val="double" w:sz="6" w:space="0" w:color="auto"/>
              <w:bottom w:val="nil"/>
            </w:tcBorders>
            <w:vAlign w:val="bottom"/>
          </w:tcPr>
          <w:p w:rsidR="003441C9" w:rsidRPr="00A128DC" w:rsidP="00B46155" w14:paraId="49C13C8D" w14:textId="77777777">
            <w:pPr>
              <w:keepNext/>
              <w:tabs>
                <w:tab w:val="left" w:pos="0"/>
              </w:tabs>
              <w:spacing w:before="90" w:after="54" w:line="226" w:lineRule="auto"/>
              <w:jc w:val="center"/>
              <w:rPr>
                <w:szCs w:val="22"/>
              </w:rPr>
            </w:pPr>
            <w:r w:rsidRPr="00A128DC">
              <w:rPr>
                <w:szCs w:val="22"/>
              </w:rPr>
              <w:t>Schools and Libraries</w:t>
            </w:r>
          </w:p>
        </w:tc>
        <w:tc>
          <w:tcPr>
            <w:tcW w:w="1590" w:type="dxa"/>
            <w:tcBorders>
              <w:top w:val="nil"/>
            </w:tcBorders>
            <w:vAlign w:val="bottom"/>
          </w:tcPr>
          <w:p w:rsidR="003441C9" w:rsidRPr="00ED4FA0" w:rsidP="00B46155" w14:paraId="153CBBD3" w14:textId="77777777">
            <w:pPr>
              <w:jc w:val="center"/>
              <w:rPr>
                <w:szCs w:val="22"/>
              </w:rPr>
            </w:pPr>
            <w:r>
              <w:rPr>
                <w:szCs w:val="22"/>
              </w:rPr>
              <w:t xml:space="preserve">     573.39       </w:t>
            </w:r>
          </w:p>
        </w:tc>
        <w:tc>
          <w:tcPr>
            <w:tcW w:w="1620" w:type="dxa"/>
            <w:tcBorders>
              <w:top w:val="nil"/>
            </w:tcBorders>
            <w:vAlign w:val="bottom"/>
          </w:tcPr>
          <w:p w:rsidR="003441C9" w:rsidRPr="00ED4FA0" w:rsidP="00B46155" w14:paraId="55FE55E2" w14:textId="77777777">
            <w:pPr>
              <w:rPr>
                <w:szCs w:val="22"/>
              </w:rPr>
            </w:pPr>
            <w:r>
              <w:rPr>
                <w:szCs w:val="22"/>
              </w:rPr>
              <w:t xml:space="preserve">          19.26       </w:t>
            </w:r>
          </w:p>
        </w:tc>
        <w:tc>
          <w:tcPr>
            <w:tcW w:w="1620" w:type="dxa"/>
            <w:tcBorders>
              <w:top w:val="nil"/>
              <w:right w:val="nil"/>
            </w:tcBorders>
            <w:vAlign w:val="bottom"/>
          </w:tcPr>
          <w:p w:rsidR="003441C9" w:rsidRPr="00ED4FA0" w:rsidP="00B46155" w14:paraId="19319CD7" w14:textId="77777777">
            <w:pPr>
              <w:jc w:val="center"/>
              <w:rPr>
                <w:szCs w:val="22"/>
              </w:rPr>
            </w:pPr>
            <w:r>
              <w:rPr>
                <w:szCs w:val="22"/>
              </w:rPr>
              <w:t>(29.43)</w:t>
            </w:r>
          </w:p>
        </w:tc>
        <w:tc>
          <w:tcPr>
            <w:tcW w:w="1650" w:type="dxa"/>
            <w:tcBorders>
              <w:top w:val="double" w:sz="6" w:space="0" w:color="auto"/>
              <w:left w:val="double" w:sz="6" w:space="0" w:color="auto"/>
              <w:bottom w:val="single" w:sz="6" w:space="0" w:color="auto"/>
              <w:right w:val="double" w:sz="6" w:space="0" w:color="auto"/>
            </w:tcBorders>
            <w:vAlign w:val="bottom"/>
          </w:tcPr>
          <w:p w:rsidR="003441C9" w:rsidRPr="00ED4FA0" w:rsidP="00B46155" w14:paraId="1F5AA080" w14:textId="77777777">
            <w:pPr>
              <w:jc w:val="center"/>
              <w:rPr>
                <w:szCs w:val="22"/>
              </w:rPr>
            </w:pPr>
            <w:r>
              <w:rPr>
                <w:szCs w:val="22"/>
              </w:rPr>
              <w:t>563.22</w:t>
            </w:r>
          </w:p>
        </w:tc>
      </w:tr>
      <w:tr w14:paraId="6CF1D96C" w14:textId="77777777" w:rsidTr="00B46155">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3441C9" w:rsidRPr="00A128DC" w:rsidP="00B46155" w14:paraId="19C4CADB" w14:textId="77777777">
            <w:pPr>
              <w:keepNext/>
              <w:tabs>
                <w:tab w:val="left" w:pos="0"/>
              </w:tabs>
              <w:spacing w:before="90" w:after="54" w:line="226" w:lineRule="auto"/>
              <w:jc w:val="center"/>
              <w:rPr>
                <w:szCs w:val="22"/>
              </w:rPr>
            </w:pPr>
            <w:r w:rsidRPr="00A128DC">
              <w:rPr>
                <w:szCs w:val="22"/>
              </w:rPr>
              <w:t>Rural Health Care</w:t>
            </w:r>
            <w:r>
              <w:rPr>
                <w:rStyle w:val="FootnoteReference"/>
                <w:szCs w:val="22"/>
              </w:rPr>
              <w:footnoteReference w:id="8"/>
            </w:r>
          </w:p>
        </w:tc>
        <w:tc>
          <w:tcPr>
            <w:tcW w:w="1590" w:type="dxa"/>
            <w:vAlign w:val="bottom"/>
          </w:tcPr>
          <w:p w:rsidR="003441C9" w:rsidRPr="00ED4FA0" w:rsidP="00B46155" w14:paraId="2DA6E1A4" w14:textId="77777777">
            <w:pPr>
              <w:jc w:val="center"/>
              <w:rPr>
                <w:szCs w:val="22"/>
              </w:rPr>
            </w:pPr>
            <w:r>
              <w:rPr>
                <w:szCs w:val="22"/>
              </w:rPr>
              <w:t xml:space="preserve">     0</w:t>
            </w:r>
            <w:r w:rsidRPr="00ED4FA0">
              <w:rPr>
                <w:szCs w:val="22"/>
              </w:rPr>
              <w:t xml:space="preserve"> </w:t>
            </w:r>
          </w:p>
        </w:tc>
        <w:tc>
          <w:tcPr>
            <w:tcW w:w="1620" w:type="dxa"/>
            <w:vAlign w:val="bottom"/>
          </w:tcPr>
          <w:p w:rsidR="003441C9" w:rsidRPr="00ED4FA0" w:rsidP="00B46155" w14:paraId="762B1F40" w14:textId="77777777">
            <w:pPr>
              <w:jc w:val="center"/>
              <w:rPr>
                <w:szCs w:val="22"/>
              </w:rPr>
            </w:pPr>
            <w:r>
              <w:rPr>
                <w:szCs w:val="22"/>
              </w:rPr>
              <w:t xml:space="preserve">  0</w:t>
            </w:r>
          </w:p>
        </w:tc>
        <w:tc>
          <w:tcPr>
            <w:tcW w:w="1620" w:type="dxa"/>
            <w:tcBorders>
              <w:right w:val="nil"/>
            </w:tcBorders>
            <w:vAlign w:val="bottom"/>
          </w:tcPr>
          <w:p w:rsidR="003441C9" w:rsidRPr="00ED4FA0" w:rsidP="00B46155" w14:paraId="6F5ACFCF" w14:textId="77777777">
            <w:pPr>
              <w:jc w:val="center"/>
              <w:rPr>
                <w:szCs w:val="22"/>
              </w:rPr>
            </w:pPr>
            <w:r>
              <w:rPr>
                <w:szCs w:val="22"/>
              </w:rPr>
              <w:t xml:space="preserve">  (7.62)</w:t>
            </w:r>
          </w:p>
        </w:tc>
        <w:tc>
          <w:tcPr>
            <w:tcW w:w="1650" w:type="dxa"/>
            <w:tcBorders>
              <w:top w:val="nil"/>
              <w:left w:val="double" w:sz="6" w:space="0" w:color="auto"/>
              <w:bottom w:val="single" w:sz="6" w:space="0" w:color="auto"/>
              <w:right w:val="double" w:sz="6" w:space="0" w:color="auto"/>
            </w:tcBorders>
            <w:vAlign w:val="bottom"/>
          </w:tcPr>
          <w:p w:rsidR="003441C9" w:rsidRPr="00ED4FA0" w:rsidP="00B46155" w14:paraId="09E33841" w14:textId="77777777">
            <w:pPr>
              <w:jc w:val="center"/>
              <w:rPr>
                <w:szCs w:val="22"/>
              </w:rPr>
            </w:pPr>
            <w:r>
              <w:rPr>
                <w:szCs w:val="22"/>
              </w:rPr>
              <w:t xml:space="preserve">    (7.62)</w:t>
            </w:r>
          </w:p>
        </w:tc>
      </w:tr>
      <w:tr w14:paraId="5F73DD08" w14:textId="77777777" w:rsidTr="00B46155">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3441C9" w:rsidRPr="00A128DC" w:rsidP="00B46155" w14:paraId="152EECD6" w14:textId="77777777">
            <w:pPr>
              <w:keepNext/>
              <w:tabs>
                <w:tab w:val="left" w:pos="0"/>
              </w:tabs>
              <w:spacing w:before="90" w:after="54" w:line="226" w:lineRule="auto"/>
              <w:jc w:val="center"/>
              <w:rPr>
                <w:szCs w:val="22"/>
              </w:rPr>
            </w:pPr>
            <w:r w:rsidRPr="00A128DC">
              <w:rPr>
                <w:szCs w:val="22"/>
              </w:rPr>
              <w:t>High-Cost</w:t>
            </w:r>
          </w:p>
        </w:tc>
        <w:tc>
          <w:tcPr>
            <w:tcW w:w="1590" w:type="dxa"/>
            <w:vAlign w:val="bottom"/>
          </w:tcPr>
          <w:p w:rsidR="003441C9" w:rsidRPr="00ED4FA0" w:rsidP="00B46155" w14:paraId="44409719" w14:textId="77777777">
            <w:pPr>
              <w:jc w:val="center"/>
              <w:rPr>
                <w:szCs w:val="22"/>
              </w:rPr>
            </w:pPr>
            <w:r>
              <w:rPr>
                <w:szCs w:val="22"/>
              </w:rPr>
              <w:t xml:space="preserve">     999.62</w:t>
            </w:r>
          </w:p>
        </w:tc>
        <w:tc>
          <w:tcPr>
            <w:tcW w:w="1620" w:type="dxa"/>
            <w:vAlign w:val="bottom"/>
          </w:tcPr>
          <w:p w:rsidR="003441C9" w:rsidRPr="00ED4FA0" w:rsidP="00B46155" w14:paraId="7CF16D40" w14:textId="77777777">
            <w:pPr>
              <w:jc w:val="center"/>
              <w:rPr>
                <w:szCs w:val="22"/>
              </w:rPr>
            </w:pPr>
            <w:r>
              <w:rPr>
                <w:szCs w:val="22"/>
              </w:rPr>
              <w:t xml:space="preserve">   15.25</w:t>
            </w:r>
          </w:p>
        </w:tc>
        <w:tc>
          <w:tcPr>
            <w:tcW w:w="1620" w:type="dxa"/>
            <w:tcBorders>
              <w:right w:val="nil"/>
            </w:tcBorders>
            <w:vAlign w:val="bottom"/>
          </w:tcPr>
          <w:p w:rsidR="003441C9" w:rsidRPr="00ED4FA0" w:rsidP="00B46155" w14:paraId="54F921EA" w14:textId="77777777">
            <w:pPr>
              <w:rPr>
                <w:szCs w:val="22"/>
              </w:rPr>
            </w:pPr>
            <w:r>
              <w:rPr>
                <w:szCs w:val="22"/>
              </w:rPr>
              <w:t xml:space="preserve">     (134.73)</w:t>
            </w:r>
          </w:p>
        </w:tc>
        <w:tc>
          <w:tcPr>
            <w:tcW w:w="1650" w:type="dxa"/>
            <w:tcBorders>
              <w:top w:val="nil"/>
              <w:left w:val="double" w:sz="6" w:space="0" w:color="auto"/>
              <w:bottom w:val="single" w:sz="6" w:space="0" w:color="auto"/>
              <w:right w:val="double" w:sz="6" w:space="0" w:color="auto"/>
            </w:tcBorders>
            <w:vAlign w:val="bottom"/>
          </w:tcPr>
          <w:p w:rsidR="003441C9" w:rsidRPr="00ED4FA0" w:rsidP="00B46155" w14:paraId="7496FCF9" w14:textId="77777777">
            <w:pPr>
              <w:rPr>
                <w:szCs w:val="22"/>
              </w:rPr>
            </w:pPr>
            <w:r>
              <w:rPr>
                <w:szCs w:val="22"/>
              </w:rPr>
              <w:t xml:space="preserve">       880.14</w:t>
            </w:r>
          </w:p>
        </w:tc>
      </w:tr>
      <w:tr w14:paraId="5F3A45ED" w14:textId="77777777" w:rsidTr="00B46155">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3441C9" w:rsidRPr="00A128DC" w:rsidP="00B46155" w14:paraId="7AF3706B" w14:textId="77777777">
            <w:pPr>
              <w:keepNext/>
              <w:tabs>
                <w:tab w:val="left" w:pos="0"/>
              </w:tabs>
              <w:spacing w:before="90" w:after="54" w:line="226" w:lineRule="auto"/>
              <w:jc w:val="center"/>
              <w:rPr>
                <w:szCs w:val="22"/>
              </w:rPr>
            </w:pPr>
            <w:r w:rsidRPr="00A128DC">
              <w:rPr>
                <w:szCs w:val="22"/>
              </w:rPr>
              <w:t>L</w:t>
            </w:r>
            <w:r>
              <w:rPr>
                <w:szCs w:val="22"/>
              </w:rPr>
              <w:t>ifeline</w:t>
            </w:r>
          </w:p>
        </w:tc>
        <w:tc>
          <w:tcPr>
            <w:tcW w:w="1590" w:type="dxa"/>
            <w:tcBorders>
              <w:bottom w:val="nil"/>
            </w:tcBorders>
            <w:vAlign w:val="bottom"/>
          </w:tcPr>
          <w:p w:rsidR="003441C9" w:rsidRPr="00ED4FA0" w:rsidP="00B46155" w14:paraId="682CA404" w14:textId="77777777">
            <w:pPr>
              <w:jc w:val="center"/>
              <w:rPr>
                <w:szCs w:val="22"/>
              </w:rPr>
            </w:pPr>
            <w:r>
              <w:rPr>
                <w:szCs w:val="22"/>
              </w:rPr>
              <w:t xml:space="preserve">     277.76</w:t>
            </w:r>
          </w:p>
        </w:tc>
        <w:tc>
          <w:tcPr>
            <w:tcW w:w="1620" w:type="dxa"/>
            <w:tcBorders>
              <w:bottom w:val="nil"/>
            </w:tcBorders>
            <w:vAlign w:val="bottom"/>
          </w:tcPr>
          <w:p w:rsidR="003441C9" w:rsidRPr="00ED4FA0" w:rsidP="00B46155" w14:paraId="139D2411" w14:textId="77777777">
            <w:pPr>
              <w:jc w:val="center"/>
              <w:rPr>
                <w:szCs w:val="22"/>
              </w:rPr>
            </w:pPr>
            <w:r>
              <w:rPr>
                <w:szCs w:val="22"/>
              </w:rPr>
              <w:t xml:space="preserve">    15.69</w:t>
            </w:r>
          </w:p>
        </w:tc>
        <w:tc>
          <w:tcPr>
            <w:tcW w:w="1620" w:type="dxa"/>
            <w:tcBorders>
              <w:bottom w:val="nil"/>
              <w:right w:val="nil"/>
            </w:tcBorders>
            <w:vAlign w:val="bottom"/>
          </w:tcPr>
          <w:p w:rsidR="003441C9" w:rsidRPr="00ED4FA0" w:rsidP="00B46155" w14:paraId="0E7D6843" w14:textId="77777777">
            <w:pPr>
              <w:rPr>
                <w:szCs w:val="22"/>
              </w:rPr>
            </w:pPr>
            <w:r>
              <w:rPr>
                <w:szCs w:val="22"/>
              </w:rPr>
              <w:t xml:space="preserve">       (72.98)</w:t>
            </w:r>
          </w:p>
        </w:tc>
        <w:tc>
          <w:tcPr>
            <w:tcW w:w="1650" w:type="dxa"/>
            <w:tcBorders>
              <w:top w:val="single" w:sz="6" w:space="0" w:color="auto"/>
              <w:left w:val="double" w:sz="6" w:space="0" w:color="auto"/>
              <w:bottom w:val="single" w:sz="4" w:space="0" w:color="auto"/>
              <w:right w:val="double" w:sz="6" w:space="0" w:color="auto"/>
            </w:tcBorders>
            <w:vAlign w:val="bottom"/>
          </w:tcPr>
          <w:p w:rsidR="003441C9" w:rsidRPr="00ED4FA0" w:rsidP="00B46155" w14:paraId="7C157BC6" w14:textId="77777777">
            <w:pPr>
              <w:jc w:val="center"/>
              <w:rPr>
                <w:szCs w:val="22"/>
              </w:rPr>
            </w:pPr>
            <w:r>
              <w:rPr>
                <w:szCs w:val="22"/>
              </w:rPr>
              <w:t>220.47</w:t>
            </w:r>
          </w:p>
        </w:tc>
      </w:tr>
      <w:tr w14:paraId="31918CBF" w14:textId="77777777" w:rsidTr="00B46155">
        <w:tblPrEx>
          <w:tblW w:w="8820" w:type="dxa"/>
          <w:jc w:val="right"/>
          <w:tblLayout w:type="fixed"/>
          <w:tblCellMar>
            <w:left w:w="120" w:type="dxa"/>
            <w:right w:w="120" w:type="dxa"/>
          </w:tblCellMar>
          <w:tblLook w:val="0000"/>
        </w:tblPrEx>
        <w:trPr>
          <w:trHeight w:hRule="exact" w:val="389"/>
          <w:jc w:val="right"/>
        </w:trPr>
        <w:tc>
          <w:tcPr>
            <w:tcW w:w="2340" w:type="dxa"/>
            <w:tcBorders>
              <w:top w:val="single" w:sz="6" w:space="0" w:color="auto"/>
              <w:left w:val="double" w:sz="6" w:space="0" w:color="auto"/>
              <w:bottom w:val="nil"/>
            </w:tcBorders>
            <w:vAlign w:val="bottom"/>
          </w:tcPr>
          <w:p w:rsidR="003441C9" w:rsidRPr="00A128DC" w:rsidP="00B46155" w14:paraId="59997D9F" w14:textId="77777777">
            <w:pPr>
              <w:keepNext/>
              <w:tabs>
                <w:tab w:val="left" w:pos="0"/>
              </w:tabs>
              <w:spacing w:before="90" w:after="54" w:line="226" w:lineRule="auto"/>
              <w:jc w:val="center"/>
              <w:rPr>
                <w:szCs w:val="22"/>
              </w:rPr>
            </w:pPr>
            <w:r>
              <w:rPr>
                <w:szCs w:val="22"/>
              </w:rPr>
              <w:t>Connected Care</w:t>
            </w:r>
          </w:p>
        </w:tc>
        <w:tc>
          <w:tcPr>
            <w:tcW w:w="1590" w:type="dxa"/>
            <w:tcBorders>
              <w:bottom w:val="nil"/>
            </w:tcBorders>
            <w:vAlign w:val="bottom"/>
          </w:tcPr>
          <w:p w:rsidR="003441C9" w:rsidP="00B46155" w14:paraId="70752582" w14:textId="77777777">
            <w:pPr>
              <w:jc w:val="center"/>
              <w:rPr>
                <w:szCs w:val="22"/>
              </w:rPr>
            </w:pPr>
            <w:r>
              <w:rPr>
                <w:szCs w:val="22"/>
              </w:rPr>
              <w:t xml:space="preserve">         8.33</w:t>
            </w:r>
          </w:p>
        </w:tc>
        <w:tc>
          <w:tcPr>
            <w:tcW w:w="1620" w:type="dxa"/>
            <w:tcBorders>
              <w:bottom w:val="nil"/>
            </w:tcBorders>
            <w:vAlign w:val="bottom"/>
          </w:tcPr>
          <w:p w:rsidR="003441C9" w:rsidP="00B46155" w14:paraId="592CE9E1" w14:textId="77777777">
            <w:pPr>
              <w:jc w:val="center"/>
              <w:rPr>
                <w:szCs w:val="22"/>
              </w:rPr>
            </w:pPr>
            <w:r>
              <w:rPr>
                <w:szCs w:val="22"/>
              </w:rPr>
              <w:t xml:space="preserve">     0.07</w:t>
            </w:r>
          </w:p>
        </w:tc>
        <w:tc>
          <w:tcPr>
            <w:tcW w:w="1620" w:type="dxa"/>
            <w:tcBorders>
              <w:bottom w:val="nil"/>
              <w:right w:val="nil"/>
            </w:tcBorders>
            <w:vAlign w:val="bottom"/>
          </w:tcPr>
          <w:p w:rsidR="003441C9" w:rsidRPr="00ED4FA0" w:rsidP="00B46155" w14:paraId="2B154E1B" w14:textId="77777777">
            <w:pPr>
              <w:jc w:val="center"/>
              <w:rPr>
                <w:szCs w:val="22"/>
              </w:rPr>
            </w:pPr>
            <w:r>
              <w:rPr>
                <w:szCs w:val="22"/>
              </w:rPr>
              <w:t xml:space="preserve"> 0.59</w:t>
            </w:r>
          </w:p>
        </w:tc>
        <w:tc>
          <w:tcPr>
            <w:tcW w:w="1650" w:type="dxa"/>
            <w:tcBorders>
              <w:top w:val="single" w:sz="4" w:space="0" w:color="auto"/>
              <w:left w:val="double" w:sz="6" w:space="0" w:color="auto"/>
              <w:bottom w:val="nil"/>
              <w:right w:val="double" w:sz="6" w:space="0" w:color="auto"/>
            </w:tcBorders>
            <w:vAlign w:val="bottom"/>
          </w:tcPr>
          <w:p w:rsidR="003441C9" w:rsidP="00B46155" w14:paraId="6B6234D4" w14:textId="77777777">
            <w:pPr>
              <w:jc w:val="center"/>
              <w:rPr>
                <w:szCs w:val="22"/>
              </w:rPr>
            </w:pPr>
            <w:r>
              <w:rPr>
                <w:szCs w:val="22"/>
              </w:rPr>
              <w:t xml:space="preserve">   7.81</w:t>
            </w:r>
          </w:p>
        </w:tc>
      </w:tr>
      <w:tr w14:paraId="6A8180D1" w14:textId="77777777" w:rsidTr="00B46155">
        <w:tblPrEx>
          <w:tblW w:w="8820" w:type="dxa"/>
          <w:jc w:val="right"/>
          <w:tblLayout w:type="fixed"/>
          <w:tblCellMar>
            <w:left w:w="120" w:type="dxa"/>
            <w:right w:w="120" w:type="dxa"/>
          </w:tblCellMar>
          <w:tblLook w:val="0000"/>
        </w:tblPrEx>
        <w:trPr>
          <w:trHeight w:hRule="exact" w:val="432"/>
          <w:jc w:val="right"/>
        </w:trPr>
        <w:tc>
          <w:tcPr>
            <w:tcW w:w="2340" w:type="dxa"/>
            <w:tcBorders>
              <w:top w:val="double" w:sz="6" w:space="0" w:color="auto"/>
              <w:left w:val="double" w:sz="6" w:space="0" w:color="auto"/>
              <w:bottom w:val="double" w:sz="6" w:space="0" w:color="auto"/>
            </w:tcBorders>
            <w:vAlign w:val="bottom"/>
          </w:tcPr>
          <w:p w:rsidR="003441C9" w:rsidRPr="00A128DC" w:rsidP="00B46155" w14:paraId="37D14C3C" w14:textId="77777777">
            <w:pPr>
              <w:pStyle w:val="FootnoteText"/>
              <w:keepNext/>
              <w:tabs>
                <w:tab w:val="left" w:pos="0"/>
              </w:tabs>
              <w:spacing w:before="90" w:after="54" w:line="226" w:lineRule="auto"/>
              <w:jc w:val="center"/>
              <w:rPr>
                <w:szCs w:val="22"/>
              </w:rPr>
            </w:pPr>
            <w:r w:rsidRPr="00A128DC">
              <w:rPr>
                <w:szCs w:val="22"/>
              </w:rPr>
              <w:t>TOTAL</w:t>
            </w:r>
          </w:p>
        </w:tc>
        <w:tc>
          <w:tcPr>
            <w:tcW w:w="1590" w:type="dxa"/>
            <w:tcBorders>
              <w:top w:val="double" w:sz="6" w:space="0" w:color="auto"/>
              <w:bottom w:val="double" w:sz="6" w:space="0" w:color="auto"/>
            </w:tcBorders>
            <w:vAlign w:val="bottom"/>
          </w:tcPr>
          <w:p w:rsidR="003441C9" w:rsidRPr="00ED4FA0" w:rsidP="00B46155" w14:paraId="73667342" w14:textId="77777777">
            <w:pPr>
              <w:jc w:val="center"/>
              <w:rPr>
                <w:szCs w:val="22"/>
              </w:rPr>
            </w:pPr>
            <w:r>
              <w:rPr>
                <w:szCs w:val="22"/>
              </w:rPr>
              <w:t xml:space="preserve">  1,859.10</w:t>
            </w:r>
          </w:p>
        </w:tc>
        <w:tc>
          <w:tcPr>
            <w:tcW w:w="1620" w:type="dxa"/>
            <w:tcBorders>
              <w:top w:val="double" w:sz="6" w:space="0" w:color="auto"/>
              <w:bottom w:val="double" w:sz="6" w:space="0" w:color="auto"/>
            </w:tcBorders>
            <w:vAlign w:val="bottom"/>
          </w:tcPr>
          <w:p w:rsidR="003441C9" w:rsidRPr="00ED4FA0" w:rsidP="00B46155" w14:paraId="3C60A689" w14:textId="77777777">
            <w:pPr>
              <w:jc w:val="center"/>
              <w:rPr>
                <w:szCs w:val="22"/>
              </w:rPr>
            </w:pPr>
            <w:r>
              <w:rPr>
                <w:szCs w:val="22"/>
              </w:rPr>
              <w:t xml:space="preserve">   50.27</w:t>
            </w:r>
          </w:p>
        </w:tc>
        <w:tc>
          <w:tcPr>
            <w:tcW w:w="1620" w:type="dxa"/>
            <w:tcBorders>
              <w:top w:val="double" w:sz="6" w:space="0" w:color="auto"/>
              <w:bottom w:val="double" w:sz="6" w:space="0" w:color="auto"/>
              <w:right w:val="nil"/>
            </w:tcBorders>
            <w:vAlign w:val="bottom"/>
          </w:tcPr>
          <w:p w:rsidR="003441C9" w:rsidRPr="00ED4FA0" w:rsidP="00B46155" w14:paraId="62E19D79" w14:textId="77777777">
            <w:pPr>
              <w:rPr>
                <w:szCs w:val="22"/>
              </w:rPr>
            </w:pPr>
            <w:r>
              <w:rPr>
                <w:szCs w:val="22"/>
              </w:rPr>
              <w:t xml:space="preserve">     (245.35)</w:t>
            </w:r>
            <w:r w:rsidRPr="00ED4FA0">
              <w:rPr>
                <w:szCs w:val="22"/>
              </w:rPr>
              <w:t xml:space="preserve">      </w:t>
            </w:r>
          </w:p>
        </w:tc>
        <w:tc>
          <w:tcPr>
            <w:tcW w:w="1650" w:type="dxa"/>
            <w:tcBorders>
              <w:top w:val="double" w:sz="6" w:space="0" w:color="auto"/>
              <w:left w:val="double" w:sz="6" w:space="0" w:color="auto"/>
              <w:bottom w:val="double" w:sz="6" w:space="0" w:color="auto"/>
              <w:right w:val="double" w:sz="6" w:space="0" w:color="auto"/>
            </w:tcBorders>
            <w:vAlign w:val="bottom"/>
          </w:tcPr>
          <w:p w:rsidR="003441C9" w:rsidRPr="00ED4FA0" w:rsidP="00B46155" w14:paraId="046324A5" w14:textId="77777777">
            <w:pPr>
              <w:rPr>
                <w:szCs w:val="22"/>
              </w:rPr>
            </w:pPr>
            <w:r>
              <w:rPr>
                <w:szCs w:val="22"/>
              </w:rPr>
              <w:t xml:space="preserve">    1,664.02 </w:t>
            </w:r>
          </w:p>
        </w:tc>
      </w:tr>
    </w:tbl>
    <w:p w:rsidR="003441C9" w:rsidRPr="00A128DC" w:rsidP="003441C9" w14:paraId="0537B895" w14:textId="77777777">
      <w:pPr>
        <w:rPr>
          <w:b/>
          <w:szCs w:val="22"/>
          <w:u w:val="single"/>
        </w:rPr>
      </w:pPr>
    </w:p>
    <w:p w:rsidR="003441C9" w:rsidRPr="00A128DC" w:rsidP="008C5C55" w14:paraId="45B0D9C3" w14:textId="15B8EFF6">
      <w:pPr>
        <w:spacing w:after="120"/>
        <w:rPr>
          <w:b/>
          <w:szCs w:val="22"/>
          <w:u w:val="single"/>
        </w:rPr>
      </w:pPr>
      <w:r w:rsidRPr="00A128DC">
        <w:rPr>
          <w:b/>
          <w:szCs w:val="22"/>
          <w:u w:val="single"/>
        </w:rPr>
        <w:t>USAC Projections of Industry Revenues</w:t>
      </w:r>
      <w:r>
        <w:rPr>
          <w:b/>
          <w:szCs w:val="22"/>
          <w:u w:val="single"/>
        </w:rPr>
        <w:t xml:space="preserve"> </w:t>
      </w:r>
    </w:p>
    <w:p w:rsidR="003441C9" w:rsidRPr="00A128DC" w:rsidP="003441C9" w14:paraId="64FA4919" w14:textId="72DA7B38">
      <w:pPr>
        <w:pStyle w:val="ParaNum"/>
        <w:numPr>
          <w:ilvl w:val="0"/>
          <w:numId w:val="0"/>
        </w:numPr>
        <w:ind w:firstLine="720"/>
      </w:pPr>
      <w:r w:rsidRPr="00A128DC">
        <w:t xml:space="preserve">USAC submitted projected collected end-user telecommunications revenues for </w:t>
      </w:r>
      <w:r>
        <w:t>April 2022 through June</w:t>
      </w:r>
      <w:r w:rsidRPr="00070D90">
        <w:rPr>
          <w:color w:val="FF0000"/>
        </w:rPr>
        <w:t xml:space="preserve"> </w:t>
      </w:r>
      <w:r w:rsidRPr="00BF573D">
        <w:t>20</w:t>
      </w:r>
      <w:r>
        <w:t xml:space="preserve">22 </w:t>
      </w:r>
      <w:r w:rsidRPr="00A128DC">
        <w:t xml:space="preserve">based on information contained in the </w:t>
      </w:r>
      <w:r>
        <w:t xml:space="preserve">Second </w:t>
      </w:r>
      <w:r w:rsidRPr="00BF573D">
        <w:t>Quarter 20</w:t>
      </w:r>
      <w:r>
        <w:t>22 T</w:t>
      </w:r>
      <w:r w:rsidRPr="00A128DC">
        <w:t>elecommunications Reporting Worksheet (FCC Form 499-Q).</w:t>
      </w:r>
      <w:r>
        <w:rPr>
          <w:rStyle w:val="FootnoteReference"/>
          <w:szCs w:val="22"/>
        </w:rPr>
        <w:footnoteReference w:id="9"/>
      </w:r>
      <w:r w:rsidRPr="00A128DC">
        <w:t xml:space="preserve">  The amount is as follows:</w:t>
      </w:r>
    </w:p>
    <w:p w:rsidR="003441C9" w:rsidRPr="00A128DC" w:rsidP="008C5C55" w14:paraId="73909A75" w14:textId="77777777">
      <w:pPr>
        <w:spacing w:after="120"/>
        <w:ind w:left="720"/>
        <w:rPr>
          <w:szCs w:val="22"/>
        </w:rPr>
      </w:pPr>
      <w:r w:rsidRPr="00A128DC">
        <w:rPr>
          <w:szCs w:val="22"/>
        </w:rPr>
        <w:t xml:space="preserve">Total Projected Collected Interstate and International End-User Telecommunications Revenues for </w:t>
      </w:r>
      <w:r>
        <w:rPr>
          <w:szCs w:val="22"/>
        </w:rPr>
        <w:t xml:space="preserve">Second </w:t>
      </w:r>
      <w:r w:rsidRPr="00BF573D">
        <w:rPr>
          <w:szCs w:val="22"/>
        </w:rPr>
        <w:t>Quarter 20</w:t>
      </w:r>
      <w:r>
        <w:rPr>
          <w:szCs w:val="22"/>
        </w:rPr>
        <w:t>22</w:t>
      </w:r>
      <w:r w:rsidRPr="00BF573D">
        <w:rPr>
          <w:szCs w:val="22"/>
        </w:rPr>
        <w:t>:  $</w:t>
      </w:r>
      <w:r>
        <w:rPr>
          <w:szCs w:val="22"/>
        </w:rPr>
        <w:t>8</w:t>
      </w:r>
      <w:r w:rsidRPr="00780343">
        <w:rPr>
          <w:color w:val="000000"/>
          <w:szCs w:val="22"/>
        </w:rPr>
        <w:t>.</w:t>
      </w:r>
      <w:r>
        <w:rPr>
          <w:color w:val="000000"/>
          <w:szCs w:val="22"/>
        </w:rPr>
        <w:t>751403</w:t>
      </w:r>
      <w:r w:rsidRPr="002666FF">
        <w:rPr>
          <w:color w:val="FF0000"/>
          <w:szCs w:val="22"/>
        </w:rPr>
        <w:t xml:space="preserve"> </w:t>
      </w:r>
      <w:r w:rsidRPr="00A128DC">
        <w:rPr>
          <w:szCs w:val="22"/>
        </w:rPr>
        <w:t>billion.</w:t>
      </w:r>
    </w:p>
    <w:p w:rsidR="003441C9" w:rsidRPr="00A128DC" w:rsidP="008C5C55" w14:paraId="5EFE2247" w14:textId="77777777">
      <w:pPr>
        <w:spacing w:after="120"/>
        <w:rPr>
          <w:b/>
          <w:szCs w:val="22"/>
          <w:u w:val="single"/>
        </w:rPr>
      </w:pPr>
      <w:r w:rsidRPr="00A128DC">
        <w:rPr>
          <w:b/>
          <w:szCs w:val="22"/>
          <w:u w:val="single"/>
        </w:rPr>
        <w:t>Adjusted Contribution Base</w:t>
      </w:r>
    </w:p>
    <w:p w:rsidR="003441C9" w:rsidRPr="00BF573D" w:rsidP="003441C9" w14:paraId="0619E2C5" w14:textId="77777777">
      <w:pPr>
        <w:pStyle w:val="ParaNum"/>
        <w:numPr>
          <w:ilvl w:val="0"/>
          <w:numId w:val="0"/>
        </w:numPr>
        <w:ind w:firstLine="720"/>
      </w:pPr>
      <w:r w:rsidRPr="00A128DC">
        <w:t xml:space="preserve">To determine the quarterly contribution base, we </w:t>
      </w:r>
      <w:r w:rsidRPr="00DE66A3">
        <w:t>decrease</w:t>
      </w:r>
      <w:r w:rsidRPr="00DE66A3">
        <w:rPr>
          <w:color w:val="FF0000"/>
        </w:rPr>
        <w:t xml:space="preserve"> </w:t>
      </w:r>
      <w:r w:rsidRPr="00A128DC">
        <w:t>the</w:t>
      </w:r>
      <w:r>
        <w:t xml:space="preserve"> second q</w:t>
      </w:r>
      <w:r w:rsidRPr="00BF573D">
        <w:t>uarter 20</w:t>
      </w:r>
      <w:r>
        <w:t>22</w:t>
      </w:r>
      <w:r w:rsidRPr="00A128DC">
        <w:t xml:space="preserve"> estimate of projected collected interstate and international end-user telecommunications revenues by the projected revenue requirement to account for circularity</w:t>
      </w:r>
      <w:r>
        <w:t xml:space="preserve"> </w:t>
      </w:r>
      <w:r w:rsidRPr="00A128DC">
        <w:t xml:space="preserve">and decrease the result by one percent to account for uncollectible contributions.  Accordingly, the quarterly contribution base for </w:t>
      </w:r>
      <w:r w:rsidRPr="00BF573D">
        <w:t xml:space="preserve">the </w:t>
      </w:r>
      <w:r>
        <w:t>second</w:t>
      </w:r>
      <w:r w:rsidRPr="00BF573D">
        <w:t xml:space="preserve"> quarter of 20</w:t>
      </w:r>
      <w:r>
        <w:t xml:space="preserve">22 </w:t>
      </w:r>
      <w:r w:rsidRPr="00A128DC">
        <w:t>is as follows:</w:t>
      </w:r>
    </w:p>
    <w:p w:rsidR="003441C9" w:rsidRPr="00A128DC" w:rsidP="003441C9" w14:paraId="44D91E35" w14:textId="77777777">
      <w:pPr>
        <w:pStyle w:val="ParaNum"/>
        <w:numPr>
          <w:ilvl w:val="0"/>
          <w:numId w:val="0"/>
        </w:numPr>
        <w:ind w:firstLine="720"/>
      </w:pPr>
      <w:r w:rsidRPr="00A128DC">
        <w:t>Adjusted Quarterly Contribution Base for Universal Service Support Mechanism</w:t>
      </w:r>
    </w:p>
    <w:p w:rsidR="003441C9" w:rsidRPr="00A128DC" w:rsidP="008C5C55" w14:paraId="438415B6" w14:textId="77777777">
      <w:pPr>
        <w:spacing w:after="120"/>
        <w:ind w:firstLine="720"/>
        <w:rPr>
          <w:szCs w:val="22"/>
        </w:rPr>
      </w:pPr>
      <w:r w:rsidRPr="00DE7F07">
        <w:rPr>
          <w:szCs w:val="22"/>
        </w:rPr>
        <w:t>(</w:t>
      </w:r>
      <w:r>
        <w:rPr>
          <w:szCs w:val="22"/>
        </w:rPr>
        <w:t>Second</w:t>
      </w:r>
      <w:r w:rsidRPr="00BF573D">
        <w:rPr>
          <w:szCs w:val="22"/>
        </w:rPr>
        <w:t xml:space="preserve"> Quarter 20</w:t>
      </w:r>
      <w:r>
        <w:rPr>
          <w:szCs w:val="22"/>
        </w:rPr>
        <w:t>22</w:t>
      </w:r>
      <w:r w:rsidRPr="00A128DC">
        <w:rPr>
          <w:szCs w:val="22"/>
        </w:rPr>
        <w:t xml:space="preserve"> Revenues - Projected Revenue Requirement</w:t>
      </w:r>
      <w:r w:rsidRPr="00DE7F07">
        <w:rPr>
          <w:szCs w:val="22"/>
        </w:rPr>
        <w:t>) * (100%</w:t>
      </w:r>
      <w:r>
        <w:rPr>
          <w:szCs w:val="22"/>
        </w:rPr>
        <w:t xml:space="preserve"> </w:t>
      </w:r>
      <w:r w:rsidRPr="00DE7F07">
        <w:rPr>
          <w:szCs w:val="22"/>
        </w:rPr>
        <w:t>-</w:t>
      </w:r>
      <w:r>
        <w:rPr>
          <w:szCs w:val="22"/>
        </w:rPr>
        <w:t xml:space="preserve"> </w:t>
      </w:r>
      <w:r w:rsidRPr="00DE7F07">
        <w:rPr>
          <w:szCs w:val="22"/>
        </w:rPr>
        <w:t>1%)</w:t>
      </w:r>
    </w:p>
    <w:p w:rsidR="003441C9" w:rsidRPr="00A128DC" w:rsidP="008C5C55" w14:paraId="1C3B83B5" w14:textId="77777777">
      <w:pPr>
        <w:spacing w:after="120"/>
        <w:ind w:left="1440"/>
        <w:rPr>
          <w:szCs w:val="22"/>
        </w:rPr>
      </w:pPr>
      <w:r>
        <w:rPr>
          <w:szCs w:val="22"/>
        </w:rPr>
        <w:t>=</w:t>
      </w:r>
      <w:r w:rsidRPr="00A128DC">
        <w:rPr>
          <w:szCs w:val="22"/>
        </w:rPr>
        <w:t xml:space="preserve"> ($</w:t>
      </w:r>
      <w:r>
        <w:rPr>
          <w:szCs w:val="22"/>
        </w:rPr>
        <w:t>8</w:t>
      </w:r>
      <w:r w:rsidRPr="00780343">
        <w:rPr>
          <w:color w:val="000000"/>
          <w:szCs w:val="22"/>
        </w:rPr>
        <w:t>.</w:t>
      </w:r>
      <w:r>
        <w:rPr>
          <w:color w:val="000000"/>
          <w:szCs w:val="22"/>
        </w:rPr>
        <w:t>751403</w:t>
      </w:r>
      <w:r>
        <w:rPr>
          <w:szCs w:val="22"/>
        </w:rPr>
        <w:t xml:space="preserve"> </w:t>
      </w:r>
      <w:r w:rsidRPr="00A128DC">
        <w:rPr>
          <w:szCs w:val="22"/>
        </w:rPr>
        <w:t>billion – $</w:t>
      </w:r>
      <w:r>
        <w:rPr>
          <w:szCs w:val="22"/>
        </w:rPr>
        <w:t>1</w:t>
      </w:r>
      <w:r w:rsidRPr="00780343">
        <w:rPr>
          <w:color w:val="000000"/>
          <w:szCs w:val="22"/>
        </w:rPr>
        <w:t>.</w:t>
      </w:r>
      <w:r>
        <w:rPr>
          <w:color w:val="000000"/>
          <w:szCs w:val="22"/>
        </w:rPr>
        <w:t>664020</w:t>
      </w:r>
      <w:r>
        <w:rPr>
          <w:szCs w:val="22"/>
        </w:rPr>
        <w:t xml:space="preserve"> b</w:t>
      </w:r>
      <w:r w:rsidRPr="00A128DC">
        <w:rPr>
          <w:szCs w:val="22"/>
        </w:rPr>
        <w:t>illion) * 0.99</w:t>
      </w:r>
    </w:p>
    <w:p w:rsidR="003441C9" w:rsidRPr="00A128DC" w:rsidP="008C5C55" w14:paraId="3BD6EE02" w14:textId="77777777">
      <w:pPr>
        <w:spacing w:after="120"/>
        <w:ind w:left="2880"/>
        <w:rPr>
          <w:szCs w:val="22"/>
        </w:rPr>
      </w:pPr>
      <w:r>
        <w:rPr>
          <w:szCs w:val="22"/>
        </w:rPr>
        <w:t>=</w:t>
      </w:r>
      <w:r w:rsidRPr="00A128DC">
        <w:rPr>
          <w:szCs w:val="22"/>
        </w:rPr>
        <w:t>$</w:t>
      </w:r>
      <w:r w:rsidRPr="00780343">
        <w:rPr>
          <w:color w:val="000000"/>
          <w:szCs w:val="22"/>
        </w:rPr>
        <w:t>7.</w:t>
      </w:r>
      <w:r>
        <w:rPr>
          <w:color w:val="000000"/>
          <w:szCs w:val="22"/>
        </w:rPr>
        <w:t>016509</w:t>
      </w:r>
      <w:r>
        <w:rPr>
          <w:color w:val="FF0000"/>
          <w:szCs w:val="22"/>
        </w:rPr>
        <w:t xml:space="preserve"> </w:t>
      </w:r>
      <w:r w:rsidRPr="00A128DC">
        <w:rPr>
          <w:szCs w:val="22"/>
        </w:rPr>
        <w:t>billion.</w:t>
      </w:r>
    </w:p>
    <w:p w:rsidR="003441C9" w:rsidRPr="00A128DC" w:rsidP="008C5C55" w14:paraId="1CF8E461" w14:textId="77777777">
      <w:pPr>
        <w:spacing w:after="120"/>
        <w:rPr>
          <w:szCs w:val="22"/>
        </w:rPr>
      </w:pPr>
      <w:r w:rsidRPr="00A128DC">
        <w:rPr>
          <w:b/>
          <w:szCs w:val="22"/>
          <w:u w:val="single"/>
        </w:rPr>
        <w:t>Unadjusted Contribution Factor</w:t>
      </w:r>
    </w:p>
    <w:p w:rsidR="003441C9" w:rsidRPr="00A128DC" w:rsidP="008C5C55" w14:paraId="1A946F94" w14:textId="2F16B6CE">
      <w:pPr>
        <w:pStyle w:val="ParaNum"/>
        <w:widowControl/>
        <w:numPr>
          <w:ilvl w:val="0"/>
          <w:numId w:val="0"/>
        </w:numPr>
        <w:ind w:firstLine="720"/>
      </w:pPr>
      <w:r w:rsidRPr="00A128DC">
        <w:t xml:space="preserve">Using the above-described adjusted contribution base and the total program collection </w:t>
      </w:r>
      <w:r>
        <w:t xml:space="preserve">(revenue </w:t>
      </w:r>
      <w:r w:rsidRPr="00A128DC">
        <w:t>requirement</w:t>
      </w:r>
      <w:r>
        <w:t>)</w:t>
      </w:r>
      <w:r w:rsidRPr="00A128DC">
        <w:t xml:space="preserve"> from the table above, the proposed unadjusted contribution factor for </w:t>
      </w:r>
      <w:r w:rsidRPr="00BF573D">
        <w:t xml:space="preserve">the </w:t>
      </w:r>
      <w:r>
        <w:t>second quart</w:t>
      </w:r>
      <w:r w:rsidRPr="00BF573D">
        <w:t>er of 20</w:t>
      </w:r>
      <w:r>
        <w:t xml:space="preserve">22 </w:t>
      </w:r>
      <w:r w:rsidRPr="00A128DC">
        <w:t xml:space="preserve">is as follows: </w:t>
      </w:r>
    </w:p>
    <w:p w:rsidR="003441C9" w:rsidRPr="00A128DC" w:rsidP="008C5C55" w14:paraId="6AA014F1" w14:textId="77777777">
      <w:pPr>
        <w:pStyle w:val="ParaNum"/>
        <w:keepNext/>
        <w:widowControl/>
        <w:numPr>
          <w:ilvl w:val="0"/>
          <w:numId w:val="0"/>
        </w:numPr>
        <w:ind w:firstLine="720"/>
      </w:pPr>
      <w:r w:rsidRPr="00A128DC">
        <w:t>Contribution Factor for Universal Service Support Mechanisms</w:t>
      </w:r>
    </w:p>
    <w:p w:rsidR="003441C9" w:rsidRPr="00A128DC" w:rsidP="008C5C55" w14:paraId="16B4F274" w14:textId="77777777">
      <w:pPr>
        <w:keepNext/>
        <w:spacing w:after="120"/>
        <w:ind w:left="720" w:firstLine="720"/>
        <w:rPr>
          <w:szCs w:val="22"/>
        </w:rPr>
      </w:pPr>
      <w:r w:rsidRPr="00A128DC">
        <w:rPr>
          <w:szCs w:val="22"/>
        </w:rPr>
        <w:t>Total Program Collection / Adjusted Quarterly Contribution Base</w:t>
      </w:r>
    </w:p>
    <w:p w:rsidR="003441C9" w:rsidRPr="00CD6E19" w:rsidP="008C5C55" w14:paraId="68A39743" w14:textId="156FCECF">
      <w:pPr>
        <w:keepNext/>
        <w:spacing w:after="120"/>
        <w:ind w:left="2160"/>
        <w:rPr>
          <w:szCs w:val="22"/>
        </w:rPr>
      </w:pPr>
      <w:r>
        <w:rPr>
          <w:szCs w:val="22"/>
        </w:rPr>
        <w:t>=</w:t>
      </w:r>
      <w:r w:rsidRPr="00A128DC">
        <w:rPr>
          <w:szCs w:val="22"/>
        </w:rPr>
        <w:t>$</w:t>
      </w:r>
      <w:r>
        <w:rPr>
          <w:color w:val="000000"/>
          <w:szCs w:val="22"/>
        </w:rPr>
        <w:t>1</w:t>
      </w:r>
      <w:r w:rsidRPr="00780343">
        <w:rPr>
          <w:color w:val="000000"/>
          <w:szCs w:val="22"/>
        </w:rPr>
        <w:t>.</w:t>
      </w:r>
      <w:r>
        <w:rPr>
          <w:color w:val="000000"/>
          <w:szCs w:val="22"/>
        </w:rPr>
        <w:t>664020</w:t>
      </w:r>
      <w:r>
        <w:rPr>
          <w:szCs w:val="22"/>
        </w:rPr>
        <w:t xml:space="preserve"> </w:t>
      </w:r>
      <w:r w:rsidRPr="00CD6E19">
        <w:rPr>
          <w:szCs w:val="22"/>
        </w:rPr>
        <w:t>billion / $</w:t>
      </w:r>
      <w:r w:rsidRPr="00780343">
        <w:rPr>
          <w:color w:val="000000"/>
          <w:szCs w:val="22"/>
        </w:rPr>
        <w:t>7.</w:t>
      </w:r>
      <w:r>
        <w:rPr>
          <w:color w:val="000000"/>
          <w:szCs w:val="22"/>
        </w:rPr>
        <w:t>016509</w:t>
      </w:r>
      <w:r>
        <w:rPr>
          <w:szCs w:val="22"/>
        </w:rPr>
        <w:t xml:space="preserve"> b</w:t>
      </w:r>
      <w:r w:rsidRPr="00CD6E19">
        <w:rPr>
          <w:szCs w:val="22"/>
        </w:rPr>
        <w:t>illion</w:t>
      </w:r>
    </w:p>
    <w:p w:rsidR="003441C9" w:rsidRPr="0097662D" w:rsidP="008C5C55" w14:paraId="72A45CCD" w14:textId="0D536531">
      <w:pPr>
        <w:keepNext/>
        <w:spacing w:after="120"/>
        <w:ind w:left="2880"/>
        <w:rPr>
          <w:color w:val="FF0000"/>
          <w:szCs w:val="22"/>
        </w:rPr>
      </w:pPr>
      <w:r>
        <w:rPr>
          <w:szCs w:val="22"/>
        </w:rPr>
        <w:t>=0.237158</w:t>
      </w:r>
    </w:p>
    <w:p w:rsidR="003441C9" w:rsidRPr="00A128DC" w:rsidP="008C5C55" w14:paraId="71FE2475" w14:textId="77777777">
      <w:pPr>
        <w:keepNext/>
        <w:spacing w:after="120"/>
        <w:rPr>
          <w:b/>
          <w:szCs w:val="22"/>
          <w:u w:val="single"/>
        </w:rPr>
      </w:pPr>
      <w:r w:rsidRPr="00A128DC">
        <w:rPr>
          <w:b/>
          <w:szCs w:val="22"/>
          <w:u w:val="single"/>
        </w:rPr>
        <w:t>Unadjusted Circularity Factor</w:t>
      </w:r>
    </w:p>
    <w:p w:rsidR="003441C9" w:rsidRPr="00A128DC" w:rsidP="003441C9" w14:paraId="78E150D8" w14:textId="77777777">
      <w:pPr>
        <w:pStyle w:val="ParaNum"/>
        <w:numPr>
          <w:ilvl w:val="0"/>
          <w:numId w:val="0"/>
        </w:numPr>
        <w:ind w:firstLine="720"/>
      </w:pPr>
      <w:r w:rsidRPr="00A128DC">
        <w:t xml:space="preserve">USAC will reduce each provider’s contribution obligation by a circularity discount approximating the provider’s contributions in the upcoming quarter.  Accordingly, the proposed unadjusted circularity factor for </w:t>
      </w:r>
      <w:r w:rsidRPr="00BF573D">
        <w:t xml:space="preserve">the </w:t>
      </w:r>
      <w:r>
        <w:t xml:space="preserve">second </w:t>
      </w:r>
      <w:r w:rsidRPr="00BF573D">
        <w:t>quarter of 20</w:t>
      </w:r>
      <w:r>
        <w:t xml:space="preserve">22 </w:t>
      </w:r>
      <w:r w:rsidRPr="00A128DC">
        <w:t xml:space="preserve">is as follows:   </w:t>
      </w:r>
    </w:p>
    <w:p w:rsidR="003441C9" w:rsidRPr="00A128DC" w:rsidP="003441C9" w14:paraId="23DBD8DB" w14:textId="77777777">
      <w:pPr>
        <w:pStyle w:val="ParaNum"/>
        <w:numPr>
          <w:ilvl w:val="0"/>
          <w:numId w:val="0"/>
        </w:numPr>
        <w:ind w:firstLine="720"/>
      </w:pPr>
      <w:r w:rsidRPr="00A128DC">
        <w:t>Unadjusted Circularity Factor for Universal Service Support Mechanisms</w:t>
      </w:r>
    </w:p>
    <w:p w:rsidR="003441C9" w:rsidP="003441C9" w14:paraId="5E6965E6" w14:textId="77777777">
      <w:pPr>
        <w:ind w:firstLine="720"/>
        <w:rPr>
          <w:szCs w:val="22"/>
        </w:rPr>
      </w:pPr>
      <w:r>
        <w:rPr>
          <w:szCs w:val="22"/>
        </w:rPr>
        <w:t>= Total Program Collection / Projected Second Quarter 2022 Revenues</w:t>
      </w:r>
    </w:p>
    <w:p w:rsidR="003441C9" w:rsidP="003441C9" w14:paraId="0C771F05" w14:textId="77777777">
      <w:pPr>
        <w:ind w:firstLine="720"/>
        <w:rPr>
          <w:szCs w:val="22"/>
        </w:rPr>
      </w:pPr>
      <w:r>
        <w:rPr>
          <w:szCs w:val="22"/>
        </w:rPr>
        <w:t>= $1.664020 billion / $8.751403 billion</w:t>
      </w:r>
    </w:p>
    <w:p w:rsidR="003441C9" w:rsidP="008C5C55" w14:paraId="50EDBCF6" w14:textId="77777777">
      <w:pPr>
        <w:spacing w:after="120"/>
        <w:ind w:firstLine="720"/>
        <w:rPr>
          <w:szCs w:val="22"/>
        </w:rPr>
      </w:pPr>
      <w:r>
        <w:rPr>
          <w:szCs w:val="22"/>
        </w:rPr>
        <w:t>= 0.190143</w:t>
      </w:r>
    </w:p>
    <w:p w:rsidR="003441C9" w:rsidRPr="00A128DC" w:rsidP="008C5C55" w14:paraId="2F7DDD08" w14:textId="77777777">
      <w:pPr>
        <w:spacing w:after="120"/>
        <w:rPr>
          <w:b/>
          <w:szCs w:val="22"/>
          <w:u w:val="single"/>
        </w:rPr>
      </w:pPr>
      <w:r w:rsidRPr="00A128DC">
        <w:rPr>
          <w:b/>
          <w:szCs w:val="22"/>
          <w:u w:val="single"/>
        </w:rPr>
        <w:t>Proposed Contribution Factor</w:t>
      </w:r>
    </w:p>
    <w:p w:rsidR="003441C9" w:rsidP="003441C9" w14:paraId="1B892EC5" w14:textId="77777777">
      <w:pPr>
        <w:pStyle w:val="ParaNum"/>
        <w:numPr>
          <w:ilvl w:val="0"/>
          <w:numId w:val="0"/>
        </w:numPr>
        <w:ind w:firstLine="720"/>
      </w:pPr>
      <w:r>
        <w:t>The Commission has directed OMD to a</w:t>
      </w:r>
      <w:r w:rsidRPr="00A128DC">
        <w:t xml:space="preserve">nnounce the contribution factor as a percentage rounded </w:t>
      </w:r>
      <w:r>
        <w:t xml:space="preserve">up </w:t>
      </w:r>
      <w:r w:rsidRPr="00A128DC">
        <w:t>to the nearest tenth of one percent.</w:t>
      </w:r>
      <w:r>
        <w:rPr>
          <w:rStyle w:val="FootnoteReference"/>
          <w:szCs w:val="22"/>
        </w:rPr>
        <w:footnoteReference w:id="10"/>
      </w:r>
      <w:r w:rsidRPr="00A128DC">
        <w:t xml:space="preserve">  Accordingly, the proposed contribution factor for the</w:t>
      </w:r>
      <w:r>
        <w:t xml:space="preserve"> second</w:t>
      </w:r>
      <w:r w:rsidRPr="00BF573D">
        <w:t xml:space="preserve"> quarter of 20</w:t>
      </w:r>
      <w:r>
        <w:t xml:space="preserve">22 </w:t>
      </w:r>
      <w:r w:rsidRPr="00A128DC">
        <w:t>is as follows:</w:t>
      </w:r>
      <w:r>
        <w:t xml:space="preserve"> </w:t>
      </w:r>
    </w:p>
    <w:p w:rsidR="003441C9" w:rsidRPr="00780343" w:rsidP="008C5C55" w14:paraId="78D40F1C" w14:textId="5DF10D26">
      <w:pPr>
        <w:spacing w:after="120"/>
        <w:ind w:left="2880"/>
        <w:rPr>
          <w:color w:val="000000"/>
          <w:szCs w:val="22"/>
        </w:rPr>
      </w:pPr>
      <w:r>
        <w:rPr>
          <w:color w:val="000000"/>
          <w:szCs w:val="22"/>
        </w:rPr>
        <w:t>23.8</w:t>
      </w:r>
      <w:r w:rsidRPr="00780343">
        <w:rPr>
          <w:color w:val="000000"/>
          <w:szCs w:val="22"/>
        </w:rPr>
        <w:t>%</w:t>
      </w:r>
    </w:p>
    <w:p w:rsidR="003441C9" w:rsidRPr="00CE7A94" w:rsidP="008C5C55" w14:paraId="19A464DE" w14:textId="77777777">
      <w:pPr>
        <w:spacing w:after="120"/>
        <w:rPr>
          <w:szCs w:val="22"/>
        </w:rPr>
      </w:pPr>
      <w:r w:rsidRPr="00A128DC">
        <w:rPr>
          <w:b/>
          <w:szCs w:val="22"/>
          <w:u w:val="single"/>
        </w:rPr>
        <w:t xml:space="preserve">Proposed Circularity </w:t>
      </w:r>
      <w:r>
        <w:rPr>
          <w:b/>
          <w:szCs w:val="22"/>
          <w:u w:val="single"/>
        </w:rPr>
        <w:t xml:space="preserve">Discount </w:t>
      </w:r>
      <w:r w:rsidRPr="00A128DC">
        <w:rPr>
          <w:b/>
          <w:szCs w:val="22"/>
          <w:u w:val="single"/>
        </w:rPr>
        <w:t>Factor</w:t>
      </w:r>
    </w:p>
    <w:p w:rsidR="003441C9" w:rsidRPr="00A128DC" w:rsidP="008C5C55" w14:paraId="6ADFA942" w14:textId="77777777">
      <w:pPr>
        <w:spacing w:after="120"/>
        <w:ind w:firstLine="720"/>
        <w:rPr>
          <w:szCs w:val="22"/>
        </w:rPr>
      </w:pPr>
      <w:r w:rsidRPr="00A128DC">
        <w:rPr>
          <w:szCs w:val="22"/>
        </w:rPr>
        <w:t xml:space="preserve">The Commission also has directed </w:t>
      </w:r>
      <w:r>
        <w:rPr>
          <w:szCs w:val="22"/>
        </w:rPr>
        <w:t>OMD</w:t>
      </w:r>
      <w:r w:rsidRPr="00A128DC">
        <w:rPr>
          <w:szCs w:val="22"/>
        </w:rPr>
        <w:t xml:space="preserve"> to account for contribution factor rounding when calculating the circularity discount factor.</w:t>
      </w:r>
      <w:r>
        <w:rPr>
          <w:rStyle w:val="FootnoteReference"/>
          <w:szCs w:val="22"/>
        </w:rPr>
        <w:footnoteReference w:id="11"/>
      </w:r>
      <w:r w:rsidRPr="00A128DC">
        <w:rPr>
          <w:szCs w:val="22"/>
        </w:rPr>
        <w:t xml:space="preserve">  Accordingly, the proposed circularity factor for </w:t>
      </w:r>
      <w:r w:rsidRPr="00BF573D">
        <w:rPr>
          <w:szCs w:val="22"/>
        </w:rPr>
        <w:t xml:space="preserve">the </w:t>
      </w:r>
      <w:r>
        <w:rPr>
          <w:szCs w:val="22"/>
        </w:rPr>
        <w:t>second quarter</w:t>
      </w:r>
      <w:r w:rsidRPr="00BF573D">
        <w:rPr>
          <w:szCs w:val="22"/>
        </w:rPr>
        <w:t xml:space="preserve"> of 20</w:t>
      </w:r>
      <w:r>
        <w:rPr>
          <w:szCs w:val="22"/>
        </w:rPr>
        <w:t xml:space="preserve">22 </w:t>
      </w:r>
      <w:r w:rsidRPr="00A128DC">
        <w:rPr>
          <w:szCs w:val="22"/>
        </w:rPr>
        <w:t>is as follows:</w:t>
      </w:r>
      <w:r w:rsidRPr="00A128DC">
        <w:rPr>
          <w:rStyle w:val="FootnoteReference"/>
          <w:szCs w:val="22"/>
        </w:rPr>
        <w:t xml:space="preserve"> </w:t>
      </w:r>
    </w:p>
    <w:p w:rsidR="003441C9" w:rsidRPr="00A128DC" w:rsidP="008C5C55" w14:paraId="76B49171" w14:textId="59427FED">
      <w:pPr>
        <w:spacing w:after="120"/>
        <w:ind w:left="2880"/>
        <w:rPr>
          <w:szCs w:val="22"/>
        </w:rPr>
      </w:pPr>
      <w:r w:rsidRPr="0033574A">
        <w:rPr>
          <w:szCs w:val="22"/>
        </w:rPr>
        <w:t>0.</w:t>
      </w:r>
      <w:r>
        <w:rPr>
          <w:szCs w:val="22"/>
        </w:rPr>
        <w:t>193009</w:t>
      </w:r>
      <w:r>
        <w:rPr>
          <w:rStyle w:val="FootnoteReference"/>
          <w:szCs w:val="22"/>
        </w:rPr>
        <w:footnoteReference w:id="12"/>
      </w:r>
      <w:r w:rsidRPr="00A128DC">
        <w:rPr>
          <w:szCs w:val="22"/>
        </w:rPr>
        <w:t xml:space="preserve"> </w:t>
      </w:r>
    </w:p>
    <w:p w:rsidR="003441C9" w:rsidRPr="00A128DC" w:rsidP="008C5C55" w14:paraId="14FEC0EC" w14:textId="77777777">
      <w:pPr>
        <w:keepNext/>
        <w:widowControl/>
        <w:spacing w:after="120"/>
        <w:rPr>
          <w:b/>
          <w:szCs w:val="22"/>
          <w:u w:val="single"/>
        </w:rPr>
      </w:pPr>
      <w:r w:rsidRPr="00A128DC">
        <w:rPr>
          <w:b/>
          <w:szCs w:val="22"/>
          <w:u w:val="single"/>
        </w:rPr>
        <w:t>Conclusion</w:t>
      </w:r>
    </w:p>
    <w:p w:rsidR="003441C9" w:rsidRPr="00A128DC" w:rsidP="008C5C55" w14:paraId="6F42E5DD" w14:textId="6732814F">
      <w:pPr>
        <w:pStyle w:val="ParaNum"/>
        <w:widowControl/>
        <w:numPr>
          <w:ilvl w:val="0"/>
          <w:numId w:val="0"/>
        </w:numPr>
        <w:ind w:firstLine="720"/>
      </w:pPr>
      <w:r w:rsidRPr="00A128DC">
        <w:t>If the Commission takes no action regarding the projections of demand and administrative expenses and the proposed contribution factor within the 14-day period following release of this Public Notice, they shall be deemed approved by the Commission.</w:t>
      </w:r>
      <w:r>
        <w:rPr>
          <w:rStyle w:val="FootnoteReference"/>
          <w:szCs w:val="22"/>
        </w:rPr>
        <w:footnoteReference w:id="13"/>
      </w:r>
      <w:r w:rsidRPr="00A128DC">
        <w:t xml:space="preserve">  USAC shall use the contribution factor to calculate universal service contributions for </w:t>
      </w:r>
      <w:r w:rsidRPr="00BF573D">
        <w:t xml:space="preserve">the </w:t>
      </w:r>
      <w:r>
        <w:t xml:space="preserve">second </w:t>
      </w:r>
      <w:r w:rsidRPr="00BF573D">
        <w:t>quarter of 20</w:t>
      </w:r>
      <w:r>
        <w:t>22</w:t>
      </w:r>
      <w:r w:rsidRPr="00A128DC">
        <w:t xml:space="preserve">.  USAC will reduce each provider’s contribution obligation by a circularity discount approximating the provider’s contributions in </w:t>
      </w:r>
      <w:r w:rsidRPr="00A128DC">
        <w:t>the upcoming quarter.</w:t>
      </w:r>
      <w:r>
        <w:rPr>
          <w:rStyle w:val="FootnoteReference"/>
          <w:szCs w:val="22"/>
        </w:rPr>
        <w:footnoteReference w:id="14"/>
      </w:r>
      <w:r w:rsidRPr="00A128DC">
        <w:t xml:space="preserve">  USAC includes contribution obligations less the circularity discount in invoices sent to contributors.  Contribution payments are due on the dates shown on the invoice.  Contributors will pay interest for each day for which the payments are late.  Contributors failing to pay contributions in a timely fashion may be subject to the enforcement provisions of the Communications Act of 1934, as amended, and any other applicable law.  In addition, contributors may be billed by USAC for reasonable costs of collecting overdue contributions.</w:t>
      </w:r>
      <w:r>
        <w:rPr>
          <w:rStyle w:val="FootnoteReference"/>
          <w:szCs w:val="22"/>
        </w:rPr>
        <w:footnoteReference w:id="15"/>
      </w:r>
    </w:p>
    <w:p w:rsidR="003441C9" w:rsidP="003441C9" w14:paraId="69284B67" w14:textId="1797A837">
      <w:pPr>
        <w:pStyle w:val="ParaNum"/>
        <w:numPr>
          <w:ilvl w:val="0"/>
          <w:numId w:val="0"/>
        </w:numPr>
        <w:ind w:firstLine="720"/>
      </w:pPr>
      <w:r w:rsidRPr="00A128DC">
        <w:t xml:space="preserve">We also emphasize that carriers may not </w:t>
      </w:r>
      <w:r w:rsidRPr="00A128DC">
        <w:t>mark up</w:t>
      </w:r>
      <w:r w:rsidRPr="00A128DC">
        <w:t xml:space="preserve"> federal universal service line-item amounts above the contribution factor.</w:t>
      </w:r>
      <w:r>
        <w:rPr>
          <w:vertAlign w:val="superscript"/>
        </w:rPr>
        <w:footnoteReference w:id="16"/>
      </w:r>
      <w:r w:rsidRPr="00A128DC">
        <w:t xml:space="preserve">  Thus, carriers may not, during the </w:t>
      </w:r>
      <w:r>
        <w:t xml:space="preserve">second </w:t>
      </w:r>
      <w:r w:rsidRPr="00BF573D">
        <w:t>quarter of 20</w:t>
      </w:r>
      <w:r>
        <w:t>22</w:t>
      </w:r>
      <w:r w:rsidRPr="00A128DC">
        <w:t xml:space="preserve">, recover through a federal universal service line item an amount that </w:t>
      </w:r>
      <w:r w:rsidRPr="00BF573D">
        <w:t xml:space="preserve">exceeds </w:t>
      </w:r>
      <w:r>
        <w:t>23.8</w:t>
      </w:r>
      <w:r w:rsidRPr="00A50439">
        <w:rPr>
          <w:b/>
        </w:rPr>
        <w:t xml:space="preserve"> </w:t>
      </w:r>
      <w:r w:rsidRPr="00A50439">
        <w:t>percent</w:t>
      </w:r>
      <w:r w:rsidRPr="00A128DC">
        <w:t xml:space="preserve"> of the interstate telecommunications charges on a customer’s bill.</w:t>
      </w:r>
    </w:p>
    <w:p w:rsidR="003441C9" w:rsidRPr="00A128DC" w:rsidP="003441C9" w14:paraId="71D25CFC" w14:textId="77777777">
      <w:pPr>
        <w:pStyle w:val="ParaNum"/>
        <w:numPr>
          <w:ilvl w:val="0"/>
          <w:numId w:val="0"/>
        </w:numPr>
        <w:ind w:firstLine="720"/>
      </w:pPr>
      <w:r>
        <w:t>In addition, under the limited international revenues exception (LIRE) in section 54.706(c) of the Commission’s rules, a contributor to the universal service fund whose projected collected interstate end- user telecommunications revenues comprise less than 12 percent of its combined projected collected interstate and international end-user telecommunications revenues shall contribute based only on projected collected interstate end-user telecommunications revenues, net of projected contributions.</w:t>
      </w:r>
      <w:r>
        <w:rPr>
          <w:rStyle w:val="FootnoteReference"/>
          <w:szCs w:val="22"/>
        </w:rPr>
        <w:footnoteReference w:id="17"/>
      </w:r>
      <w:r>
        <w:t xml:space="preserve">  The rule is intended to exclude from the contribution base the international end-user telecommunications revenues of any entity whose annual contribution, based on the provider’s interstate and international end-user telecommunications revenues, would exceed the amount of its interstate end-user revenues.</w:t>
      </w:r>
      <w:r>
        <w:rPr>
          <w:rStyle w:val="FootnoteReference"/>
          <w:szCs w:val="22"/>
        </w:rPr>
        <w:footnoteReference w:id="18"/>
      </w:r>
      <w:r>
        <w:t xml:space="preserve">  The proposed contribution factor exceeds 12 percent, which we recognize could result in a contributor being required to contribute to the universal service fund an amount that exceeds its interstate end-user telecommunications revenue.  Should a contributor face this situation, the contributor may petition the Commission for waiver of the LIRE threshold.</w:t>
      </w:r>
      <w:r>
        <w:rPr>
          <w:rStyle w:val="FootnoteReference"/>
          <w:szCs w:val="22"/>
        </w:rPr>
        <w:footnoteReference w:id="19"/>
      </w:r>
    </w:p>
    <w:p w:rsidR="003441C9" w:rsidRPr="00A128DC" w:rsidP="003441C9" w14:paraId="517B1A59" w14:textId="2925128A">
      <w:pPr>
        <w:pStyle w:val="ParaNum"/>
        <w:numPr>
          <w:ilvl w:val="0"/>
          <w:numId w:val="0"/>
        </w:numPr>
        <w:ind w:firstLine="720"/>
      </w:pPr>
      <w:r w:rsidRPr="00A128DC">
        <w:t xml:space="preserve">For further information, contact </w:t>
      </w:r>
      <w:r>
        <w:t>Thomas Buckley at (202) 418-0725 or Kim Yee</w:t>
      </w:r>
      <w:r w:rsidRPr="00A128DC">
        <w:t xml:space="preserve"> </w:t>
      </w:r>
      <w:r>
        <w:t xml:space="preserve">at (202) 418-0805, </w:t>
      </w:r>
      <w:r w:rsidRPr="00A128DC">
        <w:t>TTY (</w:t>
      </w:r>
      <w:r>
        <w:t>888</w:t>
      </w:r>
      <w:r w:rsidRPr="00A128DC">
        <w:t xml:space="preserve">) </w:t>
      </w:r>
      <w:r>
        <w:t>835-5322, in the Office of Managing Director.</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D7C" w14:paraId="5AD3F5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4D7C" w14:paraId="107D2A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D7C" w14:paraId="23AF9D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D7C" w14:paraId="6F2E57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4D7C" w14:paraId="37C7AD88" w14:textId="77777777">
      <w:r>
        <w:separator/>
      </w:r>
    </w:p>
  </w:footnote>
  <w:footnote w:type="continuationSeparator" w:id="1">
    <w:p w:rsidR="00C14D7C" w14:paraId="2D4553C0" w14:textId="77777777">
      <w:pPr>
        <w:rPr>
          <w:sz w:val="20"/>
        </w:rPr>
      </w:pPr>
      <w:r>
        <w:rPr>
          <w:sz w:val="20"/>
        </w:rPr>
        <w:t xml:space="preserve">(Continued from previous page)  </w:t>
      </w:r>
      <w:r>
        <w:rPr>
          <w:sz w:val="20"/>
        </w:rPr>
        <w:separator/>
      </w:r>
    </w:p>
  </w:footnote>
  <w:footnote w:type="continuationNotice" w:id="2">
    <w:p w:rsidR="00C14D7C" w14:paraId="4D40FB27" w14:textId="77777777">
      <w:pPr>
        <w:jc w:val="right"/>
        <w:rPr>
          <w:sz w:val="20"/>
        </w:rPr>
      </w:pPr>
      <w:r>
        <w:rPr>
          <w:sz w:val="20"/>
        </w:rPr>
        <w:t>(continued….)</w:t>
      </w:r>
    </w:p>
  </w:footnote>
  <w:footnote w:id="3">
    <w:p w:rsidR="003441C9" w:rsidRPr="005F15DC" w:rsidP="003441C9" w14:paraId="7AAE9EF2" w14:textId="77777777">
      <w:pPr>
        <w:pStyle w:val="FootnoteText"/>
      </w:pPr>
      <w:r w:rsidRPr="005F15DC">
        <w:rPr>
          <w:rStyle w:val="FootnoteReference"/>
        </w:rPr>
        <w:footnoteRef/>
      </w:r>
      <w:r w:rsidRPr="005F15DC">
        <w:t xml:space="preserve"> </w:t>
      </w:r>
      <w:r w:rsidRPr="005F15DC">
        <w:rPr>
          <w:i/>
        </w:rPr>
        <w:t xml:space="preserve">See </w:t>
      </w:r>
      <w:r w:rsidRPr="005F15DC">
        <w:t>47 C.F.R. § 54.709(a).</w:t>
      </w:r>
    </w:p>
  </w:footnote>
  <w:footnote w:id="4">
    <w:p w:rsidR="003441C9" w:rsidRPr="005F15DC" w:rsidP="003441C9" w14:paraId="1814A938" w14:textId="77777777">
      <w:pPr>
        <w:pStyle w:val="FootnoteText"/>
      </w:pPr>
      <w:r w:rsidRPr="005F15DC">
        <w:rPr>
          <w:rStyle w:val="FootnoteReference"/>
        </w:rPr>
        <w:footnoteRef/>
      </w:r>
      <w:r w:rsidRPr="005F15DC">
        <w:t xml:space="preserve"> </w:t>
      </w:r>
      <w:r w:rsidRPr="005F15DC">
        <w:rPr>
          <w:i/>
        </w:rPr>
        <w:t>See id.</w:t>
      </w:r>
    </w:p>
  </w:footnote>
  <w:footnote w:id="5">
    <w:p w:rsidR="003441C9" w:rsidRPr="005F15DC" w:rsidP="003441C9" w14:paraId="6BAC9432" w14:textId="77777777">
      <w:pPr>
        <w:pStyle w:val="FootnoteText"/>
      </w:pPr>
      <w:r w:rsidRPr="005F15DC">
        <w:rPr>
          <w:rStyle w:val="FootnoteReference"/>
        </w:rPr>
        <w:footnoteRef/>
      </w:r>
      <w:r w:rsidRPr="005F15DC">
        <w:t xml:space="preserve"> </w:t>
      </w:r>
      <w:r w:rsidRPr="005F15DC">
        <w:rPr>
          <w:i/>
        </w:rPr>
        <w:t xml:space="preserve">See </w:t>
      </w:r>
      <w:r w:rsidRPr="005F15DC">
        <w:t>47 C.F.R. § 54.709(a)(2).</w:t>
      </w:r>
    </w:p>
  </w:footnote>
  <w:footnote w:id="6">
    <w:p w:rsidR="003441C9" w:rsidRPr="005F15DC" w:rsidP="003441C9" w14:paraId="56BE2D9C" w14:textId="77777777">
      <w:pPr>
        <w:pStyle w:val="FootnoteText"/>
        <w:rPr>
          <w:i/>
        </w:rPr>
      </w:pPr>
      <w:r w:rsidRPr="005F15DC">
        <w:rPr>
          <w:rStyle w:val="FootnoteReference"/>
        </w:rPr>
        <w:footnoteRef/>
      </w:r>
      <w:r w:rsidRPr="005F15DC">
        <w:t xml:space="preserve"> </w:t>
      </w:r>
      <w:r w:rsidRPr="005F15DC">
        <w:rPr>
          <w:i/>
        </w:rPr>
        <w:t>See</w:t>
      </w:r>
      <w:r w:rsidRPr="005F15DC">
        <w:t xml:space="preserve"> 47 C.F.R. § 54.709(a)(3).</w:t>
      </w:r>
    </w:p>
  </w:footnote>
  <w:footnote w:id="7">
    <w:p w:rsidR="003441C9" w:rsidRPr="005F15DC" w:rsidP="003441C9" w14:paraId="58E8A5CB" w14:textId="77777777">
      <w:pPr>
        <w:spacing w:after="120"/>
        <w:rPr>
          <w:i/>
          <w:sz w:val="20"/>
        </w:rPr>
      </w:pPr>
      <w:r w:rsidRPr="005F15DC">
        <w:rPr>
          <w:rStyle w:val="FootnoteReference"/>
          <w:sz w:val="20"/>
        </w:rPr>
        <w:footnoteRef/>
      </w:r>
      <w:r w:rsidRPr="005F15DC">
        <w:rPr>
          <w:sz w:val="20"/>
        </w:rPr>
        <w:t xml:space="preserve"> </w:t>
      </w:r>
      <w:r w:rsidRPr="005F15DC">
        <w:rPr>
          <w:i/>
          <w:sz w:val="20"/>
        </w:rPr>
        <w:t>See</w:t>
      </w:r>
      <w:r w:rsidRPr="005F15DC">
        <w:rPr>
          <w:sz w:val="20"/>
        </w:rPr>
        <w:t xml:space="preserve"> Federal Universal Service Support Mechanisms Fund Size Projections for the Second Quarter 2022, available at &lt;https://www.usac.org/fcc-filings&gt; (filed January 31, 2022) (</w:t>
      </w:r>
      <w:r w:rsidRPr="005F15DC">
        <w:rPr>
          <w:i/>
          <w:sz w:val="20"/>
        </w:rPr>
        <w:t>USAC Filing for Second Quarter 2022 Projections</w:t>
      </w:r>
      <w:r w:rsidRPr="005F15DC">
        <w:rPr>
          <w:sz w:val="20"/>
        </w:rPr>
        <w:t xml:space="preserve">; </w:t>
      </w:r>
      <w:r w:rsidRPr="005F15DC">
        <w:rPr>
          <w:i/>
          <w:sz w:val="20"/>
        </w:rPr>
        <w:t>See also</w:t>
      </w:r>
      <w:r w:rsidRPr="005F15DC">
        <w:rPr>
          <w:sz w:val="20"/>
        </w:rPr>
        <w:t xml:space="preserve"> Federal Universal Service Support Mechanisms Quarterly Contribution Base for the Second Quarter 2022, available at &lt;https://www.usac.org/fcc-filings&gt; (filed March 2, 2022) (</w:t>
      </w:r>
      <w:r w:rsidRPr="005F15DC">
        <w:rPr>
          <w:i/>
          <w:sz w:val="20"/>
        </w:rPr>
        <w:t>USAC Filing for Second Quarter 2022 Contribution Base</w:t>
      </w:r>
      <w:r w:rsidRPr="005F15DC">
        <w:rPr>
          <w:sz w:val="20"/>
        </w:rPr>
        <w:t xml:space="preserve">). </w:t>
      </w:r>
    </w:p>
  </w:footnote>
  <w:footnote w:id="8">
    <w:p w:rsidR="003441C9" w:rsidRPr="005F15DC" w:rsidP="003441C9" w14:paraId="702D3AB4" w14:textId="77777777">
      <w:pPr>
        <w:pStyle w:val="xxmsolistparagraph"/>
        <w:spacing w:after="120"/>
        <w:ind w:left="0"/>
        <w:rPr>
          <w:rFonts w:ascii="Times New Roman" w:hAnsi="Times New Roman" w:cs="Times New Roman"/>
          <w:color w:val="FF0000"/>
          <w:sz w:val="20"/>
          <w:szCs w:val="20"/>
        </w:rPr>
      </w:pPr>
      <w:r w:rsidRPr="005F15DC">
        <w:rPr>
          <w:rStyle w:val="FootnoteReference"/>
          <w:rFonts w:cs="Times New Roman"/>
          <w:sz w:val="20"/>
          <w:szCs w:val="20"/>
        </w:rPr>
        <w:footnoteRef/>
      </w:r>
      <w:r w:rsidRPr="005F15DC">
        <w:rPr>
          <w:rFonts w:ascii="Times New Roman" w:hAnsi="Times New Roman" w:cs="Times New Roman"/>
          <w:sz w:val="20"/>
          <w:szCs w:val="20"/>
        </w:rPr>
        <w:t xml:space="preserve"> $153 million projected program demand for Rural Health Care was funded with available funds rolled forward from prior years’ collections.  Rural Health Care administrative costs of $7.82 million are funded within the program cap.  </w:t>
      </w:r>
      <w:r w:rsidRPr="005F15DC">
        <w:rPr>
          <w:rFonts w:ascii="Times New Roman" w:hAnsi="Times New Roman" w:cs="Times New Roman"/>
          <w:i/>
          <w:sz w:val="20"/>
          <w:szCs w:val="20"/>
        </w:rPr>
        <w:t>See</w:t>
      </w:r>
      <w:r w:rsidRPr="005F15DC">
        <w:rPr>
          <w:rFonts w:ascii="Times New Roman" w:hAnsi="Times New Roman" w:cs="Times New Roman"/>
          <w:sz w:val="20"/>
          <w:szCs w:val="20"/>
        </w:rPr>
        <w:t xml:space="preserve"> Federal Universal Service Support Mechanisms Fund Size Projections for the Second Quarter 2022, available at http://www.usac.org/fcc-filings&gt; (filed January 31, 2022) (</w:t>
      </w:r>
      <w:r w:rsidRPr="005F15DC">
        <w:rPr>
          <w:rFonts w:ascii="Times New Roman" w:hAnsi="Times New Roman" w:cs="Times New Roman"/>
          <w:i/>
          <w:sz w:val="20"/>
          <w:szCs w:val="20"/>
        </w:rPr>
        <w:t>USAC Filing for Second Quarter 2022 Projections)</w:t>
      </w:r>
      <w:r w:rsidRPr="005F15DC">
        <w:rPr>
          <w:rFonts w:ascii="Times New Roman" w:hAnsi="Times New Roman" w:cs="Times New Roman"/>
          <w:color w:val="FF0000"/>
          <w:sz w:val="20"/>
          <w:szCs w:val="20"/>
        </w:rPr>
        <w:t>.</w:t>
      </w:r>
    </w:p>
  </w:footnote>
  <w:footnote w:id="9">
    <w:p w:rsidR="003441C9" w:rsidRPr="005F15DC" w:rsidP="003441C9" w14:paraId="1232030E" w14:textId="77777777">
      <w:pPr>
        <w:pStyle w:val="FootnoteText"/>
        <w:rPr>
          <w:b/>
        </w:rPr>
      </w:pPr>
      <w:r w:rsidRPr="005F15DC">
        <w:rPr>
          <w:rStyle w:val="FootnoteReference"/>
        </w:rPr>
        <w:footnoteRef/>
      </w:r>
      <w:r w:rsidRPr="005F15DC">
        <w:rPr>
          <w:i/>
        </w:rPr>
        <w:t xml:space="preserve"> USAC Filing for Second Quarter 2022 Contribution Base </w:t>
      </w:r>
      <w:r w:rsidRPr="005F15DC">
        <w:t xml:space="preserve">at </w:t>
      </w:r>
      <w:r w:rsidRPr="005F15DC">
        <w:rPr>
          <w:color w:val="000000"/>
        </w:rPr>
        <w:t>4</w:t>
      </w:r>
      <w:r w:rsidRPr="005F15DC">
        <w:t>.</w:t>
      </w:r>
    </w:p>
  </w:footnote>
  <w:footnote w:id="10">
    <w:p w:rsidR="003441C9" w:rsidRPr="005F15DC" w:rsidP="003441C9" w14:paraId="23ABE6B6" w14:textId="77777777">
      <w:pPr>
        <w:pStyle w:val="FootnoteText"/>
      </w:pPr>
      <w:r w:rsidRPr="005F15DC">
        <w:rPr>
          <w:rStyle w:val="FootnoteReference"/>
        </w:rPr>
        <w:footnoteRef/>
      </w:r>
      <w:r w:rsidRPr="005F15DC">
        <w:t xml:space="preserve"> </w:t>
      </w:r>
      <w:r w:rsidRPr="005F15DC">
        <w:rPr>
          <w:i/>
        </w:rPr>
        <w:t xml:space="preserve">See Federal-State Joint Board on Universal Service, 1998 Biennial Regulatory Review – Streamlined Contributor Reporting Requirements Associated with Administration of </w:t>
      </w:r>
      <w:smartTag w:uri="urn:schemas-microsoft-com:office:smarttags" w:element="PersonName">
        <w:r w:rsidRPr="005F15DC">
          <w:rPr>
            <w:i/>
          </w:rPr>
          <w:t>Telecommunications</w:t>
        </w:r>
      </w:smartTag>
      <w:r w:rsidRPr="005F15DC">
        <w:rPr>
          <w:i/>
        </w:rPr>
        <w:t xml:space="preserve"> Relay Service, North American Numbering Plan, Local Number Portability, and Universal Service Support Mechanisms, </w:t>
      </w:r>
      <w:smartTag w:uri="urn:schemas-microsoft-com:office:smarttags" w:element="PersonName">
        <w:r w:rsidRPr="005F15DC">
          <w:rPr>
            <w:i/>
          </w:rPr>
          <w:t>Telecommunications</w:t>
        </w:r>
      </w:smartTag>
      <w:r w:rsidRPr="005F15DC">
        <w:rPr>
          <w:i/>
        </w:rPr>
        <w:t xml:space="preserve"> Services for Individuals with Hearing and Speech Disabilities, and the Americans with Disabilities Act of 1990, Administration of the North American Numbering Plan and North American Numbering Plan Cost Recovery Contribution Factor and Fund Size, Number Resource Optimization, Telephone Number Portability</w:t>
      </w:r>
      <w:r w:rsidRPr="005F15DC">
        <w:rPr>
          <w:rStyle w:val="Normal1"/>
          <w:i/>
        </w:rPr>
        <w:t>, Truth-in-Billing and Billing Format</w:t>
      </w:r>
      <w:r w:rsidRPr="005F15DC">
        <w:rPr>
          <w:rStyle w:val="Normal1"/>
        </w:rPr>
        <w:t xml:space="preserve">, CC Docket Nos. 96-45, 98-171, 90-571, 92-237, 99-200, 95-116, 98-170, Order and Second Order on Reconsideration, 18 FCC </w:t>
      </w:r>
      <w:r w:rsidRPr="005F15DC">
        <w:rPr>
          <w:rStyle w:val="Normal1"/>
        </w:rPr>
        <w:t>Rcd</w:t>
      </w:r>
      <w:r w:rsidRPr="005F15DC">
        <w:rPr>
          <w:rStyle w:val="Normal1"/>
        </w:rPr>
        <w:t xml:space="preserve"> 4818, 4826, para. 22 (2003) (</w:t>
      </w:r>
      <w:r w:rsidRPr="005F15DC">
        <w:rPr>
          <w:rStyle w:val="Normal1"/>
          <w:i/>
        </w:rPr>
        <w:t>Second Order on Reconsideration)</w:t>
      </w:r>
      <w:r w:rsidRPr="005F15DC">
        <w:rPr>
          <w:rStyle w:val="Normal1"/>
        </w:rPr>
        <w:t xml:space="preserve">.  </w:t>
      </w:r>
    </w:p>
  </w:footnote>
  <w:footnote w:id="11">
    <w:p w:rsidR="003441C9" w:rsidRPr="005F15DC" w:rsidP="003441C9" w14:paraId="14BE978E" w14:textId="77777777">
      <w:pPr>
        <w:pStyle w:val="FootnoteText"/>
      </w:pPr>
      <w:r w:rsidRPr="005F15DC">
        <w:rPr>
          <w:rStyle w:val="FootnoteReference"/>
        </w:rPr>
        <w:footnoteRef/>
      </w:r>
      <w:r w:rsidRPr="005F15DC">
        <w:t xml:space="preserve"> </w:t>
      </w:r>
      <w:r w:rsidRPr="005F15DC">
        <w:rPr>
          <w:i/>
        </w:rPr>
        <w:t>Id</w:t>
      </w:r>
      <w:r w:rsidRPr="005F15DC">
        <w:t>.</w:t>
      </w:r>
    </w:p>
  </w:footnote>
  <w:footnote w:id="12">
    <w:p w:rsidR="003441C9" w:rsidRPr="005F15DC" w:rsidP="003441C9" w14:paraId="6EC8E857" w14:textId="77777777">
      <w:pPr>
        <w:pStyle w:val="FootnoteText"/>
      </w:pPr>
      <w:r w:rsidRPr="005F15DC">
        <w:rPr>
          <w:rStyle w:val="FootnoteReference"/>
        </w:rPr>
        <w:footnoteRef/>
      </w:r>
      <w:r w:rsidRPr="005F15DC">
        <w:t xml:space="preserve"> The proposed circularity discount factor = 1 + [(unadjusted circularity discount factor – 1) * (unadjusted contribution factor / proposed contribution factor)].  The proposed circularity discount factor is calculated in a spreadsheet program, which means that internal calculations are made with more than 15 decimal places.</w:t>
      </w:r>
    </w:p>
  </w:footnote>
  <w:footnote w:id="13">
    <w:p w:rsidR="003441C9" w:rsidRPr="005F15DC" w:rsidP="003441C9" w14:paraId="2C8655EE" w14:textId="77777777">
      <w:pPr>
        <w:pStyle w:val="FootnoteText"/>
        <w:tabs>
          <w:tab w:val="left" w:pos="0"/>
        </w:tabs>
        <w:suppressAutoHyphens/>
        <w:ind w:right="-72"/>
      </w:pPr>
      <w:r w:rsidRPr="005F15DC">
        <w:rPr>
          <w:rStyle w:val="FootnoteReference"/>
        </w:rPr>
        <w:footnoteRef/>
      </w:r>
      <w:r w:rsidRPr="005F15DC">
        <w:t xml:space="preserve"> </w:t>
      </w:r>
      <w:r w:rsidRPr="005F15DC">
        <w:rPr>
          <w:i/>
        </w:rPr>
        <w:t>See</w:t>
      </w:r>
      <w:r w:rsidRPr="005F15DC">
        <w:t xml:space="preserve"> 47 C.F.R. § 54.709(a)(3).</w:t>
      </w:r>
    </w:p>
  </w:footnote>
  <w:footnote w:id="14">
    <w:p w:rsidR="003441C9" w:rsidRPr="005F15DC" w:rsidP="003441C9" w14:paraId="389B5CE9" w14:textId="77777777">
      <w:pPr>
        <w:pStyle w:val="FootnoteText"/>
      </w:pPr>
      <w:r w:rsidRPr="005F15DC">
        <w:rPr>
          <w:rStyle w:val="FootnoteReference"/>
        </w:rPr>
        <w:footnoteRef/>
      </w:r>
      <w:r w:rsidRPr="005F15DC">
        <w:t xml:space="preserve"> USAC will calculate each individual contributor’s contribution in the following manner: (1-Circulatory Factor) * (Contribution Factor*Revenue)</w:t>
      </w:r>
    </w:p>
  </w:footnote>
  <w:footnote w:id="15">
    <w:p w:rsidR="003441C9" w:rsidRPr="005F15DC" w:rsidP="003441C9" w14:paraId="3B481B21" w14:textId="77777777">
      <w:pPr>
        <w:pStyle w:val="FootnoteText"/>
      </w:pPr>
      <w:r w:rsidRPr="005F15DC">
        <w:rPr>
          <w:rStyle w:val="FootnoteReference"/>
        </w:rPr>
        <w:footnoteRef/>
      </w:r>
      <w:r w:rsidRPr="005F15DC">
        <w:t xml:space="preserve"> </w:t>
      </w:r>
      <w:r w:rsidRPr="005F15DC">
        <w:rPr>
          <w:i/>
        </w:rPr>
        <w:t>See</w:t>
      </w:r>
      <w:r w:rsidRPr="005F15DC">
        <w:t xml:space="preserve"> 47 C.F.R. § 54.713.</w:t>
      </w:r>
    </w:p>
  </w:footnote>
  <w:footnote w:id="16">
    <w:p w:rsidR="003441C9" w:rsidRPr="005F15DC" w:rsidP="003441C9" w14:paraId="58459B93" w14:textId="77777777">
      <w:pPr>
        <w:pStyle w:val="FootnoteText"/>
      </w:pPr>
      <w:r w:rsidRPr="005F15DC">
        <w:rPr>
          <w:rStyle w:val="FootnoteReference"/>
        </w:rPr>
        <w:footnoteRef/>
      </w:r>
      <w:r w:rsidRPr="005F15DC">
        <w:t xml:space="preserve"> </w:t>
      </w:r>
      <w:r w:rsidRPr="005F15DC">
        <w:rPr>
          <w:i/>
        </w:rPr>
        <w:t xml:space="preserve">See </w:t>
      </w:r>
      <w:r w:rsidRPr="005F15DC">
        <w:t>47 C.F.R. § 54.712.</w:t>
      </w:r>
    </w:p>
  </w:footnote>
  <w:footnote w:id="17">
    <w:p w:rsidR="003441C9" w:rsidRPr="005F15DC" w:rsidP="003441C9" w14:paraId="016E4766" w14:textId="77777777">
      <w:pPr>
        <w:pStyle w:val="FootnoteText"/>
      </w:pPr>
      <w:r w:rsidRPr="005F15DC">
        <w:rPr>
          <w:rStyle w:val="FootnoteReference"/>
        </w:rPr>
        <w:footnoteRef/>
      </w:r>
      <w:r w:rsidRPr="005F15DC">
        <w:t xml:space="preserve"> </w:t>
      </w:r>
      <w:r w:rsidRPr="005F15DC">
        <w:rPr>
          <w:i/>
        </w:rPr>
        <w:t>See</w:t>
      </w:r>
      <w:r w:rsidRPr="005F15DC">
        <w:t xml:space="preserve"> 47 C.F.R. § 54.706.</w:t>
      </w:r>
    </w:p>
  </w:footnote>
  <w:footnote w:id="18">
    <w:p w:rsidR="003441C9" w:rsidRPr="005F15DC" w:rsidP="003441C9" w14:paraId="7EB5C43B" w14:textId="77777777">
      <w:pPr>
        <w:pStyle w:val="FootnoteText"/>
      </w:pPr>
      <w:r w:rsidRPr="005F15DC">
        <w:rPr>
          <w:rStyle w:val="FootnoteReference"/>
        </w:rPr>
        <w:footnoteRef/>
      </w:r>
      <w:r w:rsidRPr="005F15DC">
        <w:t xml:space="preserve"> </w:t>
      </w:r>
      <w:r w:rsidRPr="005F15DC">
        <w:rPr>
          <w:i/>
        </w:rPr>
        <w:t>See Federal-State Joint Board on Universal Service</w:t>
      </w:r>
      <w:r w:rsidRPr="005F15DC">
        <w:t xml:space="preserve">, Sixteenth Order on Reconsideration, CC Docket No. 96-45, Eighth Report and Order, CC Docket No. 96-45, Sixth Report and Order, Docket No. 96-262, 15 FCC </w:t>
      </w:r>
      <w:r w:rsidRPr="005F15DC">
        <w:t>Rcd</w:t>
      </w:r>
      <w:r w:rsidRPr="005F15DC">
        <w:t xml:space="preserve"> 1679, 1687-1692, paras. 17-29 (1999) (</w:t>
      </w:r>
      <w:r w:rsidRPr="005F15DC">
        <w:rPr>
          <w:i/>
        </w:rPr>
        <w:t>Fifth Circuit Remand Order</w:t>
      </w:r>
      <w:r w:rsidRPr="005F15DC">
        <w:t>).</w:t>
      </w:r>
    </w:p>
  </w:footnote>
  <w:footnote w:id="19">
    <w:p w:rsidR="003441C9" w:rsidRPr="005C14D5" w:rsidP="003441C9" w14:paraId="1E3603C6" w14:textId="77777777">
      <w:pPr>
        <w:pStyle w:val="FootnoteText"/>
      </w:pPr>
      <w:r w:rsidRPr="005F15DC">
        <w:rPr>
          <w:rStyle w:val="FootnoteReference"/>
        </w:rPr>
        <w:footnoteRef/>
      </w:r>
      <w:r w:rsidRPr="005F15DC">
        <w:t xml:space="preserve"> Generally, the Commission’s rules may be waived for good cause shown.  47 C.F.R. § 1.3.  The Commission may exercise its discretion to waive a rule where the particular facts make strict compliance inconsistent with the public interest.  </w:t>
      </w:r>
      <w:r w:rsidRPr="005F15DC">
        <w:rPr>
          <w:i/>
        </w:rPr>
        <w:t>Northeast Cellular Telephone Co. v. FCC</w:t>
      </w:r>
      <w:r w:rsidRPr="005F15DC">
        <w:t>, 897 F.2d 1164, 1166 (D.C. Cir. 1990) (</w:t>
      </w:r>
      <w:r w:rsidRPr="005F15DC">
        <w:rPr>
          <w:i/>
        </w:rPr>
        <w:t>Northeast Cellular</w:t>
      </w:r>
      <w:r w:rsidRPr="005F15DC">
        <w:t xml:space="preserve">).  In addition, the Commission may consider considerations of hardship, equity, or more effective implementation of overall policy on an individual basis. </w:t>
      </w:r>
      <w:r w:rsidRPr="005F15DC">
        <w:rPr>
          <w:i/>
        </w:rPr>
        <w:t xml:space="preserve"> WAIT Radio v. FCC</w:t>
      </w:r>
      <w:r w:rsidRPr="005F15DC">
        <w:t xml:space="preserve">, 418 F.2d 1153, 1159 (D.C. Cir. 1969); </w:t>
      </w:r>
      <w:r w:rsidRPr="005F15DC">
        <w:rPr>
          <w:i/>
        </w:rPr>
        <w:t>Northeast Cellular</w:t>
      </w:r>
      <w:r w:rsidRPr="005F15DC">
        <w:t xml:space="preserve">, 897 F.2d at 1166.  Waiver of the Commission’s rules is therefore appropriate only if special circumstances warrant a deviation from the general rule, and such deviation will serve the public interest.  </w:t>
      </w:r>
      <w:r w:rsidRPr="005F15DC">
        <w:rPr>
          <w:i/>
        </w:rPr>
        <w:t>Northeast Cellular</w:t>
      </w:r>
      <w:r w:rsidRPr="005F15DC">
        <w:t>, 897 F.2d at 1166; 47 C.F.R. § 54.802(a).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D7C" w14:paraId="44D3242D" w14:textId="311C6395">
    <w:pPr>
      <w:tabs>
        <w:tab w:val="center" w:pos="4680"/>
        <w:tab w:val="right" w:pos="9360"/>
      </w:tabs>
    </w:pPr>
    <w:r>
      <w:rPr>
        <w:b/>
      </w:rPr>
      <w:tab/>
      <w:t>Federal Communications Commission</w:t>
    </w:r>
    <w:r>
      <w:rPr>
        <w:b/>
      </w:rPr>
      <w:tab/>
    </w:r>
    <w:r w:rsidR="003441C9">
      <w:rPr>
        <w:b/>
      </w:rPr>
      <w:t>DA 22-268</w:t>
    </w:r>
  </w:p>
  <w:p w:rsidR="00C14D7C" w14:paraId="731FB6F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C14D7C" w14:paraId="22BB6C7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D7C" w14:paraId="655951CE"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C9"/>
    <w:rsid w:val="000615E8"/>
    <w:rsid w:val="00070D90"/>
    <w:rsid w:val="00131098"/>
    <w:rsid w:val="002666FF"/>
    <w:rsid w:val="0033574A"/>
    <w:rsid w:val="003441C9"/>
    <w:rsid w:val="005C14D5"/>
    <w:rsid w:val="005F15DC"/>
    <w:rsid w:val="00780343"/>
    <w:rsid w:val="0084712C"/>
    <w:rsid w:val="008C5C55"/>
    <w:rsid w:val="0097662D"/>
    <w:rsid w:val="00A07D13"/>
    <w:rsid w:val="00A128DC"/>
    <w:rsid w:val="00A50439"/>
    <w:rsid w:val="00B46155"/>
    <w:rsid w:val="00BF573D"/>
    <w:rsid w:val="00C14D7C"/>
    <w:rsid w:val="00CD6E19"/>
    <w:rsid w:val="00CE7A94"/>
    <w:rsid w:val="00CE7CEC"/>
    <w:rsid w:val="00DE66A3"/>
    <w:rsid w:val="00DE7F07"/>
    <w:rsid w:val="00ED4FA0"/>
    <w:rsid w:val="00F70D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8B85BC"/>
  <w15:chartTrackingRefBased/>
  <w15:docId w15:val="{325836EF-8A3B-4D82-AC0A-877FF3C9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1">
    <w:name w:val="Normal1"/>
    <w:rsid w:val="003441C9"/>
  </w:style>
  <w:style w:type="character" w:customStyle="1" w:styleId="FootnoteTextChar">
    <w:name w:val="Footnote Text Char"/>
    <w:link w:val="FootnoteText"/>
    <w:uiPriority w:val="99"/>
    <w:semiHidden/>
    <w:rsid w:val="003441C9"/>
  </w:style>
  <w:style w:type="paragraph" w:customStyle="1" w:styleId="xxmsolistparagraph">
    <w:name w:val="x_x_msolistparagraph"/>
    <w:basedOn w:val="Normal"/>
    <w:rsid w:val="003441C9"/>
    <w:pPr>
      <w:widowControl/>
      <w:ind w:left="720"/>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