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4C059BF5" w14:textId="77777777">
      <w:pPr>
        <w:jc w:val="right"/>
        <w:rPr>
          <w:sz w:val="24"/>
        </w:rPr>
      </w:pPr>
    </w:p>
    <w:p w:rsidR="00013A8B" w:rsidRPr="00B20363" w:rsidP="00013A8B" w14:paraId="0E3CD25C" w14:textId="33966B5C">
      <w:pPr>
        <w:jc w:val="right"/>
        <w:rPr>
          <w:b/>
          <w:sz w:val="24"/>
        </w:rPr>
      </w:pPr>
      <w:r w:rsidRPr="0014776D">
        <w:rPr>
          <w:b/>
          <w:sz w:val="24"/>
        </w:rPr>
        <w:t>DA 2</w:t>
      </w:r>
      <w:r w:rsidRPr="0014776D" w:rsidR="005B7D95">
        <w:rPr>
          <w:b/>
          <w:sz w:val="24"/>
        </w:rPr>
        <w:t>2</w:t>
      </w:r>
      <w:r w:rsidRPr="0014776D">
        <w:rPr>
          <w:b/>
          <w:sz w:val="24"/>
        </w:rPr>
        <w:t>-</w:t>
      </w:r>
      <w:r w:rsidR="009B3DC6">
        <w:rPr>
          <w:b/>
          <w:sz w:val="24"/>
        </w:rPr>
        <w:t>272</w:t>
      </w:r>
    </w:p>
    <w:p w:rsidR="00013A8B" w:rsidP="00013A8B" w14:paraId="4E5ECA6B" w14:textId="46FF2327">
      <w:pPr>
        <w:spacing w:before="60"/>
        <w:jc w:val="right"/>
        <w:rPr>
          <w:b/>
          <w:sz w:val="24"/>
        </w:rPr>
      </w:pPr>
      <w:r>
        <w:rPr>
          <w:b/>
          <w:sz w:val="24"/>
        </w:rPr>
        <w:t xml:space="preserve">Released:  </w:t>
      </w:r>
      <w:r w:rsidR="007542D7">
        <w:rPr>
          <w:b/>
          <w:sz w:val="24"/>
        </w:rPr>
        <w:t xml:space="preserve">March </w:t>
      </w:r>
      <w:r w:rsidR="009B3DC6">
        <w:rPr>
          <w:b/>
          <w:sz w:val="24"/>
        </w:rPr>
        <w:t>14</w:t>
      </w:r>
      <w:r w:rsidR="00EC3EAC">
        <w:rPr>
          <w:b/>
          <w:sz w:val="24"/>
        </w:rPr>
        <w:t>, 202</w:t>
      </w:r>
      <w:r w:rsidR="005B7D95">
        <w:rPr>
          <w:b/>
          <w:sz w:val="24"/>
        </w:rPr>
        <w:t>2</w:t>
      </w:r>
    </w:p>
    <w:p w:rsidR="00BB48EE" w:rsidRPr="00B20363" w:rsidP="00013A8B" w14:paraId="7CFF2BF6" w14:textId="77777777">
      <w:pPr>
        <w:spacing w:before="60"/>
        <w:jc w:val="right"/>
        <w:rPr>
          <w:b/>
          <w:sz w:val="24"/>
        </w:rPr>
      </w:pPr>
    </w:p>
    <w:p w:rsidR="00013A8B" w:rsidP="00013A8B" w14:paraId="25885126" w14:textId="77777777">
      <w:pPr>
        <w:jc w:val="right"/>
        <w:rPr>
          <w:sz w:val="24"/>
        </w:rPr>
      </w:pPr>
    </w:p>
    <w:p w:rsidR="007159CA" w:rsidP="0083445B" w14:paraId="12A6ADE3" w14:textId="36AF228A">
      <w:pPr>
        <w:jc w:val="center"/>
        <w:rPr>
          <w:b/>
          <w:caps/>
          <w:szCs w:val="22"/>
        </w:rPr>
      </w:pPr>
      <w:r w:rsidRPr="006B4B31">
        <w:rPr>
          <w:b/>
          <w:caps/>
          <w:szCs w:val="22"/>
        </w:rPr>
        <w:t xml:space="preserve">WIRELINE COMPETITION BUREAU </w:t>
      </w:r>
      <w:r w:rsidR="0083445B">
        <w:rPr>
          <w:b/>
          <w:caps/>
          <w:szCs w:val="22"/>
        </w:rPr>
        <w:t xml:space="preserve">REMINDS CARRIERS OF </w:t>
      </w:r>
      <w:r w:rsidR="00BB07CA">
        <w:rPr>
          <w:b/>
          <w:caps/>
          <w:szCs w:val="22"/>
        </w:rPr>
        <w:t xml:space="preserve">TheiR </w:t>
      </w:r>
      <w:r w:rsidR="0083445B">
        <w:rPr>
          <w:b/>
          <w:caps/>
          <w:szCs w:val="22"/>
        </w:rPr>
        <w:t xml:space="preserve">ONGOING OBLIGATION TO </w:t>
      </w:r>
      <w:r w:rsidR="00BB07CA">
        <w:rPr>
          <w:b/>
          <w:caps/>
          <w:szCs w:val="22"/>
        </w:rPr>
        <w:t xml:space="preserve">Ensure THEIR </w:t>
      </w:r>
      <w:r w:rsidR="0083445B">
        <w:rPr>
          <w:b/>
          <w:caps/>
          <w:szCs w:val="22"/>
        </w:rPr>
        <w:t>FEDERAL TARIFFS</w:t>
      </w:r>
      <w:r w:rsidR="00BB07CA">
        <w:rPr>
          <w:b/>
          <w:caps/>
          <w:szCs w:val="22"/>
        </w:rPr>
        <w:t xml:space="preserve"> Remain lawful</w:t>
      </w:r>
    </w:p>
    <w:p w:rsidR="00BB48EE" w:rsidRPr="006B4B31" w:rsidP="00BB48EE" w14:paraId="176DE27B" w14:textId="615F0E87">
      <w:pPr>
        <w:jc w:val="center"/>
        <w:rPr>
          <w:b/>
          <w:i/>
          <w:iCs/>
          <w:caps/>
          <w:szCs w:val="22"/>
        </w:rPr>
      </w:pPr>
      <w:r w:rsidRPr="006B4B31">
        <w:rPr>
          <w:b/>
          <w:caps/>
          <w:szCs w:val="22"/>
        </w:rPr>
        <w:t xml:space="preserve"> </w:t>
      </w:r>
    </w:p>
    <w:p w:rsidR="00013A8B" w:rsidRPr="006B4B31" w:rsidP="00013A8B" w14:paraId="3BFF879F" w14:textId="217F1C06">
      <w:pPr>
        <w:jc w:val="center"/>
        <w:rPr>
          <w:b/>
          <w:szCs w:val="22"/>
        </w:rPr>
      </w:pPr>
      <w:r w:rsidRPr="006B4B31">
        <w:rPr>
          <w:b/>
          <w:szCs w:val="22"/>
        </w:rPr>
        <w:t xml:space="preserve">WC Docket No. </w:t>
      </w:r>
      <w:r w:rsidRPr="00921981" w:rsidR="00921981">
        <w:rPr>
          <w:b/>
          <w:szCs w:val="22"/>
        </w:rPr>
        <w:t>22-108</w:t>
      </w:r>
    </w:p>
    <w:p w:rsidR="00F96F63" w:rsidRPr="00930ECF" w:rsidP="00F96F63" w14:paraId="5502C4E3" w14:textId="77777777">
      <w:pPr>
        <w:rPr>
          <w:sz w:val="24"/>
        </w:rPr>
      </w:pPr>
      <w:bookmarkStart w:id="0" w:name="TOChere"/>
    </w:p>
    <w:bookmarkEnd w:id="0"/>
    <w:p w:rsidR="0038689B" w:rsidP="00EC3EAC" w14:paraId="060FE435" w14:textId="21659467">
      <w:pPr>
        <w:ind w:firstLine="720"/>
      </w:pPr>
      <w:r>
        <w:t xml:space="preserve">By this Public Notice, the Wireline Competition Bureau reminds telecommunications carriers of their continuing obligation to </w:t>
      </w:r>
      <w:r w:rsidR="004D4271">
        <w:t xml:space="preserve">regularly </w:t>
      </w:r>
      <w:r w:rsidR="002629A0">
        <w:t>evaluate</w:t>
      </w:r>
      <w:r>
        <w:t xml:space="preserve"> </w:t>
      </w:r>
      <w:r w:rsidR="0083445B">
        <w:t xml:space="preserve">and revise </w:t>
      </w:r>
      <w:r>
        <w:t xml:space="preserve">their tariffs </w:t>
      </w:r>
      <w:r w:rsidR="00762F0A">
        <w:t xml:space="preserve">to ensure those tariffs are consistent </w:t>
      </w:r>
      <w:r w:rsidR="002629A0">
        <w:t xml:space="preserve">with </w:t>
      </w:r>
      <w:r>
        <w:t>the Commission’s rules and orders.</w:t>
      </w:r>
      <w:r>
        <w:rPr>
          <w:rStyle w:val="FootnoteReference"/>
        </w:rPr>
        <w:footnoteReference w:id="3"/>
      </w:r>
      <w:r>
        <w:t xml:space="preserve">  </w:t>
      </w:r>
      <w:r w:rsidR="00F93C29">
        <w:t>T</w:t>
      </w:r>
      <w:r w:rsidR="00FA7435">
        <w:t xml:space="preserve">he Commission’s decisions in various proceedings, </w:t>
      </w:r>
      <w:r w:rsidR="004D4271">
        <w:t>including</w:t>
      </w:r>
      <w:r w:rsidR="00FA7435">
        <w:t xml:space="preserve"> tariff investigations, may </w:t>
      </w:r>
      <w:r w:rsidR="00762F0A">
        <w:t xml:space="preserve">require carriers to revise their existing tariffs to ensure they </w:t>
      </w:r>
      <w:r w:rsidR="00F93C29">
        <w:t>comply with the Commission’s rules</w:t>
      </w:r>
      <w:r w:rsidR="00FA7435">
        <w:t>.</w:t>
      </w:r>
      <w:r>
        <w:rPr>
          <w:rStyle w:val="FootnoteReference"/>
        </w:rPr>
        <w:footnoteReference w:id="4"/>
      </w:r>
      <w:r w:rsidR="00FA7435">
        <w:t xml:space="preserve">  </w:t>
      </w:r>
      <w:r w:rsidR="005F138F">
        <w:t xml:space="preserve">We remind carriers that </w:t>
      </w:r>
      <w:r w:rsidR="00F93C29">
        <w:t xml:space="preserve">even </w:t>
      </w:r>
      <w:r w:rsidR="005F138F">
        <w:t>t</w:t>
      </w:r>
      <w:r w:rsidR="002629A0">
        <w:t>ariff provisions that have been deemed lawful pursuant to section 204 of the Communications Act of 1934 (the Act) are subject to reevaluation and may be found to be unlawful</w:t>
      </w:r>
      <w:r w:rsidR="008300FB">
        <w:t xml:space="preserve"> on a prospective basis</w:t>
      </w:r>
      <w:r w:rsidR="002629A0">
        <w:t>.</w:t>
      </w:r>
      <w:r>
        <w:rPr>
          <w:rStyle w:val="FootnoteReference"/>
        </w:rPr>
        <w:footnoteReference w:id="5"/>
      </w:r>
      <w:r w:rsidR="002629A0">
        <w:t xml:space="preserve">  </w:t>
      </w:r>
      <w:r w:rsidR="008B68DB">
        <w:t xml:space="preserve">Accordingly, the Commission </w:t>
      </w:r>
      <w:r w:rsidR="004D4271">
        <w:t xml:space="preserve">advises </w:t>
      </w:r>
      <w:r w:rsidR="008B68DB">
        <w:t>carriers</w:t>
      </w:r>
      <w:r w:rsidR="004D4271">
        <w:t xml:space="preserve"> to</w:t>
      </w:r>
      <w:r w:rsidR="008B68DB">
        <w:t xml:space="preserve"> review their tariffs </w:t>
      </w:r>
      <w:r w:rsidR="00F93C29">
        <w:t xml:space="preserve">periodically </w:t>
      </w:r>
      <w:r w:rsidR="008B68DB">
        <w:t xml:space="preserve">and </w:t>
      </w:r>
      <w:r w:rsidRPr="00A1780A" w:rsidR="008B68DB">
        <w:t xml:space="preserve">file </w:t>
      </w:r>
      <w:r w:rsidR="00F93C29">
        <w:t xml:space="preserve">any </w:t>
      </w:r>
      <w:r w:rsidRPr="00A1780A" w:rsidR="008B68DB">
        <w:t>revisions</w:t>
      </w:r>
      <w:r w:rsidR="008B68DB">
        <w:t xml:space="preserve"> </w:t>
      </w:r>
      <w:r w:rsidR="00F93C29">
        <w:t xml:space="preserve">that are necessary </w:t>
      </w:r>
      <w:r w:rsidR="008B68DB">
        <w:t xml:space="preserve">to ensure </w:t>
      </w:r>
      <w:r w:rsidR="00F93C29">
        <w:t xml:space="preserve">that the </w:t>
      </w:r>
      <w:r w:rsidR="008B68DB">
        <w:t xml:space="preserve">tariffs </w:t>
      </w:r>
      <w:r w:rsidR="00F93C29">
        <w:t xml:space="preserve">comply </w:t>
      </w:r>
      <w:r w:rsidR="008B68DB">
        <w:t>with the Act and the Commission’s decisions and rules.</w:t>
      </w:r>
    </w:p>
    <w:p w:rsidR="00BE258B" w:rsidP="00EC3EAC" w14:paraId="101A6245" w14:textId="5F38AA29">
      <w:pPr>
        <w:ind w:firstLine="720"/>
      </w:pPr>
    </w:p>
    <w:p w:rsidR="00BE258B" w:rsidRPr="00BE258B" w:rsidP="00BE258B" w14:paraId="341E62D0" w14:textId="7EAAECB9">
      <w:pPr>
        <w:ind w:firstLine="720"/>
      </w:pPr>
      <w:r w:rsidRPr="00BE258B">
        <w:t xml:space="preserve">For further information, please contact </w:t>
      </w:r>
      <w:r w:rsidR="00E813CB">
        <w:t>Christopher Koves</w:t>
      </w:r>
      <w:r>
        <w:t xml:space="preserve">, </w:t>
      </w:r>
      <w:r w:rsidRPr="00BE258B">
        <w:t xml:space="preserve">Wireline Competition Bureau, Pricing Policy Division, at </w:t>
      </w:r>
      <w:r w:rsidR="003849B8">
        <w:t>(</w:t>
      </w:r>
      <w:r w:rsidRPr="00BE258B">
        <w:t>202</w:t>
      </w:r>
      <w:r w:rsidR="003849B8">
        <w:t xml:space="preserve">) </w:t>
      </w:r>
      <w:r w:rsidRPr="00BE258B">
        <w:t>418-</w:t>
      </w:r>
      <w:r w:rsidR="00E813CB">
        <w:t>8209</w:t>
      </w:r>
      <w:r w:rsidRPr="00BE258B">
        <w:t xml:space="preserve">, or at </w:t>
      </w:r>
      <w:hyperlink r:id="rId5" w:history="1">
        <w:r w:rsidRPr="001A0808" w:rsidR="00E813CB">
          <w:rPr>
            <w:rStyle w:val="Hyperlink"/>
          </w:rPr>
          <w:t>Christopher.Koves@fcc.gov</w:t>
        </w:r>
      </w:hyperlink>
      <w:r w:rsidRPr="00BE258B">
        <w:t xml:space="preserve">. </w:t>
      </w:r>
    </w:p>
    <w:p w:rsidR="00BE258B" w:rsidRPr="00BE258B" w:rsidP="00BE258B" w14:paraId="0CC18987" w14:textId="77777777">
      <w:pPr>
        <w:ind w:firstLine="720"/>
      </w:pPr>
    </w:p>
    <w:p w:rsidR="00BE258B" w:rsidRPr="00BE258B" w:rsidP="00BE258B" w14:paraId="77C5A9DA" w14:textId="77777777">
      <w:pPr>
        <w:jc w:val="center"/>
      </w:pPr>
      <w:r w:rsidRPr="00BE258B">
        <w:rPr>
          <w:b/>
        </w:rPr>
        <w:t>-FCC-</w:t>
      </w:r>
    </w:p>
    <w:p w:rsidR="00BE258B" w:rsidP="00EC3EAC" w14:paraId="1BE4D079" w14:textId="77777777">
      <w:pPr>
        <w:ind w:firstLine="720"/>
      </w:pPr>
    </w:p>
    <w:p w:rsidR="00A30646" w:rsidP="00EC3EAC" w14:paraId="5D30DCF6" w14:textId="77777777">
      <w:pPr>
        <w:ind w:firstLine="720"/>
      </w:pPr>
    </w:p>
    <w:p w:rsidR="00A30646" w:rsidP="00EC3EAC" w14:paraId="434729B0" w14:textId="77777777">
      <w:pPr>
        <w:ind w:firstLine="720"/>
      </w:pPr>
    </w:p>
    <w:p w:rsidR="00A30646" w:rsidP="00EC3EAC" w14:paraId="3D8EAF45" w14:textId="77777777">
      <w:pPr>
        <w:ind w:firstLine="720"/>
      </w:pPr>
    </w:p>
    <w:p w:rsidR="00A30646" w:rsidP="00EC3EAC" w14:paraId="1D78752D" w14:textId="77777777">
      <w:pPr>
        <w:ind w:firstLine="720"/>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0C02267" w14:textId="77777777">
    <w:pPr>
      <w:pStyle w:val="Footer"/>
      <w:framePr w:wrap="around" w:vAnchor="text" w:hAnchor="margin" w:xAlign="center" w:y="1"/>
    </w:pPr>
    <w:r>
      <w:fldChar w:fldCharType="begin"/>
    </w:r>
    <w:r>
      <w:instrText xml:space="preserve">PAGE  </w:instrText>
    </w:r>
    <w:r w:rsidR="004E790B">
      <w:fldChar w:fldCharType="separate"/>
    </w:r>
    <w:r>
      <w:fldChar w:fldCharType="end"/>
    </w:r>
  </w:p>
  <w:p w:rsidR="006F7393" w14:paraId="35F48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E0F9F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FFFD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5D65" w14:paraId="29000B84" w14:textId="77777777">
      <w:r>
        <w:separator/>
      </w:r>
    </w:p>
  </w:footnote>
  <w:footnote w:type="continuationSeparator" w:id="1">
    <w:p w:rsidR="00F55D65" w14:paraId="39531D1A" w14:textId="77777777">
      <w:pPr>
        <w:rPr>
          <w:sz w:val="20"/>
        </w:rPr>
      </w:pPr>
      <w:r>
        <w:rPr>
          <w:sz w:val="20"/>
        </w:rPr>
        <w:t xml:space="preserve">(Continued from previous page)  </w:t>
      </w:r>
      <w:r>
        <w:rPr>
          <w:sz w:val="20"/>
        </w:rPr>
        <w:separator/>
      </w:r>
    </w:p>
  </w:footnote>
  <w:footnote w:type="continuationNotice" w:id="2">
    <w:p w:rsidR="00F55D65" w:rsidP="00910F12" w14:paraId="6FF54CE3" w14:textId="77777777">
      <w:pPr>
        <w:jc w:val="right"/>
        <w:rPr>
          <w:sz w:val="20"/>
        </w:rPr>
      </w:pPr>
      <w:r>
        <w:rPr>
          <w:sz w:val="20"/>
        </w:rPr>
        <w:t>(continued….)</w:t>
      </w:r>
    </w:p>
  </w:footnote>
  <w:footnote w:id="3">
    <w:p w:rsidR="002629A0" w:rsidRPr="002629A0" w14:paraId="45FAB9EB" w14:textId="7FEBA3F3">
      <w:pPr>
        <w:pStyle w:val="FootnoteText"/>
      </w:pPr>
      <w:r>
        <w:rPr>
          <w:rStyle w:val="FootnoteReference"/>
        </w:rPr>
        <w:footnoteRef/>
      </w:r>
      <w:r>
        <w:t xml:space="preserve"> </w:t>
      </w:r>
      <w:r>
        <w:rPr>
          <w:i/>
          <w:iCs/>
        </w:rPr>
        <w:t>Implementation of Section 402(b)(1)(A) of the Telecommunications Act of 1996</w:t>
      </w:r>
      <w:r>
        <w:t>, CC Docket No. 96-187, Report and Order, 12 FCC Rcd 2170, 2183, para. 21 (1997)</w:t>
      </w:r>
      <w:r w:rsidRPr="008B68DB" w:rsidR="008B68DB">
        <w:t xml:space="preserve"> </w:t>
      </w:r>
      <w:r w:rsidR="008B68DB">
        <w:t>(</w:t>
      </w:r>
      <w:r w:rsidR="00762F0A">
        <w:t xml:space="preserve">explaining </w:t>
      </w:r>
      <w:r w:rsidRPr="008F268B" w:rsidR="008B68DB">
        <w:t>that “a rate that is ‘deemed lawful’ can also be reevaluated as to its future effect under sections 205 and 208 and the Commission may prescribe a rate as to the future under section 205.”</w:t>
      </w:r>
      <w:r w:rsidR="008B68DB">
        <w:t xml:space="preserve">); </w:t>
      </w:r>
      <w:r w:rsidRPr="008F268B" w:rsidR="008B68DB">
        <w:rPr>
          <w:i/>
          <w:iCs/>
        </w:rPr>
        <w:t>ACS of Anchorage, Inc. v. FCC</w:t>
      </w:r>
      <w:r w:rsidRPr="008F268B" w:rsidR="008B68DB">
        <w:t>, 290 F.3d 403, 411 (D. C. Cir. 2002)</w:t>
      </w:r>
      <w:r w:rsidR="004D4271">
        <w:t>; 47 CFR § 61.16.</w:t>
      </w:r>
      <w:r>
        <w:t xml:space="preserve">  </w:t>
      </w:r>
    </w:p>
  </w:footnote>
  <w:footnote w:id="4">
    <w:p w:rsidR="005F138F" w:rsidRPr="005F138F" w14:paraId="6FA62F38" w14:textId="6553DEC5">
      <w:pPr>
        <w:pStyle w:val="FootnoteText"/>
      </w:pPr>
      <w:r>
        <w:rPr>
          <w:rStyle w:val="FootnoteReference"/>
        </w:rPr>
        <w:footnoteRef/>
      </w:r>
      <w:r>
        <w:t xml:space="preserve"> </w:t>
      </w:r>
      <w:r w:rsidR="00FA1C28">
        <w:rPr>
          <w:i/>
          <w:iCs/>
        </w:rPr>
        <w:t>See, e.g.</w:t>
      </w:r>
      <w:r w:rsidR="00FA1C28">
        <w:t xml:space="preserve">, </w:t>
      </w:r>
      <w:r w:rsidRPr="00E746FB" w:rsidR="00FA1C28">
        <w:rPr>
          <w:rStyle w:val="ssit"/>
          <w:i/>
          <w:iCs/>
          <w:bdr w:val="none" w:sz="0" w:space="0" w:color="auto" w:frame="1"/>
        </w:rPr>
        <w:t>July 1, 2018 Annual Access Charge Tariff Filings; South Dakota Network, LLC Tariff F.C.C. No. 1</w:t>
      </w:r>
      <w:r w:rsidRPr="00E746FB" w:rsidR="00FA1C28">
        <w:rPr>
          <w:bdr w:val="none" w:sz="0" w:space="0" w:color="auto" w:frame="1"/>
        </w:rPr>
        <w:t>, WC Docket No. 18-100; Transmittal No. 13, Memorandum Opinion and Order, 34 FCC Rcd 1525 (2019)</w:t>
      </w:r>
      <w:r w:rsidR="00FA1C28">
        <w:rPr>
          <w:bdr w:val="none" w:sz="0" w:space="0" w:color="auto" w:frame="1"/>
        </w:rPr>
        <w:t xml:space="preserve">; </w:t>
      </w:r>
      <w:r w:rsidRPr="00E746FB">
        <w:rPr>
          <w:i/>
          <w:iCs/>
        </w:rPr>
        <w:t>Northern Valley Communications, LLC, Tariff F.C.C. No. 3</w:t>
      </w:r>
      <w:r w:rsidRPr="00E746FB">
        <w:t>, WC Docket No. 20-11, Transmittal No. 12, Memorandum Opinion and Order, 35 FCC Rcd 6198 (2020)</w:t>
      </w:r>
      <w:r w:rsidR="00FA1C28">
        <w:t>,</w:t>
      </w:r>
      <w:r w:rsidR="000E53BB">
        <w:t xml:space="preserve"> </w:t>
      </w:r>
      <w:r w:rsidRPr="00E746FB" w:rsidR="000E53BB">
        <w:rPr>
          <w:i/>
          <w:iCs/>
        </w:rPr>
        <w:t>appeal docketed</w:t>
      </w:r>
      <w:r w:rsidRPr="00E746FB" w:rsidR="000E53BB">
        <w:t xml:space="preserve">, </w:t>
      </w:r>
      <w:r w:rsidRPr="00E746FB" w:rsidR="000E53BB">
        <w:rPr>
          <w:i/>
          <w:iCs/>
        </w:rPr>
        <w:t>Northern Valley Commc’ns, LLC v. FCC</w:t>
      </w:r>
      <w:r w:rsidRPr="00E746FB" w:rsidR="000E53BB">
        <w:t>, No. 20-1287 (D.C. Cir. July 29, 2020</w:t>
      </w:r>
      <w:r w:rsidR="000E53BB">
        <w:t>)</w:t>
      </w:r>
      <w:r>
        <w:t xml:space="preserve">; </w:t>
      </w:r>
      <w:r w:rsidRPr="003B10CE">
        <w:rPr>
          <w:i/>
          <w:iCs/>
        </w:rPr>
        <w:t>Core Communications, Inc., et al. Tariff F.C.C. No. 3</w:t>
      </w:r>
      <w:r w:rsidRPr="003B10CE">
        <w:t>, WC Docket No. 21-191, Transmittal No. 17, Memorandum Opinion and Order, FCC 21-109</w:t>
      </w:r>
      <w:r>
        <w:t xml:space="preserve"> </w:t>
      </w:r>
      <w:r w:rsidR="00A53A49">
        <w:t>(2021)</w:t>
      </w:r>
      <w:r w:rsidR="003D08B0">
        <w:t xml:space="preserve"> </w:t>
      </w:r>
      <w:r>
        <w:t>(</w:t>
      </w:r>
      <w:r>
        <w:rPr>
          <w:i/>
          <w:iCs/>
        </w:rPr>
        <w:t>Core Tariff Investigation Order</w:t>
      </w:r>
      <w:r>
        <w:t>)</w:t>
      </w:r>
      <w:r w:rsidRPr="005F138F">
        <w:rPr>
          <w:i/>
          <w:iCs/>
        </w:rPr>
        <w:t xml:space="preserve"> </w:t>
      </w:r>
      <w:r w:rsidRPr="003B10CE">
        <w:rPr>
          <w:i/>
          <w:iCs/>
        </w:rPr>
        <w:t>pet</w:t>
      </w:r>
      <w:r>
        <w:rPr>
          <w:i/>
          <w:iCs/>
        </w:rPr>
        <w:t>.</w:t>
      </w:r>
      <w:r w:rsidRPr="003B10CE">
        <w:rPr>
          <w:i/>
          <w:iCs/>
        </w:rPr>
        <w:t xml:space="preserve"> for review filed</w:t>
      </w:r>
      <w:r>
        <w:t>,</w:t>
      </w:r>
      <w:r w:rsidRPr="003B10CE">
        <w:t xml:space="preserve"> </w:t>
      </w:r>
      <w:r w:rsidRPr="003B10CE">
        <w:rPr>
          <w:i/>
          <w:iCs/>
        </w:rPr>
        <w:t xml:space="preserve">CoreTel Delaware, Inc. v. FCC, </w:t>
      </w:r>
      <w:r w:rsidRPr="003B10CE">
        <w:t>No. 21-3170 (3d Cir. Nov. 22,</w:t>
      </w:r>
      <w:r>
        <w:t xml:space="preserve"> 2021).</w:t>
      </w:r>
    </w:p>
  </w:footnote>
  <w:footnote w:id="5">
    <w:p w:rsidR="002629A0" w:rsidP="002629A0" w14:paraId="2557CB72" w14:textId="7FFF030D">
      <w:pPr>
        <w:pStyle w:val="FootnoteText"/>
      </w:pPr>
      <w:r>
        <w:rPr>
          <w:rStyle w:val="FootnoteReference"/>
        </w:rPr>
        <w:footnoteRef/>
      </w:r>
      <w:r>
        <w:t xml:space="preserve"> </w:t>
      </w:r>
      <w:r w:rsidR="00263159">
        <w:t xml:space="preserve">For instance, in the recent </w:t>
      </w:r>
      <w:r w:rsidRPr="00263159" w:rsidR="00263159">
        <w:rPr>
          <w:i/>
          <w:iCs/>
        </w:rPr>
        <w:t>Core Tariff Investigation Order</w:t>
      </w:r>
      <w:r w:rsidR="00263159">
        <w:t xml:space="preserve">, the Commission found unlawful certain provisions that Core claimed were also present in other carriers’ tariffs.  </w:t>
      </w:r>
      <w:r w:rsidR="005F138F">
        <w:rPr>
          <w:i/>
          <w:iCs/>
        </w:rPr>
        <w:t>Core Tariff Investigation Order</w:t>
      </w:r>
      <w:r w:rsidR="008B68DB">
        <w:t xml:space="preserve"> at 13</w:t>
      </w:r>
      <w:r w:rsidR="00263159">
        <w:t>-14</w:t>
      </w:r>
      <w:r w:rsidR="008B68DB">
        <w:t>, para</w:t>
      </w:r>
      <w:r w:rsidR="00263159">
        <w:t>s</w:t>
      </w:r>
      <w:r w:rsidR="008B68DB">
        <w:t>. 29</w:t>
      </w:r>
      <w:r w:rsidR="00263159">
        <w:t>-30 &amp;</w:t>
      </w:r>
      <w:r w:rsidR="008B68DB">
        <w:t xml:space="preserve"> nn.103-04</w:t>
      </w:r>
      <w:r w:rsidR="005F13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5B3669D" w14:textId="77777777">
    <w:pPr>
      <w:tabs>
        <w:tab w:val="center" w:pos="4680"/>
        <w:tab w:val="right" w:pos="9360"/>
      </w:tabs>
    </w:pPr>
    <w:r w:rsidRPr="009838BC">
      <w:rPr>
        <w:b/>
      </w:rPr>
      <w:tab/>
      <w:t>Federal Communications Commission</w:t>
    </w:r>
    <w:r w:rsidRPr="009838BC">
      <w:rPr>
        <w:b/>
      </w:rPr>
      <w:tab/>
    </w:r>
    <w:r w:rsidRPr="0014776D" w:rsidR="008D2DDD">
      <w:rPr>
        <w:b/>
      </w:rPr>
      <w:t>DA 2</w:t>
    </w:r>
    <w:r w:rsidRPr="0014776D" w:rsidR="000E0301">
      <w:rPr>
        <w:b/>
      </w:rPr>
      <w:t>2-</w:t>
    </w:r>
    <w:r w:rsidRPr="0014776D" w:rsidR="0014776D">
      <w:rPr>
        <w:b/>
      </w:rPr>
      <w:t>127</w:t>
    </w:r>
  </w:p>
  <w:p w:rsidR="009838BC" w:rsidRPr="009838BC" w:rsidP="009838BC" w14:paraId="6E7455F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01403F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2BA236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3D4AFDFB" w14:textId="77777777">
                    <w:pPr>
                      <w:rPr>
                        <w:rFonts w:ascii="Arial" w:hAnsi="Arial"/>
                        <w:b/>
                        <w:snapToGrid/>
                      </w:rPr>
                    </w:pPr>
                    <w:r>
                      <w:rPr>
                        <w:rFonts w:ascii="Arial" w:hAnsi="Arial"/>
                        <w:b/>
                      </w:rPr>
                      <w:t>Federal Communications Commission</w:t>
                    </w:r>
                  </w:p>
                  <w:p w:rsidR="00DE0AB8" w:rsidP="00DE0AB8" w14:paraId="00FE66FF" w14:textId="77777777">
                    <w:pPr>
                      <w:rPr>
                        <w:rFonts w:ascii="Arial" w:hAnsi="Arial"/>
                        <w:b/>
                      </w:rPr>
                    </w:pPr>
                    <w:r>
                      <w:rPr>
                        <w:rFonts w:ascii="Arial" w:hAnsi="Arial"/>
                        <w:b/>
                      </w:rPr>
                      <w:t>45 L Street NE</w:t>
                    </w:r>
                  </w:p>
                  <w:p w:rsidR="009838BC" w:rsidP="00DE0AB8" w14:paraId="3AC1EBD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9EDE11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5D4FA0A" w14:textId="77777777">
                    <w:pPr>
                      <w:spacing w:before="40"/>
                      <w:jc w:val="right"/>
                      <w:rPr>
                        <w:rFonts w:ascii="Arial" w:hAnsi="Arial"/>
                        <w:b/>
                        <w:sz w:val="16"/>
                      </w:rPr>
                    </w:pPr>
                    <w:r>
                      <w:rPr>
                        <w:rFonts w:ascii="Arial" w:hAnsi="Arial"/>
                        <w:b/>
                        <w:sz w:val="16"/>
                      </w:rPr>
                      <w:t>News Media Information 202 / 418-0500</w:t>
                    </w:r>
                  </w:p>
                  <w:p w:rsidR="009838BC" w:rsidP="009838BC" w14:paraId="4689272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6AEDA22" w14:textId="77777777">
                    <w:pPr>
                      <w:jc w:val="right"/>
                    </w:pPr>
                    <w:r>
                      <w:rPr>
                        <w:rFonts w:ascii="Arial" w:hAnsi="Arial"/>
                        <w:b/>
                        <w:sz w:val="16"/>
                      </w:rPr>
                      <w:t>TTY: 1-888-835-5322</w:t>
                    </w:r>
                  </w:p>
                </w:txbxContent>
              </v:textbox>
            </v:shape>
          </w:pict>
        </mc:Fallback>
      </mc:AlternateContent>
    </w:r>
  </w:p>
  <w:p w:rsidR="006F7393" w:rsidRPr="009838BC" w:rsidP="009838BC" w14:paraId="55E2118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AC"/>
    <w:rsid w:val="00000CE1"/>
    <w:rsid w:val="000072CE"/>
    <w:rsid w:val="00013A8B"/>
    <w:rsid w:val="00021445"/>
    <w:rsid w:val="00036039"/>
    <w:rsid w:val="00037F90"/>
    <w:rsid w:val="00077804"/>
    <w:rsid w:val="00081918"/>
    <w:rsid w:val="000875BF"/>
    <w:rsid w:val="00096D8C"/>
    <w:rsid w:val="000A7D29"/>
    <w:rsid w:val="000B74EF"/>
    <w:rsid w:val="000C0B65"/>
    <w:rsid w:val="000D169E"/>
    <w:rsid w:val="000D7920"/>
    <w:rsid w:val="000E0301"/>
    <w:rsid w:val="000E3D42"/>
    <w:rsid w:val="000E4A9B"/>
    <w:rsid w:val="000E53BB"/>
    <w:rsid w:val="000E5884"/>
    <w:rsid w:val="000F53B7"/>
    <w:rsid w:val="00107958"/>
    <w:rsid w:val="00122BD5"/>
    <w:rsid w:val="00126B44"/>
    <w:rsid w:val="0014776D"/>
    <w:rsid w:val="001558A8"/>
    <w:rsid w:val="001757C4"/>
    <w:rsid w:val="00197918"/>
    <w:rsid w:val="001979D9"/>
    <w:rsid w:val="001A0808"/>
    <w:rsid w:val="001A783A"/>
    <w:rsid w:val="001C2D73"/>
    <w:rsid w:val="001D6BCF"/>
    <w:rsid w:val="001E01CA"/>
    <w:rsid w:val="001E3EBC"/>
    <w:rsid w:val="002060D9"/>
    <w:rsid w:val="00226822"/>
    <w:rsid w:val="00260594"/>
    <w:rsid w:val="002629A0"/>
    <w:rsid w:val="00263159"/>
    <w:rsid w:val="00285017"/>
    <w:rsid w:val="00294E7D"/>
    <w:rsid w:val="00297251"/>
    <w:rsid w:val="002A2D2E"/>
    <w:rsid w:val="002A590D"/>
    <w:rsid w:val="002D5A0E"/>
    <w:rsid w:val="002E653A"/>
    <w:rsid w:val="00343749"/>
    <w:rsid w:val="00344562"/>
    <w:rsid w:val="003564D3"/>
    <w:rsid w:val="00357D50"/>
    <w:rsid w:val="003849B8"/>
    <w:rsid w:val="0038689B"/>
    <w:rsid w:val="003925DC"/>
    <w:rsid w:val="003A600E"/>
    <w:rsid w:val="003B0550"/>
    <w:rsid w:val="003B10CE"/>
    <w:rsid w:val="003B694F"/>
    <w:rsid w:val="003D08B0"/>
    <w:rsid w:val="003D0EF8"/>
    <w:rsid w:val="003D1653"/>
    <w:rsid w:val="003D6D59"/>
    <w:rsid w:val="003F171C"/>
    <w:rsid w:val="004018AE"/>
    <w:rsid w:val="00411AD9"/>
    <w:rsid w:val="00412FC5"/>
    <w:rsid w:val="00422276"/>
    <w:rsid w:val="004242F1"/>
    <w:rsid w:val="0043255E"/>
    <w:rsid w:val="00444211"/>
    <w:rsid w:val="00445A00"/>
    <w:rsid w:val="00446ABB"/>
    <w:rsid w:val="00450C0C"/>
    <w:rsid w:val="00451B0F"/>
    <w:rsid w:val="0046125F"/>
    <w:rsid w:val="00487524"/>
    <w:rsid w:val="004960CB"/>
    <w:rsid w:val="00496106"/>
    <w:rsid w:val="004B7B40"/>
    <w:rsid w:val="004C12D0"/>
    <w:rsid w:val="004C2EE3"/>
    <w:rsid w:val="004D4271"/>
    <w:rsid w:val="004E4A22"/>
    <w:rsid w:val="004E790B"/>
    <w:rsid w:val="004F32AD"/>
    <w:rsid w:val="00511968"/>
    <w:rsid w:val="005151C8"/>
    <w:rsid w:val="0054508C"/>
    <w:rsid w:val="0055614C"/>
    <w:rsid w:val="00572F53"/>
    <w:rsid w:val="005759C7"/>
    <w:rsid w:val="00580F49"/>
    <w:rsid w:val="00587166"/>
    <w:rsid w:val="005A69BC"/>
    <w:rsid w:val="005B7D95"/>
    <w:rsid w:val="005E71B3"/>
    <w:rsid w:val="005E7918"/>
    <w:rsid w:val="005F138F"/>
    <w:rsid w:val="00607BA5"/>
    <w:rsid w:val="00621E90"/>
    <w:rsid w:val="00626EB6"/>
    <w:rsid w:val="00631F53"/>
    <w:rsid w:val="006353A3"/>
    <w:rsid w:val="00655D03"/>
    <w:rsid w:val="00662CAF"/>
    <w:rsid w:val="00677284"/>
    <w:rsid w:val="00683F84"/>
    <w:rsid w:val="00696E3B"/>
    <w:rsid w:val="006A6A81"/>
    <w:rsid w:val="006B4B31"/>
    <w:rsid w:val="006E140E"/>
    <w:rsid w:val="006E26AF"/>
    <w:rsid w:val="006F7393"/>
    <w:rsid w:val="0070224F"/>
    <w:rsid w:val="007115F7"/>
    <w:rsid w:val="007159CA"/>
    <w:rsid w:val="007531D7"/>
    <w:rsid w:val="007542D7"/>
    <w:rsid w:val="00755B23"/>
    <w:rsid w:val="00762F0A"/>
    <w:rsid w:val="00766DA5"/>
    <w:rsid w:val="00784959"/>
    <w:rsid w:val="00785689"/>
    <w:rsid w:val="00796327"/>
    <w:rsid w:val="0079754B"/>
    <w:rsid w:val="007A1E6D"/>
    <w:rsid w:val="007D189C"/>
    <w:rsid w:val="007D2D93"/>
    <w:rsid w:val="007E29C0"/>
    <w:rsid w:val="00811A34"/>
    <w:rsid w:val="00822CE0"/>
    <w:rsid w:val="008300FB"/>
    <w:rsid w:val="0083445B"/>
    <w:rsid w:val="00837C62"/>
    <w:rsid w:val="00841AB1"/>
    <w:rsid w:val="0085564E"/>
    <w:rsid w:val="008A4B8B"/>
    <w:rsid w:val="008B68DB"/>
    <w:rsid w:val="008C22FD"/>
    <w:rsid w:val="008C4607"/>
    <w:rsid w:val="008D2DDD"/>
    <w:rsid w:val="008D3BE5"/>
    <w:rsid w:val="008D4EB6"/>
    <w:rsid w:val="008E32F8"/>
    <w:rsid w:val="008F268B"/>
    <w:rsid w:val="00906C3C"/>
    <w:rsid w:val="00910F12"/>
    <w:rsid w:val="00912F2D"/>
    <w:rsid w:val="00921981"/>
    <w:rsid w:val="00926503"/>
    <w:rsid w:val="00930ECF"/>
    <w:rsid w:val="009838BC"/>
    <w:rsid w:val="00996C4F"/>
    <w:rsid w:val="009B3DC6"/>
    <w:rsid w:val="00A1780A"/>
    <w:rsid w:val="00A30646"/>
    <w:rsid w:val="00A33E52"/>
    <w:rsid w:val="00A45F4F"/>
    <w:rsid w:val="00A53A49"/>
    <w:rsid w:val="00A600A9"/>
    <w:rsid w:val="00A866AC"/>
    <w:rsid w:val="00A87E06"/>
    <w:rsid w:val="00A95019"/>
    <w:rsid w:val="00AA16F2"/>
    <w:rsid w:val="00AA55B7"/>
    <w:rsid w:val="00AA5B9E"/>
    <w:rsid w:val="00AB2407"/>
    <w:rsid w:val="00AB53DF"/>
    <w:rsid w:val="00AC6B72"/>
    <w:rsid w:val="00AF4B06"/>
    <w:rsid w:val="00B040C9"/>
    <w:rsid w:val="00B07E5C"/>
    <w:rsid w:val="00B20363"/>
    <w:rsid w:val="00B326E3"/>
    <w:rsid w:val="00B36400"/>
    <w:rsid w:val="00B37901"/>
    <w:rsid w:val="00B61957"/>
    <w:rsid w:val="00B811F7"/>
    <w:rsid w:val="00BA028E"/>
    <w:rsid w:val="00BA33A7"/>
    <w:rsid w:val="00BA5DC6"/>
    <w:rsid w:val="00BA6196"/>
    <w:rsid w:val="00BB07CA"/>
    <w:rsid w:val="00BB4728"/>
    <w:rsid w:val="00BB48EE"/>
    <w:rsid w:val="00BC1EA9"/>
    <w:rsid w:val="00BC6D8C"/>
    <w:rsid w:val="00BC7BE7"/>
    <w:rsid w:val="00BE258B"/>
    <w:rsid w:val="00BF1102"/>
    <w:rsid w:val="00C03A7E"/>
    <w:rsid w:val="00C0530F"/>
    <w:rsid w:val="00C13F82"/>
    <w:rsid w:val="00C14B66"/>
    <w:rsid w:val="00C16AF2"/>
    <w:rsid w:val="00C34006"/>
    <w:rsid w:val="00C426B1"/>
    <w:rsid w:val="00C82B6B"/>
    <w:rsid w:val="00C90D6A"/>
    <w:rsid w:val="00CB4953"/>
    <w:rsid w:val="00CC5066"/>
    <w:rsid w:val="00CC72B6"/>
    <w:rsid w:val="00CF55B6"/>
    <w:rsid w:val="00D0218D"/>
    <w:rsid w:val="00D023B3"/>
    <w:rsid w:val="00D0375A"/>
    <w:rsid w:val="00D216CD"/>
    <w:rsid w:val="00D25B53"/>
    <w:rsid w:val="00D27164"/>
    <w:rsid w:val="00D77A09"/>
    <w:rsid w:val="00D807EA"/>
    <w:rsid w:val="00D81F7E"/>
    <w:rsid w:val="00D8494F"/>
    <w:rsid w:val="00D95F35"/>
    <w:rsid w:val="00DA2529"/>
    <w:rsid w:val="00DB130A"/>
    <w:rsid w:val="00DC10A1"/>
    <w:rsid w:val="00DC655F"/>
    <w:rsid w:val="00DD0B0C"/>
    <w:rsid w:val="00DD7EBD"/>
    <w:rsid w:val="00DE0AB8"/>
    <w:rsid w:val="00DE1BD5"/>
    <w:rsid w:val="00DF0150"/>
    <w:rsid w:val="00DF50EC"/>
    <w:rsid w:val="00DF619F"/>
    <w:rsid w:val="00DF62B6"/>
    <w:rsid w:val="00E07225"/>
    <w:rsid w:val="00E155B7"/>
    <w:rsid w:val="00E23F39"/>
    <w:rsid w:val="00E5409F"/>
    <w:rsid w:val="00E746FB"/>
    <w:rsid w:val="00E813CB"/>
    <w:rsid w:val="00E81C9B"/>
    <w:rsid w:val="00E852AE"/>
    <w:rsid w:val="00EA0FB6"/>
    <w:rsid w:val="00EA56BE"/>
    <w:rsid w:val="00EB2DE9"/>
    <w:rsid w:val="00EC0185"/>
    <w:rsid w:val="00EC3EAC"/>
    <w:rsid w:val="00EE4134"/>
    <w:rsid w:val="00F021FA"/>
    <w:rsid w:val="00F55D65"/>
    <w:rsid w:val="00F57ACA"/>
    <w:rsid w:val="00F62E97"/>
    <w:rsid w:val="00F64209"/>
    <w:rsid w:val="00F67749"/>
    <w:rsid w:val="00F86E0D"/>
    <w:rsid w:val="00F905E5"/>
    <w:rsid w:val="00F93BF5"/>
    <w:rsid w:val="00F93C29"/>
    <w:rsid w:val="00F9532E"/>
    <w:rsid w:val="00F96F63"/>
    <w:rsid w:val="00FA1C28"/>
    <w:rsid w:val="00FA4BE7"/>
    <w:rsid w:val="00FA7435"/>
    <w:rsid w:val="00FB1282"/>
    <w:rsid w:val="00FB7436"/>
    <w:rsid w:val="00FD0CC7"/>
    <w:rsid w:val="00FE3A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58E773"/>
  <w15:chartTrackingRefBased/>
  <w15:docId w15:val="{FBD7D0B8-355B-4EBD-ABAC-345A5E19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Style 12"/>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EC3EAC"/>
  </w:style>
  <w:style w:type="character" w:customStyle="1" w:styleId="UnresolvedMention1">
    <w:name w:val="Unresolved Mention1"/>
    <w:basedOn w:val="DefaultParagraphFont"/>
    <w:uiPriority w:val="99"/>
    <w:semiHidden/>
    <w:unhideWhenUsed/>
    <w:rsid w:val="00E852AE"/>
    <w:rPr>
      <w:color w:val="605E5C"/>
      <w:shd w:val="clear" w:color="auto" w:fill="E1DFDD"/>
    </w:rPr>
  </w:style>
  <w:style w:type="paragraph" w:styleId="BalloonText">
    <w:name w:val="Balloon Text"/>
    <w:basedOn w:val="Normal"/>
    <w:link w:val="BalloonTextChar"/>
    <w:uiPriority w:val="99"/>
    <w:semiHidden/>
    <w:unhideWhenUsed/>
    <w:rsid w:val="00FB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82"/>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54508C"/>
    <w:rPr>
      <w:color w:val="954F72" w:themeColor="followedHyperlink"/>
      <w:u w:val="single"/>
    </w:rPr>
  </w:style>
  <w:style w:type="character" w:styleId="CommentReference">
    <w:name w:val="annotation reference"/>
    <w:basedOn w:val="DefaultParagraphFont"/>
    <w:uiPriority w:val="99"/>
    <w:semiHidden/>
    <w:unhideWhenUsed/>
    <w:rsid w:val="005151C8"/>
    <w:rPr>
      <w:sz w:val="16"/>
      <w:szCs w:val="16"/>
    </w:rPr>
  </w:style>
  <w:style w:type="paragraph" w:styleId="CommentText">
    <w:name w:val="annotation text"/>
    <w:basedOn w:val="Normal"/>
    <w:link w:val="CommentTextChar"/>
    <w:uiPriority w:val="99"/>
    <w:semiHidden/>
    <w:unhideWhenUsed/>
    <w:rsid w:val="005151C8"/>
    <w:rPr>
      <w:sz w:val="20"/>
    </w:rPr>
  </w:style>
  <w:style w:type="character" w:customStyle="1" w:styleId="CommentTextChar">
    <w:name w:val="Comment Text Char"/>
    <w:basedOn w:val="DefaultParagraphFont"/>
    <w:link w:val="CommentText"/>
    <w:uiPriority w:val="99"/>
    <w:semiHidden/>
    <w:rsid w:val="005151C8"/>
    <w:rPr>
      <w:snapToGrid w:val="0"/>
      <w:kern w:val="28"/>
    </w:rPr>
  </w:style>
  <w:style w:type="paragraph" w:styleId="CommentSubject">
    <w:name w:val="annotation subject"/>
    <w:basedOn w:val="CommentText"/>
    <w:next w:val="CommentText"/>
    <w:link w:val="CommentSubjectChar"/>
    <w:uiPriority w:val="99"/>
    <w:semiHidden/>
    <w:unhideWhenUsed/>
    <w:rsid w:val="005151C8"/>
    <w:rPr>
      <w:b/>
      <w:bCs/>
    </w:rPr>
  </w:style>
  <w:style w:type="character" w:customStyle="1" w:styleId="CommentSubjectChar">
    <w:name w:val="Comment Subject Char"/>
    <w:basedOn w:val="CommentTextChar"/>
    <w:link w:val="CommentSubject"/>
    <w:uiPriority w:val="99"/>
    <w:semiHidden/>
    <w:rsid w:val="005151C8"/>
    <w:rPr>
      <w:b/>
      <w:bCs/>
      <w:snapToGrid w:val="0"/>
      <w:kern w:val="28"/>
    </w:rPr>
  </w:style>
  <w:style w:type="paragraph" w:styleId="Revision">
    <w:name w:val="Revision"/>
    <w:hidden/>
    <w:uiPriority w:val="99"/>
    <w:semiHidden/>
    <w:rsid w:val="0038689B"/>
    <w:rPr>
      <w:snapToGrid w:val="0"/>
      <w:kern w:val="28"/>
      <w:sz w:val="22"/>
    </w:rPr>
  </w:style>
  <w:style w:type="character" w:customStyle="1" w:styleId="ssit">
    <w:name w:val="ssit"/>
    <w:basedOn w:val="DefaultParagraphFont"/>
    <w:rsid w:val="00FA1C28"/>
  </w:style>
  <w:style w:type="character" w:customStyle="1" w:styleId="sssh">
    <w:name w:val="sssh"/>
    <w:basedOn w:val="DefaultParagraphFont"/>
    <w:rsid w:val="00FA1C28"/>
  </w:style>
  <w:style w:type="character" w:customStyle="1" w:styleId="UnresolvedMention">
    <w:name w:val="Unresolved Mention"/>
    <w:basedOn w:val="DefaultParagraphFont"/>
    <w:uiPriority w:val="99"/>
    <w:rsid w:val="00E81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